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71"/>
        <w:tblW w:w="0" w:type="auto"/>
        <w:tblInd w:w="8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17"/>
        <w:gridCol w:w="5270"/>
      </w:tblGrid>
      <w:tr>
        <w:trPr/>
        <w:tc>
          <w:tcPr>
            <w:tcW w:w="1817"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27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连云港市中级人民法院数字法院项目（非专门面向中小企业）</w:t>
            </w:r>
            <w:r/>
          </w:p>
        </w:tc>
      </w:tr>
      <w:tr>
        <w:trPr/>
        <w:tc>
          <w:tcPr>
            <w:tcW w:w="1817"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27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JSZC-320700-JZCG-G2026-0073</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7"/>
        <w:rPr>
          <w:sz w:val="28"/>
        </w:rPr>
      </w:pPr>
      <w:r>
        <w:rPr>
          <w:sz w:val="28"/>
        </w:rPr>
      </w:r>
      <w:r/>
    </w:p>
    <w:p>
      <w:pPr>
        <w:pStyle w:val="867"/>
        <w:rPr>
          <w:sz w:val="28"/>
        </w:rPr>
      </w:pPr>
      <w:r>
        <w:rPr>
          <w:rFonts w:hint="eastAsia"/>
          <w:sz w:val="28"/>
        </w:rPr>
        <w:t xml:space="preserve">第一章</w:t>
      </w:r>
      <w:r>
        <w:rPr>
          <w:rFonts w:hint="eastAsia"/>
          <w:sz w:val="28"/>
          <w:lang w:val="en-US" w:eastAsia="zh-CN"/>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7"/>
        <w:rPr>
          <w:sz w:val="28"/>
        </w:rPr>
      </w:pPr>
      <w:r>
        <w:rPr>
          <w:rFonts w:hint="eastAsia"/>
          <w:sz w:val="28"/>
        </w:rPr>
        <w:t xml:space="preserve">第二章</w:t>
      </w:r>
      <w:r>
        <w:rPr>
          <w:rFonts w:hint="eastAsia"/>
          <w:sz w:val="28"/>
          <w:lang w:val="en-US" w:eastAsia="zh-CN"/>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p>
    <w:p>
      <w:pPr>
        <w:pStyle w:val="867"/>
        <w:rPr>
          <w:sz w:val="28"/>
        </w:rPr>
      </w:pPr>
      <w:r>
        <w:rPr>
          <w:rFonts w:hint="eastAsia"/>
          <w:sz w:val="28"/>
        </w:rPr>
        <w:t xml:space="preserve">第三章</w:t>
      </w:r>
      <w:r>
        <w:rPr>
          <w:rFonts w:hint="eastAsia"/>
          <w:sz w:val="28"/>
          <w:lang w:val="en-US" w:eastAsia="zh-CN"/>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25</w:t>
      </w:r>
      <w:r>
        <w:rPr>
          <w:sz w:val="28"/>
        </w:rPr>
        <w:fldChar w:fldCharType="end"/>
      </w:r>
      <w:r/>
    </w:p>
    <w:p>
      <w:pPr>
        <w:pStyle w:val="867"/>
        <w:rPr>
          <w:sz w:val="28"/>
        </w:rPr>
      </w:pPr>
      <w:r>
        <w:rPr>
          <w:rFonts w:hint="eastAsia"/>
          <w:sz w:val="28"/>
        </w:rPr>
        <w:t xml:space="preserve">第四章</w:t>
      </w:r>
      <w:r>
        <w:rPr>
          <w:rFonts w:hint="eastAsia"/>
          <w:sz w:val="28"/>
          <w:lang w:val="en-US" w:eastAsia="zh-CN"/>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30</w:t>
      </w:r>
      <w:r>
        <w:rPr>
          <w:sz w:val="28"/>
        </w:rPr>
        <w:fldChar w:fldCharType="end"/>
      </w:r>
      <w:r/>
    </w:p>
    <w:p>
      <w:pPr>
        <w:pStyle w:val="867"/>
        <w:rPr>
          <w:sz w:val="28"/>
        </w:rPr>
      </w:pPr>
      <w:r>
        <w:rPr>
          <w:rFonts w:hint="eastAsia"/>
          <w:sz w:val="28"/>
        </w:rPr>
        <w:t xml:space="preserve">第五章</w:t>
      </w:r>
      <w:r>
        <w:rPr>
          <w:rFonts w:hint="eastAsia"/>
          <w:sz w:val="28"/>
          <w:lang w:val="en-US" w:eastAsia="zh-CN"/>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55</w:t>
      </w:r>
      <w:r>
        <w:rPr>
          <w:sz w:val="28"/>
        </w:rPr>
        <w:fldChar w:fldCharType="end"/>
      </w:r>
      <w:r/>
    </w:p>
    <w:p>
      <w:pPr>
        <w:pStyle w:val="867"/>
        <w:rPr>
          <w:sz w:val="28"/>
        </w:rPr>
      </w:pPr>
      <w:r>
        <w:rPr>
          <w:rFonts w:hint="eastAsia"/>
          <w:sz w:val="28"/>
        </w:rPr>
        <w:t xml:space="preserve">第六章</w:t>
      </w:r>
      <w:r>
        <w:rPr>
          <w:rFonts w:hint="eastAsia"/>
          <w:sz w:val="28"/>
          <w:lang w:val="en-US" w:eastAsia="zh-CN"/>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84</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53"/>
        <w:jc w:val="center"/>
        <w:spacing w:before="156" w:after="156" w:line="360" w:lineRule="auto"/>
        <w:rPr>
          <w:rFonts w:ascii="黑体" w:hAnsi="黑体" w:eastAsia="黑体"/>
          <w:b w:val="0"/>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3"/>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大数据管理中心的委托，连云港市公共资源交易中心就连云港市中级人民法院数字法院项目（非专门面向中小企业）（项目编号：JSZC-320700-JZCG-G2026-0073）项目进行公开招标采购，欢迎符合条件的供应商投标。</w:t>
      </w:r>
      <w:r/>
    </w:p>
    <w:tbl>
      <w:tblPr>
        <w:tblStyle w:val="871"/>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连云港市中级人民法院数字法院项目（非专门面向中小企业）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2026年10月12日10:30:00</w:t>
            </w:r>
            <w:r>
              <w:rPr>
                <w:rFonts w:hint="eastAsia" w:asciiTheme="minorEastAsia" w:hAnsiTheme="minorEastAsia"/>
                <w:sz w:val="24"/>
                <w:szCs w:val="24"/>
              </w:rPr>
              <w:t xml:space="preserve">（北京时间）前递交（上传）投标文件。</w:t>
            </w:r>
            <w:r/>
          </w:p>
        </w:tc>
      </w:tr>
    </w:tbl>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项目编号：JSZC-320700-JZCG-G2026-0073</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项目名称：连云港市中级人民法院数字法院项目（非专门面向中小企业）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预算金额：人民币238.5万元，采购包1</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投标无效，采购包2投标报价超过最高限价的投标无效。</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本项目共分为两个采购包：</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采购包1：连云港市中级人民法院“斥候”系统二期项目（非专门面向中小企业）（预算金额：129万）</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采购包2：连云港市中级人民法院网络安全服务及互联网行为管控平台（非专门面向中小企业）（预算金额：109.5万元，最高限价</w:t>
      </w:r>
      <w:r>
        <w:rPr>
          <w:rFonts w:asciiTheme="minorEastAsia" w:hAnsiTheme="minorEastAsia"/>
          <w:b/>
          <w:bCs/>
          <w:sz w:val="24"/>
          <w:szCs w:val="24"/>
        </w:rPr>
        <w:t xml:space="preserve">105.5万元</w:t>
      </w:r>
      <w:r>
        <w:rPr>
          <w:rFonts w:hint="eastAsia" w:asciiTheme="minorEastAsia" w:hAnsiTheme="minorEastAsia"/>
          <w:b/>
          <w:bCs/>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开标</w:t>
      </w:r>
      <w:r>
        <w:rPr>
          <w:rFonts w:hint="eastAsia" w:asciiTheme="minorEastAsia" w:hAnsiTheme="minorEastAsia"/>
          <w:b/>
          <w:bCs/>
          <w:sz w:val="24"/>
          <w:szCs w:val="24"/>
          <w:lang w:val="en-US" w:eastAsia="zh-CN"/>
        </w:rPr>
        <w:t xml:space="preserve">顺序按照苏采云平台同步进行</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rPr>
        <w:t xml:space="preserve">评标顺序以一、二采购包依次进行。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w:t>
      </w:r>
      <w:r/>
    </w:p>
    <w:p>
      <w:pPr>
        <w:ind w:firstLine="480"/>
        <w:spacing w:line="500" w:lineRule="exact"/>
        <w:rPr>
          <w:rFonts w:ascii="宋体" w:hAnsi="宋体"/>
          <w:sz w:val="24"/>
          <w:szCs w:val="24"/>
        </w:rPr>
      </w:pPr>
      <w:r>
        <w:rPr>
          <w:rFonts w:ascii="宋体" w:hAnsi="宋体"/>
          <w:sz w:val="24"/>
          <w:szCs w:val="24"/>
        </w:rPr>
        <w:t xml:space="preserve">在一期“斥候”系统首创“查人找物”数据演算、实现被告与被执行人衣食住行信息全覆盖全关联的基础上，二期系统以“有序数据共享、高效应用服务和可靠安全保障”为核心方向，通过构建法院数据平台、应用服务平台与统一安全防护体系，进一步打破数据壁垒、整合全量资源，实现数据的集中治理、精准关联与智能应用，为审判执行提质增效、统一裁判尺度、强化监督管理提供坚实的数据支撑。</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采购包2:</w:t>
      </w:r>
      <w:r/>
    </w:p>
    <w:p>
      <w:pPr>
        <w:ind w:firstLine="480"/>
        <w:spacing w:line="500" w:lineRule="exact"/>
        <w:rPr>
          <w:rFonts w:asciiTheme="minorEastAsia" w:hAnsiTheme="minorEastAsia"/>
          <w:sz w:val="24"/>
          <w:szCs w:val="24"/>
        </w:rPr>
      </w:pPr>
      <w:r>
        <w:rPr>
          <w:rFonts w:hint="eastAsia" w:ascii="宋体" w:hAnsi="宋体" w:eastAsia="宋体" w:cs="Times New Roman"/>
          <w:color w:val="000000"/>
          <w:sz w:val="24"/>
          <w:szCs w:val="24"/>
        </w:rPr>
        <w:t xml:space="preserve">本项目为连云港市中级人民法院及辖区基层法院提供为期1年的网络安全服务，服务内容涵盖网络安全专业服务与互联网行为管控融合服务，具体包括服务工具与统一运营能力建设、“两高一弱”专业巡检、高危漏洞防护、内网脆弱性与异常流量日志分析、互联网行为管控、安全事件应急响应、法院行业及国家级攻防演练实战支撑、资产梳理与基线核查、重点时期保障与应急演练培训等，构建覆盖资产—漏洞—配置—用户—终端—流量—日志—事件—演练—整改的一体化安全运营闭环，全面提升全市法院网络安全防护与实战防守能力。服务要求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对本项目（两个采购包）资格要求、采购需求、评标方法与评标标准等部分的询问、质疑请与采购人联系，由采购人负责答复。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采购包1：合同签订后90日内完成平台研发及上线测试，并通过验收，验收通过后提供12个月驻场服务。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采购包2：12个月（合同约定时间为准）。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本项目采购包1不接受联合体投标，采购包2接受联合体投标。</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采购包1：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列入失信被执行人、重大税收违法案件当事人名单、政府采购严重违法失信行为记录名单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（三）本项目采购包1的特定资格要求：无。</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采购包2：</w:t>
      </w:r>
      <w:r/>
    </w:p>
    <w:p>
      <w:pPr>
        <w:ind w:firstLine="480"/>
        <w:jc w:val="left"/>
        <w:spacing w:line="500" w:lineRule="exact"/>
        <w:rPr>
          <w:sz w:val="24"/>
          <w:szCs w:val="24"/>
        </w:rPr>
      </w:pPr>
      <w:r>
        <w:rPr>
          <w:rFonts w:hint="eastAsia" w:asciiTheme="minorEastAsia" w:hAnsiTheme="minorEastAsia"/>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列入失信被执行人、重大税收违法案件当事人名单、政府采购严重违法失信行为记录名单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（三）本项目采购包2的特定资格要求： </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1.联合体成员数量不超过2家（含2家），以联合体形式参加政府采购活动的，组成联合体内企业之间不得存在直接控股、管理关系。联合体各方不得再单独参加或者与其他供应商另外组成联合体参加同一合同项下的政府采购活动。</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2.以联合体形式参加政府采购活动的投标人须提交共同签署的《联合体协议》（详见招标文件第六章 投标文件格式），明确联合体的牵头单位，并载明联合体各方承担的工作和义务。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上述1-2项如不满足，则投标无效。</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时间：自招标公告发布之日起至2026年9月22日（北京时间）</w:t>
      </w:r>
      <w:r>
        <w:rPr>
          <w:highlight w:val="none"/>
        </w:rPr>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提交投标文件截止时间：2026年10月12日10:30:00（北京时间）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开标时间：2026年10月12日10:30:00（北京时间）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称：连云港市大数据管理中心</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址：连云港市海州区凌州东路9号政务服务中心4楼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Times New Roman"/>
          <w:sz w:val="24"/>
          <w:szCs w:val="24"/>
        </w:rPr>
        <w:t xml:space="preserve">0518-</w:t>
      </w:r>
      <w:r>
        <w:rPr>
          <w:rFonts w:hint="eastAsia" w:ascii="宋体" w:hAnsi="宋体" w:eastAsia="宋体" w:cs="宋体"/>
          <w:sz w:val="24"/>
          <w:szCs w:val="24"/>
        </w:rPr>
        <w:t xml:space="preserve">85825190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highlight w:val="none"/>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rPr>
        <w:t xml:space="preserve">高毓辰</w:t>
      </w:r>
      <w:r>
        <w:rPr>
          <w:rFonts w:hint="eastAsia" w:asciiTheme="minorEastAsia" w:hAnsiTheme="minorEastAsia"/>
          <w:sz w:val="24"/>
          <w:szCs w:val="24"/>
          <w:highlight w:val="none"/>
        </w:rPr>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rPr>
        <w:t xml:space="preserve">0518-85825170</w:t>
      </w:r>
      <w:r>
        <w:rPr>
          <w:rFonts w:hint="eastAsia" w:asciiTheme="minorEastAsia" w:hAnsiTheme="minorEastAsia"/>
          <w:sz w:val="24"/>
          <w:szCs w:val="24"/>
          <w:highlight w:val="none"/>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rFonts w:hint="eastAsia" w:asciiTheme="minorEastAsia" w:hAnsiTheme="minorEastAsia"/>
          <w:sz w:val="24"/>
          <w:szCs w:val="24"/>
          <w:highlight w:val="none"/>
        </w:rPr>
      </w:r>
      <w:r>
        <w:rPr>
          <w:rFonts w:hint="eastAsia" w:asciiTheme="minorEastAsia" w:hAnsiTheme="minorEastAsia"/>
          <w:sz w:val="24"/>
          <w:szCs w:val="24"/>
          <w:highlight w:val="none"/>
        </w:rPr>
      </w:r>
      <w:r/>
    </w:p>
    <w:p>
      <w:pPr>
        <w:pStyle w:val="853"/>
        <w:jc w:val="center"/>
        <w:spacing w:before="156" w:after="156"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rPr>
          <w:rFonts w:asciiTheme="minorEastAsia" w:hAnsiTheme="minorEastAsia"/>
          <w:sz w:val="24"/>
          <w:szCs w:val="24"/>
        </w:rPr>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hint="eastAsia" w:asciiTheme="minorEastAsia" w:hAnsiTheme="minorEastAsia"/>
          <w:sz w:val="24"/>
          <w:szCs w:val="24"/>
        </w:rPr>
      </w:r>
      <w:r>
        <w:rPr>
          <w:rFonts w:hint="eastAsia" w:asciiTheme="minorEastAsia" w:hAnsiTheme="minorEastAsia"/>
          <w:sz w:val="24"/>
          <w:szCs w:val="24"/>
          <w:lang w:val="en-US" w:eastAsia="zh-CN"/>
        </w:rPr>
        <w:t xml:space="preserve">2.7以联合体形式参加政府采购活动的投标人须提交共同签署的《联合体协议》（详见招标文件第六章 投标文件格式），明确联合体的牵头单位，并载明联合体各方承担的工作和义务。联合体各方不得再单独参加或者与其他供应商另外组成联合体参加同一合同项下的政府采购活动。</w:t>
      </w:r>
      <w:r>
        <w:rPr>
          <w:rFonts w:asciiTheme="minorEastAsia" w:hAnsiTheme="minorEastAsia"/>
          <w:sz w:val="24"/>
          <w:szCs w:val="24"/>
        </w:rPr>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两个采购包）</w:t>
      </w:r>
      <w:r>
        <w:rPr>
          <w:rFonts w:hint="eastAsia" w:ascii="宋体" w:hAnsi="宋体" w:eastAsia="宋体" w:cs="宋体"/>
          <w:bCs/>
          <w:color w:val="000000"/>
          <w:sz w:val="24"/>
          <w:szCs w:val="24"/>
        </w:rPr>
        <w:t xml:space="preserve">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采购人资格审查同时，在信用中国网站（www.creditchina.gov.cn）、查询投标人的信用记录，以确定投标人是否具备投标资格，查询结果留存并归档。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采购包1：</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采购包2：</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两个采购包（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或者符合政府采购异常低价认定标准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本项目（采购包1、采购包2）执行《关于印发&lt;政府采购促进中小企业发展管理办法&gt;的通知》（财库〔2020〕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本项目（采购包1、采购包2）对提供的服务全部由小型企业、微型企业、残疾人福利性单位和监狱企业承接的报价给予10%的扣除，用扣除后的价格参与评审。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w:t>
      </w:r>
      <w:r>
        <w:rPr>
          <w:rFonts w:hint="eastAsia" w:asciiTheme="minorEastAsia" w:hAnsiTheme="minorEastAsia"/>
          <w:sz w:val="24"/>
          <w:szCs w:val="24"/>
          <w:lang w:val="en-US" w:eastAsia="zh-CN"/>
        </w:rPr>
        <w:t xml:space="preserve">采购包2</w:t>
      </w:r>
      <w:r>
        <w:rPr>
          <w:rFonts w:hint="eastAsia" w:asciiTheme="minorEastAsia" w:hAnsiTheme="minorEastAsia"/>
          <w:sz w:val="24"/>
          <w:szCs w:val="24"/>
        </w:rPr>
        <w:t xml:space="preserve">同意联合体投标，大中型企业与小微型企业（残疾人福利单位、监狱企业）组成联合体或者大中型企业向一家或多家小微型企业分包，联合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3"/>
        <w:jc w:val="center"/>
        <w:spacing w:before="156" w:after="156"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乙方：（卖方）_________（联合体共同签订）</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53"/>
        <w:jc w:val="center"/>
        <w:spacing w:before="156" w:after="156"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b/>
          <w:sz w:val="24"/>
          <w:szCs w:val="24"/>
        </w:rPr>
      </w:r>
      <w:r/>
    </w:p>
    <w:p>
      <w:pPr>
        <w:jc w:val="center"/>
        <w:spacing w:line="500" w:lineRule="exact"/>
        <w:rPr>
          <w:rFonts w:ascii="宋体" w:hAnsi="宋体" w:eastAsia="宋体" w:cs="宋体"/>
          <w:b/>
          <w:sz w:val="28"/>
          <w:szCs w:val="28"/>
        </w:rPr>
      </w:pPr>
      <w:r>
        <w:rPr>
          <w:rFonts w:hint="eastAsia" w:ascii="宋体" w:hAnsi="宋体" w:eastAsia="宋体" w:cs="宋体"/>
          <w:b/>
          <w:sz w:val="28"/>
          <w:szCs w:val="28"/>
        </w:rPr>
        <w:t xml:space="preserve">采购包1</w:t>
      </w:r>
      <w:r/>
    </w:p>
    <w:p>
      <w:pPr>
        <w:spacing w:line="500" w:lineRule="exact"/>
        <w:rPr>
          <w:rFonts w:ascii="宋体" w:hAnsi="宋体" w:eastAsia="宋体" w:cs="宋体"/>
          <w:b/>
          <w:sz w:val="28"/>
          <w:szCs w:val="28"/>
        </w:rPr>
      </w:pPr>
      <w:r>
        <w:rPr>
          <w:rFonts w:ascii="宋体" w:hAnsi="宋体" w:eastAsia="宋体" w:cs="宋体"/>
          <w:b/>
          <w:sz w:val="28"/>
          <w:szCs w:val="28"/>
        </w:rPr>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b/>
          <w:sz w:val="24"/>
          <w:szCs w:val="24"/>
        </w:rPr>
      </w:pPr>
      <w:r>
        <w:rPr>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58"/>
      </w:pPr>
      <w:r/>
      <w:r/>
    </w:p>
    <w:p>
      <w:pPr>
        <w:ind w:firstLine="482"/>
        <w:jc w:val="left"/>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一、项目概况</w:t>
      </w:r>
      <w:r>
        <w:rPr>
          <w:rFonts w:asciiTheme="minorEastAsia" w:hAnsiTheme="minorEastAsia"/>
          <w:b/>
          <w:bCs/>
          <w:sz w:val="24"/>
          <w:szCs w:val="24"/>
        </w:rPr>
      </w:r>
      <w:r/>
    </w:p>
    <w:p>
      <w:pPr>
        <w:ind w:firstLine="482"/>
        <w:jc w:val="left"/>
        <w:spacing w:line="500" w:lineRule="exact"/>
        <w:rPr>
          <w:rFonts w:hint="eastAsia" w:asciiTheme="minorEastAsia" w:hAnsiTheme="minorEastAsia"/>
          <w:sz w:val="24"/>
          <w:szCs w:val="24"/>
        </w:rPr>
      </w:pPr>
      <w:r>
        <w:rPr>
          <w:rFonts w:hint="eastAsia" w:asciiTheme="minorEastAsia" w:hAnsiTheme="minorEastAsia"/>
          <w:b/>
          <w:bCs/>
          <w:sz w:val="24"/>
          <w:szCs w:val="24"/>
        </w:rPr>
      </w:r>
      <w:r>
        <w:rPr>
          <w:rFonts w:hint="eastAsia"/>
          <w:sz w:val="24"/>
        </w:rPr>
        <w:t xml:space="preserve">在一期“斥候”系统首创“查人找物”数据演算、精准获取涉案当事人相关信息的基础上，二期系统以“有序数据共享、高效应用服务和可靠安全保障”为核心方向，通过构建法院数据平台、应用服务平台与统一安全防护体系，进一步打破数据壁垒、整合全量资源，实现数据的集中治理、精准关联与智能应用，为审判执行提质增效、统一裁判尺度、强化监督管理提供坚实的数据支撑。</w:t>
      </w:r>
      <w:r>
        <w:rPr>
          <w:rFonts w:asciiTheme="minorEastAsia" w:hAnsiTheme="minorEastAsia"/>
          <w:b/>
          <w:bCs/>
          <w:sz w:val="24"/>
          <w:szCs w:val="24"/>
        </w:rPr>
      </w:r>
      <w:r/>
    </w:p>
    <w:p>
      <w:pPr>
        <w:ind w:firstLine="482"/>
        <w:jc w:val="left"/>
        <w:spacing w:line="500" w:lineRule="exact"/>
        <w:rPr>
          <w:rFonts w:hint="eastAsia" w:asciiTheme="minorEastAsia" w:hAnsiTheme="minorEastAsia"/>
          <w:sz w:val="24"/>
          <w:szCs w:val="24"/>
        </w:rPr>
      </w:pPr>
      <w:r>
        <w:rPr>
          <w:rFonts w:hint="eastAsia"/>
          <w:sz w:val="24"/>
        </w:rPr>
      </w:r>
      <w:r>
        <w:rPr>
          <w:rFonts w:hint="eastAsia"/>
          <w:sz w:val="24"/>
        </w:rPr>
        <w:t xml:space="preserve">二期将在一期“查人找物”能力之上，依托统一数据资源池与统一应用服务，构建覆盖关键业务和主要流程的智慧执行支</w:t>
      </w:r>
      <w:r>
        <w:rPr>
          <w:rFonts w:hint="eastAsia"/>
          <w:sz w:val="24"/>
        </w:rPr>
        <w:t xml:space="preserve">撑体系：在数据层面，通过统一数据交换平台，整合基础数据库、专题数据库与元数据库，形成标准统一、安全可控、按需共享的法院数据平台，实现内部审判执行数据、外部政务共享数据与合规互联网数据的深度融合与高效流转；在应用层面，依托统一应用服务，集成执行辅助等核心应用，打造协同办理、智能支撑的应用服务平台，为送达、拘传、财产关联人查找、不动产清场、企业综合评估、反担保应用等场景提供更精准、更智能的行动指引与决策支撑；在安全层面，构建纵深防御、合规可控、安全稳定的统一安全防护体系，保障数据全生命周期安全与应用全流程可信。</w:t>
      </w:r>
      <w:r>
        <w:rPr>
          <w:rFonts w:asciiTheme="minorEastAsia" w:hAnsiTheme="minorEastAsia"/>
          <w:b/>
          <w:bCs/>
          <w:sz w:val="24"/>
          <w:szCs w:val="24"/>
        </w:rPr>
      </w:r>
      <w:r/>
    </w:p>
    <w:p>
      <w:pPr>
        <w:ind w:firstLine="482"/>
        <w:jc w:val="left"/>
        <w:spacing w:line="500" w:lineRule="exact"/>
        <w:rPr>
          <w:rFonts w:asciiTheme="minorEastAsia" w:hAnsiTheme="minorEastAsia"/>
          <w:b/>
          <w:bCs/>
          <w:sz w:val="24"/>
          <w:szCs w:val="24"/>
        </w:rPr>
      </w:pPr>
      <w:r>
        <w:rPr>
          <w:rFonts w:hint="eastAsia"/>
          <w:sz w:val="24"/>
        </w:rPr>
      </w:r>
      <w:r>
        <w:rPr>
          <w:rFonts w:hint="eastAsia"/>
          <w:sz w:val="24"/>
        </w:rPr>
        <w:t xml:space="preserve">通过二期建设，将进一步深化“斥候”系统的智能演算能力，从“查人找物”单点突破升级为“数智赋能”的整体跃升，实现从线索发现到行动指引的全链条智能化支撑，全面提升执行质效，为群众提供更高效便捷的司法服务，为社会经济高质量发展提供更有力的司法保障。</w:t>
      </w:r>
      <w:r>
        <w:rPr>
          <w:rFonts w:asciiTheme="minorEastAsia" w:hAnsiTheme="minorEastAsia"/>
          <w:b/>
          <w:bCs/>
          <w:sz w:val="24"/>
          <w:szCs w:val="24"/>
        </w:rPr>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围绕法院执行“查人找物”核心痛点，以提升执行完毕率、降低首执案件终本率、提高执行到位率为核心目标，依托大数据等技术，打造全流程智能化的执行查控体系，核心建设内容包括数据资源、核心应用场景开发等，具体如下：</w:t>
      </w:r>
      <w:r/>
    </w:p>
    <w:p>
      <w:pPr>
        <w:ind w:firstLine="480"/>
        <w:spacing w:line="360" w:lineRule="auto"/>
        <w:rPr>
          <w:rFonts w:asciiTheme="minorEastAsia" w:hAnsiTheme="minorEastAsia"/>
          <w:sz w:val="24"/>
        </w:rPr>
      </w:pPr>
      <w:r>
        <w:rPr>
          <w:rFonts w:hint="eastAsia" w:asciiTheme="minorEastAsia" w:hAnsiTheme="minorEastAsia"/>
          <w:sz w:val="24"/>
        </w:rPr>
        <w:t xml:space="preserve">1.1多源数据资源整合与治理建设拓展数据来源渠道，对接连云港市政务数据，同时整合法院内部执行查控数据、审判案件数据，构建覆盖被执行人身份标识、财产状况、社会行为、信用记录四大维度的立体数据体系；开展全量数据的标准化治理，包括数据清洗、去重、补录、脱敏、加密，建立标准地址库、标准人员库、标准企业库、标准财产库，搭建统一的执行数据资源池，实现数据的一数一源、全域共享、实时更新。</w:t>
      </w:r>
      <w:r/>
    </w:p>
    <w:p>
      <w:pPr>
        <w:ind w:firstLine="480"/>
        <w:spacing w:line="360" w:lineRule="auto"/>
        <w:rPr>
          <w:rFonts w:asciiTheme="minorEastAsia" w:hAnsiTheme="minorEastAsia"/>
          <w:sz w:val="24"/>
        </w:rPr>
      </w:pPr>
      <w:r>
        <w:rPr>
          <w:rFonts w:hint="eastAsia" w:asciiTheme="minorEastAsia" w:hAnsiTheme="minorEastAsia"/>
          <w:sz w:val="24"/>
        </w:rPr>
        <w:t xml:space="preserve">1.2执行核心应用场景智能化开发围绕法院执行实际业务需求，开发六大核心智能化应用场景：</w:t>
      </w:r>
      <w:r>
        <w:rPr>
          <w:rFonts w:hint="eastAsia" w:asciiTheme="minorEastAsia" w:hAnsiTheme="minorEastAsia"/>
          <w:sz w:val="24"/>
        </w:rPr>
        <w:t xml:space="preserve">一是查人送达指引场景，实现涉案当事人精准定位、最优送达路径推荐与最佳拘传时段推算；二是关联财产分析场景，挖掘财产代持、资金转移线索，生成资金穿透图谱；三是企业综合评估场景，构建涉诉企业多维度评价体系，实现企业经营状况、履约能力的自动化打分评级及担保权利瑕疵核验；四是执行风险评估场景，分析被执行人人员结构与特殊群体，制定个性化、善意文明的拘传清场布控方案；五是终本案件辅助场景，动态监控终本案件财产线索与程序要件，提升恢复执行能力；六是调查取证辅助场景，对书面及电子证据交叉比对与事实补强，辅助夯实案件事实认定。</w:t>
      </w:r>
      <w:r/>
    </w:p>
    <w:p>
      <w:pPr>
        <w:ind w:firstLine="482"/>
        <w:spacing w:line="360" w:lineRule="auto"/>
        <w:rPr>
          <w:rFonts w:hint="eastAsia" w:ascii="黑体" w:hAnsi="黑体" w:eastAsiaTheme="minorEastAsia"/>
          <w:b/>
          <w:bCs/>
          <w:sz w:val="24"/>
          <w:vertAlign w:val="subscript"/>
          <w:lang w:val="en-US" w:eastAsia="zh-CN"/>
        </w:rPr>
      </w:pPr>
      <w:r>
        <w:rPr>
          <w:rFonts w:hint="eastAsia" w:asciiTheme="minorEastAsia" w:hAnsiTheme="minorEastAsia"/>
          <w:b/>
          <w:bCs/>
          <w:sz w:val="24"/>
        </w:rPr>
        <w:t xml:space="preserve">2.服务技术要求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2.1遵循的标准规范</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建设将严格执行国家及司法行业制定的标准规范，包括《中华人民共和国网络安全法》《中华人民共和国数据安全法》《人民法院数据安全管理办法》《最高人民法院关于规范和加强人工智能司法应用的意见》《人民法院案件信息业务标准》《信息安全技术网络安全等级保护基本要求》（GB/T22239-2019）、《政务信息资源交换体系》（GB21062-2007）等，以保障系统在技术架构、数据格式、安全防护、业务流程等方面的标准化、规范化，为实现法院系统内部、跨政务部门的数据交换共享和业务协同奠定坚实基础。</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2.2系统架构要求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架构应体现分层设计思想，按照“数据底座—支撑服务—业务应用”三层架构组织。数据层依托司法数据仓库统一汇聚、治理、存储各类司法数据资源，形成标准统一、安全可控、按需共享的数据资源体系；支撑层依托应用支撑平台提供统一的身份认证、权限管控与服务治理能力，将重复性高、通用性强的共性能力提炼至平台统一建设，满足各业务系统的复用；应用层面向查人送达、财产关联分析、企业信用评估、执行风险评估、终本案件辅助管理、调查取证辅助等执行核心场景构建智能应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系统架构应支持微服务架构，便于服务的拆分与组合，提高系统的灵活性和可扩展性；应体现模块化设计理念，各模块职责清晰、耦合度低，模块间能够有效协作，并明确数据的来源、存储与使用方式。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部署架构应以项目需求为导向，在满足等保三级网络安全与数据安全要求的基础上，明确部署系统所需的服务器、数据库、存储等硬件资源及网络环境，支持横向和纵向扩展，可根据业务量增长与数据来源拓展灵活增加硬件节点、扩展数据处理能力与存储容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技术路线方面，系统采用微服务技术架构与前后端分离设计，数据处理与存储系统支持多源异构司法数据的实时与离线采集、清洗与转换，满足执行干警在拘传、财产查控、清场等场景下的实时数据需求。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界面设计应兼顾人机交互、操作逻辑与视觉美观，设计风格简洁大气、易于使用，减少使用单位的适应时间。</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2.3 技术路线与部署要求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为确保本项目软件能在一段时间内保持其整体先进性、稳定性及可扩展性的要求，在进行系统设计时，采用微服务技术架构。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部署架构需要以项目需求为导向，在满足基础网络安全、信息安全基础上，明确部署基层治理信息系统所需的硬件资源种类、数量、网络环境，包括但不限于服务器、数据库、存储设备等硬件资源，以及确保系统稳定运行所需的网络线路、安全设备等。</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2.4应用支撑平台</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用支撑平台是支撑"斥候"二期系统及各执行业务场景运行的基础服务设施，为上层业务应用提供统一的身份认证、权限管控与服务治理能力，有效减少重复开发、提升系统复用性。平台主要包括统一用户管理和统一服务管理两部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（1）统一用户管理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统一用户管理建立连云港市中级人民法院统一的用户管理体系，实现多个部门、不同层级、不同应用间用户身份信息的统一维护与授权认证管理，支持用户身份全生命周期管理，实现"一次认证、多应用通行"。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①角色管理：提供角色基本信息的新增、修改、删除、检索和授权等功能，支持角色自定义及权限分配，实现最小权限管控。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②人员管理：提供人员基本信息的新增、修改、删除、检索和授权等功能，支持人员账号全生命周期管理，账号状态实时可控。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③登录验证：基于统一用户管理体系提供登录、登出、密码验证和权限认证等功能，提供统一服务接口便于各应用集成，支持密码复杂度校验与登录失败锁定策略。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（2）统一服务管理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统一服务管理通过服务管理、日志管理、业务监控、远程监控等能力建设，实现对各类离散服务的统一管理和监控，实现服务统一注册、监控与治理，服务运行状态实时可视。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①服务治理：提供服务网关的管理以及各种能力引擎的注册、监控、日志等功能，支持服务注册发现、调用监控与日志留痕，异常服务可告警。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②服务网关：以标准服务方式统一对外发布接口服务及应用服务，通过安全认证、流量控制、负载均衡等多种措施保障服务的可用性和可靠性，接口调用全链路日志留痕。</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2.5司法数据仓库/统一数据资源池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司法数据仓库是"斥候"二期系统的数据底座与核心支撑平台，通过对法院内部数据、外部共享数据、社会公共数据及互联网可信数据进行统一汇聚、清洗、治理、标签化与标准化存储，形成覆盖全市法院执行工作的数据资源体系，从根本上解决执行工作中长期存在的数据分散、口径不一、调取困难、使用低效等突出问题。数据仓库主要包括司法数据集成、司法数据资产管理和数据共享交换三部分，依据 GB/T 36073-2018、GB/T 34960.5-2018、GB/T 35274-2023 等标准建设。</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（1）司法数据集成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提供离线数据集成工具，支持结构化、半结构化及非结构化多源异构数据的统一接入、转换与装载，支持全量、增量两种集成模式，实现跨部门、跨委办局数据的汇聚与标准化处理。数据集成对接不少于15家政务单位和企业单位的数据接口或库表，集成结构化数据落库条目不少于10亿条，数据库表不少于100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（2）司法数据资产管理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司法数据资产管理包含数据资源目录、数据共享交换、数据资产可视化等功能，参照 GB/T 40685-2021 实现数据资产的全生命周期管理，基于集成完成的数据开展数据清洗、分类、归纳，完成数据表、文件的全量梳理编目。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数据资源目录：包含数据资源门户、资源目录管理、数据资源管理等功能，实现数据资源的统一编目、发布与检索。按统一元数据标准完成数据资源全量编目，编目覆盖全部已接入数据表与文件，支持目录分级授权与多维度检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数据资</w:t>
      </w:r>
      <w:r>
        <w:rPr>
          <w:rFonts w:hint="eastAsia" w:ascii="宋体" w:hAnsi="宋体" w:eastAsia="宋体" w:cs="宋体"/>
          <w:bCs/>
          <w:sz w:val="24"/>
          <w:szCs w:val="24"/>
        </w:rPr>
        <w:t xml:space="preserve">源门户：包含资源目录检索、资源目录共享等功能，面向业务用户提供统一的数据资源入口，支持按目录导航、关键词、多维条件等组合检索，常规检索响应时间不超过3秒。其中资源检索支持关键词、标签、数据类型、更新时间等多维组合检索，检索结果支持排序、筛选与导出；资源共享通过标准化 API 服务对外共享数据表和文件资源，支持接口鉴权、限流与调用统计，调用日志全程留痕，具备权限校验与访问审计能力；个人工作台提供数据申请、审批、使用跟踪的一体化入口，支持数据资源申请、审批、授权、回收的全流程管理，审批流程可配置、全过程可追踪。</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资源目录管理：包含资源目录树管理、资源目录节点管理等功能，支持多层级目录体系的自定义配置，支持目录节点的新增、修改、删除、排序、迁移等全生命周期管理，目录层级支持不少于3级。支持数据标签类型与数据标签的自定义管理，可依据 GB/T 43697-2024《数据安全技术 数据分类分级规则》开展数据分类分级，支持标签自定义与批量打标。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资源管理：包含数据资源维护、数据目录关联、数据资源授权等功能，实现数据表与文件资源的统一维护、目录关联与授权管理，操作全程留痕、可追溯。支持数据表、文件的新增、修改、删除、发布、变更、下架等全生命周期管理及版本管理；支持跨目录树关联实现"一表多目录复用、一处维护多处引用"；支持表级、文件级访问授权，授权审批全流程留痕、权限变更可审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②数据共享交换：提供以数据库、文件、API 服务等多种方式获取外部数据或对外共享数据的功能，实现内外部数据的双向交换与共享，交换过程具备完整性校验与日志审计，交换数据安全符合 GB/T 39477-2020 及 GB/T 41479-2022 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数据交换服务：提供数据库导入导出数据、文件导入等方式交换数据，支持批量数据交换作业调度，具备异常重试与执行状态监控能力，支持定时、手动两种调度方式；支持 CSV 等常见格式文件导入与批量校验，覆盖主流关系型数据库库表数据的全量、增量导入导出，导出操作留痕可审计。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文件交换服务：支持文件上传下载服务，实现跨部门文件的可靠传输，支持大文件分片上传与断点续传，保障文件传输的完整性与可靠性。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数据源管理：支持 MySQL、SQLServer、PostgreSQL、MongoDB、Oracle 等主流数据库的数据源配置管理，实现异构数据源的统一注册、连接管理与状态监控，支持不少于3类主流数据库的数据源接入，连接参数加密存储。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数据资产可视化：以全局视角对数据接入、校验、清洗、服务等全过程信息进行提取和汇总，动态展现整体或局部数据资源情况。提供数据接入可视化，动态展示已接入数据总量、日增量、月增量、同比、环比、数据分类等信息；提供数据清洗可视化，动态展示批量和实时清洗任务执行情况，异常任务可告警提示；提供数据治理可视化，依据 GB/T 34960.5-2018 展示数据治理全过程关键指标；提供数据服务可视化，展示数据共享服务统计、库表导入导出服务统计、数据订阅服务统计等对外开放数据服务的使用情况。</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2.6统一应用平台设计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统一应用平台是面向法院干警、管理人员、技术运维人员打造的一站式工作入口</w:t>
      </w:r>
      <w:r>
        <w:rPr>
          <w:rFonts w:hint="eastAsia" w:ascii="宋体" w:hAnsi="宋体" w:eastAsia="宋体" w:cs="宋体"/>
          <w:bCs/>
          <w:sz w:val="24"/>
          <w:szCs w:val="24"/>
        </w:rPr>
        <w:t xml:space="preserve">平台，有效解决传统执行系统入口分散、操作繁琐、权限混乱、数据不通等现实问题。平台集成查人送达指引、财产关联分析、企业信用评估、执行风险评估、终本案件辅助管理、调查取证辅助、指挥调度等智能应用，提供统一登录、统一待办、统一消息提醒与统一权限管理。其中指挥调度实现上下级法院业务协同，支持中院向下级法院下发任务、核查指令与涉案线索，下级反馈处置进展，实现任务督办、跨院线索流转，完整记录协同处置全过程。统一数据资源池与统一应用平台共同构成本项目一体化架构，为后续各智能执行场景提供稳定、高效、安全、可扩展的底层支撑。</w:t>
      </w:r>
      <w:r/>
    </w:p>
    <w:p>
      <w:pPr>
        <w:ind w:firstLine="480"/>
        <w:spacing w:line="360" w:lineRule="auto"/>
        <w:rPr>
          <w:rFonts w:hint="eastAsia"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综合态势监测大屏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态势监测大屏作为统一应用平台的可视化展示模块，面向法院管理决策人员，依托统一数据资源池汇聚的多源执行业务数据，采用图表、统计看板等可视化形式完成执行业务关键指标、数据资源情况、场景应用运行状态的直观可视化展示，支撑管理人员宏观掌握全市法院执行工作态势，大屏不改变原有业务系</w:t>
      </w:r>
      <w:r>
        <w:rPr>
          <w:rFonts w:hint="eastAsia" w:ascii="宋体" w:hAnsi="宋体" w:eastAsia="宋体" w:cs="宋体"/>
          <w:bCs/>
          <w:sz w:val="24"/>
          <w:szCs w:val="24"/>
        </w:rPr>
        <w:t xml:space="preserve">统业务逻辑，仅做信息聚合直观展示，可对案件总量、终本案件数量、财产线索发现数量、送达指引应用次数等核心执行业务指标统计展示，支持按法院单位、时间维度筛选查看，直观反映各单位执行业务工作开展总体情况，同时可视化展示已接入数据源数量、接口调用统计情况，直观掌握司法数据资源池的数据接入、治理等，便于运维人员及时发现平台运行问题。该大屏与统一应用平台身份体系、权限体系深度打通，作为平台的可视化能力组件和六大业务场景功能联动，大屏展示的数据全部来源于司法数据仓库，不新增独立的数据存储，保障数据口径和业务系统保持一致。</w:t>
      </w:r>
      <w:r/>
    </w:p>
    <w:p>
      <w:pPr>
        <w:ind w:firstLine="480"/>
        <w:spacing w:line="360" w:lineRule="auto"/>
        <w:rPr>
          <w:rFonts w:hint="eastAsia" w:ascii="宋体" w:hAnsi="宋体" w:eastAsia="宋体" w:cs="宋体"/>
          <w:b/>
          <w:sz w:val="24"/>
          <w:szCs w:val="24"/>
          <w:highlight w:val="green"/>
          <w:lang w:val="en-US" w:eastAsia="zh-CN"/>
        </w:rPr>
      </w:pPr>
      <w:r>
        <w:rPr>
          <w:rFonts w:hint="eastAsia"/>
        </w:rPr>
        <w:t xml:space="preserve">▲</w:t>
      </w: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六大业务场景功能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面向执行办案核心场景，围绕"查人送达、财产关联、企业信用评估、执行风险研判、辅助终本案件、调查取证"六大场景构建智能应用能力，为执行工作提供数据与算法支撑。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（1）查人送达指引系统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强制执行拘传是破解"查人找物"难题的核心突破口，司法辅助送达是提升审判质效的基础环节。本场景依托统一数据资源池汇聚的政务、社会等多类数据源，通过智能算法对涉案当事人地址进行校验、修正与归集，生成被查找人有效地址序列；依据失联状态与地址有效性，智能推荐直接送达、电子送达、邮寄送达等最优送达路径，精准识别涉案当事人实际居所，辅助精准执行，提升法律文书送达成功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（2）财产关联分析系统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规避执行往往伴随复杂的财产转移与代持行为。本场景旨在通过智能算法对被执行人近亲属、企业股东、实际控制人、交易往来主体等关联主体进行穿透分析，生成可视化关联图谱，筛查隐匿财产、异常财产变动及规避执行线索；对被执行人及其关联主体名下不动产、车辆、股权等财产线索做统一归集，输出标准化财产核查清单，实现"一次申请、多源财产线索归集"，支持多案件、多被执行人批量筛查，线索结果可直接供办案人员线下核实使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（3）企业信用评估系统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以统一数据资源池为底座，基于涉案企业涉诉、财产、经营、纳税、用工、信用等多维数据，构建涉案企业"一户一档"画像，辅助研判空壳、歇业、经营困难、正常经营等企业状态，输出企业信用与偿债能力评估；针对不同状态提示差异化执行措施，辅助核验担保人资质与担保物权属、抵押查封、重复担保等权利瑕疵，为反担保解封等延伸司法职能的应用提供数据支撑。系统对被执行企业进行动态分级分类评估，评估结果随外部数据动态刷新，定制化推送执行智能提示，支撑善意执行提示与担保风险核验，评估报告可导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（4）执行风险评估系统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强制清场是执行工作中最容易引发突发事件与涉执信访的高风险环节。本场景基于多类数据源，通过智能算法识别高龄、重病等特殊人群，对待拘传人开展行为风险研判，输出拘传出警风险提示，对被清场对象的人身健康、行为风险等进行评估研判，输出清场风险分级与应急处置参考建议，释明清场利弊及注意事项，制定个性化、善意文明的拘传清场布控方案，最大限度降低执法风险，辅助督促被执行人主动履行。风险分级覆盖高、中、低三级，覆盖拘传、腾退清场等场景的风险分级研判。评估报告可导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（5）终本案件辅助管理系统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对终本案件开展动态监控，监测被执行人新增财产、企业恢复经营、新增可供执行线索并主动增补，线索预警可自动推送；归集终本案件的数据核查过程、线索情况、风险情况，形成终本案件智能档案；分析终本案件财产线索发现率、程序完备度，输出质量分析视图。通过程序要件辅助校验与新增财产线索主动增补，提升终本案件的动态管理与后续恢复执行能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（6）调查取证辅助系统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利用汇集的跨部门数据，对当事人提交的转账凭证、财产证明、居住证明、亲属关系证明、交易合同等书面及电子证据进行大数据交叉比对，辅助识别证据虚假、变造、过期、内容不一致等问题；通过多源数据分析并补足财产变动时间线、交易往来轨迹、身份关系、经营存续状态等情况，夯实案件事实认定。覆盖财产类、身份关系类、交易类核心办案证据的数据核验支撑，输出证据核验线索与事实补强材料，辅助夯实证据链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（7）安全保障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从网络安全、数据安全、应用安全、运维安全等维度系统性保护数据的保密性、完整性与可用性，满足系统安全合规运行要求。系统建设符合 GB/T 22239-2019、GB/T 35273-2020 及 GB/T 41479-2022 相关要求，建立数据分级分类与访问控制机制，安全事件可追溯。</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人工智能模型微调与测试优化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面向查人找物等执行业</w:t>
      </w:r>
      <w:r>
        <w:rPr>
          <w:rFonts w:hint="eastAsia" w:ascii="宋体" w:hAnsi="宋体" w:eastAsia="宋体" w:cs="宋体"/>
          <w:bCs/>
          <w:sz w:val="24"/>
          <w:szCs w:val="24"/>
        </w:rPr>
        <w:t xml:space="preserve">务场景，需提供人工智能赋能应用能力，实现基于人工智能的问答、智能分析业务功能，依托大模型能力对接平台执行业务数据、业务知识库，面向办案人员提供自然语言交互的问答服务，支持对案件材料、平台业务数据进行智能问答查询，可针对被执行人线索、财产关联信息、案件材料内容开展要素抽取、问题研判分析，辅助办案人员快速梳理案件关键信息、输出分析参考意见；在此基础上构建测试与训练数据集，开展模型评估、数据标注与训练优化，持续提升智能模型的业务适配能力与效果，形成覆盖查人找物场景的测试集与训练数据集，建立模型评估与迭代优化机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模型评估与分析：构建测试集，对基础模型在支撑查人找物具体业务方面的准确率、召回率、响应时间等指标进行测试，形成模型评估报告。构建业务测试样本不少于1万条，覆盖查人找物相关场景；搭建业务相关知识库，收录有效向量数不少于2万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（2）数据标注：收集足量的司法场景相关数据，进行标注和整理，形成适合模型优化的训练数据集，完成业务相关标注数据不少于2万条，含实体、关系、意图多维度标注。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模型训练与优化：对智能模型进行优化训练，调整模型参数和超参数，优化模型网络结构，使其更好适应司法场景的数据特点和业务需求；建立模型版本管理与效果对比机制，形成可持续迭代优化的训练流程，支持模型多版本并存与一键回退，模型迭代过程留痕可追溯。</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10</w:t>
      </w:r>
      <w:r>
        <w:rPr>
          <w:rFonts w:hint="eastAsia" w:ascii="宋体" w:hAnsi="宋体" w:eastAsia="宋体" w:cs="宋体"/>
          <w:b/>
          <w:sz w:val="24"/>
          <w:szCs w:val="24"/>
        </w:rPr>
        <w:t xml:space="preserve">数据处理和存储系统设计</w:t>
      </w:r>
      <w:bookmarkStart w:id="30" w:name="_GoBack"/>
      <w:r/>
      <w:bookmarkEnd w:id="30"/>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高效性：适配法院“查人找物”等核心业务的实时数据处理需求，支持多源异构司法数据的快速采集、清洗与转换，满足执行干警在拘传、财产查控、清场等场景下的实时数据需求，提升系统整体业务支撑性能。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可靠性：契合司法数据的严肃性和重要性要求，建立多层级数据安全保障机制，保证数据在传输、存储、处理过程中的保密性、完整性和不可篡改，防止数据丢失、损坏或泄露，确保所有司法数据可追溯、可核查，符合司法工作规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可扩展性：系统架构采用松耦合设计，支持横向和纵向扩展，可根据连云港市法院系统业务量增长、数据来源拓展（如新增政务数据、社会数据对接）需求，灵活增加硬件节点、扩展数据处理能力和存储容量。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易用性：简化数据管理和维护操作流程，提供可视化的运维管理界面，降低技术人员的学习和操作成本；同时统一数据访问接口，便于业务系统快速对接，减少开发适配工作量。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合规性：严格遵循《人民法院数据安全管理办法》《网络安全法》《数据安全法》等法律法规要求，数据处理和存储全流程符合司法数据分级分类管理标准，满足等保三级及司法行业数据安全规范。</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11</w:t>
      </w:r>
      <w:r>
        <w:rPr>
          <w:rFonts w:hint="eastAsia" w:ascii="宋体" w:hAnsi="宋体" w:eastAsia="宋体" w:cs="宋体"/>
          <w:b/>
          <w:sz w:val="24"/>
          <w:szCs w:val="24"/>
        </w:rPr>
        <w:t xml:space="preserve">网络安全与数据共享</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遵循《网络安全法》、《信息安全技术网络安全等级保护基本要求》、《连云港市政务信息化项目建设网络安全管理规定〉实施指南（试行）》等法律法规及相关要求，构建全方位、多层次的统一安全防护体系，实现对“斥候”系统从网络边界到数据核心的全链路保护，确保在引入互联网及政务外网多源数据的情况下，法院核心内网及敏感司法数据的绝对安全，实现“合规可控、安全稳定”的安全目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共享方面，通过标准化的目录编制，明确共享数据的来源、内容、共享规则与更新要求，为跨部门、跨机构数据共享提供统一依据。编制严格遵循《人民法院数据共享管理办法》《政务数据共享开放条例》等相关规定，结合连云港市中级人民法院“斥候”系统二期业务需求，形成规范的数据资源目录。</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3.需求清单</w:t>
      </w:r>
      <w:r/>
    </w:p>
    <w:tbl>
      <w:tblPr>
        <w:tblStyle w:val="857"/>
        <w:tblW w:w="8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66"/>
        <w:gridCol w:w="3148"/>
        <w:gridCol w:w="2758"/>
      </w:tblGrid>
      <w:tr>
        <w:trPr>
          <w:trHeight w:val="540"/>
        </w:trPr>
        <w:tc>
          <w:tcPr>
            <w:tcW w:w="704"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序号</w:t>
            </w:r>
            <w:r/>
          </w:p>
        </w:tc>
        <w:tc>
          <w:tcPr>
            <w:tcW w:w="1866"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细目名称</w:t>
            </w:r>
            <w:r/>
          </w:p>
        </w:tc>
        <w:tc>
          <w:tcPr>
            <w:tcW w:w="3148"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功能描述</w:t>
            </w:r>
            <w:r/>
          </w:p>
        </w:tc>
        <w:tc>
          <w:tcPr>
            <w:tcW w:w="2758"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技术标准</w:t>
            </w:r>
            <w:r/>
          </w:p>
        </w:tc>
      </w:tr>
      <w:tr>
        <w:trPr>
          <w:trHeight w:val="196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一</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司法数据仓库</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设司法数据仓库，夯实大数据平台基础能力，进一步整合连云港市两级法院数据资源，充分共享其他部门及委办局数据，以执行局业务需求驱动数据治理，建立统一数据标准与元数据规范，形成高质量的数据资产，提供统一的数据共享服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依据GB/T36073-2018《数据管理能力成熟度评估模型》、GB/T 34960.5-2018《信息技术服务治理第5部分：数据治理规范》、GB/T 35274-2023《数据安全技术大数据服务安全能力要求》等标准建设；形成统一数据标准、元数据与数据治理体系，支撑多源数据汇聚与数据资产化沉淀。</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司法数据集成</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仓库提供的离线数据集成工具实施司法数据集成。支持结构化、半结构化及非结构化多源异构数据的统一接入、转换与装载，支持全量、增量两种集成模式，实现跨部门、跨委办局数据的汇聚与标准化处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对接不少于15家政务单位和企业单位的数据接口或库表，集成结构化数据落库条目不少于10亿条，数据库表不少于100张。</w:t>
            </w:r>
            <w:r/>
          </w:p>
        </w:tc>
      </w:tr>
      <w:tr>
        <w:trPr>
          <w:trHeight w:val="108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司法数据资产管理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司法数据资产管理包含数据资源目录、数据共享交换、数据资产可视化等功能，参照GB/T 40685-2021《信息技术服务数据资产管理要求》实现数据资产的全生命周期管理。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基于集成完成的数据，进行数据清洗、分类、归纳，完成数据表、文件全量梳理编目。</w:t>
            </w:r>
            <w:r/>
          </w:p>
        </w:tc>
      </w:tr>
      <w:tr>
        <w:trPr>
          <w:trHeight w:val="9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数据资源目录包含数据资源门户、资源目录管理、数据资源管理等功能，实现数据资源的统一编目、发布与检索。</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按统一元数据标准完成数据资源全量编目，编目覆盖全部已接入数据表与文件；支持目录分级授权与多维度检索。</w:t>
            </w:r>
            <w:r/>
          </w:p>
        </w:tc>
      </w:tr>
      <w:tr>
        <w:trPr>
          <w:trHeight w:val="9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数据资源门户包含资源目录检索、资源目录共享等功能，面向业务用户提供统一的数据资源入口。</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支持按目录导航、关键词、多维条件等组合检索，常规检索响应时间不超过3秒；检索支持多字段组合与模糊匹配。</w:t>
            </w:r>
            <w:r/>
          </w:p>
        </w:tc>
      </w:tr>
      <w:tr>
        <w:trPr>
          <w:trHeight w:val="94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资源检索</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按目录导航或多维条件检索方式发现和定位数据资源，支持关键词、标签、数据类型、更新时间等多维组合检索。</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支持模糊检索与精确检索，检索结果支持排序、筛选与导出；常规检索响应时间不超过3秒。</w:t>
            </w:r>
            <w:r/>
          </w:p>
        </w:tc>
      </w:tr>
      <w:tr>
        <w:trPr>
          <w:trHeight w:val="67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资源共享-数据表</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通过标准化API服务对外共享数据表资源，支持接口鉴权、限流与调用统计。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支持RESTfulAPI方式发布数据表，接口鉴权与调用频次可控，调用日志全程留痕。</w:t>
            </w:r>
            <w:r/>
          </w:p>
        </w:tc>
      </w:tr>
      <w:tr>
        <w:trPr>
          <w:trHeight w:val="8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资源共享-文件</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通过标准化API服务对外共享文件资源，支持文件检索、下载与权限控制。</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支持文件资源API化共享，具备权限校验与访问审计能力。</w:t>
            </w:r>
            <w:r/>
          </w:p>
        </w:tc>
      </w:tr>
      <w:tr>
        <w:trPr>
          <w:trHeight w:val="68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个人工作台</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提供数据申请、审批、使用跟踪的一体化个人工作台，支持数据资源申请、审批、授权、回收的全流程管理。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支持申请、审批、授权、回收全流程线上留痕，审批流程可配置；审批全过程可追踪。</w:t>
            </w:r>
            <w:r/>
          </w:p>
        </w:tc>
      </w:tr>
      <w:tr>
        <w:trPr>
          <w:trHeight w:val="79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资源目录管理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包含资源目录树管理、资源目录节点管理等功能，支持多层级目录体系的自定义配置。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支持多级目录树自定义配置，目录层级可按业务域灵活扩展，目录层级支持不少于3级。</w:t>
            </w:r>
            <w:r/>
          </w:p>
        </w:tc>
      </w:tr>
      <w:tr>
        <w:trPr>
          <w:trHeight w:val="6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提供目录节点的新增、修改、删除、排序、迁移等自定义管理。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支持目录节点全生命周期管理，操作留痕可追溯。</w:t>
            </w:r>
            <w:r/>
          </w:p>
        </w:tc>
      </w:tr>
      <w:tr>
        <w:trPr>
          <w:trHeight w:val="77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目录树</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提供目录树的构建、调整、合并、拆分等自定义管理。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支持多级目录树灵活调整，适应业务分类变化。</w:t>
            </w:r>
            <w:r/>
          </w:p>
        </w:tc>
      </w:tr>
      <w:tr>
        <w:trPr>
          <w:trHeight w:val="11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标签类型</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支持数据标签类型的自定义管理，可按业务域、安全分级、数据来源等维度灵活配置。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43697-2024《数据安全技术数据分类分级规则》开展数据分类分级；支持标签类型自定义扩展，满足多维数据分类需求。</w:t>
            </w:r>
            <w:r/>
          </w:p>
        </w:tc>
      </w:tr>
      <w:tr>
        <w:trPr>
          <w:trHeight w:val="8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标签</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支持数据标签的自定义管理，可定义数据分级分类、敏感程度等标签。</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43697-2024《数据安全技术数据分类分级规则》设置数据分级分类标签；支持标签自定义与批量打标。</w:t>
            </w:r>
            <w:r/>
          </w:p>
        </w:tc>
      </w:tr>
      <w:tr>
        <w:trPr>
          <w:trHeight w:val="84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包含数据资源维护、数据目录关联、数据资源授权等功能，实现数据表与文件资源的统一维护、目录关联与授权管理。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参照GB/T 40685-2021《信息技术服务数据资产管理要求》开展数据资源全生命周期管理，操作全程留痕、可追溯。</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数据表维护</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数据资源的新增、修改、删除、发布、变更、下架等操作。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支持数据表全生命周期管理及版本管理，变更过程留痕。</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关联数据表目录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对已发布的数据资源通过关联目录申请实现跨目录树关联数据资源。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支持数据表跨目录关联，实现一表多目录复用。</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授权数据表访问用户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支持数据资源访问权限在线申请、审批、回收等操作。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支持表级访问授权，授权审批全流程留痕，权限变更可审计。</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文件夹维护</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文件资源的新增、修改、删除、发布、变更、下架等操作。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支持文件资源全生命周期管理，操作留痕可追溯。</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⑤</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关联文件夹目录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对已发布的文件资源通过关联目录申请实现跨目录树关联数据资源。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支持文件资源跨目录关联，实现一处维护、多处引用。</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⑥</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授权文件夹访问用户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支持文件资源访问权限在线申请、审批、回收等操作。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支持文件级访问授权与下载权限控制，授权审批留痕，下载操作可审计。</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数据共享交换</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提供以数据库、文件、API服务等多种方式获取外部数据或对外共享数据的功能，实现内外部数据的双向交换与共享。</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支持数据库、文件、API服务等多种交换方式，交换过程具备完整性校验与日志审计；交换数据安全符合GB/T 39477-2020《信息安全技术 政务信息共享 数据安全技术要求》及GB/T 41479-2022《信息安全技术 网络数据处理安全要求》。</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数据交换服务</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提供数据库导入导出数据、文件导入等方式交换数据。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支持批量数据交换作业调度，具备异常重试与执行状态监控能力；支持定时、手动两种调度方式。</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文件导入</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支持自定义文件导入数据作业，通过CSV文件导入数据。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支持批量文件导入及数据校验；支持CSV等常见格式文件导入，单批次导入记录数满足业务规模要求。</w:t>
            </w:r>
            <w:r/>
          </w:p>
        </w:tc>
      </w:tr>
      <w:tr>
        <w:trPr>
          <w:trHeight w:val="76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库表导入</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支持自定义库表导入数据作业，覆盖主流关系型数据库库表数据导入。</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支持全量、增量两种导入模式，导入作业可配置调度。</w:t>
            </w:r>
            <w:r/>
          </w:p>
        </w:tc>
      </w:tr>
      <w:tr>
        <w:trPr>
          <w:trHeight w:val="6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库表导出</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支持自定义库表导出数据作业。</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支持按条件、按字段选择性导出，导出文件支持多种格式，导出操作留痕可审计。</w:t>
            </w:r>
            <w:r/>
          </w:p>
        </w:tc>
      </w:tr>
      <w:tr>
        <w:trPr>
          <w:trHeight w:val="5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文件交换服务</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支持文件上传下载服务，实现跨部门文件的可靠传输。</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保障文件传输的完整性与可靠性，传输过程可追溯。</w:t>
            </w:r>
            <w:r/>
          </w:p>
        </w:tc>
      </w:tr>
      <w:tr>
        <w:trPr>
          <w:trHeight w:val="6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文件上传</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支持文件上传服务，覆盖多格式文件的批量上传。</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支持上传完整性校验，保障数据不缺失；支持大文件分片上传与断点续传。</w:t>
            </w:r>
            <w:r/>
          </w:p>
        </w:tc>
      </w:tr>
      <w:tr>
        <w:trPr>
          <w:trHeight w:val="6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文件下载</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支持文件下载服务。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支持下载权限校验与操作审计。</w:t>
            </w:r>
            <w:r/>
          </w:p>
        </w:tc>
      </w:tr>
      <w:tr>
        <w:trPr>
          <w:trHeight w:val="1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数据源管理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支持包含MySQL、SQLServer、PostgreSQL、MongoDB、Oracle等主流数据库在内的数据源配置管理，实现异构数据源的统一注册、连接管理与状态监控。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支持不少于3类主流数据库的数据源接入，连接状态实时监控，连接参数加密存储。</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数据资产可视化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以全局视角对数据接入、校验、清洗、服务等全过程的信息进行提取和汇总，能够动态展现整体或局部数据资源情况。</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以图表形式动态呈现数据资产全貌，支持整体与局部视角切换。</w:t>
            </w:r>
            <w:r/>
          </w:p>
        </w:tc>
      </w:tr>
      <w:tr>
        <w:trPr>
          <w:trHeight w:val="118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数据接入可视化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动态展示已经接入的数据总量、日增量、月增量、同比、环比、数据分类等信息。</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支持接入量趋势、来源分布等指标动态展示，数据看板定时刷新，刷新频率可配置。</w:t>
            </w:r>
            <w:r/>
          </w:p>
        </w:tc>
      </w:tr>
      <w:tr>
        <w:trPr>
          <w:trHeight w:val="99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数据清洗可视化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动态展示批量和实时清洗任务执行情况。</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展示清洗任务执行进度与成功失败统计，异常任务可告警提示。</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数据治理可视化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提供资源目录、维护和查询统计、接口调用服务、权限管理、主题配置、模型使用情况等数据治理全过程信息。</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34960.5-2018《信息技术服务 治理 第5部分：数据治理规范》展示数据治理全过程关键指标，支撑治理成效评估。</w:t>
            </w:r>
            <w:r/>
          </w:p>
        </w:tc>
      </w:tr>
      <w:tr>
        <w:trPr>
          <w:trHeight w:val="1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⑤</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数据服务可视化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提供数据共享服务统计、库表导入导出服务统计、数据订阅服务统计以及服务的用户对象统计分析等对外开放的数据服务使用情况的综合可视化展示。</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展示服务调用量、调用对象等统计信息，支撑服务运营分析。</w:t>
            </w:r>
            <w:r/>
          </w:p>
        </w:tc>
      </w:tr>
      <w:tr>
        <w:trPr>
          <w:trHeight w:val="13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二</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应用支撑平台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应用支撑平台建设包含统一用户管理、统一服务管理等，为上层业务应用提供统一的身份认证、权限管控与服务治理支撑。</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遵循统一身份认证与服务治理相关标准，支撑多应用统一接入与集中管控；系统支持用户账户规模不少于100个，支撑在线用户日常并发使用。</w:t>
            </w:r>
            <w:r/>
          </w:p>
        </w:tc>
      </w:tr>
      <w:tr>
        <w:trPr>
          <w:trHeight w:val="12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统一用户管理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建立统一的用户管理体系，实现多个部门、不同层级、不同应用间用户身份信息的统一维护和授权认证管理。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支持用户身份全生命周期管理，实现一次认证、多应用通行；支持用户账户规模不少于100个。</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部门管理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提供部门基本信息的新增、修改、删除、检索和授权等功能。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支持多级部门树维护，部门信息变更实时同步。</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岗位管理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提供岗位基本信息的新增、修改、删除、检索和授权等功能。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支持岗位自定义配置，岗位与权限灵活关联。</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角色管理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提供角色基本信息的新增、修改、删除、检索和授权等功能。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支持角色自定义及权限分配，实现最小权限管控。</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人员管理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提供人员基本信息的新增、修改、删除、检索和授权等功能。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支持人员账号全生命周期管理，账号状态实时可控。</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登录验证</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基于统一用户管理体系提供登录、登出、密码验证和权限认证等功能，提供统一服务接口便于各应用集成。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支持统一身份认证，提供标准认证接口供各应用集成；支持密码复杂度校验与登录失败锁定策略。</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统一服务管理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通过服务管理、日志管理、业务监控、远程监控等能力的建设，实现对各类离散服务的统一管理和监控。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实现服务统一注册、监控与治理，服务运行状态实时可视。</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服务治理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提供服务网关的管理以及各种能力引擎的注册、监控、日志等功能。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支持服务注册发现、调用监控与日志留痕，异常服务可告警。</w:t>
            </w:r>
            <w:r/>
          </w:p>
        </w:tc>
      </w:tr>
      <w:tr>
        <w:trPr>
          <w:trHeight w:val="51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服务网关</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以标准服务方式统一对外发布接口服务及应用服务。在服务的过程中，通过安全认证、流量控制、负载均衡等多种措施保障服务的可用性和可靠性。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支持API鉴权、限流、熔断与负载均衡，保障服务高可用；接口调用全链路日志留痕。</w:t>
            </w:r>
            <w:r/>
          </w:p>
        </w:tc>
      </w:tr>
      <w:tr>
        <w:trPr>
          <w:trHeight w:val="18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三</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业务系统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面向执行办案核心场景，建设送达拘传指引、财产关联人查找、执行风险研判、企业信用评估、终本案件辅助管理、调查取证辅助等智能应用，为执行工作提供数据与算法支撑。</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系统功能上围绕查人送达、财产关联、企业信用评估、执行风险研判、辅助终本案件、调查取证六大场景建设智能应用能力，支撑执行大数据中心二期场景落地，系统性能上满足多用户并发流畅使用。</w:t>
            </w:r>
            <w:r/>
          </w:p>
        </w:tc>
      </w:tr>
      <w:tr>
        <w:trPr>
          <w:trHeight w:val="12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查人送达指引系统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政务、社会等多类数据源，通过智能算法对涉案当事人地址进行校验、修正与归集，生成被查找人有效地址序列，并依据失联状态、地址有效性智能推荐直接送达、电子送达、邮寄送达等最优送达路径，辅助精准拘传。</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实现地址智能核验与联系方式多源归集；输出有效地址候选集并支持导出；支撑送达方案智能推荐、拘传场景行为风险分级研判与出警风险提示；地址核验覆盖执行业务主要场景。</w:t>
            </w:r>
            <w:r/>
          </w:p>
        </w:tc>
      </w:tr>
      <w:tr>
        <w:trPr>
          <w:trHeight w:val="198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财产关联分析系统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多类数据源，通过智能算法对被执行人近亲属、企业股东、实际控制人、交易往来主体等关联主体进行穿透分析，生成可视化关联图谱，筛查隐匿财产、异常财产变动及规避执行线索，对被执行人及其关联主体名下不动产、车辆、股权等财产线索做统一归集，输出标准化财产核查清单。</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关联关系穿透分析与隐匿财产线索筛查；输出关联图谱与财产核查清单；支持多案件、多被执行人批量筛查，统一异构数据，实现“一次申请，多源财产线索归集”，线索结果可直接供办案人员线下核实使用。</w:t>
            </w:r>
            <w:r/>
          </w:p>
        </w:tc>
      </w:tr>
      <w:tr>
        <w:trPr>
          <w:trHeight w:val="21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企业信用评估系统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涉案企业涉诉、财产、经营、纳税、用工、信用等多维数据，构建涉案企业一户一档画像，辅助研判空壳、歇业、经营困难、正常经营等企业状态，输出企业信用与偿债能力评估，针对不同状态提示差异化执行措施，辅助核验担保人资质与担保物权属、抵押查封、重复担保等权利瑕疵。对被执行企业进行动态分级分类评估，定制化推送执行智能提示。</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形成涉案企业一户一档；企业状态辅助分级研判，评估结果随外部数据动态刷新；支撑善意执行提示与担保风险核验，评估报告可导出。</w:t>
            </w:r>
            <w:r/>
          </w:p>
        </w:tc>
      </w:tr>
      <w:tr>
        <w:trPr>
          <w:trHeight w:val="21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执行风险评估系统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基于多类数据源，通过智能算法对被拘传、被清场对象的人身健康、行为风险等进行评估研判，输出拘传、清场风险分级与应急处置参考建议，释明清场利弊及注意事项，辅助督促被执行人主动履行。</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覆盖拘传、腾退清场等场景的风险分级研判；识别高龄、重病等特殊人群并输出安全风险评估与处置建议；风险分级覆盖高、中、低三级。</w:t>
            </w:r>
            <w:r/>
          </w:p>
        </w:tc>
      </w:tr>
      <w:tr>
        <w:trPr>
          <w:trHeight w:val="19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终本案件辅助管理系统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终本案件开展动态监控，监测被执行人新增财产、企业恢复经营、新增可供执行线索并主动增补，线索预警可自动推送；归集终本案件的数据核查过程、线索情况、风险情况，形成终本案件智能档案；分析终本案件财产线索发现率、程序完备度，输出质量分析视图。</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实现终本案件程序要件辅助校验与新增财产线索主动增补，输出终本案件质量分析视图。</w:t>
            </w:r>
            <w:r/>
          </w:p>
        </w:tc>
      </w:tr>
      <w:tr>
        <w:trPr>
          <w:trHeight w:val="2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调查取证辅助系统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利用汇集的跨部门数据，对当事人提交的转账凭证、财产证明、居住证明、亲属关系证明、交易合同、合同协议等书面及电子证据进行大数据交叉比对，辅助识别证据虚假、变造、过期、内容不一致等问题，通过多源数据分析并补足财产变动时间线、交易往来轨迹、身份关系、经营存续状态等情况，夯实案件事实认定。</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覆盖财产类、身份关系类、交易类核心办案证据的数据核验支撑；输出证据核验线索与事实补强材料，辅助夯实证据链条。</w:t>
            </w:r>
            <w:r/>
          </w:p>
        </w:tc>
      </w:tr>
      <w:tr>
        <w:trPr>
          <w:trHeight w:val="12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安全保障</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从网络安全、数据安全、应用安全、运维安全等维度系统性地保护数据的保密性、完整性与可用性，满足系统安全合规运行要求。</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符合GB/T 22239-2019《信息安全技术 网络安全等级保护基本要求》、GB/T 35273-2020《信息安全技术 个人信息安全规范》及GB/T 41479-2022《信息安全技术 网络数据处理安全要求》相关要求；建立数据分级分类与访问控制机制，安全事件可追溯。</w:t>
            </w:r>
            <w:r/>
          </w:p>
        </w:tc>
      </w:tr>
      <w:tr>
        <w:trPr>
          <w:trHeight w:val="12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四</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模型微调与测试优化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面向查人找物等执行业务场景，构建测试与训练数据集，开展模型评估、数据标注与训练优化，持续提升智能模型的业务适配能力与效果。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形成覆盖查人找物场景的测试集与训练数据集，建立模型评估与迭代优化机制；测试集、训练集、验证集按规范划分。</w:t>
            </w:r>
            <w:r/>
          </w:p>
        </w:tc>
      </w:tr>
      <w:tr>
        <w:trPr>
          <w:trHeight w:val="2277"/>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模型评估与分析</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构建测试集，对基础模型在支撑查人找物具体业务方面的准确率、召回率、响应时间等指标进行测试，形成模型评估报告。</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测试集：构建业务测试样本不少于1万条，覆盖查人找物相关场景；搭建业务相关知识库，收录有效向量数不少于2万条</w:t>
            </w:r>
            <w:r/>
          </w:p>
        </w:tc>
      </w:tr>
      <w:tr>
        <w:trPr>
          <w:trHeight w:val="174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数据标注</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收集足量的司法场景相关数据，进行标注和整理，形成适合模型优化的训练数据集。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数据标注：完成业务相关标注数据不少于2万条，含实体、关系、意图多维度标注</w:t>
            </w:r>
            <w:r/>
          </w:p>
        </w:tc>
      </w:tr>
      <w:tr>
        <w:trPr>
          <w:trHeight w:val="686"/>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模型训练与优化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对智能模型进行优化训练，调整模型的参数和超参数，优化模型的网络结构，使其更好地适应司法场景的数据特点和业务需求，建立模型版本管理与效果对比机制，形成可持续迭代优化的训练流程。</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建立模型版本管理与效果评估机制；模型迭代过程留痕可追溯，效果需满足业务应用要求；支持模型多版本并存与一键回退。</w:t>
            </w:r>
            <w:r/>
          </w:p>
        </w:tc>
      </w:tr>
    </w:tbl>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三、人员配备要求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针对本项目组建技术服务团队，项目组成员不少于3人，包括项目负责人1人，具备信息系统架构设计能力；项目团队成员2人，具备系统开发和信息安全能力。</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项目负责人1名，协调各种资源，对项目整体负责。包括负责制定项目计划、项目的管理、系统架构、质量保证过程，确保客户的成本、进度、绩效和质量目标。</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团队人员2人，为专业技术人员，负责系统开发、系统测试、培训、试运行等，且配合项目管理团队人员完成项目验收工作，处理项目中的信息安全问题，节假日及重大活动期间的平台保障服务。其中包含现场驻场人员1名，负责系统需求、测试与运维。驻场服务已包含在预算金额内，采购人不另行支付。</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四、服务期限</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服务期限：合同签订后90日内完成平台研发及上线测试，并通过验收，验收通过后提供12个月驻场服务。</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五、服务标准</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维护服务期内，提供维护、技术支持及软件升级等售后服务，包括对各种故障及对各种突发事件采取应急措施等。</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在维护期内须提供以下形式的技术支持及服务：</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1.提供7*24小时技术援助电话或电子邮件等线上服务，解答用户在系统使用中遇到的问题，及时提出解决问题的建议和操作方法。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2.应建立故障分级处理机制，对影响业务办理的重大故障应立即升级处理，并持续向采购人反馈处置进展。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3.应定期开展系统巡检、日志检查、接口连通性检查、数据备份检查、性能检查和安全补丁建议，并形成维护服务记录。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4.维护期内因政策调整、材料模板优化、接口字段微调等引起的合理配置调整和缺陷修复，应纳入维护服务范围。</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5.维护期满前，中标人应提交维护总结、版本清单、遗留问题清单、备份恢复说明和后续服务建议。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六、培训要求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1.培训内容及目的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采购人单位相关使用人员进行全面的技术培训，主要内容侧重于系统的使用及系统的基本维护、常见问题及解决办法等，保证使用人员能独立进行日常维护管理和简易故障处理等工作，以便所使用的软件产品能够正常、安全地运行。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2.培训对象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为系统管理员和系统使用人员，中标人需提供培训教材，并提供理论与实操相结合的多样化培训方式。采购人负责对培训质量的监控，并有权对培训内容提出改正意见。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3.培训方式</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培训方式采用集中培训、现场培训相结合的方式，针对不同层次的人员，开设不同的培训课程和确定培训方式。</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七、系统对接要求</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本项目为“斥候”二期系统建设，须在一期系统基础上进行功能扩展与能力升级（如需了解一期项目情况，可联系采购人）。中标人应确保所开发的软件系统能够与一期“斥候”系统实现无缝对接，具体要求如下：</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1.中标人应在合同签订后 15日内，完成与一期“斥候”系统的对接方案设计，明确数据接口、服务接口、用户体系对接等技术路径，并提交采购人审核确认。</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2.中标人应保证二期系统与一期系统在数据层面实现互通，包括但不限于被执行人基础数据、案件数据、查控结果数据等的双向交换与同步，确保数据一致性和完整性。</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3.合同签订后15日内未能完成对接方案审核，或对接方案经采购人审核不通过且未在限期内完成整改的，采购人有权解除合同，中标人应向采购人支付合同总金额10%的违约金。因违约给采购人造成损失的，超出违约金部分由中标人继续承担赔偿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八、知识产权归属和处理方式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本合同产生的开发成果（包括但不限于软件产品、全部源代码、技术文档、设计文档、数据库结构、算法模型、接口规范及以此为基础研发出的其他技术成果）的知识产权（包括著作权、专利申请权、技术秘密等）全部归采购人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2.双方确定，采购人有权按照本合同约定提供的研究开发成果，进行后续改进。由此产生的具有实质性或创造性技术进步特征的新的技术成果及其权利归属，其知识产权亦归采购人所有。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保证按照本合同约定提供的研究开发成果及其开发过程不侵犯第三方知识产权，任何第三方如果提出侵权指控时，中标人须与第三方交涉并承担可能发生的一切法律上和经济上的责任。因此给采购人造成损失的，由中标人承担相应的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4.项目验收时，中标人须交付全部源代码及相关技术文档，并配合采购人办理软件著作权登记等知识产权确权手续。</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九、履约验收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依据采购需求、项目合同及中标人响应文件承诺进行验收。验收方式包括但不限于：中标人交付前自查并提交检查清单；针对六大核心业务场景逐一进行现场演示验证；组织业内专家评审或委托第三方测评机构出具检测报告；系统使用人员试用并出具使用意见。以上任何一项未通过的，视为验收不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2.中标人交付前应对产品或服务做出全面检查和对验收文件进行整理，并列出清单，作为采购人验收和使用的技术条件依据，检验的结果应随服务一起提交甲方。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3.采购人对中标人提供的产品或服务在使用前，中标人需负责培训采购人的使用操作人员，并协助甲方一起试用，直到符合技术要求，采购人才做最终验收。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4.采购人可请系统使用人员或组织业内专家进行项目验收，并出具验收报告。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5.验收时中标人必须在现场，验收完毕后作出验收结果报告；招标文件规定以外的验收费用由招标人及中标人双方协商解决。</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十、付款方式与履约保证金</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1.付款方式</w:t>
      </w:r>
      <w:r/>
    </w:p>
    <w:p>
      <w:pPr>
        <w:ind w:firstLine="482"/>
        <w:jc w:val="left"/>
        <w:spacing w:line="360" w:lineRule="auto"/>
        <w:rPr>
          <w:rFonts w:cs="Times New Roman" w:asciiTheme="minorEastAsia" w:hAnsiTheme="minorEastAsia"/>
          <w:b/>
          <w:bCs/>
          <w:sz w:val="24"/>
          <w:szCs w:val="24"/>
        </w:rPr>
      </w:pPr>
      <w:r>
        <w:rPr>
          <w:rFonts w:hint="eastAsia" w:ascii="宋体" w:hAnsi="宋体" w:eastAsia="宋体" w:cs="宋体"/>
          <w:b/>
          <w:bCs/>
          <w:i/>
          <w:iCs/>
          <w:color w:val="000000"/>
          <w:sz w:val="24"/>
          <w:szCs w:val="24"/>
          <w:u w:val="single"/>
        </w:rPr>
        <w:t xml:space="preserve">合同签订后</w:t>
      </w:r>
      <w:r>
        <w:rPr>
          <w:rFonts w:ascii="宋体" w:hAnsi="宋体" w:eastAsia="宋体" w:cs="宋体"/>
          <w:b/>
          <w:bCs/>
          <w:i/>
          <w:iCs/>
          <w:color w:val="000000"/>
          <w:sz w:val="24"/>
          <w:szCs w:val="24"/>
          <w:u w:val="single"/>
        </w:rPr>
        <w:t xml:space="preserve">7</w:t>
      </w:r>
      <w:r>
        <w:rPr>
          <w:rFonts w:hint="eastAsia" w:ascii="宋体" w:hAnsi="宋体" w:eastAsia="宋体" w:cs="宋体"/>
          <w:b/>
          <w:bCs/>
          <w:i/>
          <w:iCs/>
          <w:color w:val="000000"/>
          <w:sz w:val="24"/>
          <w:szCs w:val="24"/>
          <w:u w:val="single"/>
        </w:rPr>
        <w:t xml:space="preserve">个工作日内，支付合同金额的3</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；平台研发初步完成经初步验收合格后支付合同金额的5</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；正式验收合格后支付合同金额的2</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jc w:val="left"/>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十一、报价要求及其他</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rPr>
        <w:t xml:space="preserve">本采购包报价不得超过预算价。应根据国家收费标准并结合市场实际进行报价，总价包干。</w:t>
      </w:r>
      <w:r/>
    </w:p>
    <w:p>
      <w:pPr>
        <w:pStyle w:val="887"/>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报价内容应包括但不限于完成本项目工作所需人员开发投入及其配套的管理内容、软件系统、辅助材料、验收检测、运输仓储、劳保、技术支持与培训、专利技术、各种税费、人工、保险、维护、利润、政策性文件规定及合同包含的所有风险、责任等各项应有费用。同时，除非合同条款中另有规定，否则，本合同项下合同总金额在合同履行期间不因市场变化因素而变动。</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Theme="minorEastAsia" w:hAnsiTheme="minorEastAsia" w:cstheme="minorEastAsia"/>
          <w:bCs/>
          <w:sz w:val="24"/>
        </w:rPr>
      </w:pPr>
      <w:r>
        <w:rPr>
          <w:rFonts w:hint="eastAsia" w:asciiTheme="minorEastAsia" w:hAnsiTheme="minorEastAsia" w:cstheme="minorEastAsia"/>
          <w:bCs/>
          <w:sz w:val="24"/>
          <w:szCs w:val="24"/>
        </w:rPr>
        <w:t xml:space="preserve">4.项目分摊情况</w:t>
      </w:r>
      <w:r/>
    </w:p>
    <w:p>
      <w:pPr>
        <w:pStyle w:val="887"/>
        <w:ind w:firstLine="480"/>
        <w:spacing w:line="520" w:lineRule="exact"/>
        <w:rPr>
          <w:rFonts w:ascii="宋体" w:hAnsi="宋体" w:cs="宋体"/>
          <w:sz w:val="24"/>
        </w:rPr>
      </w:pPr>
      <w:r>
        <w:rPr>
          <w:rFonts w:hint="eastAsia" w:ascii="宋体" w:hAnsi="宋体" w:cs="宋体"/>
          <w:sz w:val="24"/>
        </w:rPr>
        <w:t xml:space="preserve">采购包1：中院已承担硬件及基础环境建设费用，本次129万元预算由7家基层法院分摊，具体金额如下。</w:t>
      </w:r>
      <w:r/>
    </w:p>
    <w:tbl>
      <w:tblPr>
        <w:tblStyle w:val="857"/>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498"/>
        <w:gridCol w:w="2015"/>
      </w:tblGrid>
      <w:tr>
        <w:trPr>
          <w:jc w:val="center"/>
          <w:trHeight w:val="113"/>
        </w:trPr>
        <w:tc>
          <w:tcPr>
            <w:tcW w:w="1056"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5498"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单位名称</w:t>
            </w:r>
            <w:r/>
          </w:p>
        </w:tc>
        <w:tc>
          <w:tcPr>
            <w:tcW w:w="2015"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b/>
                <w:bCs/>
                <w:sz w:val="24"/>
                <w:szCs w:val="24"/>
              </w:rPr>
              <w:t xml:space="preserve">预算金额（万元）</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连云港市海州区人民法院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连云港市赣榆区人民法院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东海县人民法院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灌云县人民法院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18.6</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灌南县人民法院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18.6</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连云港市连云区人民法院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15.75</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连云港经济技术开发区人民法院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15.75</w:t>
            </w:r>
            <w:r/>
          </w:p>
        </w:tc>
      </w:tr>
      <w:tr>
        <w:trPr>
          <w:jc w:val="center"/>
          <w:trHeight w:val="113"/>
        </w:trPr>
        <w:tc>
          <w:tcPr>
            <w:gridSpan w:val="2"/>
            <w:tcW w:w="6554" w:type="dxa"/>
            <w:vAlign w:val="center"/>
            <w:textDirection w:val="lrTb"/>
            <w:noWrap w:val="false"/>
          </w:tcPr>
          <w:p>
            <w:pPr>
              <w:jc w:val="center"/>
              <w:spacing w:line="440" w:lineRule="exact"/>
              <w:widowControl/>
              <w:rPr>
                <w:rFonts w:ascii="等线" w:hAnsi="等线" w:eastAsia="等线" w:cs="宋体"/>
                <w:color w:val="000000"/>
                <w:sz w:val="24"/>
              </w:rPr>
            </w:pPr>
            <w:r>
              <w:rPr>
                <w:rFonts w:hint="eastAsia"/>
                <w:sz w:val="24"/>
                <w:szCs w:val="24"/>
              </w:rPr>
              <w:t xml:space="preserve">合计</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129</w:t>
            </w:r>
            <w:r/>
          </w:p>
        </w:tc>
      </w:tr>
    </w:tbl>
    <w:p>
      <w:pPr>
        <w:ind w:firstLine="480"/>
        <w:spacing w:line="500" w:lineRule="exact"/>
        <w:rPr>
          <w:rFonts w:ascii="宋体" w:hAnsi="宋体" w:cs="宋体"/>
          <w:sz w:val="24"/>
        </w:rPr>
      </w:pPr>
      <w:r>
        <w:rPr>
          <w:rFonts w:hint="eastAsia" w:ascii="宋体" w:hAnsi="宋体" w:cs="宋体"/>
          <w:sz w:val="24"/>
        </w:rPr>
        <w:t xml:space="preserve">经评审后确定的中标人需分别与各单位签订服务合同,合同金额根据中标金额等比例分签。</w:t>
      </w:r>
      <w:r/>
    </w:p>
    <w:p>
      <w:pPr>
        <w:pStyle w:val="858"/>
        <w:rPr>
          <w:rFonts w:asciiTheme="minorEastAsia" w:hAnsiTheme="minorEastAsia" w:cstheme="minorEastAsia"/>
          <w:sz w:val="24"/>
        </w:rPr>
      </w:pPr>
      <w:r>
        <w:rPr>
          <w:rFonts w:asciiTheme="minorEastAsia" w:hAnsiTheme="minorEastAsia" w:cstheme="minorEastAsia"/>
          <w:sz w:val="24"/>
        </w:rPr>
      </w:r>
      <w:r/>
    </w:p>
    <w:p>
      <w:pPr>
        <w:pStyle w:val="858"/>
        <w:rPr>
          <w:rFonts w:asciiTheme="minorEastAsia" w:hAnsiTheme="minorEastAsia" w:cstheme="minorEastAsia"/>
          <w:sz w:val="24"/>
        </w:rPr>
      </w:pPr>
      <w:r>
        <w:rPr>
          <w:rFonts w:asciiTheme="minorEastAsia" w:hAnsiTheme="minorEastAsia" w:cstheme="minorEastAsia"/>
          <w:sz w:val="24"/>
        </w:rPr>
      </w:r>
      <w:r/>
    </w:p>
    <w:p>
      <w:pPr>
        <w:pStyle w:val="858"/>
        <w:spacing w:line="360" w:lineRule="auto"/>
        <w:rPr>
          <w:rFonts w:asciiTheme="minorEastAsia" w:hAnsiTheme="minorEastAsia" w:cstheme="minorEastAsia"/>
          <w:sz w:val="24"/>
        </w:rPr>
      </w:pPr>
      <w:r>
        <w:rPr>
          <w:rFonts w:asciiTheme="minorEastAsia" w:hAnsiTheme="minorEastAsia" w:cstheme="minorEastAsia"/>
          <w:sz w:val="24"/>
        </w:rPr>
      </w:r>
      <w:r/>
    </w:p>
    <w:p>
      <w:r/>
      <w:bookmarkStart w:id="9" w:name="_Toc162361614"/>
      <w:r/>
      <w:r/>
    </w:p>
    <w:p>
      <w:r/>
      <w:r/>
    </w:p>
    <w:p>
      <w:r/>
      <w:r/>
    </w:p>
    <w:p>
      <w:pPr>
        <w:pStyle w:val="858"/>
      </w:pPr>
      <w:r/>
      <w:r/>
    </w:p>
    <w:p>
      <w:pPr>
        <w:pStyle w:val="858"/>
      </w:pPr>
      <w:r/>
      <w:r/>
    </w:p>
    <w:p>
      <w:pPr>
        <w:pStyle w:val="858"/>
      </w:pPr>
      <w:r/>
      <w:r/>
    </w:p>
    <w:p>
      <w:pPr>
        <w:pStyle w:val="858"/>
      </w:pPr>
      <w:r/>
      <w:r/>
    </w:p>
    <w:p>
      <w:pPr>
        <w:pStyle w:val="858"/>
        <w:ind w:firstLine="0"/>
      </w:pPr>
      <w:r/>
      <w:r/>
    </w:p>
    <w:p>
      <w:pPr>
        <w:pStyle w:val="858"/>
        <w:ind w:firstLine="0"/>
      </w:pPr>
      <w:r/>
      <w:r/>
    </w:p>
    <w:p>
      <w:pPr>
        <w:jc w:val="center"/>
        <w:rPr>
          <w:rFonts w:hint="eastAsia" w:asciiTheme="minorEastAsia" w:hAnsiTheme="minorEastAsia"/>
          <w:b/>
          <w:bCs/>
          <w:sz w:val="28"/>
          <w:szCs w:val="28"/>
          <w:highlight w:val="none"/>
        </w:rPr>
      </w:pPr>
      <w:r>
        <w:rPr>
          <w:rFonts w:hint="eastAsia" w:asciiTheme="minorEastAsia" w:hAnsiTheme="minorEastAsia"/>
          <w:b/>
          <w:sz w:val="28"/>
        </w:rPr>
        <w:t xml:space="preserve">采购包2</w:t>
      </w:r>
      <w:r/>
    </w:p>
    <w:p>
      <w:pPr>
        <w:jc w:val="center"/>
        <w:rPr>
          <w:rFonts w:asciiTheme="minorEastAsia" w:hAnsiTheme="minorEastAsia"/>
          <w:b/>
          <w:bCs/>
          <w:sz w:val="28"/>
          <w:szCs w:val="28"/>
        </w:rPr>
      </w:pPr>
      <w:r>
        <w:rPr>
          <w:rFonts w:hint="eastAsia" w:asciiTheme="minorEastAsia" w:hAnsiTheme="minorEastAsia"/>
          <w:b/>
          <w:sz w:val="28"/>
          <w:highlight w:val="none"/>
        </w:rPr>
      </w:r>
      <w:r>
        <w:rPr>
          <w:rFonts w:hint="eastAsia" w:asciiTheme="minorEastAsia" w:hAnsiTheme="minorEastAsia"/>
          <w:b/>
          <w:sz w:val="28"/>
          <w:highlight w:val="none"/>
        </w:rPr>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b/>
          <w:sz w:val="24"/>
          <w:szCs w:val="24"/>
        </w:rPr>
      </w:pPr>
      <w:r>
        <w:rPr>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58"/>
      </w:pPr>
      <w:r/>
      <w:r/>
    </w:p>
    <w:p>
      <w:pPr>
        <w:pStyle w:val="858"/>
      </w:pPr>
      <w:r/>
      <w:r/>
    </w:p>
    <w:p>
      <w:pPr>
        <w:pStyle w:val="858"/>
      </w:p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深入贯彻落实《中华人民共和国网络安全法》《中华人民共和国数据安全法》《中华人民共和国个人信息保护法》《关键信息基础设施安全保护条例》以及法院系统网络安全工作要求，持续提升连云港市中级人民法院及全市法院网络安全监测预警、风险发现、快速处置、行为管控</w:t>
      </w:r>
      <w:r>
        <w:rPr>
          <w:rFonts w:hint="eastAsia" w:ascii="宋体" w:hAnsi="宋体" w:eastAsia="宋体" w:cs="Times New Roman"/>
          <w:color w:val="000000"/>
          <w:sz w:val="24"/>
          <w:szCs w:val="24"/>
        </w:rPr>
        <w:t xml:space="preserve">和实战防守能力，结合2026年度法院行业网络安全工作的新形势、新任务和新要求，拟将网络安全专业服务与互联网行为管控能力统一纳入年度网络安全服务体系，形成“巡检发现问题、分析识别风险、联动协同处置、出口行为治理、实战检验能力、持续优化防线”的服务闭环。本项目服务对象为连云港市中级人民法院及辖区基层法院（含连云、开发区、赣榆、灌云、灌南等），服务周期为1年，坚持“统筹规划、分级负责、技术牵引、实战导向、闭环整改”的原则，构建覆盖“资产—漏洞—配置—用户—终端—流量—日志—事件—演练—整改”的一体化安全运营闭环。</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二、服务技术要求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服务内容涵盖网络安全专业服务与互联网行为管控融合服务，具体包括以下十一项服务要求。其中涉及软硬件技术工具支撑的服务项，其技术工具的技术要求及功能指标表格按要求留空，由采购人后续补充确定。</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2.1 服务工具与统一运营能力要求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为保障年度服务工作顺利开展，服务供应商应配备满足项目实际需要的专业服务工具、分析平台和互</w:t>
      </w:r>
      <w:r>
        <w:rPr>
          <w:rFonts w:hint="eastAsia" w:ascii="宋体" w:hAnsi="宋体" w:eastAsia="宋体" w:cs="Times New Roman"/>
          <w:color w:val="000000"/>
          <w:sz w:val="24"/>
          <w:szCs w:val="24"/>
        </w:rPr>
        <w:t xml:space="preserve">联网行为管控支撑能力，能够支撑资产识别、漏洞发现、配置核查、流量检测、日志分析、威胁情报关联、出口行为审计、策略管理、事件处置和报告输出等工作。所使用工具应具备较强的兼容性、稳定性、可审计性和安全性，能够适应法院现有网络环境，避免对审判执行、办公办案、视频会议、远程接访等业务系统稳定运行造成影响。服务工具应支持对网络资产进行自动发现和人工校核，形成可持续更新的资产台账；应支持对接威胁情报、恶意URL库、应用识别库、病毒特征库和风险分类规则，对异常通信、违规外联、恶意下载、代理隧道和攻击源进行快速溯源与研判。</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2.2 “两高一弱”专业巡检</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对全市法院开展一次“两高一弱”（高危漏洞、高危配置、高危暴露面和弱口令弱防护）专业巡检，全年不少于4轮，必要时可根据重保要求、漏洞通报情况、攻防演练准备情况和甲方实际需要增加专项巡检频次。巡检范围覆盖中院及辖区基层法院重点业务系统、管理系统、办公终端、服务器、网络设备、安全设备、互联网出口、运维通道及相关支撑环境。巡检工作按照“准备—实施—验证—整改—复核—总结”的方式开展，形成问题台账，明确风险描述、影响范围、处置建议、整改优先级和整改时限，并对重点问题开展复核验证。</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2.3 内网高危可利用漏洞防护与防护配置</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围绕全市法院内网环境，服务供应商负</w:t>
      </w:r>
      <w:r>
        <w:rPr>
          <w:rFonts w:hint="eastAsia" w:ascii="宋体" w:hAnsi="宋体" w:eastAsia="宋体" w:cs="Times New Roman"/>
          <w:color w:val="000000"/>
          <w:sz w:val="24"/>
          <w:szCs w:val="24"/>
        </w:rPr>
        <w:t xml:space="preserve">责年度内发现的高危可利用漏洞防护工作。对国家、行业、厂商、监管部门以及自研检测发现的高危漏洞，及时开展影响面排查、利用条件分析、业务影响评估和风险级别判定，形成通报及处置建议。对于具备补丁或升级条件的漏洞，协助制定修复方案；对于暂不具备立即修复条件的漏洞，制定临时缓解和纵深防护措施（包括访问控制收紧、特征拦截、虚拟补丁、白名单限制、端口封禁、账号权限调整、互联网出口阻断、设备联动阻断等）。建立“发现—验证—加固—复测—留痕”的闭环处置机制，对已处置漏洞开展复测验证，并关注漏洞利用与互联网行为之间的关联风险。</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2.4 内网脆弱性、异常流量与日志采集分析研判</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服务供应商应协助甲方建立面向</w:t>
      </w:r>
      <w:r>
        <w:rPr>
          <w:rFonts w:hint="eastAsia" w:ascii="宋体" w:hAnsi="宋体" w:eastAsia="宋体" w:cs="Times New Roman"/>
          <w:color w:val="000000"/>
          <w:sz w:val="24"/>
          <w:szCs w:val="24"/>
        </w:rPr>
        <w:t xml:space="preserve">全市法院的内网安全数据采集与分析机制，对内网脆弱性、异常流量、攻击日志、病毒日志、互联网行为日志及其他网络安全相关数据进行归集、分析和研判。重点关注恶意扫描探测、异常访问、横向移动、僵木蠕活动、弱口令尝试、恶意代码传播、敏感端口异常开放、违规外联、异常DNS请求、可疑下载上传、病毒查杀异常、账号暴力破解、高风险网站访问、翻墙代理、非业务大流量下载和离网终端异常行为等安全信号，结合威胁情报、历史基线和业务特征开展关联分析，形成“采集—分析—研判—通报—处置—复盘”的工作机制，并按周、按月或按专项输出分析简报。</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2.5 互联网行为管控融合服务</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围绕全市法院互联网出口开展身份认证、应用识别、URL分类、内容过滤、动</w:t>
      </w:r>
      <w:r>
        <w:rPr>
          <w:rFonts w:hint="eastAsia" w:ascii="宋体" w:hAnsi="宋体" w:eastAsia="宋体" w:cs="Times New Roman"/>
          <w:color w:val="000000"/>
          <w:sz w:val="24"/>
          <w:szCs w:val="24"/>
        </w:rPr>
        <w:t xml:space="preserve">态流控、HTTPS审计、日志留存、集中策略管理、报表分析和运维保障，形成“中心统筹、节点执行、统一策略、分级处置”的服务模式。中院侧接入统一的互联网行为管控主控制能力，承担用户与组织架构管理、策略模板管理、日志汇聚分析、风险态势展示、报表输出、全网设备健康状态监测和统一运维管理等职能；基层法院节点侧承担本地互联网出口的访问控制、行为审计、带宽管理、异常告警和本地联动处置等职能。在身份合规、行为规范、加密流量审计、带宽保障和策略集中管理等方面，应满足法院业务正常访问保障与违规行为的识别、告警、阻断或限速要求。</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2.6 安全事件监测、协助处置与应急响应</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内，服务供应商应协助全市法院开展网络安全事件监测与处置工作。对木马病毒感染、网页篡改、系统入侵、恶意外联、勒索攻击、账号失陷、数据异常访问、拒绝服务攻击、恶意脚本投递、异常提权、非法网站访问、疑似数据外传和违规代理等事件，在接到通报或发现线索后及时响应，协助开展事件确认、范围排查、证据固定、影响评估、处置建议制定和恢复验证等工作。根据事件等级和影响范围，采取远程支持、现场支撑、联合研判等方式处置；对紧急事件，协助实施账号禁用、主机隔离、流量阻断、恶意文件清除、策略加固、出口封堵和应急恢复等措施。</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2.7 法院行业攻防演练实战支撑</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供应商应深度参与2026年度法院行业攻防演练，围绕“赛前准备、赛中值守、赛后复盘”三个阶段提供实战支撑。赛前协助开展演练范围梳理、攻击面核查、风险排查、重点系统加固、账号权限梳理、边界暴露收敛、互联网出口策略核查、重点资产值守清单制定；演练期间提供现场或驻场支持，建立监测值守、告警研判、线索通报、事件升级、处置闭环和结果留痕机制；演练结束后形成实战复盘报告，总结暴露面管理、终端防护、账号安全、边界策略、日志审计、行为管控、协同响应等方面的问题，提出针对性提升建议并推动纳入后续巡检和整改计划。</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（1）防守队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防守队，在网络安全攻防演练期间现场防守并结合大数据分析、人工智能等技术手段围绕资产、漏洞、威胁、事件提供7*24小时的在线值守和快速处置闭环服务，每天根据防守要求，出具当天防守报告，溯源报告等内容。防守的范围包括连云港市中级人民法院内外网以及7家区县法院互联网业务系统，并根据区县法院安全状况，出具加固方案及提供相应的安全防护设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（2）攻击队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攻击队，通过模拟攻击技术、防御体系渗透、验证安全设备有效性等多种安全测试手段检验防守方的安全防护能力、应急响应机制以及系统脆弱性，至少在一次全国网络安全攻防演练中保证中院在网络安全攻防演练中排名不低于省内前三。</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（3）巡检队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巡检队，通过每季度至少对全市法院进行一次网络安全和数据安全巡检，并向中院提交巡检报告。巡检内容包括网络安全设备是否配备齐全，安全设备策略是否合规，内外网系统是否存在高危漏洞、高危端口、弱口令、病毒等问题。</w:t>
      </w:r>
      <w:r/>
    </w:p>
    <w:p>
      <w:pPr>
        <w:ind w:firstLine="482"/>
        <w:jc w:val="left"/>
        <w:spacing w:line="360" w:lineRule="auto"/>
        <w:rPr>
          <w:rFonts w:eastAsia="宋体"/>
        </w:rPr>
      </w:pPr>
      <w:r>
        <w:rPr>
          <w:rFonts w:hint="eastAsia" w:ascii="宋体" w:hAnsi="宋体" w:eastAsia="宋体" w:cs="Times New Roman"/>
          <w:b/>
          <w:color w:val="000000"/>
          <w:sz w:val="24"/>
          <w:szCs w:val="24"/>
        </w:rPr>
        <w:t xml:space="preserve">2.8配套服务工具要求</w:t>
      </w:r>
      <w:r/>
    </w:p>
    <w:p>
      <w:pPr>
        <w:ind w:firstLine="480"/>
        <w:spacing w:line="360" w:lineRule="auto"/>
        <w:rPr>
          <w:sz w:val="24"/>
          <w:szCs w:val="24"/>
        </w:rPr>
      </w:pPr>
      <w:r>
        <w:rPr>
          <w:rFonts w:hint="eastAsia" w:ascii="Times New Roman" w:hAnsi="Times New Roman"/>
          <w:sz w:val="24"/>
          <w:szCs w:val="24"/>
        </w:rPr>
        <w:t xml:space="preserve">在攻防演练期间，根据各级法院实际网络环境配备防火墙、潜伏威胁探针和终端安全防护软件部署在外网环境内</w:t>
      </w:r>
      <w:r>
        <w:rPr>
          <w:rFonts w:hint="eastAsia"/>
          <w:sz w:val="24"/>
          <w:szCs w:val="24"/>
        </w:rPr>
        <w:t xml:space="preserve">，提升整体攻防演练期间以及常态化安全运营过程中告警事件的检测时效性及处置效果。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sz w:val="24"/>
          <w:szCs w:val="24"/>
        </w:rPr>
        <w:t xml:space="preserve">防火墙</w:t>
      </w:r>
      <w:r/>
    </w:p>
    <w:p>
      <w:pPr>
        <w:ind w:firstLine="480"/>
        <w:spacing w:line="360" w:lineRule="auto"/>
        <w:rPr>
          <w:rFonts w:ascii="Times New Roman" w:hAnsi="Times New Roman"/>
          <w:sz w:val="24"/>
          <w:szCs w:val="24"/>
        </w:rPr>
      </w:pPr>
      <w:r>
        <w:rPr>
          <w:rFonts w:hint="eastAsia"/>
          <w:sz w:val="24"/>
          <w:szCs w:val="24"/>
        </w:rPr>
        <w:t xml:space="preserve">承担互联网流量以及内部威胁的检测拦截能力，针对外部的恶意攻击和请求（如：勒索攻击、未知威胁攻击）拦截管控以及内部主机存在异常外联的识别等工作。为安全检测与响应平台提供网络侧联动联防的闭环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（2）</w:t>
      </w:r>
      <w:r>
        <w:rPr>
          <w:rFonts w:hint="eastAsia"/>
          <w:sz w:val="24"/>
          <w:szCs w:val="24"/>
        </w:rPr>
        <w:t xml:space="preserve">流量采集探针</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承担</w:t>
      </w:r>
      <w:r>
        <w:rPr>
          <w:rFonts w:hint="eastAsia"/>
          <w:sz w:val="24"/>
          <w:szCs w:val="24"/>
        </w:rPr>
        <w:t xml:space="preserve">互联网流量的采集工作，为安全检测与响应平台提供流量分析依据以及完成攻击溯源闭环。</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（3）</w:t>
      </w:r>
      <w:r>
        <w:rPr>
          <w:rFonts w:hint="eastAsia"/>
          <w:sz w:val="24"/>
          <w:szCs w:val="24"/>
        </w:rPr>
        <w:t xml:space="preserve">终端安全防护软件</w:t>
      </w:r>
      <w:r/>
    </w:p>
    <w:p>
      <w:pPr>
        <w:ind w:firstLine="480"/>
        <w:spacing w:line="360" w:lineRule="auto"/>
        <w:rPr>
          <w:sz w:val="24"/>
          <w:szCs w:val="24"/>
        </w:rPr>
      </w:pPr>
      <w:r>
        <w:rPr>
          <w:rFonts w:hint="eastAsia"/>
          <w:sz w:val="24"/>
          <w:szCs w:val="24"/>
        </w:rPr>
        <w:t xml:space="preserve">承担互联网业务主机侧的病毒检测和查杀能力，为安全检测与响应平台提供终端侧联动联防的闭环处置效果。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根据市委网信办要求，提供突发网络安全事件的现场技术支持服务。如某辖区或单位的网站或重要系统遇突发情况，造成了影响较大的安全事件，应急响应工程师须在半小时内响应，快速确定问题的根源，阻止或最小化安全事件带来的负面影响，有效遏制网络安全事件蔓延。</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2.9 资产梳理、基线核查与新系统上线安全检查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在年度服务过程中，项目组应持续协助甲方开展资产梳理和基线核查，对IP地址、端口、主机名称、系统版本、部署位置、管理责任人、网络区域、开放服务、中间件组件、数据库类型、安全设备关联关系、互联网出口链路、行为管控节点和终端接入情况等信息进行摸排和更新，形成可维护、可查询、可支撑分析的资产清单。对拟上线的新系统，应在上线前开展安全测试和风险评估，避免系统“带病上线”。资产梳理和基线核查工作应与“两高一弱”巡检、漏洞防护和互联网行为管控工作相互衔接。</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2.10 重点时期安全保障、应急演练与培训通报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在全国两会、重大节庆、重要会议、重大活动及法</w:t>
      </w:r>
      <w:r>
        <w:rPr>
          <w:rFonts w:hint="eastAsia" w:ascii="宋体" w:hAnsi="宋体" w:eastAsia="宋体" w:cs="Times New Roman"/>
          <w:color w:val="000000"/>
          <w:sz w:val="24"/>
          <w:szCs w:val="24"/>
        </w:rPr>
        <w:t xml:space="preserve">院系统重保时期，服务供应商应按甲方要求提供重点时期安全保障服务，强化预警监测、告警研判、值班值守、风险复核、互联网出口策略核查和应急处置支持，必要时开展7×24小时保障或关键时段现场驻守。结合年度工作安排组织开展安全应急演练或桌面推演，检验应急预案的可执行性、协同机制的顺畅性和技术措施的有效性。面向中院及基层法院相关人员开展网络安全培训、案例宣贯和风险通报，内容涵盖“两高一弱”问题防范、高危漏洞应对、钓鱼邮件识别、终端安全使用、账号口令管理、互联网访问规范、敏感数据保护、攻防演练经验总结和平台管理员操作等。</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2.11 成果交付与服务要求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服务期内，</w:t>
      </w:r>
      <w:r>
        <w:rPr>
          <w:rFonts w:hint="eastAsia" w:ascii="宋体" w:hAnsi="宋体" w:eastAsia="宋体" w:cs="Times New Roman"/>
          <w:color w:val="000000"/>
          <w:sz w:val="24"/>
          <w:szCs w:val="24"/>
        </w:rPr>
        <w:t xml:space="preserve">服务供应商应按季度、按专项、按事件和按平台运维要求输出相应工作成果，包括季度“两高一弱”巡检报告、漏洞排查和防护处置清单、内网安全数据分析简报、互联网行为审计分析报告、安全事件处置记录、重点时期保障报告、攻防演练保障报告、平台试运行报告、策略配置记录、培训材料、专题分析报告和年度总结报告等。各类交付成果应做到问题描述准确、风险分级清晰、整改建议可执行、处置过程可追溯、数据引用有依据。供应商应建立项目经理负责制和专业团队支撑机制，确保沟通渠道畅通、响应及时、人员稳定、过程可控，所有项目参与人员应遵守保密要求。</w:t>
      </w:r>
      <w:r/>
    </w:p>
    <w:p>
      <w:pPr>
        <w:ind w:firstLine="482"/>
        <w:jc w:val="left"/>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三、服务期间内配套软、硬件技术工具要求</w:t>
      </w:r>
      <w:r/>
    </w:p>
    <w:p>
      <w:pPr>
        <w:spacing w:line="360" w:lineRule="auto"/>
        <w:rPr>
          <w:rFonts w:cs="Times New Roman" w:asciiTheme="minorEastAsia" w:hAnsiTheme="minorEastAsia"/>
          <w:b/>
          <w:bCs/>
          <w:sz w:val="24"/>
        </w:rPr>
      </w:pPr>
      <w:r>
        <w:rPr>
          <w:rFonts w:hint="eastAsia" w:ascii="Times New Roman" w:hAnsi="Times New Roman" w:eastAsia="宋体" w:cs="Times New Roman"/>
          <w:b/>
          <w:bCs/>
          <w:sz w:val="24"/>
          <w:szCs w:val="24"/>
        </w:rPr>
        <w:t xml:space="preserve">    </w:t>
      </w:r>
      <w:r>
        <w:rPr>
          <w:rFonts w:hint="eastAsia" w:cs="Times New Roman" w:asciiTheme="minorEastAsia" w:hAnsiTheme="minorEastAsia"/>
          <w:b/>
          <w:bCs/>
          <w:sz w:val="24"/>
          <w:szCs w:val="24"/>
        </w:rPr>
        <w:t xml:space="preserve">3.1</w:t>
      </w:r>
      <w:r>
        <w:rPr>
          <w:rFonts w:hint="eastAsia" w:cs="Times New Roman" w:asciiTheme="minorEastAsia" w:hAnsiTheme="minorEastAsia"/>
          <w:b/>
          <w:bCs/>
          <w:sz w:val="24"/>
        </w:rPr>
        <w:t xml:space="preserve">技术服务工具清单</w:t>
      </w:r>
      <w:r/>
    </w:p>
    <w:tbl>
      <w:tblPr>
        <w:tblStyle w:val="85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01"/>
        <w:gridCol w:w="4818"/>
        <w:gridCol w:w="1206"/>
        <w:gridCol w:w="1394"/>
      </w:tblGrid>
      <w:tr>
        <w:trPr>
          <w:jc w:val="center"/>
          <w:trHeight w:val="377"/>
        </w:trPr>
        <w:tc>
          <w:tcPr>
            <w:tcBorders>
              <w:top w:val="single" w:color="auto" w:sz="8" w:space="0"/>
              <w:left w:val="single" w:color="auto" w:sz="8"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序号</w:t>
            </w:r>
            <w:r/>
          </w:p>
        </w:tc>
        <w:tc>
          <w:tcPr>
            <w:tcBorders>
              <w:top w:val="single" w:color="auto" w:sz="8"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货物名称</w:t>
            </w:r>
            <w:r/>
          </w:p>
        </w:tc>
        <w:tc>
          <w:tcPr>
            <w:tcBorders>
              <w:top w:val="single" w:color="auto" w:sz="8" w:space="0"/>
              <w:left w:val="none" w:color="000000"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单位</w:t>
            </w:r>
            <w:r/>
          </w:p>
        </w:tc>
        <w:tc>
          <w:tcPr>
            <w:tcBorders>
              <w:top w:val="single" w:color="auto" w:sz="8"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数量</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连云港市中级人民法院互联网行为管控平台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区县法院互联网行为管控平台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网络安全值守服务平台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服务工具及</w:t>
            </w:r>
            <w:r>
              <w:rPr>
                <w:rFonts w:asciiTheme="minorEastAsia" w:hAnsiTheme="minorEastAsia"/>
                <w:sz w:val="24"/>
                <w:szCs w:val="24"/>
              </w:rPr>
              <w:t xml:space="preserve">统一运营分析</w:t>
            </w:r>
            <w:r>
              <w:rPr>
                <w:rFonts w:hint="eastAsia" w:asciiTheme="minorEastAsia" w:hAnsiTheme="minorEastAsia"/>
                <w:sz w:val="24"/>
                <w:szCs w:val="24"/>
              </w:rPr>
              <w:t xml:space="preserve">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宋体" w:asciiTheme="minorEastAsia" w:hAnsiTheme="minorEastAsia"/>
                <w:sz w:val="24"/>
                <w:szCs w:val="24"/>
              </w:rPr>
              <w:t xml:space="preserve">连云港市中级人民法院终端防护软件</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宋体" w:asciiTheme="minorEastAsia" w:hAnsiTheme="minorEastAsia"/>
                <w:sz w:val="24"/>
                <w:szCs w:val="24"/>
              </w:rPr>
            </w:pPr>
            <w:r>
              <w:rPr>
                <w:rFonts w:hint="eastAsia" w:cs="宋体" w:asciiTheme="minorEastAsia" w:hAnsiTheme="minorEastAsia"/>
                <w:sz w:val="24"/>
                <w:szCs w:val="24"/>
              </w:rPr>
              <w:t xml:space="preserve">连云港市中级人民法院探针</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宋体" w:asciiTheme="minorEastAsia" w:hAnsiTheme="minorEastAsia"/>
                <w:sz w:val="24"/>
                <w:szCs w:val="24"/>
              </w:rPr>
            </w:pPr>
            <w:r>
              <w:rPr>
                <w:rFonts w:hint="eastAsia" w:cs="Times New Roman" w:asciiTheme="minorEastAsia" w:hAnsiTheme="minorEastAsia"/>
                <w:sz w:val="24"/>
                <w:szCs w:val="24"/>
              </w:rPr>
              <w:t xml:space="preserve">连云港市各区县法院防火墙</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color w:val="000000"/>
                <w:sz w:val="24"/>
                <w:szCs w:val="24"/>
              </w:rPr>
              <w:t xml:space="preserve">连云港市</w:t>
            </w:r>
            <w:r>
              <w:rPr>
                <w:rFonts w:cs="Times New Roman" w:asciiTheme="minorEastAsia" w:hAnsiTheme="minorEastAsia"/>
                <w:color w:val="000000"/>
                <w:sz w:val="24"/>
                <w:szCs w:val="24"/>
              </w:rPr>
              <w:t xml:space="preserve">各区县法院探针</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各区县法院终端防护软件</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bl>
    <w:p>
      <w:pPr>
        <w:ind w:firstLine="482"/>
        <w:spacing w:line="360" w:lineRule="auto"/>
        <w:rPr>
          <w:rFonts w:cs="Times New Roman" w:asciiTheme="minorEastAsia" w:hAnsiTheme="minorEastAsia"/>
          <w:b/>
          <w:bCs/>
          <w:sz w:val="24"/>
        </w:rPr>
      </w:pPr>
      <w:r>
        <w:rPr>
          <w:rFonts w:hint="eastAsia" w:cs="Times New Roman" w:asciiTheme="minorEastAsia" w:hAnsiTheme="minorEastAsia"/>
          <w:b/>
          <w:bCs/>
          <w:sz w:val="24"/>
        </w:rPr>
        <w:t xml:space="preserve">3.2软、硬件技术工具技术要求及功能指标</w:t>
      </w:r>
      <w:r/>
    </w:p>
    <w:tbl>
      <w:tblPr>
        <w:tblStyle w:val="85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00"/>
        <w:gridCol w:w="1653"/>
        <w:gridCol w:w="5766"/>
      </w:tblGrid>
      <w:tr>
        <w:trPr>
          <w:trHeight w:val="285"/>
        </w:trPr>
        <w:tc>
          <w:tcPr>
            <w:tcBorders>
              <w:top w:val="single" w:color="auto" w:sz="4" w:space="0"/>
              <w:left w:val="single" w:color="auto" w:sz="4" w:space="0"/>
              <w:bottom w:val="none" w:color="000000"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序号</w:t>
            </w:r>
            <w:r/>
          </w:p>
        </w:tc>
        <w:tc>
          <w:tcPr>
            <w:tcBorders>
              <w:top w:val="single" w:color="auto" w:sz="8" w:space="0"/>
              <w:left w:val="single" w:color="auto" w:sz="8" w:space="0"/>
              <w:bottom w:val="none" w:color="000000" w:sz="4" w:space="0"/>
              <w:right w:val="single" w:color="auto" w:sz="8" w:space="0"/>
            </w:tcBorders>
            <w:tcW w:w="970"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名称</w:t>
            </w:r>
            <w:r/>
          </w:p>
        </w:tc>
        <w:tc>
          <w:tcPr>
            <w:tcBorders>
              <w:top w:val="single" w:color="auto" w:sz="8" w:space="0"/>
              <w:left w:val="none" w:color="000000" w:sz="4" w:space="0"/>
              <w:bottom w:val="none" w:color="000000" w:sz="4" w:space="0"/>
              <w:right w:val="single" w:color="auto" w:sz="8" w:space="0"/>
            </w:tcBorders>
            <w:tcW w:w="3384"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技术</w:t>
            </w:r>
            <w:r>
              <w:rPr>
                <w:rFonts w:hint="eastAsia" w:cs="Times New Roman" w:asciiTheme="minorEastAsia" w:hAnsiTheme="minorEastAsia"/>
                <w:b/>
                <w:bCs/>
                <w:color w:val="000000"/>
                <w:sz w:val="24"/>
                <w:szCs w:val="24"/>
              </w:rPr>
              <w:t xml:space="preserve">要求及功能指标</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sz w:val="24"/>
                <w:szCs w:val="24"/>
              </w:rPr>
              <w:t xml:space="preserve">连云港市中级人民法院互联网行为管控平台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支持可视化首页仪表盘展示，可实时呈现在线终端用户数量、全网流量统计分析、网络行为日志记录、应用流量排行、用户流量排行等核心运维数据，直观展示全网运行状态，便于管理员快速掌握网络整体使用情况。</w:t>
            </w:r>
            <w:r/>
          </w:p>
          <w:p>
            <w:pPr>
              <w:pStyle w:val="860"/>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▲2.支持SSL解密技术，可对加密传输的网络流量进行合规解密与审计，有效实现加密流量的可视，保障数据传输的透明化、规范化与安全性。</w:t>
            </w:r>
            <w:r/>
          </w:p>
          <w:p>
            <w:pPr>
              <w:pStyle w:val="860"/>
              <w:ind w:firstLine="0"/>
              <w:jc w:val="both"/>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（投标文件中提供国家认可的第三方检测机构出具的检测报告扫描件并加盖投标人公章）</w:t>
            </w:r>
            <w:r/>
          </w:p>
          <w:p>
            <w:pPr>
              <w:pStyle w:val="860"/>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3.支持细致的管理员权限划分，包括对不同用户组的管理权限、对各种主要功能界面的配置和查看权限。</w:t>
            </w:r>
            <w:r/>
          </w:p>
          <w:p>
            <w:pPr>
              <w:pStyle w:val="860"/>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支持Web访问质量审计检测功能，能够实时监测内网用户网页访问的各类质量指标，精准识别网页访问异常、网络卡顿、访问超时等问题，结合全网检测数据完成整体网络质量综合评级，为网络优化、运维调优提供数据支撑。</w:t>
            </w:r>
            <w:r/>
          </w:p>
          <w:p>
            <w:pPr>
              <w:pStyle w:val="870"/>
              <w:ind w:left="0" w:firstLine="0"/>
              <w:spacing w:after="0" w:line="400" w:lineRule="exact"/>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▲5.支持提供对接</w:t>
            </w:r>
            <w:r>
              <w:rPr>
                <w:rFonts w:asciiTheme="minorEastAsia" w:hAnsiTheme="minorEastAsia" w:eastAsiaTheme="minorEastAsia"/>
                <w:sz w:val="24"/>
                <w:szCs w:val="24"/>
              </w:rPr>
              <w:t xml:space="preserve">统一运营分析</w:t>
            </w:r>
            <w:r>
              <w:rPr>
                <w:rFonts w:hint="eastAsia" w:asciiTheme="minorEastAsia" w:hAnsiTheme="minorEastAsia" w:eastAsiaTheme="minorEastAsia"/>
                <w:sz w:val="24"/>
                <w:szCs w:val="24"/>
              </w:rPr>
              <w:t xml:space="preserve">平台服务，实现数据的统一分析和治理，提高网络安全风险排查和处置的实效性。</w:t>
            </w:r>
            <w:r/>
          </w:p>
          <w:p>
            <w:pPr>
              <w:pStyle w:val="870"/>
              <w:ind w:left="0" w:firstLine="0"/>
              <w:spacing w:after="0" w:line="400" w:lineRule="exac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w:t>
            </w:r>
            <w:r>
              <w:rPr>
                <w:rFonts w:ascii="宋体" w:hAnsi="宋体"/>
                <w:b/>
                <w:sz w:val="24"/>
              </w:rPr>
              <w:t xml:space="preserve">投标文件中</w:t>
            </w:r>
            <w:r>
              <w:rPr>
                <w:rFonts w:hint="eastAsia" w:asciiTheme="minorEastAsia" w:hAnsiTheme="minorEastAsia" w:eastAsiaTheme="minorEastAsia"/>
                <w:b/>
                <w:sz w:val="24"/>
                <w:szCs w:val="24"/>
              </w:rPr>
              <w:t xml:space="preserve">提供对接服务承诺函并加盖投标人公章）</w:t>
            </w:r>
            <w:r/>
          </w:p>
          <w:p>
            <w:pPr>
              <w:pStyle w:val="870"/>
              <w:ind w:left="0" w:firstLine="0"/>
              <w:spacing w:after="0"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6.支持根据不同的应用、目标IP、时间段、日期、用户/用户组、位置、终端类型来保证或者限制流量。</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区县法院互联网行为管控平台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1.支持分析显示接入用户人数、终端类型、资产类型分布、终端违规用户排行等内容。</w:t>
            </w:r>
            <w:r/>
          </w:p>
          <w:p>
            <w:pPr>
              <w:pStyle w:val="860"/>
              <w:ind w:firstLine="0"/>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▲2.支持SSL加密网页的内容检查，可对SSL加密网页进行解密并识别、过滤其内容，针对加密后的钓鱼网站、非法网站，可对用户进行重定向告警。</w:t>
            </w:r>
            <w:r/>
          </w:p>
          <w:p>
            <w:pPr>
              <w:pStyle w:val="860"/>
              <w:ind w:firstLine="0"/>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（提供自主知识产权证明等材料并加盖投标人公章。证明材料须体现符合上述技术指标要求）</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支持Web访问质量审计检测功能，能够实时监测内网用户网页访问的各类质量指标，精准识别网页访问异常、网络卡顿、访问超时等问题，结合全网检测数据完成整体网络质量综合评级，为网络优化、运维调优提供数据支撑。</w:t>
            </w:r>
            <w:r/>
          </w:p>
          <w:p>
            <w:pPr>
              <w:pStyle w:val="870"/>
              <w:ind w:left="0" w:firstLine="0"/>
              <w:spacing w:after="0" w:line="400" w:lineRule="exact"/>
              <w:rPr>
                <w:rFonts w:hint="eastAsia"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▲4.支持提供对接</w:t>
            </w:r>
            <w:r>
              <w:rPr>
                <w:rFonts w:asciiTheme="minorEastAsia" w:hAnsiTheme="minorEastAsia" w:eastAsiaTheme="minorEastAsia"/>
                <w:sz w:val="24"/>
                <w:szCs w:val="24"/>
              </w:rPr>
              <w:t xml:space="preserve">统一运营分析</w:t>
            </w:r>
            <w:r>
              <w:rPr>
                <w:rFonts w:hint="eastAsia" w:asciiTheme="minorEastAsia" w:hAnsiTheme="minorEastAsia" w:eastAsiaTheme="minorEastAsia"/>
                <w:sz w:val="24"/>
                <w:szCs w:val="24"/>
              </w:rPr>
              <w:t xml:space="preserve">平台服务，实现数据的统一分析和治理，提高网络安全风险排查和处置的实效性。</w:t>
            </w:r>
            <w:r/>
          </w:p>
          <w:p>
            <w:pPr>
              <w:pStyle w:val="870"/>
              <w:ind w:left="0" w:firstLine="0"/>
              <w:spacing w:after="0" w:line="400" w:lineRule="exact"/>
              <w:rPr>
                <w:rFonts w:cs="宋体" w:asciiTheme="minorEastAsia" w:hAnsiTheme="minorEastAsia" w:eastAsiaTheme="minorEastAsia"/>
                <w:color w:val="000000"/>
                <w:sz w:val="24"/>
                <w:szCs w:val="24"/>
              </w:rPr>
            </w:pPr>
            <w:r>
              <w:rPr>
                <w:rFonts w:hint="eastAsia" w:asciiTheme="minorEastAsia" w:hAnsiTheme="minorEastAsia" w:eastAsiaTheme="minorEastAsia"/>
                <w:b/>
                <w:sz w:val="24"/>
                <w:szCs w:val="24"/>
              </w:rPr>
              <w:t xml:space="preserve">（</w:t>
            </w:r>
            <w:r>
              <w:rPr>
                <w:rFonts w:ascii="宋体" w:hAnsi="宋体"/>
                <w:b/>
                <w:sz w:val="24"/>
              </w:rPr>
              <w:t xml:space="preserve">投标文件中</w:t>
            </w:r>
            <w:r>
              <w:rPr>
                <w:rFonts w:hint="eastAsia" w:asciiTheme="minorEastAsia" w:hAnsiTheme="minorEastAsia" w:eastAsiaTheme="minorEastAsia"/>
                <w:b/>
                <w:sz w:val="24"/>
                <w:szCs w:val="24"/>
              </w:rPr>
              <w:t xml:space="preserve">提供对接服务承诺函并加盖投标人公章）</w:t>
            </w:r>
            <w:r/>
          </w:p>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5.支持根据不同的应用、目标IP、时间段、日期、用户/用户组、位置、终端类型来保证或者限制流量。</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网络安全值守服务</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1.攻防演练期间提供全市法院互联网侧资产的安全托管服务，提供7*24小时值守服务。</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cs="宋体" w:asciiTheme="minorEastAsia" w:hAnsiTheme="minorEastAsia"/>
                <w:color w:val="000000"/>
                <w:sz w:val="24"/>
                <w:szCs w:val="24"/>
              </w:rPr>
              <w:t xml:space="preserve">2.针对对法院服务资产开展互联网暴露面探测，以梳理资产面向互联网的开放情况，快速发现违规暴露在互联网中的资产及存在的风险并进行处置，实现对暴露面资产可管可控，降低暴露面资产的风险。</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pStyle w:val="860"/>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针对服务范围内资产扫描到的高危可利用漏洞，应当为法院做好每一个高危可利用漏洞的防护工作，包括但不限于为法院提供漏洞修复方案和安全设备防护策略，以及帮助法院配置防护规则，保证法院不因此出现重大事件和损失；</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4.为了保证安全监测的准确率和服务质量，所投厂商应当支持为法院自定义配置安全规则，以满足日益复杂的安全趋势所带来的安全监测需求；</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5.提供安全专家每月对法院的安全设备的防护策略进行检查，确保安全设备上的安全策略始终处于最优水平，针对威胁能起到最好的防护效果。</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6.为了保障服务质量和加强与法院的沟通，为法院配置一名经验丰富的安全专家作为专属服务经理，并且实时响应咨询的网络安全相关问题。</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为法院提供的服务成果展示门户，可以直观的管理服务过程中生产的服务报告和交付物，包括但不限于《准备阶段文件》、《特殊时期值守报告》、《运营周报》、《运营月报》、《运营季报》、《威胁情报》、《年度汇报》、《事件总结报告》。</w:t>
            </w:r>
            <w:r/>
          </w:p>
          <w:p>
            <w:pPr>
              <w:pStyle w:val="860"/>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8.支持实时接收法院现有的安全设备</w:t>
            </w:r>
            <w:r>
              <w:rPr>
                <w:rFonts w:hint="eastAsia" w:ascii="宋体" w:hAnsi="宋体" w:cs="宋体"/>
                <w:color w:val="000000"/>
                <w:sz w:val="24"/>
              </w:rPr>
              <w:t xml:space="preserve">（包括</w:t>
            </w:r>
            <w:r>
              <w:rPr>
                <w:rFonts w:ascii="宋体" w:hAnsi="宋体" w:cs="宋体"/>
                <w:color w:val="000000"/>
                <w:sz w:val="24"/>
              </w:rPr>
              <w:t xml:space="preserve">天融信防火墙、深信服态势感知、网御光闸等设备</w:t>
            </w:r>
            <w:r>
              <w:rPr>
                <w:rFonts w:hint="eastAsia" w:ascii="宋体" w:hAnsi="宋体" w:cs="宋体"/>
                <w:color w:val="000000"/>
                <w:sz w:val="24"/>
              </w:rPr>
              <w:t xml:space="preserve">）</w:t>
            </w:r>
            <w:r>
              <w:rPr>
                <w:rFonts w:hint="eastAsia" w:cs="宋体" w:asciiTheme="minorEastAsia" w:hAnsiTheme="minorEastAsia" w:eastAsiaTheme="minorEastAsia"/>
                <w:color w:val="000000"/>
                <w:sz w:val="24"/>
              </w:rPr>
              <w:t xml:space="preserve">检测到的安全事件信息以及安全日志数据，并提供7*24小时的分析、监测、处置等服务。</w:t>
            </w:r>
            <w:r/>
          </w:p>
          <w:p>
            <w:pPr>
              <w:pStyle w:val="860"/>
              <w:ind w:firstLine="0"/>
              <w:jc w:val="both"/>
              <w:spacing w:line="400" w:lineRule="exact"/>
              <w:rPr>
                <w:rFonts w:asciiTheme="minorEastAsia" w:hAnsiTheme="minorEastAsia" w:eastAsiaTheme="minorEastAsia"/>
                <w:sz w:val="24"/>
              </w:rPr>
            </w:pPr>
            <w:r>
              <w:rPr>
                <w:rFonts w:hint="eastAsia" w:ascii="宋体" w:hAnsi="宋体" w:cs="宋体"/>
                <w:b/>
                <w:color w:val="000000"/>
                <w:sz w:val="24"/>
              </w:rPr>
              <w:t xml:space="preserve">（</w:t>
            </w:r>
            <w:r>
              <w:rPr>
                <w:rFonts w:ascii="宋体" w:hAnsi="宋体"/>
                <w:b/>
                <w:sz w:val="24"/>
              </w:rPr>
              <w:t xml:space="preserve">投标文件中提供对接支持的服务承诺函并加盖投标人公章</w:t>
            </w:r>
            <w:r>
              <w:rPr>
                <w:rFonts w:hint="eastAsia" w:ascii="宋体" w:hAnsi="宋体" w:cs="宋体"/>
                <w:b/>
                <w:color w:val="000000"/>
                <w:sz w:val="24"/>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统一运营分析平台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1.平台接入流量≥2000Mbps</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2.服务工具应当提供不少于40种策略检查工具，具备丰富的策略检查，能够排查安全设备防护策略配置的合理性。</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支持按日、周、月等时间周期展示风险总览、包括安全事件总览、资产统计、接入设备展示包括不仅限于防火墙、探针、终端安全防护、CWPP，待处置安全事件TOP5、XTH云端威胁狩猎报告总览、攻击面TOP5、脆弱性资产TOP5、风险资产分布及风险资产发生趋势、待处置安全事件分布及安全事件发生趋势。智能对抗统计及对抗场景分析，可展示智能对抗记录，清楚明晰下一步处置方向。</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4.支持不同安全视角展示7个独立的大屏展示功能 ，包括全网安全能力监控大屏、安全运维大屏、告警态势大屏、资产态势大屏等，支持配置大屏统计周期。</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5.支持对Windows终端采集：进程、网络、注册表、文件、服务、计划任务、账号、WMI、应用漏洞利用探针、API等信息。对Linux终端采集：文件、进程、驱动、系统调用、模块事件等信息。</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支持终端防护遥测数据采集：包含传统杀毒类日志、IOA类日志；</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6.为了确保安全事件的真实性，避免误报的可能，需提供云端专家轻量安全服务，进行持续的威胁狩猎，发现潜在威胁；在有攻击事件生成后，进行二次确认，通过Threat Hunting标签进行辨别，对热门威胁进行响应；</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asciiTheme="minorEastAsia" w:hAnsiTheme="minorEastAsia"/>
                <w:bCs/>
                <w:sz w:val="24"/>
                <w:szCs w:val="24"/>
              </w:rPr>
              <w:t xml:space="preserve">7</w:t>
            </w:r>
            <w:r>
              <w:rPr>
                <w:rFonts w:hint="eastAsia" w:cs="宋体" w:asciiTheme="minorEastAsia" w:hAnsiTheme="minorEastAsia"/>
                <w:color w:val="000000"/>
                <w:sz w:val="24"/>
                <w:szCs w:val="24"/>
              </w:rPr>
              <w:t xml:space="preserve">.为了更好的解读安全事件，方便运维人员快速处理，检测与响应平台平台支持对安全事件推送处置和响应建议，响应建议包括原理介绍、危害影响、处置建议。通过建议描述、业务影响标签和安全效果标签清晰明确指导下一步响应动作，可一键封禁IP、隔离主机等。支持安全GPT在线解读事件。</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asciiTheme="minorEastAsia" w:hAnsiTheme="minorEastAsia"/>
                <w:sz w:val="24"/>
                <w:szCs w:val="24"/>
              </w:rPr>
              <w:t xml:space="preserve">8</w:t>
            </w:r>
            <w:r>
              <w:rPr>
                <w:rFonts w:hint="eastAsia" w:cs="宋体" w:asciiTheme="minorEastAsia" w:hAnsiTheme="minorEastAsia"/>
                <w:color w:val="000000"/>
                <w:sz w:val="24"/>
                <w:szCs w:val="24"/>
              </w:rPr>
              <w:t xml:space="preserve">.为了更为精准的溯源和可视化，支持通过安全事件详情查看攻击故事线。安全事件按照攻击入口和进程树的视角进行安全分析。可详细点开进程链中任意进程查看进程详情，包括基础信息、威胁告警、网络连接行为、文件行为、域名访问行为、模块加载行为，并且自带解码工具。</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9.支持威胁模拟功能， 可以可通过“威胁模拟”功能生成样例事件或运行测试脚本产生告警、事件，从而体验安全事件的分析、研判功能。</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支持告警智能定性分析，通过分析告警的上下文关联、时序关系、历史告警发生的频率规律性，结合威胁情报与安全专家经验对当前的安全告警进行目的性确认、从而确认安全告警的优先级顺序，帮助安全人员高效的完成攻击告警的运营工作。</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11.支持对漏洞详情进行展示、包括危害程度、漏洞爆发时间、CVE-ID、CNNVD-ID、威胁标签、漏洞介绍、影响组件、情报来源、漏洞活跃趋势及官方修复处置建议、处置建议。</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12.支持智能调查功能，通过对威胁情报以及威胁实体IP、域名、MD5的检索，自动进行统计分析，提供全局威胁狩猎，进行快速调查溯源。</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cs="宋体" w:asciiTheme="minorEastAsia" w:hAnsiTheme="minorEastAsia"/>
                <w:color w:val="000000"/>
                <w:sz w:val="24"/>
                <w:szCs w:val="24"/>
              </w:rPr>
              <w:t xml:space="preserve">13.为了提高人员的安全防范意识，平台支持可视化、免费的钓鱼演练工具。根据钓鱼演练的性质以及组织属性选择合适的钓鱼邮件模版，常见的钓鱼邮件种类可大致分为财务钓鱼、放假通知钓鱼、漏洞自检钓鱼、简历钓鱼等。</w:t>
            </w:r>
            <w:r/>
          </w:p>
          <w:p>
            <w:pPr>
              <w:spacing w:line="400" w:lineRule="exact"/>
              <w:rPr>
                <w:rFonts w:asciiTheme="minorEastAsia" w:hAnsiTheme="minorEastAsia"/>
                <w:b/>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6</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宋体" w:asciiTheme="minorEastAsia" w:hAnsiTheme="minorEastAsia"/>
                <w:sz w:val="24"/>
                <w:szCs w:val="24"/>
              </w:rPr>
              <w:t xml:space="preserve">终端防护软件</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需能够对法院外网业务系统账号信息进行梳理，了解账号权限分布概况以及风险账号分布情况，可按照隐藏账号、弱密码账号、可疑root权限账号、长期未使用账号、夜间登录、多IP登录进行账号分类查看，支持统计最近一年未修改密码的账户。</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2.支持对攻击事件深度分析，展示每步关键进程相关的文件行为、域名访问行为、进程操作行为、命令行参数等攻击相关的关键行为，帮助用户快速了解攻击者操作，洞悉目的和危害面。</w:t>
            </w:r>
            <w:r/>
          </w:p>
          <w:p>
            <w:pPr>
              <w:pStyle w:val="860"/>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3.支持为同厂商的防火墙提供溯源举证功能，即本产品检测到僵木蠕毒的恶意域名访问时，会共享事件信息给同厂商的防火墙，且可以在防火墙侧进行威胁事件的溯源分析。</w:t>
            </w:r>
            <w:r/>
          </w:p>
          <w:p>
            <w:pPr>
              <w:pStyle w:val="860"/>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b/>
                <w:color w:val="000000"/>
                <w:sz w:val="24"/>
              </w:rPr>
              <w:t xml:space="preserve">（</w:t>
            </w:r>
            <w:r>
              <w:rPr>
                <w:rFonts w:hint="eastAsia" w:asciiTheme="minorEastAsia" w:hAnsiTheme="minorEastAsia" w:eastAsiaTheme="minorEastAsia"/>
                <w:b/>
                <w:sz w:val="24"/>
              </w:rPr>
              <w:t xml:space="preserve">投标文件中提供</w:t>
            </w:r>
            <w:r>
              <w:rPr>
                <w:rFonts w:hint="eastAsia" w:cs="宋体" w:asciiTheme="minorEastAsia" w:hAnsiTheme="minorEastAsia" w:eastAsiaTheme="minorEastAsia"/>
                <w:b/>
                <w:color w:val="000000"/>
                <w:sz w:val="24"/>
              </w:rPr>
              <w:t xml:space="preserve">防火墙产品的联动溯源举证</w:t>
            </w:r>
            <w:r>
              <w:rPr>
                <w:rFonts w:hint="eastAsia" w:asciiTheme="minorEastAsia" w:hAnsiTheme="minorEastAsia" w:eastAsiaTheme="minorEastAsia"/>
                <w:b/>
                <w:sz w:val="24"/>
              </w:rPr>
              <w:t xml:space="preserve">功能截图并加盖投标人公章</w:t>
            </w:r>
            <w:r>
              <w:rPr>
                <w:rFonts w:hint="eastAsia" w:cs="宋体" w:asciiTheme="minorEastAsia" w:hAnsiTheme="minorEastAsia" w:eastAsiaTheme="minorEastAsia"/>
                <w:b/>
                <w:color w:val="000000"/>
                <w:sz w:val="24"/>
              </w:rPr>
              <w:t xml:space="preserve">）</w:t>
            </w:r>
            <w:r/>
          </w:p>
          <w:p>
            <w:pPr>
              <w:spacing w:line="400" w:lineRule="exact"/>
              <w:rPr>
                <w:rFonts w:asciiTheme="minorEastAsia" w:hAnsiTheme="minorEastAsia"/>
                <w:b/>
                <w:bCs/>
                <w:sz w:val="24"/>
                <w:szCs w:val="24"/>
              </w:rPr>
            </w:pPr>
            <w:r>
              <w:rPr>
                <w:rFonts w:hint="eastAsia" w:cs="宋体" w:asciiTheme="minorEastAsia" w:hAnsiTheme="minorEastAsia"/>
                <w:color w:val="000000"/>
                <w:sz w:val="24"/>
                <w:szCs w:val="24"/>
              </w:rPr>
              <w:t xml:space="preserve">4.通过智能识别终端环境情况（低配硬件、老旧设备等）和当前终端资源占用，在闲时实时监控和病毒扫描场景，智能调整客户端的资源占用（CPU、IO等），保障业务资源运行优先。</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7</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防火墙</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1.产品需支持路由类型、协议类型、网络对象、国家地区等条件进行自动选路的策略路由，支持不少于3种的调度算法，至少包括带宽比例、加权流量、线路优先等。</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2.在防病毒方面，需支持对SMTP、HTTP、FTP、SMB、POP3、HTTPS、IMAP等协议进行病毒防御。</w:t>
            </w:r>
            <w:r/>
          </w:p>
          <w:p>
            <w:pPr>
              <w:pStyle w:val="860"/>
              <w:ind w:firstLine="0"/>
              <w:jc w:val="left"/>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▲3.为确保防火墙具备人工智能引擎能力，能够快速拦截已知和未知的威胁，防火墙需支持云端未知威胁主动探测技术，实现5min内未知威胁情报全网设备下发。</w:t>
            </w:r>
            <w:r/>
          </w:p>
          <w:p>
            <w:pPr>
              <w:pStyle w:val="860"/>
              <w:ind w:firstLine="0"/>
              <w:jc w:val="left"/>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（投标文件中提供国家认可的第三方检测机构出具的检测报告扫描件并加盖投标人公章）</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4.支持异常数据包攻击防御，防护类型包括IP数据块分片传输防护、Teardrop攻击防护、Smurf攻击防护、Land攻击防护、WinNuke攻击防护等攻击类型。产品支持对ICMP、UDP、DNS、SYN等协议进行DDOS防护。</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5.为确保法院核心系统的安全性，防火墙需支持勒索病毒检测与防御功能，能够应对大部分的勒索病毒攻击。</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6.支持僵尸主机检测功能，产品内置僵尸网络特征库超过百万种，可识别主机的异常外联行为。</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8</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流量采集探针</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1、具备主动发送少量探测报文，发现潜在的服务器（影子资产）以及学习服务器的基础信息，如：操作系统、开放的端口号等。</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支持IP，IP组，服务，访问时间等定义违规访问策略，主动建立针对性的业务和应用访问逻辑规则，针对目标IP（组）已开放的服务，白名单策略只允许白名单里的IP（组）在指定的时间内访问，其他时间或其他IP的访问均被视为违规，黑名单策略禁止黑名单里的IP（组）在指定的时间内访问，否则将被视为违规。</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3.具备报文检测引擎,可实现IP碎片重组、TCP流重组、应用层协议识别与解析等；具备多种的入侵攻击模式或恶意URL监测模式，可完成模式匹配并生成事件，可提取URL记录和域名记录。</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p>
          <w:p>
            <w:pPr>
              <w:pStyle w:val="860"/>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5.支持多种类型日志传输模式,包括标准模式、精简模式、高级模式、局域网模式、自定义模式等，以适应不同应用场景需求。</w:t>
            </w:r>
            <w:r/>
          </w:p>
          <w:p>
            <w:pPr>
              <w:pStyle w:val="860"/>
              <w:ind w:firstLine="0"/>
              <w:jc w:val="both"/>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w:t>
            </w:r>
            <w:r>
              <w:rPr>
                <w:rFonts w:hint="eastAsia" w:asciiTheme="minorEastAsia" w:hAnsiTheme="minorEastAsia" w:eastAsiaTheme="minorEastAsia"/>
                <w:b/>
                <w:sz w:val="24"/>
              </w:rPr>
              <w:t xml:space="preserve">投标文件中提供功能截图并加盖投标人公章</w:t>
            </w:r>
            <w:r>
              <w:rPr>
                <w:rFonts w:hint="eastAsia" w:cs="宋体" w:asciiTheme="minorEastAsia" w:hAnsiTheme="minorEastAsia" w:eastAsiaTheme="minorEastAsia"/>
                <w:b/>
                <w:color w:val="000000"/>
                <w:sz w:val="24"/>
              </w:rPr>
              <w:t xml:space="preserve">）</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6.支持传输安全检测日志，包括网络攻击检测日志、漏洞利用攻击检测日志、僵尸网络检测日志、业务弱点发现日志。</w:t>
            </w:r>
            <w:r/>
          </w:p>
        </w:tc>
      </w:tr>
    </w:tbl>
    <w:p>
      <w:pPr>
        <w:spacing w:line="360" w:lineRule="auto"/>
        <w:rPr>
          <w:rFonts w:asciiTheme="minorEastAsia" w:hAnsiTheme="minorEastAsia"/>
          <w:sz w:val="24"/>
          <w:szCs w:val="24"/>
        </w:rPr>
      </w:pPr>
      <w:r>
        <w:rPr>
          <w:rFonts w:hint="eastAsia" w:ascii="Calibri" w:hAnsi="Calibri" w:eastAsia="宋体" w:cs="Times New Roman"/>
          <w:szCs w:val="20"/>
        </w:rPr>
        <w:t xml:space="preserve">    </w:t>
      </w:r>
      <w:r>
        <w:rPr>
          <w:rFonts w:hint="eastAsia" w:asciiTheme="minorEastAsia" w:hAnsiTheme="minorEastAsia"/>
          <w:sz w:val="24"/>
          <w:szCs w:val="24"/>
        </w:rPr>
        <w:t xml:space="preserve">注：上述所有技术参数及功能指标中所要求的检测报告检测项与技术参数及功能指标中所列要求表述不完全一致，功能相近的，由评标委员会统一认定。</w:t>
      </w:r>
      <w:r/>
    </w:p>
    <w:p>
      <w:pPr>
        <w:ind w:firstLine="482"/>
        <w:spacing w:line="360" w:lineRule="auto"/>
        <w:rPr>
          <w:rFonts w:asciiTheme="minorEastAsia" w:hAnsiTheme="minorEastAsia"/>
          <w:sz w:val="24"/>
          <w:szCs w:val="24"/>
        </w:rPr>
      </w:pPr>
      <w:r>
        <w:rPr>
          <w:rFonts w:hint="eastAsia" w:cs="Times New Roman" w:asciiTheme="minorEastAsia" w:hAnsiTheme="minorEastAsia"/>
          <w:b/>
          <w:sz w:val="24"/>
        </w:rPr>
        <w:t xml:space="preserve">四、人员配备要求</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1.本项目实施团队需配备项目经理1人，其他技术人员不少于11人。项目团队成员要求如下：</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1.1项目经理</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中标人拟派项目经理需具有项目管理和网络安全相关工作经验，熟悉相关法规、行业标准，具备项目管理所需技能，负责对整个项目的进度及验收培训进行整体管理并协助采购人完成验收。</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项目经理应具有信息系统安全技术测试的基本知识，具有组织信息安全风险评估、信息安全风险管理、攻防策略、安全服务实施、网络安全策略制度制定和监督落实的知识和能力。</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1.2团队成员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中标人拟派团队成员均应具备网络安全相关工作经验，具备信息安全和数据安全保护工作的知识和技能，熟练掌握渗透测试相关知识和实践操作能力，能够履行合同中各项商务技术要求，能够在合同约定的时间内完成安装、调试、验收交付以及对应的服务内容，包括：</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）每次</w:t>
      </w:r>
      <w:r>
        <w:rPr>
          <w:rFonts w:hint="eastAsia" w:cs="Times New Roman" w:asciiTheme="minorEastAsia" w:hAnsiTheme="minorEastAsia"/>
          <w:color w:val="000000"/>
          <w:sz w:val="24"/>
          <w:szCs w:val="24"/>
        </w:rPr>
        <w:t xml:space="preserve">攻</w:t>
      </w:r>
      <w:r>
        <w:rPr>
          <w:rFonts w:cs="Times New Roman" w:asciiTheme="minorEastAsia" w:hAnsiTheme="minorEastAsia"/>
          <w:color w:val="000000"/>
          <w:sz w:val="24"/>
          <w:szCs w:val="24"/>
        </w:rPr>
        <w:t xml:space="preserve">防实战演练工作开展前，需制定保障工作整体方案及工作计划</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并制定应急预案以及应急预案演练；</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rPr>
        <w:t xml:space="preserve">法院体系</w:t>
      </w:r>
      <w:r>
        <w:rPr>
          <w:rFonts w:cs="Times New Roman" w:asciiTheme="minorEastAsia" w:hAnsiTheme="minorEastAsia"/>
          <w:color w:val="000000"/>
          <w:sz w:val="24"/>
          <w:szCs w:val="24"/>
        </w:rPr>
        <w:t xml:space="preserve">内</w:t>
      </w:r>
      <w:r>
        <w:rPr>
          <w:rFonts w:hint="eastAsia" w:cs="Times New Roman" w:asciiTheme="minorEastAsia" w:hAnsiTheme="minorEastAsia"/>
          <w:color w:val="000000"/>
          <w:sz w:val="24"/>
          <w:szCs w:val="24"/>
        </w:rPr>
        <w:t xml:space="preserve">现有</w:t>
      </w:r>
      <w:r>
        <w:rPr>
          <w:rFonts w:cs="Times New Roman" w:asciiTheme="minorEastAsia" w:hAnsiTheme="minorEastAsia"/>
          <w:color w:val="000000"/>
          <w:sz w:val="24"/>
          <w:szCs w:val="24"/>
        </w:rPr>
        <w:t xml:space="preserve">网络、资产进行梳理，在已有梳理结果上进行补充完善；</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）开展漏洞扫描、渗透测试、入侵排查，</w:t>
      </w:r>
      <w:r>
        <w:rPr>
          <w:rFonts w:hint="eastAsia" w:cs="Times New Roman" w:asciiTheme="minorEastAsia" w:hAnsiTheme="minorEastAsia"/>
          <w:color w:val="000000"/>
          <w:sz w:val="24"/>
          <w:szCs w:val="24"/>
        </w:rPr>
        <w:t xml:space="preserve">同时</w:t>
      </w:r>
      <w:r>
        <w:rPr>
          <w:rFonts w:cs="Times New Roman" w:asciiTheme="minorEastAsia" w:hAnsiTheme="minorEastAsia"/>
          <w:color w:val="000000"/>
          <w:sz w:val="24"/>
          <w:szCs w:val="24"/>
        </w:rPr>
        <w:t xml:space="preserve">进行防护能力评估和安全加固开展，</w:t>
      </w:r>
      <w:r>
        <w:rPr>
          <w:rFonts w:hint="eastAsia" w:cs="Times New Roman" w:asciiTheme="minorEastAsia" w:hAnsiTheme="minorEastAsia"/>
          <w:color w:val="000000"/>
          <w:sz w:val="24"/>
          <w:szCs w:val="24"/>
        </w:rPr>
        <w:t xml:space="preserve">以及本次服务期间的</w:t>
      </w:r>
      <w:r>
        <w:rPr>
          <w:rFonts w:cs="Times New Roman" w:asciiTheme="minorEastAsia" w:hAnsiTheme="minorEastAsia"/>
          <w:color w:val="000000"/>
          <w:sz w:val="24"/>
          <w:szCs w:val="24"/>
        </w:rPr>
        <w:t xml:space="preserve">安全设备和防护系统部署；</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）建立协同防守团队，在演练开展期间，提供7*24H人员安全值守、入侵攻击监测，做到攻击研判，开展入侵事件应急处置，并按应急预案开展应急处置；</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（5）根据</w:t>
      </w:r>
      <w:r>
        <w:rPr>
          <w:rFonts w:cs="Times New Roman" w:asciiTheme="minorEastAsia" w:hAnsiTheme="minorEastAsia"/>
          <w:color w:val="000000"/>
          <w:sz w:val="24"/>
          <w:szCs w:val="24"/>
        </w:rPr>
        <w:t xml:space="preserve">实战</w:t>
      </w:r>
      <w:r>
        <w:rPr>
          <w:rFonts w:hint="eastAsia" w:cs="Times New Roman" w:asciiTheme="minorEastAsia" w:hAnsiTheme="minorEastAsia"/>
          <w:color w:val="000000"/>
          <w:sz w:val="24"/>
          <w:szCs w:val="24"/>
        </w:rPr>
        <w:t xml:space="preserve">情况</w:t>
      </w:r>
      <w:r>
        <w:rPr>
          <w:rFonts w:cs="Times New Roman" w:asciiTheme="minorEastAsia" w:hAnsiTheme="minorEastAsia"/>
          <w:color w:val="000000"/>
          <w:sz w:val="24"/>
          <w:szCs w:val="24"/>
        </w:rPr>
        <w:t xml:space="preserve">，总结攻击方式方法，分析安全防护缺陷，指导安全建设和安全防护能力提升。</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2.项目团队成员分工</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（1）攻防演练期间提供一组防守队，配备至少3名防守成员。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（2）攻防演练期间提供一组攻击队，配备至少6名攻击成员。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（3）提供一组巡检队，配备至少2名成员，每季度至少对全市法院进行一次网络安全和数据安全巡检。</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五、服务期限与项目进度安排</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w:t>
      </w:r>
      <w:r>
        <w:rPr>
          <w:rFonts w:hint="eastAsia" w:asciiTheme="minorEastAsia" w:hAnsiTheme="minorEastAsia"/>
          <w:sz w:val="24"/>
          <w:szCs w:val="24"/>
        </w:rPr>
        <w:t xml:space="preserve">12个月（合同约定时间为准）</w:t>
      </w:r>
      <w:r>
        <w:rPr>
          <w:rFonts w:hint="eastAsia" w:ascii="宋体" w:hAnsi="宋体" w:eastAsia="宋体" w:cs="Times New Roman"/>
          <w:color w:val="000000"/>
          <w:sz w:val="24"/>
          <w:szCs w:val="24"/>
        </w:rPr>
        <w:t xml:space="preserve">。服务供应商应在合同签订后按季度、按专项、按事件输出相应工作成果，全年组织开展不少于4轮“两高一弱”专业巡检，并按采购人要求保障重点时期、攻防演练等专项工作，确保各项服务按时、保质完成。</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六、服务标准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成果应达到以下标准：问题描述准确、风险分级清晰、整改建议可执行、处置过程可追溯、数据引用有依据、结论建议有针对性。对整改类问题形成台账并跟踪闭环；对互联网行为管控类问题明确涉及用户、终端、访问对象、策略动作和处置结果；对实战演练和重大事件形成复盘分析和能力提升建议；对全市法院共性风险提出统一的制度化、机制化和技术化改进方向。常规成果包括季度巡检报告、漏洞防护处置清单、数据分析简报、行为审计分析报告、事件处置记录、保障报告、演练报告、培训材料、专题分析报告和年度总结报告等。</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七、培训要求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面向中院及基层法院管理人员、技术人员和普通用户开展网络安全培训与案例宣贯，每年不少于1次，内容涵盖“两高一弱”防范、高危漏洞应对、钓鱼邮件识别、终端安全使用、账号口令管理、互联网访问规范、敏感数据保护和攻防演练经验总结等，促进人员安全意识和管理水平共同提升。</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八、知识产权归属和处理方式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本项目服务过程中形成的资产台账、漏洞数据、日志、分析报告等资料，其所有权及知识产权归采购人所有。</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九、履约验收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结合分期考核情况对服务供应商进行绩效评价。考核内容包括：巡检频次与覆盖面、漏洞发现与处置闭环率、安全事件响应时效、互联网行为管控效果、数据分析与通报质量、攻防演练支撑表现、培训与成果交付情况等。对季度巡检、漏洞处置、互联网行为治理、重点保障和实战演练中形成的有效做法，应及时沉淀为标准化工作模板、检查清单和处置流程；对重复性问题、长期未整改问题、跨单位共性问题和互联网出口高频违规行为进行持续跟踪，定期反馈整改进度与风险变化情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服务期满或按合同约定阶段，由采购人组织履约验收，依据服务成果（各类报告、台账、记录等）及本文件规定的服务标准进行考核，验收合格后方可支付相应款项。分期实施的，结合分期考核情况履约验收。</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十、付款方式与履约保证金</w:t>
      </w:r>
      <w:r/>
    </w:p>
    <w:p>
      <w:pPr>
        <w:ind w:firstLine="480"/>
        <w:jc w:val="left"/>
        <w:spacing w:line="360" w:lineRule="auto"/>
        <w:rPr>
          <w:rFonts w:ascii="宋体" w:hAnsi="宋体"/>
          <w:color w:val="000000"/>
          <w:sz w:val="24"/>
          <w:szCs w:val="24"/>
        </w:rPr>
      </w:pPr>
      <w:r>
        <w:rPr>
          <w:rFonts w:hint="eastAsia" w:ascii="宋体" w:hAnsi="宋体" w:eastAsia="宋体" w:cs="Times New Roman"/>
          <w:color w:val="000000"/>
          <w:sz w:val="24"/>
          <w:szCs w:val="24"/>
        </w:rPr>
        <w:t xml:space="preserve">1.付款方式：</w:t>
      </w:r>
      <w:r>
        <w:rPr>
          <w:rFonts w:hint="eastAsia" w:ascii="宋体" w:hAnsi="宋体"/>
          <w:color w:val="000000"/>
          <w:sz w:val="24"/>
          <w:szCs w:val="24"/>
        </w:rPr>
        <w:t xml:space="preserve">本项目服务费按服务进度及考核结果分期支付，合同签订后一个月内支付至合同价的30%，服务6个月后支付至合同价的60%，服务期满一个月内支付至合同价的100%。</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2.履约保证金：本项目不收取履约保证金。</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十三、报价要求及其他</w:t>
      </w:r>
      <w:r/>
    </w:p>
    <w:p>
      <w:pPr>
        <w:ind w:firstLine="480"/>
        <w:jc w:val="left"/>
        <w:spacing w:line="360" w:lineRule="auto"/>
        <w:rPr>
          <w:rFonts w:ascii="宋体" w:hAnsi="宋体" w:eastAsia="宋体" w:cs="Times New Roman"/>
          <w:color w:val="000000"/>
          <w:sz w:val="24"/>
          <w:szCs w:val="24"/>
        </w:rPr>
      </w:pPr>
      <w:r>
        <w:rPr>
          <w:rFonts w:hint="eastAsia" w:cs="Times New Roman" w:asciiTheme="minorEastAsia" w:hAnsiTheme="minorEastAsia"/>
          <w:bCs/>
          <w:sz w:val="24"/>
          <w:szCs w:val="24"/>
        </w:rPr>
        <w:t xml:space="preserve">1.报价币种为人民币，投标总价不能超过预算金额。</w:t>
      </w:r>
      <w:r>
        <w:rPr>
          <w:rFonts w:hint="eastAsia" w:ascii="宋体" w:hAnsi="宋体" w:eastAsia="宋体" w:cs="Times New Roman"/>
          <w:color w:val="000000"/>
          <w:sz w:val="24"/>
          <w:szCs w:val="24"/>
        </w:rPr>
        <w:t xml:space="preserve">应根据国家收费标准并结合市场实际进行报价，总价包干。</w:t>
      </w:r>
      <w:r/>
    </w:p>
    <w:p>
      <w:pPr>
        <w:ind w:firstLine="480"/>
        <w:jc w:val="left"/>
        <w:spacing w:line="360" w:lineRule="auto"/>
        <w:rPr>
          <w:rFonts w:cs="Times New Roman" w:asciiTheme="minorEastAsia" w:hAnsiTheme="minorEastAsia"/>
          <w:b/>
          <w:color w:val="000000"/>
          <w:sz w:val="28"/>
          <w:szCs w:val="28"/>
        </w:rPr>
      </w:pPr>
      <w:r>
        <w:rPr>
          <w:rFonts w:hint="eastAsia" w:cs="Times New Roman" w:asciiTheme="minorEastAsia" w:hAnsiTheme="minorEastAsia"/>
          <w:bCs/>
          <w:sz w:val="24"/>
          <w:szCs w:val="24"/>
        </w:rPr>
        <w:t xml:space="preserve">2.投标报价须包含但不限于软件系统运维、人员、网络安全监测、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4.本项目中标人不得将服务转包；未经采购人同意，不得将服务分包。服务过程中形成的资产台账、漏洞数据、日志、报告等资料所有权及知识产权归采购人所有，供应商应严格保密。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5.市中院及各县、区法院分摊支付情况</w:t>
      </w:r>
      <w:r/>
    </w:p>
    <w:p>
      <w:pPr>
        <w:ind w:firstLine="482"/>
        <w:spacing w:after="156" w:line="360" w:lineRule="auto"/>
        <w:rPr>
          <w:rFonts w:ascii="宋体" w:hAnsi="宋体"/>
          <w:b/>
          <w:bCs/>
          <w:color w:val="000000"/>
          <w:sz w:val="24"/>
        </w:rPr>
      </w:pPr>
      <w:r>
        <w:rPr>
          <w:rFonts w:hint="eastAsia" w:ascii="宋体" w:hAnsi="宋体"/>
          <w:b/>
          <w:bCs/>
          <w:color w:val="000000"/>
          <w:sz w:val="24"/>
        </w:rPr>
        <w:t xml:space="preserve">具体</w:t>
      </w:r>
      <w:bookmarkStart w:id="10" w:name="OLE_LINK4"/>
      <w:r>
        <w:rPr>
          <w:rFonts w:hint="eastAsia" w:ascii="宋体" w:hAnsi="宋体"/>
          <w:b/>
          <w:bCs/>
          <w:color w:val="000000"/>
          <w:sz w:val="24"/>
        </w:rPr>
        <w:t xml:space="preserve">市中院及各县、区</w:t>
      </w:r>
      <w:bookmarkEnd w:id="10"/>
      <w:r>
        <w:rPr>
          <w:rFonts w:hint="eastAsia" w:ascii="宋体" w:hAnsi="宋体"/>
          <w:b/>
          <w:bCs/>
          <w:color w:val="000000"/>
          <w:sz w:val="24"/>
        </w:rPr>
        <w:t xml:space="preserve">法院采购项目预算金额如下：</w:t>
      </w:r>
      <w:r/>
    </w:p>
    <w:tbl>
      <w:tblPr>
        <w:tblStyle w:val="857"/>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498"/>
        <w:gridCol w:w="2015"/>
      </w:tblGrid>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序号</w:t>
            </w:r>
            <w:r/>
          </w:p>
        </w:tc>
        <w:tc>
          <w:tcPr>
            <w:tcW w:w="5498"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单位名称</w:t>
            </w:r>
            <w:r/>
          </w:p>
        </w:tc>
        <w:tc>
          <w:tcPr>
            <w:tcW w:w="2015"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sz w:val="24"/>
                <w:szCs w:val="24"/>
              </w:rPr>
              <w:t xml:space="preserve">预算金额（万元）</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江苏省连云港市中级人民法院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27.5</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东海县人民法院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灌云县人民法院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灌南县人民法院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334"/>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连云港市赣榆区人民法院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连云港市海州区人民法院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7</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连云港市连云区人民法院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8</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连云港经济技术开发区人民法院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gridSpan w:val="2"/>
            <w:tcW w:w="6554"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合计</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109.5</w:t>
            </w:r>
            <w:r/>
          </w:p>
        </w:tc>
      </w:tr>
    </w:tbl>
    <w:p>
      <w:pPr>
        <w:ind w:firstLine="480"/>
        <w:spacing w:line="52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经评审后确定的中标人需分别与市中院及各县、区相关单位签订服务合同,合同金额根据中标金额等比例分签。</w:t>
      </w:r>
      <w:r/>
    </w:p>
    <w:p>
      <w:pPr>
        <w:pStyle w:val="858"/>
      </w:pPr>
      <w:r/>
      <w:r/>
    </w:p>
    <w:p>
      <w:pPr>
        <w:pStyle w:val="858"/>
        <w:rPr>
          <w:rFonts w:eastAsia="宋体"/>
        </w:rPr>
      </w:pPr>
      <w:r>
        <w:rPr>
          <w:rFonts w:eastAsia="宋体"/>
        </w:r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ind w:firstLine="0"/>
      </w:pPr>
      <w:r/>
      <w:r/>
    </w:p>
    <w:p>
      <w:pPr>
        <w:pStyle w:val="853"/>
        <w:ind w:firstLine="880"/>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本项目两个采购包服务内容及要求不同，允许兼投兼中。评标的顺序按照一、二采购包依次进行，中标顺序根据评标顺序确定。</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每个采购包评标结果按评审后得分由高到低顺序排列。得分相同的，按投标报价由低到高顺序排列。得分且投标报价相同的并列。评标委员会按照评审得分由高到低顺序推荐3名中标候选人。</w:t>
      </w:r>
      <w:r/>
    </w:p>
    <w:p>
      <w:pPr>
        <w:jc w:val="left"/>
        <w:spacing w:line="500" w:lineRule="exact"/>
        <w:rPr>
          <w:sz w:val="24"/>
          <w:szCs w:val="24"/>
        </w:rPr>
      </w:pPr>
      <w:r>
        <w:rPr>
          <w:sz w:val="24"/>
          <w:szCs w:val="24"/>
        </w:rPr>
      </w:r>
      <w:r/>
    </w:p>
    <w:p>
      <w:pPr>
        <w:jc w:val="center"/>
        <w:spacing w:line="500" w:lineRule="exact"/>
        <w:rPr>
          <w:rFonts w:ascii="宋体" w:hAnsi="宋体" w:eastAsia="宋体" w:cs="宋体"/>
          <w:b/>
          <w:bCs/>
          <w:sz w:val="28"/>
          <w:szCs w:val="28"/>
        </w:rPr>
      </w:pPr>
      <w:r>
        <w:rPr>
          <w:rFonts w:hint="eastAsia" w:ascii="宋体" w:hAnsi="宋体" w:eastAsia="宋体" w:cs="宋体"/>
          <w:b/>
          <w:bCs/>
          <w:sz w:val="28"/>
          <w:szCs w:val="28"/>
        </w:rPr>
        <w:t xml:space="preserve">采购包1</w:t>
      </w:r>
      <w:r/>
    </w:p>
    <w:p>
      <w:pPr>
        <w:pStyle w:val="858"/>
        <w:ind w:firstLine="0"/>
        <w:rPr>
          <w:rFonts w:ascii="宋体" w:hAnsi="宋体" w:eastAsia="宋体" w:cs="宋体"/>
          <w:b/>
          <w:bCs/>
          <w:sz w:val="28"/>
          <w:szCs w:val="28"/>
        </w:rPr>
      </w:pPr>
      <w:r>
        <w:rPr>
          <w:rFonts w:ascii="宋体" w:hAnsi="宋体" w:eastAsia="宋体" w:cs="宋体"/>
          <w:b/>
          <w:bCs/>
          <w:sz w:val="28"/>
          <w:szCs w:val="28"/>
        </w:rPr>
      </w:r>
      <w:r/>
    </w:p>
    <w:p>
      <w:pPr>
        <w:jc w:val="center"/>
        <w:spacing w:line="500" w:lineRule="exact"/>
        <w:rPr>
          <w:rFonts w:asciiTheme="minorEastAsia" w:hAnsiTheme="minorEastAsia"/>
          <w:b/>
          <w:sz w:val="24"/>
          <w:szCs w:val="24"/>
        </w:rPr>
      </w:pPr>
      <w:r>
        <w:rPr>
          <w:rFonts w:hint="eastAsia" w:ascii="黑体" w:hAnsi="黑体" w:eastAsia="黑体"/>
          <w:sz w:val="32"/>
          <w:szCs w:val="24"/>
        </w:rPr>
        <w:t xml:space="preserve">综合评分法</w:t>
      </w:r>
      <w:r/>
    </w:p>
    <w:p>
      <w:pPr>
        <w:ind w:firstLine="482"/>
        <w:jc w:val="left"/>
        <w:spacing w:line="500" w:lineRule="exact"/>
      </w:pPr>
      <w:r>
        <w:rPr>
          <w:rFonts w:hint="eastAsia" w:asciiTheme="minorEastAsia" w:hAnsiTheme="minorEastAsia"/>
          <w:b/>
          <w:sz w:val="24"/>
          <w:szCs w:val="24"/>
        </w:rPr>
        <w:t xml:space="preserve">1.价格分（20分）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投标报价得分=（评标基准价/投标报价）×20分。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2.商务分（38分）</w:t>
      </w:r>
      <w:r/>
    </w:p>
    <w:tbl>
      <w:tblPr>
        <w:tblStyle w:val="85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项目负责人</w:t>
            </w:r>
            <w:r/>
          </w:p>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（3分）</w:t>
            </w:r>
            <w:r/>
          </w:p>
        </w:tc>
        <w:tc>
          <w:tcPr>
            <w:tcW w:w="6493" w:type="dxa"/>
            <w:vAlign w:val="center"/>
            <w:textDirection w:val="lrTb"/>
            <w:noWrap w:val="false"/>
          </w:tcPr>
          <w:p>
            <w:pPr>
              <w:spacing w:line="44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拟派项目负责人须为供应商单位正式员工，具有计算机技术与软件专业技术资格（软考）证书高级或计算机类职称证书（高级）的</w:t>
            </w:r>
            <w:r>
              <w:rPr>
                <w:rFonts w:hint="eastAsia" w:asciiTheme="minorEastAsia" w:hAnsiTheme="minorEastAsia" w:cstheme="minorEastAsia"/>
                <w:b/>
                <w:bCs/>
                <w:sz w:val="24"/>
                <w:szCs w:val="24"/>
              </w:rPr>
              <w:t xml:space="preserve">得3分</w:t>
            </w:r>
            <w:r>
              <w:rPr>
                <w:rFonts w:hint="eastAsia" w:asciiTheme="minorEastAsia" w:hAnsiTheme="minorEastAsia" w:cstheme="minorEastAsia"/>
                <w:sz w:val="24"/>
                <w:szCs w:val="24"/>
              </w:rPr>
              <w:t xml:space="preserve">。</w:t>
            </w:r>
            <w:r/>
          </w:p>
          <w:p>
            <w:pPr>
              <w:spacing w:line="440" w:lineRule="exact"/>
              <w:tabs>
                <w:tab w:val="left" w:pos="829" w:leader="none"/>
              </w:tabs>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（投标文件中同时提供如下证明材料：（1）2026年1月1日以来任意1个月由投标人为其缴纳的社保证明材料；（2）有效证书扫描件，上述证明材料加盖投标人公章，否则不得分）</w:t>
            </w:r>
            <w:r/>
          </w:p>
          <w:p>
            <w:pPr>
              <w:spacing w:line="44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b/>
                <w:bCs/>
                <w:sz w:val="24"/>
                <w:szCs w:val="24"/>
                <w:highlight w:val="none"/>
              </w:rPr>
              <w:t xml:space="preserve">注：计算机技术与软件专业技术资格（软考）证书高级包含：系统分析师、系统架构设计师、信息系统项目管理师</w:t>
            </w:r>
            <w:r>
              <w:rPr>
                <w:rFonts w:hint="eastAsia" w:asciiTheme="minorEastAsia" w:hAnsiTheme="minorEastAsia" w:cstheme="minorEastAsia"/>
                <w:b/>
                <w:bCs/>
                <w:sz w:val="24"/>
                <w:szCs w:val="24"/>
                <w:highlight w:val="none"/>
                <w:lang w:eastAsia="zh-CN"/>
              </w:rPr>
              <w:t xml:space="preserve">、系统规划与管理师、网络规划设计师（网规）</w:t>
            </w:r>
            <w:r>
              <w:rPr>
                <w:rFonts w:hint="eastAsia" w:asciiTheme="minorEastAsia" w:hAnsiTheme="minorEastAsia" w:cstheme="minorEastAsia"/>
                <w:b/>
                <w:bCs/>
                <w:sz w:val="24"/>
                <w:szCs w:val="24"/>
                <w:highlight w:val="none"/>
              </w:rPr>
              <w:t xml:space="preserve">。计算机类职称证书由评委会统一认定后给予得分。</w:t>
            </w:r>
            <w:r/>
          </w:p>
        </w:tc>
      </w:tr>
      <w:tr>
        <w:trPr>
          <w:jc w:val="center"/>
          <w:trHeight w:val="621"/>
        </w:trPr>
        <w:tc>
          <w:tcPr>
            <w:tcW w:w="1804" w:type="dxa"/>
            <w:vAlign w:val="center"/>
            <w:textDirection w:val="lrTb"/>
            <w:noWrap w:val="false"/>
          </w:tcPr>
          <w:p>
            <w:pPr>
              <w:jc w:val="center"/>
              <w:spacing w:line="520" w:lineRule="exact"/>
              <w:rPr>
                <w:rFonts w:ascii="宋体" w:hAnsi="宋体" w:cs="宋体"/>
                <w:sz w:val="24"/>
                <w:szCs w:val="28"/>
              </w:rPr>
            </w:pPr>
            <w:r>
              <w:rPr>
                <w:rFonts w:hint="eastAsia" w:ascii="宋体" w:hAnsi="宋体" w:cs="宋体"/>
                <w:sz w:val="24"/>
                <w:szCs w:val="28"/>
              </w:rPr>
              <w:t xml:space="preserve">业绩</w:t>
            </w:r>
            <w:r/>
          </w:p>
          <w:p>
            <w:pPr>
              <w:jc w:val="center"/>
              <w:spacing w:line="520" w:lineRule="exact"/>
            </w:pPr>
            <w:r>
              <w:rPr>
                <w:rFonts w:hint="eastAsia" w:ascii="宋体" w:hAnsi="宋体" w:cs="宋体"/>
                <w:sz w:val="24"/>
                <w:szCs w:val="28"/>
              </w:rPr>
              <w:t xml:space="preserve">（15分）</w:t>
            </w:r>
            <w:r/>
          </w:p>
        </w:tc>
        <w:tc>
          <w:tcPr>
            <w:tcW w:w="6493" w:type="dxa"/>
            <w:vAlign w:val="center"/>
            <w:textDirection w:val="lrTb"/>
            <w:noWrap w:val="false"/>
          </w:tcPr>
          <w:p>
            <w:pPr>
              <w:spacing w:line="520" w:lineRule="exact"/>
              <w:tabs>
                <w:tab w:val="left" w:pos="829" w:leader="none"/>
              </w:tabs>
              <w:rPr>
                <w:rFonts w:hint="default" w:ascii="宋体" w:hAnsi="宋体" w:cs="宋体" w:eastAsiaTheme="minorEastAsia"/>
                <w:b/>
                <w:bCs/>
                <w:sz w:val="24"/>
                <w:szCs w:val="24"/>
                <w:highlight w:val="none"/>
                <w:lang w:val="en-US" w:eastAsia="zh-CN"/>
              </w:rPr>
            </w:pPr>
            <w:r>
              <w:rPr>
                <w:rFonts w:hint="eastAsia" w:ascii="宋体" w:hAnsi="宋体" w:cs="宋体"/>
                <w:sz w:val="24"/>
                <w:szCs w:val="24"/>
                <w:highlight w:val="none"/>
              </w:rPr>
              <w:t xml:space="preserve">自2023年1月1日以来，投标人承担过</w:t>
            </w:r>
            <w:r>
              <w:rPr>
                <w:rFonts w:hint="eastAsia" w:ascii="宋体" w:hAnsi="宋体" w:cs="宋体"/>
                <w:sz w:val="24"/>
                <w:szCs w:val="24"/>
                <w:highlight w:val="none"/>
                <w:lang w:val="en-US" w:eastAsia="zh-CN"/>
              </w:rPr>
              <w:t xml:space="preserve">信息化技术服务（合同内容与</w:t>
            </w:r>
            <w:r>
              <w:rPr>
                <w:rFonts w:hint="eastAsia" w:ascii="宋体" w:hAnsi="宋体" w:cs="宋体"/>
                <w:sz w:val="24"/>
                <w:szCs w:val="24"/>
                <w:highlight w:val="none"/>
              </w:rPr>
              <w:t xml:space="preserve">AI+政务信息化相关</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项目业绩的，每</w:t>
            </w:r>
            <w:r>
              <w:rPr>
                <w:rFonts w:hint="eastAsia" w:ascii="宋体" w:hAnsi="宋体" w:cs="宋体"/>
                <w:sz w:val="24"/>
                <w:szCs w:val="24"/>
                <w:highlight w:val="none"/>
                <w:lang w:val="en-US" w:eastAsia="zh-CN"/>
              </w:rPr>
              <w:t xml:space="preserve">提供一个业绩</w:t>
            </w:r>
            <w:r>
              <w:rPr>
                <w:rFonts w:hint="eastAsia" w:ascii="宋体" w:hAnsi="宋体" w:cs="宋体"/>
                <w:sz w:val="24"/>
                <w:szCs w:val="24"/>
                <w:highlight w:val="none"/>
              </w:rPr>
              <w:t xml:space="preserve">得5分；承担过信息化技术服务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非</w:t>
            </w:r>
            <w:r>
              <w:rPr>
                <w:rFonts w:hint="eastAsia" w:ascii="宋体" w:hAnsi="宋体" w:cs="宋体"/>
                <w:sz w:val="24"/>
                <w:szCs w:val="24"/>
                <w:highlight w:val="none"/>
              </w:rPr>
              <w:t xml:space="preserve">AI+政务信息化相关</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w:t>
            </w:r>
            <w:r>
              <w:rPr>
                <w:rFonts w:hint="eastAsia" w:ascii="宋体" w:hAnsi="宋体" w:cs="宋体"/>
                <w:sz w:val="24"/>
                <w:szCs w:val="24"/>
                <w:highlight w:val="none"/>
                <w:lang w:val="en-US" w:eastAsia="zh-CN"/>
              </w:rPr>
              <w:t xml:space="preserve">业绩的</w:t>
            </w:r>
            <w:r>
              <w:rPr>
                <w:rFonts w:hint="eastAsia" w:ascii="宋体" w:hAnsi="宋体" w:cs="宋体"/>
                <w:sz w:val="24"/>
                <w:szCs w:val="24"/>
                <w:highlight w:val="none"/>
              </w:rPr>
              <w:t xml:space="preserve">，每</w:t>
            </w:r>
            <w:r>
              <w:rPr>
                <w:rFonts w:hint="eastAsia" w:ascii="宋体" w:hAnsi="宋体" w:cs="宋体"/>
                <w:sz w:val="24"/>
                <w:szCs w:val="24"/>
                <w:highlight w:val="none"/>
                <w:lang w:val="en-US" w:eastAsia="zh-CN"/>
              </w:rPr>
              <w:t xml:space="preserve">提供一个业绩</w:t>
            </w:r>
            <w:r>
              <w:rPr>
                <w:rFonts w:hint="eastAsia" w:ascii="宋体" w:hAnsi="宋体" w:cs="宋体"/>
                <w:sz w:val="24"/>
                <w:szCs w:val="24"/>
                <w:highlight w:val="none"/>
              </w:rPr>
              <w:t xml:space="preserve">得</w:t>
            </w:r>
            <w:r>
              <w:rPr>
                <w:rFonts w:ascii="宋体" w:hAnsi="宋体" w:cs="宋体"/>
                <w:sz w:val="24"/>
                <w:szCs w:val="24"/>
                <w:highlight w:val="none"/>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本项目最多提供3个业绩，</w:t>
            </w:r>
            <w:r>
              <w:rPr>
                <w:rFonts w:hint="eastAsia" w:ascii="宋体" w:hAnsi="宋体" w:cs="宋体"/>
                <w:b/>
                <w:bCs/>
                <w:sz w:val="24"/>
                <w:szCs w:val="24"/>
                <w:highlight w:val="none"/>
                <w:lang w:val="en-US" w:eastAsia="zh-CN"/>
              </w:rPr>
              <w:t xml:space="preserve">最高得15分。</w:t>
            </w:r>
            <w:r/>
          </w:p>
          <w:p>
            <w:pPr>
              <w:spacing w:line="520" w:lineRule="exact"/>
              <w:tabs>
                <w:tab w:val="left" w:pos="829" w:leader="none"/>
              </w:tabs>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投标文件中</w:t>
            </w:r>
            <w:r>
              <w:rPr>
                <w:rFonts w:hint="eastAsia" w:ascii="宋体" w:hAnsi="宋体" w:cs="宋体"/>
                <w:b/>
                <w:bCs/>
                <w:sz w:val="24"/>
                <w:szCs w:val="24"/>
              </w:rPr>
              <w:t xml:space="preserve">提供合同</w:t>
            </w:r>
            <w:r>
              <w:rPr>
                <w:rFonts w:hint="eastAsia" w:ascii="宋体" w:hAnsi="宋体" w:cs="宋体"/>
                <w:b/>
                <w:bCs/>
                <w:sz w:val="24"/>
                <w:szCs w:val="24"/>
                <w:lang w:val="en-US" w:eastAsia="zh-CN"/>
              </w:rPr>
              <w:t xml:space="preserve">证明材料并加盖投标人公章，</w:t>
            </w:r>
            <w:r>
              <w:rPr>
                <w:rFonts w:hint="eastAsia" w:ascii="宋体" w:hAnsi="宋体" w:cs="宋体"/>
                <w:b/>
                <w:bCs/>
                <w:sz w:val="24"/>
                <w:szCs w:val="24"/>
              </w:rPr>
              <w:t xml:space="preserve">证明材料须能反映项目信息，</w:t>
            </w:r>
            <w:r>
              <w:rPr>
                <w:rFonts w:hint="eastAsia" w:ascii="宋体" w:hAnsi="宋体" w:cs="宋体"/>
                <w:b/>
                <w:bCs/>
                <w:sz w:val="24"/>
                <w:szCs w:val="24"/>
                <w:lang w:val="en-US" w:eastAsia="zh-CN"/>
              </w:rPr>
              <w:t xml:space="preserve">合同内容、</w:t>
            </w:r>
            <w:r>
              <w:rPr>
                <w:rFonts w:hint="eastAsia" w:ascii="宋体" w:hAnsi="宋体" w:cs="宋体"/>
                <w:b/>
                <w:bCs/>
                <w:sz w:val="24"/>
                <w:szCs w:val="24"/>
              </w:rPr>
              <w:t xml:space="preserve">签订时间</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签章清晰可见，未提供或提供信息不全均不得分。合同服务内容，由评委会统一认定后给予得分）</w:t>
            </w:r>
            <w:r/>
          </w:p>
        </w:tc>
      </w:tr>
      <w:tr>
        <w:trPr>
          <w:jc w:val="center"/>
          <w:trHeight w:val="621"/>
        </w:trPr>
        <w:tc>
          <w:tcPr>
            <w:tcW w:w="1804"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服务能力</w:t>
            </w:r>
            <w:r/>
          </w:p>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（15分）</w:t>
            </w:r>
            <w:r/>
          </w:p>
        </w:tc>
        <w:tc>
          <w:tcPr>
            <w:tcW w:w="6493" w:type="dxa"/>
            <w:vAlign w:val="center"/>
            <w:textDirection w:val="lrTb"/>
            <w:noWrap w:val="false"/>
          </w:tcPr>
          <w:p>
            <w:pPr>
              <w:jc w:val="left"/>
              <w:spacing w:line="520" w:lineRule="exact"/>
              <w:widowControl/>
              <w:rPr>
                <w:rFonts w:hint="eastAsia" w:asciiTheme="minorEastAsia" w:hAnsiTheme="minorEastAsia" w:cstheme="minorEastAsia"/>
                <w:b/>
                <w:bCs/>
                <w:sz w:val="24"/>
                <w:szCs w:val="24"/>
                <w:lang w:eastAsia="zh-CN"/>
              </w:rPr>
            </w:pPr>
            <w:r>
              <w:rPr>
                <w:rFonts w:hint="eastAsia" w:asciiTheme="minorEastAsia" w:hAnsiTheme="minorEastAsia" w:cstheme="minorEastAsia"/>
                <w:sz w:val="24"/>
                <w:szCs w:val="24"/>
              </w:rPr>
              <w:t xml:space="preserve">投标人具有“ AI模型”、“人工智能”相关计算机软件著作权登记证书</w:t>
            </w:r>
            <w:r>
              <w:rPr>
                <w:rFonts w:hint="eastAsia" w:asciiTheme="minorEastAsia" w:hAnsiTheme="minorEastAsia" w:cstheme="minorEastAsia"/>
                <w:sz w:val="24"/>
                <w:szCs w:val="24"/>
                <w:lang w:val="en-US" w:eastAsia="zh-CN"/>
              </w:rPr>
              <w:t xml:space="preserve">的</w:t>
            </w:r>
            <w:r>
              <w:rPr>
                <w:rFonts w:hint="eastAsia" w:asciiTheme="minorEastAsia" w:hAnsiTheme="minorEastAsia" w:cstheme="minorEastAsia"/>
                <w:sz w:val="24"/>
                <w:szCs w:val="24"/>
              </w:rPr>
              <w:t xml:space="preserve">，每</w:t>
            </w:r>
            <w:r>
              <w:rPr>
                <w:rFonts w:hint="eastAsia" w:asciiTheme="minorEastAsia" w:hAnsiTheme="minorEastAsia" w:cstheme="minorEastAsia"/>
                <w:sz w:val="24"/>
                <w:szCs w:val="24"/>
                <w:lang w:val="en-US" w:eastAsia="zh-CN"/>
              </w:rPr>
              <w:t xml:space="preserve">提供一个证书</w:t>
            </w:r>
            <w:r>
              <w:rPr>
                <w:rFonts w:hint="eastAsia" w:asciiTheme="minorEastAsia" w:hAnsiTheme="minorEastAsia" w:cstheme="minorEastAsia"/>
                <w:sz w:val="24"/>
                <w:szCs w:val="24"/>
              </w:rPr>
              <w:t xml:space="preserve">得</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分，</w:t>
            </w:r>
            <w:r>
              <w:rPr>
                <w:rFonts w:hint="eastAsia" w:asciiTheme="minorEastAsia" w:hAnsiTheme="minorEastAsia" w:cstheme="minorEastAsia"/>
                <w:b/>
                <w:bCs/>
                <w:sz w:val="24"/>
                <w:szCs w:val="24"/>
              </w:rPr>
              <w:t xml:space="preserve">最高</w:t>
            </w:r>
            <w:r>
              <w:rPr>
                <w:rFonts w:hint="eastAsia" w:asciiTheme="minorEastAsia" w:hAnsiTheme="minorEastAsia" w:cstheme="minorEastAsia"/>
                <w:b/>
                <w:bCs/>
                <w:sz w:val="24"/>
                <w:szCs w:val="24"/>
                <w:lang w:val="en-US" w:eastAsia="zh-CN"/>
              </w:rPr>
              <w:t xml:space="preserve">得15</w:t>
            </w:r>
            <w:r>
              <w:rPr>
                <w:rFonts w:hint="eastAsia" w:asciiTheme="minorEastAsia" w:hAnsi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jc w:val="left"/>
              <w:spacing w:line="520" w:lineRule="exact"/>
              <w:widowControl/>
              <w:rPr>
                <w:rFonts w:hint="eastAsia"/>
                <w:lang w:eastAsia="zh-CN"/>
              </w:rPr>
            </w:pPr>
            <w:r>
              <w:rPr>
                <w:rFonts w:hint="eastAsia" w:asciiTheme="minorEastAsia" w:hAnsiTheme="minorEastAsia"/>
                <w:b/>
                <w:bCs/>
                <w:sz w:val="24"/>
              </w:rPr>
              <w:t xml:space="preserve">（</w:t>
            </w:r>
            <w:r>
              <w:rPr>
                <w:rFonts w:hint="eastAsia" w:asciiTheme="minorEastAsia" w:hAnsiTheme="minorEastAsia"/>
                <w:b/>
                <w:bCs/>
                <w:sz w:val="24"/>
                <w:lang w:val="en-US" w:eastAsia="zh-CN"/>
              </w:rPr>
              <w:t xml:space="preserve">投标</w:t>
            </w:r>
            <w:r>
              <w:rPr>
                <w:rFonts w:hint="eastAsia" w:asciiTheme="minorEastAsia" w:hAnsiTheme="minorEastAsia"/>
                <w:b/>
                <w:bCs/>
                <w:sz w:val="24"/>
              </w:rPr>
              <w:t xml:space="preserve">文件中提供相关证书</w:t>
            </w:r>
            <w:r>
              <w:rPr>
                <w:rFonts w:hint="eastAsia" w:asciiTheme="minorEastAsia" w:hAnsiTheme="minorEastAsia"/>
                <w:b/>
                <w:bCs/>
                <w:sz w:val="24"/>
                <w:lang w:val="en-US" w:eastAsia="zh-CN"/>
              </w:rPr>
              <w:t xml:space="preserve">证明材料</w:t>
            </w:r>
            <w:r>
              <w:rPr>
                <w:rFonts w:hint="eastAsia" w:asciiTheme="minorEastAsia" w:hAnsiTheme="minorEastAsia"/>
                <w:b/>
                <w:bCs/>
                <w:sz w:val="24"/>
              </w:rPr>
              <w:t xml:space="preserve">并加盖</w:t>
            </w:r>
            <w:r>
              <w:rPr>
                <w:rFonts w:hint="eastAsia" w:asciiTheme="minorEastAsia" w:hAnsiTheme="minorEastAsia"/>
                <w:b/>
                <w:bCs/>
                <w:sz w:val="24"/>
                <w:lang w:val="en-US" w:eastAsia="zh-CN"/>
              </w:rPr>
              <w:t xml:space="preserve">投标人</w:t>
            </w:r>
            <w:r>
              <w:rPr>
                <w:rFonts w:hint="eastAsia" w:asciiTheme="minorEastAsia" w:hAnsiTheme="minorEastAsia"/>
                <w:b/>
                <w:bCs/>
                <w:sz w:val="24"/>
              </w:rPr>
              <w:t xml:space="preserve">公章，否则不得分。名称或功能相近的，由</w:t>
            </w:r>
            <w:r>
              <w:rPr>
                <w:rFonts w:hint="eastAsia" w:asciiTheme="minorEastAsia" w:hAnsiTheme="minorEastAsia"/>
                <w:b/>
                <w:bCs/>
                <w:sz w:val="24"/>
                <w:lang w:val="en-US" w:eastAsia="zh-CN"/>
              </w:rPr>
              <w:t xml:space="preserve">评委会</w:t>
            </w:r>
            <w:r>
              <w:rPr>
                <w:rFonts w:hint="eastAsia" w:asciiTheme="minorEastAsia" w:hAnsiTheme="minorEastAsia"/>
                <w:b/>
                <w:bCs/>
                <w:sz w:val="24"/>
              </w:rPr>
              <w:t xml:space="preserve">统一认定。</w:t>
            </w:r>
            <w:r>
              <w:rPr>
                <w:rFonts w:hint="eastAsia" w:asciiTheme="minorEastAsia" w:hAnsiTheme="minorEastAsia"/>
                <w:b/>
                <w:bCs/>
                <w:sz w:val="24"/>
                <w:lang w:val="en-US" w:eastAsia="zh-CN"/>
              </w:rPr>
              <w:t xml:space="preserve">投标人</w:t>
            </w:r>
            <w:r>
              <w:rPr>
                <w:rFonts w:hint="eastAsia" w:asciiTheme="minorEastAsia" w:hAnsiTheme="minorEastAsia"/>
                <w:b/>
                <w:bCs/>
                <w:sz w:val="24"/>
              </w:rPr>
              <w:t xml:space="preserve">可提供相关说明等证明材料，便于评审）</w:t>
            </w:r>
            <w:r/>
          </w:p>
        </w:tc>
      </w:tr>
      <w:tr>
        <w:trPr>
          <w:jc w:val="center"/>
          <w:trHeight w:val="621"/>
        </w:trPr>
        <w:tc>
          <w:tcPr>
            <w:tcW w:w="1804"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服务承诺</w:t>
            </w:r>
            <w:r/>
          </w:p>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（5分）</w:t>
            </w:r>
            <w:r/>
          </w:p>
        </w:tc>
        <w:tc>
          <w:tcPr>
            <w:tcW w:w="6493" w:type="dxa"/>
            <w:vAlign w:val="center"/>
            <w:textDirection w:val="lrTb"/>
            <w:noWrap w:val="false"/>
          </w:tcPr>
          <w:p>
            <w:pPr>
              <w:jc w:val="both"/>
              <w:keepLines w:val="0"/>
              <w:keepNext w:val="0"/>
              <w:pageBreakBefore w:val="0"/>
              <w:spacing w:line="360" w:lineRule="auto"/>
              <w:widowControl/>
              <w:rPr>
                <w:rFonts w:asciiTheme="minorEastAsia" w:hAnsiTheme="minorEastAsia" w:cstheme="minorEastAsia"/>
                <w:b/>
                <w:bCs/>
                <w:sz w:val="24"/>
                <w:szCs w:val="24"/>
              </w:rPr>
            </w:pPr>
            <w:r>
              <w:rPr>
                <w:rFonts w:hint="eastAsia" w:asciiTheme="minorEastAsia" w:hAnsiTheme="minorEastAsia" w:cstheme="minorEastAsia"/>
                <w:sz w:val="24"/>
                <w:szCs w:val="24"/>
              </w:rPr>
              <w:t xml:space="preserve">1.投标人承诺项目服务期内提供充足的算力资源与专属使用保障（资源规格：2T及以上高新能GPU算力资源；使用周期3个月及以上；专属使用保障：算力稳定、兼容性强，全程保障资源独占），供本项目模型研发使用</w:t>
            </w:r>
            <w:r>
              <w:rPr>
                <w:rFonts w:hint="eastAsia" w:asciiTheme="minorEastAsia" w:hAnsiTheme="minorEastAsia" w:cstheme="minorEastAsia"/>
                <w:sz w:val="24"/>
                <w:szCs w:val="24"/>
                <w:lang w:val="en-US" w:eastAsia="zh-CN"/>
              </w:rPr>
              <w:t xml:space="preserve">且该部分采购人无需额外支付费用</w:t>
            </w:r>
            <w:r>
              <w:rPr>
                <w:rFonts w:hint="eastAsia" w:asciiTheme="minorEastAsia" w:hAnsiTheme="minorEastAsia" w:cstheme="minorEastAsia"/>
                <w:sz w:val="24"/>
                <w:szCs w:val="24"/>
              </w:rPr>
              <w:t xml:space="preserve">的</w:t>
            </w:r>
            <w:r>
              <w:rPr>
                <w:rFonts w:hint="eastAsia" w:asciiTheme="minorEastAsia" w:hAnsiTheme="minorEastAsia" w:cstheme="minorEastAsia"/>
                <w:b/>
                <w:bCs/>
                <w:sz w:val="24"/>
                <w:szCs w:val="24"/>
              </w:rPr>
              <w:t xml:space="preserve">得3分。</w:t>
            </w:r>
            <w:r/>
          </w:p>
          <w:p>
            <w:pPr>
              <w:jc w:val="left"/>
              <w:spacing w:line="520" w:lineRule="exact"/>
              <w:widowControl/>
              <w:rPr>
                <w:rFonts w:asciiTheme="minorEastAsia" w:hAnsiTheme="minorEastAsia" w:cstheme="minorEastAsia"/>
                <w:b/>
                <w:bCs/>
                <w:sz w:val="24"/>
                <w:szCs w:val="24"/>
              </w:rPr>
            </w:pPr>
            <w:r>
              <w:rPr>
                <w:rFonts w:hint="eastAsia" w:asciiTheme="minorEastAsia" w:hAnsiTheme="minorEastAsia" w:cstheme="minorEastAsia"/>
                <w:sz w:val="24"/>
                <w:szCs w:val="24"/>
              </w:rPr>
              <w:t xml:space="preserve">2.投标人承诺项目服务期完成后12个月内，提供</w:t>
            </w:r>
            <w:r>
              <w:rPr>
                <w:rFonts w:hint="eastAsia" w:asciiTheme="minorEastAsia" w:hAnsiTheme="minorEastAsia" w:cstheme="minorEastAsia"/>
                <w:sz w:val="24"/>
                <w:szCs w:val="24"/>
                <w:lang w:val="en-US" w:eastAsia="zh-CN"/>
              </w:rPr>
              <w:t xml:space="preserve">一</w:t>
            </w:r>
            <w:r>
              <w:rPr>
                <w:rFonts w:hint="eastAsia" w:asciiTheme="minorEastAsia" w:hAnsiTheme="minorEastAsia" w:cstheme="minorEastAsia"/>
                <w:sz w:val="24"/>
                <w:szCs w:val="24"/>
              </w:rPr>
              <w:t xml:space="preserve">此模型全量迭代升级</w:t>
            </w:r>
            <w:r>
              <w:rPr>
                <w:rFonts w:hint="eastAsia" w:asciiTheme="minorEastAsia" w:hAnsiTheme="minorEastAsia" w:cstheme="minorEastAsia"/>
                <w:sz w:val="24"/>
                <w:szCs w:val="24"/>
                <w:lang w:val="en-US" w:eastAsia="zh-CN"/>
              </w:rPr>
              <w:t xml:space="preserve">且该部分采购人无需额外支付费用</w:t>
            </w:r>
            <w:r>
              <w:rPr>
                <w:rFonts w:hint="eastAsia" w:asciiTheme="minorEastAsia" w:hAnsiTheme="minorEastAsia" w:cstheme="minorEastAsia"/>
                <w:sz w:val="24"/>
                <w:szCs w:val="24"/>
              </w:rPr>
              <w:t xml:space="preserve">的</w:t>
            </w:r>
            <w:r>
              <w:rPr>
                <w:rFonts w:hint="eastAsia" w:asciiTheme="minorEastAsia" w:hAnsiTheme="minorEastAsia" w:cstheme="minorEastAsia"/>
                <w:b/>
                <w:bCs/>
                <w:sz w:val="24"/>
                <w:szCs w:val="24"/>
              </w:rPr>
              <w:t xml:space="preserve">得2分。</w:t>
            </w:r>
            <w:r/>
          </w:p>
          <w:p>
            <w:pPr>
              <w:jc w:val="left"/>
              <w:spacing w:line="520" w:lineRule="exact"/>
              <w:widowControl/>
            </w:pPr>
            <w:r>
              <w:rPr>
                <w:rFonts w:hint="eastAsia" w:asciiTheme="minorEastAsia" w:hAnsi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上述1-2项</w:t>
            </w:r>
            <w:r>
              <w:rPr>
                <w:rFonts w:hint="eastAsia" w:asciiTheme="minorEastAsia" w:hAnsiTheme="minorEastAsia" w:cstheme="minorEastAsia"/>
                <w:b/>
                <w:bCs/>
                <w:sz w:val="24"/>
                <w:szCs w:val="24"/>
              </w:rPr>
              <w:t xml:space="preserve">投标文件中提供加盖投标人公章的承诺函，格式自拟，须明确承诺内容，否则不得分）</w:t>
            </w:r>
            <w:r/>
          </w:p>
        </w:tc>
      </w:tr>
    </w:tbl>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3.技术分（42分）（本部分</w:t>
      </w:r>
      <w:r>
        <w:rPr>
          <w:rFonts w:hint="eastAsia" w:ascii="宋体" w:hAnsi="宋体" w:cs="Calibri"/>
          <w:b/>
          <w:color w:val="000000"/>
          <w:sz w:val="24"/>
          <w:szCs w:val="24"/>
        </w:rPr>
        <w:t xml:space="preserve">采用暗标方式进行评审）</w:t>
      </w:r>
      <w:r/>
    </w:p>
    <w:tbl>
      <w:tblPr>
        <w:tblStyle w:val="85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6510"/>
      </w:tblGrid>
      <w:tr>
        <w:trPr>
          <w:jc w:val="center"/>
          <w:trHeight w:val="621"/>
        </w:trPr>
        <w:tc>
          <w:tcPr>
            <w:tcW w:w="18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20"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cs="宋体"/>
                <w:sz w:val="24"/>
                <w:szCs w:val="28"/>
              </w:rPr>
              <w:t xml:space="preserve">项目的理解和认识（6分）</w:t>
            </w:r>
            <w:r/>
          </w:p>
        </w:tc>
        <w:tc>
          <w:tcPr>
            <w:tcW w:w="6510" w:type="dxa"/>
            <w:vAlign w:val="center"/>
            <w:textDirection w:val="lrTb"/>
            <w:noWrap w:val="false"/>
          </w:tcPr>
          <w:p>
            <w:pPr>
              <w:spacing w:line="520" w:lineRule="exact"/>
              <w:tabs>
                <w:tab w:val="left" w:pos="82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投标人提交对项目理解程度和重难点分析方案。方案包含但不限于项目基本概述、建设任务、对本项目的理解、项目实施</w:t>
            </w:r>
            <w:r>
              <w:rPr>
                <w:rFonts w:hint="eastAsia" w:asciiTheme="majorEastAsia" w:hAnsiTheme="majorEastAsia" w:eastAsiaTheme="majorEastAsia" w:cstheme="majorEastAsia"/>
                <w:sz w:val="24"/>
                <w:szCs w:val="24"/>
                <w:lang w:val="en-US" w:eastAsia="zh-CN"/>
              </w:rPr>
              <w:t xml:space="preserve">流程等</w:t>
            </w:r>
            <w:r>
              <w:rPr>
                <w:rFonts w:hint="eastAsia" w:asciiTheme="majorEastAsia" w:hAnsiTheme="majorEastAsia" w:eastAsiaTheme="majorEastAsia" w:cstheme="majorEastAsia"/>
                <w:sz w:val="24"/>
                <w:szCs w:val="24"/>
              </w:rPr>
              <w:t xml:space="preserve">。</w:t>
            </w:r>
            <w:r/>
          </w:p>
          <w:p>
            <w:pPr>
              <w:spacing w:line="520" w:lineRule="exact"/>
              <w:tabs>
                <w:tab w:val="left" w:pos="82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内容详细合理，包含上述内容，分析透彻，</w:t>
            </w:r>
            <w:r>
              <w:rPr>
                <w:rFonts w:hint="eastAsia" w:asciiTheme="majorEastAsia" w:hAnsiTheme="majorEastAsia" w:eastAsiaTheme="majorEastAsia" w:cstheme="majorEastAsia"/>
                <w:sz w:val="24"/>
                <w:szCs w:val="24"/>
                <w:lang w:val="en-US" w:eastAsia="zh-CN"/>
              </w:rPr>
              <w:t xml:space="preserve">流程清晰，</w:t>
            </w:r>
            <w:r>
              <w:rPr>
                <w:rFonts w:hint="eastAsia" w:asciiTheme="majorEastAsia" w:hAnsiTheme="majorEastAsia" w:eastAsiaTheme="majorEastAsia" w:cstheme="majorEastAsia"/>
                <w:sz w:val="24"/>
                <w:szCs w:val="24"/>
              </w:rPr>
              <w:t xml:space="preserve">方案切实可行的得</w:t>
            </w:r>
            <w:r>
              <w:rPr>
                <w:rFonts w:hint="eastAsia" w:asciiTheme="majorEastAsia" w:hAnsiTheme="majorEastAsia" w:eastAsiaTheme="majorEastAsia" w:cstheme="majorEastAsia"/>
                <w:b/>
                <w:bCs/>
                <w:sz w:val="24"/>
                <w:szCs w:val="24"/>
              </w:rPr>
              <w:t xml:space="preserve">6分；</w:t>
            </w:r>
            <w:r/>
          </w:p>
          <w:p>
            <w:pPr>
              <w:spacing w:line="520" w:lineRule="exact"/>
              <w:tabs>
                <w:tab w:val="left" w:pos="82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内容较详细合理，包含上述内容，分析较透彻，</w:t>
            </w:r>
            <w:r>
              <w:rPr>
                <w:rFonts w:hint="eastAsia" w:asciiTheme="majorEastAsia" w:hAnsiTheme="majorEastAsia" w:eastAsiaTheme="majorEastAsia" w:cstheme="majorEastAsia"/>
                <w:sz w:val="24"/>
                <w:szCs w:val="24"/>
                <w:lang w:val="en-US" w:eastAsia="zh-CN"/>
              </w:rPr>
              <w:t xml:space="preserve">流程较清晰，</w:t>
            </w:r>
            <w:r>
              <w:rPr>
                <w:rFonts w:hint="eastAsia" w:asciiTheme="majorEastAsia" w:hAnsiTheme="majorEastAsia" w:eastAsiaTheme="majorEastAsia" w:cstheme="majorEastAsia"/>
                <w:sz w:val="24"/>
                <w:szCs w:val="24"/>
              </w:rPr>
              <w:t xml:space="preserve">方案较切实可行的</w:t>
            </w:r>
            <w:r>
              <w:rPr>
                <w:rFonts w:hint="eastAsia" w:asciiTheme="majorEastAsia" w:hAnsiTheme="majorEastAsia" w:eastAsiaTheme="majorEastAsia" w:cstheme="majorEastAsia"/>
                <w:b/>
                <w:bCs/>
                <w:sz w:val="24"/>
                <w:szCs w:val="24"/>
              </w:rPr>
              <w:t xml:space="preserve">得</w:t>
            </w:r>
            <w:r>
              <w:rPr>
                <w:rFonts w:hint="eastAsia" w:asciiTheme="majorEastAsia" w:hAnsiTheme="majorEastAsia" w:eastAsiaTheme="majorEastAsia" w:cstheme="majorEastAsia"/>
                <w:b/>
                <w:bCs/>
                <w:sz w:val="24"/>
                <w:szCs w:val="24"/>
                <w:lang w:val="en-US" w:eastAsia="zh-CN"/>
              </w:rPr>
              <w:t xml:space="preserve">5</w:t>
            </w:r>
            <w:r>
              <w:rPr>
                <w:rFonts w:hint="eastAsia" w:asciiTheme="majorEastAsia" w:hAnsiTheme="majorEastAsia" w:eastAsiaTheme="majorEastAsia" w:cstheme="majorEastAsia"/>
                <w:b/>
                <w:bCs/>
                <w:sz w:val="24"/>
                <w:szCs w:val="24"/>
              </w:rPr>
              <w:t xml:space="preserve">分；</w:t>
            </w:r>
            <w:r/>
          </w:p>
          <w:p>
            <w:pPr>
              <w:spacing w:line="520" w:lineRule="exact"/>
              <w:tabs>
                <w:tab w:val="left" w:pos="829" w:leader="none"/>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包含上述内容但内容简单粗糙，把握不够到位，合理性一般，对应措施解决方案实可行一般的</w:t>
            </w:r>
            <w:r>
              <w:rPr>
                <w:rFonts w:hint="eastAsia" w:asciiTheme="majorEastAsia" w:hAnsiTheme="majorEastAsia" w:eastAsiaTheme="majorEastAsia" w:cstheme="majorEastAsia"/>
                <w:b/>
                <w:bCs/>
                <w:sz w:val="24"/>
                <w:szCs w:val="24"/>
              </w:rPr>
              <w:t xml:space="preserve">得</w:t>
            </w: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rPr>
              <w:t xml:space="preserve">分；</w:t>
            </w:r>
            <w:r/>
          </w:p>
          <w:p>
            <w:pPr>
              <w:spacing w:line="520" w:lineRule="exact"/>
              <w:tabs>
                <w:tab w:val="left" w:pos="829" w:leader="none"/>
              </w:tabs>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 xml:space="preserve">上述内容有缺项，内容简单粗糙，</w:t>
            </w:r>
            <w:r>
              <w:rPr>
                <w:rFonts w:hint="eastAsia" w:asciiTheme="majorEastAsia" w:hAnsiTheme="majorEastAsia" w:eastAsiaTheme="majorEastAsia" w:cstheme="majorEastAsia"/>
                <w:sz w:val="24"/>
                <w:szCs w:val="24"/>
                <w:lang w:val="en-US" w:eastAsia="zh-CN"/>
              </w:rPr>
              <w:t xml:space="preserve">整体流程不清晰</w:t>
            </w:r>
            <w:r>
              <w:rPr>
                <w:rFonts w:hint="eastAsia" w:asciiTheme="majorEastAsia" w:hAnsiTheme="majorEastAsia" w:eastAsiaTheme="majorEastAsia" w:cstheme="majorEastAsia"/>
                <w:sz w:val="24"/>
                <w:szCs w:val="24"/>
              </w:rPr>
              <w:t xml:space="preserve">，方案可行不强的</w:t>
            </w:r>
            <w:r>
              <w:rPr>
                <w:rFonts w:hint="eastAsia" w:asciiTheme="majorEastAsia" w:hAnsiTheme="majorEastAsia" w:eastAsiaTheme="majorEastAsia" w:cstheme="majorEastAsia"/>
                <w:b/>
                <w:bCs/>
                <w:sz w:val="24"/>
                <w:szCs w:val="24"/>
              </w:rPr>
              <w:t xml:space="preserve">得1分；</w:t>
            </w:r>
            <w:r/>
          </w:p>
          <w:p>
            <w:pPr>
              <w:spacing w:line="520" w:lineRule="exact"/>
              <w:tabs>
                <w:tab w:val="left" w:pos="829" w:leader="none"/>
              </w:tabs>
              <w:rPr>
                <w:rFonts w:ascii="宋体" w:hAnsi="宋体" w:eastAsia="宋体" w:cs="宋体"/>
                <w:sz w:val="24"/>
                <w:szCs w:val="24"/>
              </w:rPr>
            </w:pPr>
            <w:r>
              <w:rPr>
                <w:rFonts w:hint="eastAsia" w:asciiTheme="majorEastAsia" w:hAnsiTheme="majorEastAsia" w:eastAsiaTheme="majorEastAsia" w:cstheme="majorEastAsia"/>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520" w:lineRule="exact"/>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项目实施的重点、难点及关键过程分析</w:t>
            </w:r>
            <w:r/>
          </w:p>
          <w:p>
            <w:pPr>
              <w:jc w:val="center"/>
              <w:spacing w:line="520" w:lineRule="exact"/>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（6分）</w:t>
            </w:r>
            <w:r/>
          </w:p>
          <w:p>
            <w:pPr>
              <w:jc w:val="both"/>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6510" w:type="dxa"/>
            <w:vAlign w:val="center"/>
            <w:textDirection w:val="lrTb"/>
            <w:noWrap w:val="false"/>
          </w:tcPr>
          <w:p>
            <w:pPr>
              <w:jc w:val="both"/>
              <w:spacing w:line="520" w:lineRule="exact"/>
              <w:tabs>
                <w:tab w:val="left" w:pos="829" w:leader="none"/>
              </w:tabs>
              <w:rPr>
                <w:rFonts w:hint="eastAsia"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 xml:space="preserve">投标人结合项目需求提供项目实施的重点、难点及关键过程分析方案。方案包含但不限于</w:t>
            </w:r>
            <w:r>
              <w:rPr>
                <w:rFonts w:hint="eastAsia" w:asciiTheme="minorEastAsia" w:hAnsiTheme="minorEastAsia" w:eastAsiaTheme="minorEastAsia" w:cstheme="minorEastAsia"/>
                <w:sz w:val="24"/>
                <w:szCs w:val="24"/>
              </w:rPr>
              <w:t xml:space="preserve">项目</w:t>
            </w:r>
            <w:r>
              <w:rPr>
                <w:rFonts w:hint="eastAsia" w:asciiTheme="minorEastAsia" w:hAnsiTheme="minorEastAsia" w:cstheme="minorEastAsia"/>
                <w:sz w:val="24"/>
                <w:szCs w:val="24"/>
                <w:lang w:val="en-US" w:eastAsia="zh-CN"/>
              </w:rPr>
              <w:t xml:space="preserve">实施过程中可能遇到的</w:t>
            </w:r>
            <w:r>
              <w:rPr>
                <w:rFonts w:hint="eastAsia" w:asciiTheme="minorEastAsia" w:hAnsiTheme="minorEastAsia" w:eastAsiaTheme="minorEastAsia" w:cstheme="minorEastAsia"/>
                <w:sz w:val="24"/>
                <w:szCs w:val="24"/>
              </w:rPr>
              <w:t xml:space="preserve">重点、难点</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关键过程分析、解决思路及合理化建议等</w:t>
            </w:r>
            <w:r>
              <w:rPr>
                <w:rFonts w:hint="eastAsia" w:asciiTheme="minorEastAsia" w:hAnsiTheme="minorEastAsia" w:cstheme="minorEastAsia"/>
                <w:sz w:val="24"/>
                <w:szCs w:val="24"/>
                <w:lang w:eastAsia="zh-CN"/>
              </w:rPr>
              <w:t xml:space="preserve">。</w:t>
            </w:r>
            <w:r/>
          </w:p>
          <w:p>
            <w:pPr>
              <w:jc w:val="both"/>
              <w:spacing w:line="520" w:lineRule="exact"/>
              <w:tabs>
                <w:tab w:val="left" w:pos="829" w:leader="none"/>
              </w:tabs>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方案</w:t>
            </w:r>
            <w:r>
              <w:rPr>
                <w:rFonts w:hint="eastAsia" w:ascii="宋体" w:hAnsi="宋体" w:eastAsia="宋体" w:cs="宋体"/>
                <w:color w:val="000000"/>
                <w:sz w:val="24"/>
                <w:szCs w:val="24"/>
              </w:rPr>
              <w:t xml:space="preserve">关键点把握到位，</w:t>
            </w:r>
            <w:r>
              <w:rPr>
                <w:rFonts w:hint="eastAsia" w:asciiTheme="minorEastAsia" w:hAnsiTheme="minorEastAsia" w:eastAsiaTheme="minorEastAsia" w:cstheme="minorEastAsia"/>
                <w:sz w:val="24"/>
                <w:szCs w:val="24"/>
              </w:rPr>
              <w:t xml:space="preserve">分析科学合理，</w:t>
            </w:r>
            <w:r>
              <w:rPr>
                <w:rFonts w:hint="eastAsia" w:asciiTheme="minorEastAsia" w:hAnsiTheme="minorEastAsia" w:cstheme="minorEastAsia"/>
                <w:sz w:val="24"/>
                <w:szCs w:val="24"/>
                <w:lang w:val="en-US" w:eastAsia="zh-CN"/>
              </w:rPr>
              <w:t xml:space="preserve">流程</w:t>
            </w:r>
            <w:r>
              <w:rPr>
                <w:rFonts w:hint="eastAsia" w:asciiTheme="minorEastAsia" w:hAnsiTheme="minorEastAsia" w:eastAsiaTheme="minorEastAsia" w:cstheme="minorEastAsia"/>
                <w:sz w:val="24"/>
                <w:szCs w:val="24"/>
              </w:rPr>
              <w:t xml:space="preserve">严密</w:t>
            </w:r>
            <w:r>
              <w:rPr>
                <w:rFonts w:hint="eastAsia" w:asciiTheme="minorEastAsia" w:hAnsiTheme="minorEastAsia" w:cstheme="minorEastAsia"/>
                <w:sz w:val="24"/>
                <w:szCs w:val="24"/>
                <w:lang w:val="en-US" w:eastAsia="zh-CN"/>
              </w:rPr>
              <w:t xml:space="preserve">清晰</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建议</w:t>
            </w:r>
            <w:r>
              <w:rPr>
                <w:rFonts w:hint="eastAsia" w:asciiTheme="minorEastAsia" w:hAnsiTheme="minorEastAsia" w:eastAsiaTheme="minorEastAsia" w:cstheme="minorEastAsia"/>
                <w:sz w:val="24"/>
                <w:szCs w:val="24"/>
              </w:rPr>
              <w:t xml:space="preserve">描述详细且具有针对性</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得6分；</w:t>
            </w:r>
            <w:r/>
          </w:p>
          <w:p>
            <w:pPr>
              <w:jc w:val="both"/>
              <w:spacing w:line="520" w:lineRule="exact"/>
              <w:tabs>
                <w:tab w:val="left" w:pos="829" w:leader="none"/>
              </w:tabs>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方案</w:t>
            </w:r>
            <w:r>
              <w:rPr>
                <w:rFonts w:hint="eastAsia" w:ascii="宋体" w:hAnsi="宋体" w:eastAsia="宋体" w:cs="宋体"/>
                <w:color w:val="000000"/>
                <w:sz w:val="24"/>
                <w:szCs w:val="24"/>
              </w:rPr>
              <w:t xml:space="preserve">关键点把握</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到位，</w:t>
            </w:r>
            <w:r>
              <w:rPr>
                <w:rFonts w:hint="eastAsia" w:asciiTheme="minorEastAsia" w:hAnsiTheme="minorEastAsia" w:eastAsiaTheme="minorEastAsia" w:cstheme="minorEastAsia"/>
                <w:sz w:val="24"/>
                <w:szCs w:val="24"/>
              </w:rPr>
              <w:t xml:space="preserve">分析</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科学合理，</w:t>
            </w:r>
            <w:r>
              <w:rPr>
                <w:rFonts w:hint="eastAsia" w:asciiTheme="minorEastAsia" w:hAnsiTheme="minorEastAsia" w:cstheme="minorEastAsia"/>
                <w:sz w:val="24"/>
                <w:szCs w:val="24"/>
                <w:lang w:val="en-US" w:eastAsia="zh-CN"/>
              </w:rPr>
              <w:t xml:space="preserve">流程较</w:t>
            </w:r>
            <w:r>
              <w:rPr>
                <w:rFonts w:hint="eastAsia" w:asciiTheme="minorEastAsia" w:hAnsiTheme="minorEastAsia" w:eastAsiaTheme="minorEastAsia" w:cstheme="minorEastAsia"/>
                <w:sz w:val="24"/>
                <w:szCs w:val="24"/>
              </w:rPr>
              <w:t xml:space="preserve">严密</w:t>
            </w:r>
            <w:r>
              <w:rPr>
                <w:rFonts w:hint="eastAsia" w:asciiTheme="minorEastAsia" w:hAnsiTheme="minorEastAsia" w:cstheme="minorEastAsia"/>
                <w:sz w:val="24"/>
                <w:szCs w:val="24"/>
                <w:lang w:val="en-US" w:eastAsia="zh-CN"/>
              </w:rPr>
              <w:t xml:space="preserve">清晰</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建议</w:t>
            </w:r>
            <w:r>
              <w:rPr>
                <w:rFonts w:hint="eastAsia" w:asciiTheme="minorEastAsia" w:hAnsiTheme="minorEastAsia" w:eastAsiaTheme="minorEastAsia" w:cstheme="minorEastAsia"/>
                <w:sz w:val="24"/>
                <w:szCs w:val="24"/>
              </w:rPr>
              <w:t xml:space="preserve">描述详细且</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具有针对性</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jc w:val="both"/>
              <w:spacing w:line="520" w:lineRule="exact"/>
              <w:tabs>
                <w:tab w:val="left" w:pos="829" w:leader="none"/>
              </w:tabs>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方案</w:t>
            </w:r>
            <w:r>
              <w:rPr>
                <w:rFonts w:hint="eastAsia" w:ascii="宋体" w:hAnsi="宋体" w:eastAsia="宋体" w:cs="宋体"/>
                <w:color w:val="000000"/>
                <w:sz w:val="24"/>
                <w:szCs w:val="24"/>
              </w:rPr>
              <w:t xml:space="preserve">关键点把握</w:t>
            </w:r>
            <w:r>
              <w:rPr>
                <w:rFonts w:hint="eastAsia" w:ascii="宋体" w:hAnsi="宋体" w:eastAsia="宋体" w:cs="宋体"/>
                <w:color w:val="000000"/>
                <w:sz w:val="24"/>
                <w:szCs w:val="24"/>
                <w:lang w:val="en-US" w:eastAsia="zh-CN"/>
              </w:rPr>
              <w:t xml:space="preserve">不够到位</w:t>
            </w:r>
            <w:r>
              <w:rPr>
                <w:rFonts w:hint="eastAsia" w:ascii="宋体" w:hAnsi="宋体" w:eastAsia="宋体" w:cs="宋体"/>
                <w:color w:val="000000"/>
                <w:sz w:val="24"/>
                <w:szCs w:val="24"/>
              </w:rPr>
              <w:t xml:space="preserve">，</w:t>
            </w:r>
            <w:r>
              <w:rPr>
                <w:rFonts w:hint="eastAsia" w:asciiTheme="minorEastAsia" w:hAnsiTheme="minorEastAsia" w:eastAsiaTheme="minorEastAsia" w:cstheme="minorEastAsia"/>
                <w:sz w:val="24"/>
                <w:szCs w:val="24"/>
              </w:rPr>
              <w:t xml:space="preserve">科学合理</w:t>
            </w:r>
            <w:r>
              <w:rPr>
                <w:rFonts w:hint="eastAsia" w:asciiTheme="minorEastAsia" w:hAnsiTheme="minorEastAsia" w:cstheme="minorEastAsia"/>
                <w:sz w:val="24"/>
                <w:szCs w:val="24"/>
                <w:lang w:val="en-US" w:eastAsia="zh-CN"/>
              </w:rPr>
              <w:t xml:space="preserve">性一般</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流程不清晰</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整体方案</w:t>
            </w:r>
            <w:r>
              <w:rPr>
                <w:rFonts w:hint="eastAsia" w:asciiTheme="minorEastAsia" w:hAnsiTheme="minorEastAsia" w:eastAsiaTheme="minorEastAsia" w:cstheme="minorEastAsia"/>
                <w:sz w:val="24"/>
                <w:szCs w:val="24"/>
              </w:rPr>
              <w:t xml:space="preserve">针对性</w:t>
            </w:r>
            <w:r>
              <w:rPr>
                <w:rFonts w:hint="eastAsia" w:asciiTheme="minorEastAsia" w:hAnsiTheme="minorEastAsia" w:cstheme="minorEastAsia"/>
                <w:sz w:val="24"/>
                <w:szCs w:val="24"/>
                <w:lang w:val="en-US" w:eastAsia="zh-CN"/>
              </w:rPr>
              <w:t xml:space="preserve">一般的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jc w:val="left"/>
              <w:spacing w:line="440" w:lineRule="atLeast"/>
              <w:rPr>
                <w:rFonts w:ascii="宋体" w:hAnsi="宋体" w:eastAsia="宋体" w:cs="宋体"/>
                <w:b/>
                <w:sz w:val="24"/>
                <w:szCs w:val="24"/>
              </w:rPr>
            </w:pPr>
            <w:r>
              <w:rPr>
                <w:rFonts w:hint="eastAsia" w:ascii="宋体" w:hAnsi="宋体" w:eastAsia="宋体" w:cs="宋体"/>
                <w:sz w:val="24"/>
                <w:szCs w:val="24"/>
              </w:rPr>
              <w:t xml:space="preserve">项目总体理解有偏差，结构及</w:t>
            </w:r>
            <w:r>
              <w:rPr>
                <w:rFonts w:hint="eastAsia" w:ascii="宋体" w:hAnsi="宋体" w:eastAsia="宋体" w:cs="宋体"/>
                <w:color w:val="000000"/>
                <w:sz w:val="24"/>
                <w:szCs w:val="24"/>
              </w:rPr>
              <w:t xml:space="preserve">内容简单粗糙，重难点把握不到位，可实施性一般的</w:t>
            </w:r>
            <w:r>
              <w:rPr>
                <w:rFonts w:hint="eastAsia" w:ascii="宋体" w:hAnsi="宋体" w:eastAsia="宋体" w:cs="宋体"/>
                <w:b/>
                <w:sz w:val="24"/>
                <w:szCs w:val="24"/>
              </w:rPr>
              <w:t xml:space="preserve">得1分；</w:t>
            </w:r>
            <w:r/>
          </w:p>
          <w:p>
            <w:pPr>
              <w:jc w:val="both"/>
              <w:spacing w:line="520" w:lineRule="exact"/>
              <w:tabs>
                <w:tab w:val="left" w:pos="82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360" w:lineRule="auto"/>
              <w:widowControl/>
              <w:rPr>
                <w:rFonts w:asciiTheme="minorEastAsia" w:hAnsiTheme="minorEastAsia" w:cstheme="minorEastAsia"/>
                <w:sz w:val="24"/>
                <w:szCs w:val="24"/>
              </w:rPr>
            </w:pP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6510" w:type="dxa"/>
            <w:vAlign w:val="center"/>
            <w:textDirection w:val="lrTb"/>
            <w:noWrap w:val="false"/>
          </w:tcPr>
          <w:p>
            <w:pPr>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结合项目需求提供本项目的组织实施方案，内容包括但不限于组织和实施流程、服务完善程度、平台建设进度安排、各岗位人员职责等内容。</w:t>
            </w:r>
            <w:r/>
          </w:p>
          <w:p>
            <w:pPr>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方案包含上述全部内容，实施流程清晰，进度计划内容详细，服务措施完善，可操作性强，能够满足本项目需求的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6</w:t>
            </w:r>
            <w:r>
              <w:rPr>
                <w:rFonts w:hint="eastAsia" w:ascii="宋体" w:hAnsi="宋体" w:eastAsia="宋体" w:cs="Times New Roman"/>
                <w:b/>
                <w:sz w:val="24"/>
                <w:szCs w:val="24"/>
              </w:rPr>
              <w:t xml:space="preserve">分；</w:t>
            </w:r>
            <w:r/>
          </w:p>
          <w:p>
            <w:pPr>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方案包含上述全部内容，流程较清晰，进度计划内容较详细，服务流程较完善，可操作性较强，较能够满足本项目需求的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分；</w:t>
            </w:r>
            <w:r/>
          </w:p>
          <w:p>
            <w:pPr>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方案包含上述全部内容，流程简单，进度计划内容不够详细，服务流程完善度一般，可操作性一般，较能够满足本项目需求的</w:t>
            </w:r>
            <w:r>
              <w:rPr>
                <w:rFonts w:hint="eastAsia" w:ascii="宋体" w:hAnsi="宋体" w:eastAsia="宋体" w:cs="Times New Roman"/>
                <w:b/>
                <w:sz w:val="24"/>
                <w:szCs w:val="24"/>
              </w:rPr>
              <w:t xml:space="preserve">得3分；</w:t>
            </w:r>
            <w:r/>
          </w:p>
          <w:p>
            <w:pPr>
              <w:keepLines w:val="0"/>
              <w:keepNext w:val="0"/>
              <w:pageBreakBefore w:val="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得1分；</w:t>
            </w:r>
            <w:r/>
          </w:p>
          <w:p>
            <w:pPr>
              <w:keepLines w:val="0"/>
              <w:keepNext w:val="0"/>
              <w:pageBreakBefore w:val="0"/>
              <w:spacing w:line="360" w:lineRule="auto"/>
              <w:widowControl/>
              <w:rPr>
                <w:sz w:val="24"/>
                <w:szCs w:val="24"/>
              </w:rPr>
            </w:pPr>
            <w:r>
              <w:rPr>
                <w:rFonts w:hint="eastAsia" w:ascii="宋体" w:hAnsi="宋体" w:eastAsia="宋体" w:cs="Times New Roman"/>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维护服务方案</w:t>
            </w:r>
            <w:r>
              <w:rPr>
                <w:rFonts w:hint="eastAsia" w:ascii="宋体" w:hAnsi="宋体" w:cs="宋体"/>
                <w:sz w:val="24"/>
                <w:szCs w:val="28"/>
              </w:rPr>
              <w:t xml:space="preserve">（6分）</w:t>
            </w:r>
            <w:r/>
          </w:p>
        </w:tc>
        <w:tc>
          <w:tcPr>
            <w:tcW w:w="6510" w:type="dxa"/>
            <w:vAlign w:val="center"/>
            <w:textDirection w:val="lrTb"/>
            <w:noWrap w:val="false"/>
          </w:tcPr>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投标人结合项目需求提供维护服务方案，内容包括但不限于维护服务、响应时间、故障处理、恢复时效、支撑保障等。</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维护服务优于或贴合项目需求，阐述详细，流程清晰，响应时间及故障处理及时，支撑保障措施完善的</w:t>
            </w:r>
            <w:r>
              <w:rPr>
                <w:rFonts w:hint="eastAsia" w:ascii="宋体" w:hAnsi="宋体" w:cs="宋体"/>
                <w:b/>
                <w:bCs/>
                <w:sz w:val="24"/>
                <w:szCs w:val="24"/>
              </w:rPr>
              <w:t xml:space="preserve">得6分；</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维护服务较贴合项目需求，阐述较详细，流程较清晰，响应时间及故障处理较及时，支撑保障措施较完善的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维护服务基本贴合项目需求，阐述不够详细，流程清晰性一般，响应时间及故障处理符合要求，支撑保障措施完善性一般的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p>
          <w:p>
            <w:pPr>
              <w:spacing w:line="520" w:lineRule="exact"/>
              <w:tabs>
                <w:tab w:val="left" w:pos="829" w:leader="none"/>
              </w:tabs>
              <w:rPr>
                <w:rFonts w:ascii="宋体" w:hAnsi="宋体" w:cs="宋体"/>
                <w:b/>
                <w:bCs/>
                <w:sz w:val="24"/>
                <w:szCs w:val="24"/>
              </w:rPr>
            </w:pPr>
            <w:r>
              <w:rPr>
                <w:rFonts w:hint="eastAsia" w:ascii="宋体" w:hAnsi="宋体" w:cs="宋体"/>
                <w:sz w:val="24"/>
                <w:szCs w:val="24"/>
              </w:rPr>
              <w:t xml:space="preserve">方案与项目需求有偏差，内容简单粗糙，支撑保障措施及可实施性一般的</w:t>
            </w:r>
            <w:r>
              <w:rPr>
                <w:rFonts w:hint="eastAsia" w:ascii="宋体" w:hAnsi="宋体" w:cs="宋体"/>
                <w:b/>
                <w:bCs/>
                <w:sz w:val="24"/>
                <w:szCs w:val="24"/>
              </w:rPr>
              <w:t xml:space="preserve">得1分；</w:t>
            </w:r>
            <w:r/>
          </w:p>
          <w:p>
            <w:pPr>
              <w:spacing w:line="520" w:lineRule="exact"/>
              <w:tabs>
                <w:tab w:val="left" w:pos="829" w:leader="none"/>
              </w:tabs>
            </w:pPr>
            <w:r>
              <w:rPr>
                <w:rFonts w:hint="eastAsia" w:ascii="宋体" w:hAnsi="宋体" w:cs="宋体"/>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360" w:lineRule="auto"/>
              <w:widowControl w:val="off"/>
              <w:tabs>
                <w:tab w:val="left" w:pos="82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项目实施能力（18分）</w:t>
            </w:r>
            <w:r/>
          </w:p>
        </w:tc>
        <w:tc>
          <w:tcPr>
            <w:tcW w:w="6510" w:type="dxa"/>
            <w:vAlign w:val="center"/>
            <w:textDirection w:val="lrTb"/>
            <w:noWrap w:val="false"/>
          </w:tcPr>
          <w:p>
            <w:pPr>
              <w:spacing w:line="440" w:lineRule="exact"/>
              <w:tabs>
                <w:tab w:val="left" w:pos="840" w:leader="none"/>
              </w:tabs>
              <w:rPr>
                <w:rFonts w:hint="eastAsia" w:ascii="宋体" w:hAnsi="宋体" w:eastAsia="宋体" w:cs="宋体"/>
                <w:b/>
                <w:sz w:val="24"/>
              </w:rPr>
            </w:pPr>
            <w:r>
              <w:rPr>
                <w:rFonts w:hint="eastAsia"/>
                <w:b/>
                <w:sz w:val="24"/>
                <w:lang w:val="en-US" w:eastAsia="zh-CN"/>
              </w:rPr>
              <w:t xml:space="preserve">投标人</w:t>
            </w:r>
            <w:r>
              <w:rPr>
                <w:rFonts w:hint="eastAsia"/>
                <w:b/>
                <w:sz w:val="24"/>
              </w:rPr>
              <w:t xml:space="preserve">针对第四章 采购需求 二、服务技术要求</w:t>
            </w:r>
            <w:r>
              <w:rPr>
                <w:rFonts w:hint="eastAsia" w:asciiTheme="minorEastAsia" w:hAnsiTheme="minorEastAsia"/>
                <w:b/>
                <w:sz w:val="24"/>
              </w:rPr>
              <w:t xml:space="preserve">中</w:t>
            </w:r>
            <w:r>
              <w:rPr>
                <w:rFonts w:hint="eastAsia" w:ascii="宋体" w:hAnsi="宋体" w:eastAsia="宋体" w:cs="宋体"/>
                <w:b/>
                <w:sz w:val="24"/>
              </w:rPr>
              <w:t xml:space="preserve">加“▲”项提供建设方案，</w:t>
            </w:r>
            <w:bookmarkStart w:id="11" w:name="OLE_LINK38"/>
            <w:r>
              <w:rPr>
                <w:rFonts w:hint="eastAsia" w:ascii="宋体" w:hAnsi="宋体" w:eastAsia="宋体" w:cs="宋体"/>
                <w:b/>
                <w:sz w:val="24"/>
              </w:rPr>
              <w:t xml:space="preserve">方案内容不限于提供功能设计方案或原型设计界面截图（须配说明）或功能流程图及设计思路等，以证明其具有项目实施能力和技术基础。</w:t>
            </w:r>
            <w:bookmarkEnd w:id="11"/>
            <w:r/>
            <w:r/>
          </w:p>
          <w:p>
            <w:pP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一</w:t>
            </w:r>
            <w:r>
              <w:rPr>
                <w:rFonts w:hint="eastAsia" w:asciiTheme="minorEastAsia" w:hAnsiTheme="minorEastAsia" w:eastAsiaTheme="minorEastAsia" w:cstheme="minorEastAsia"/>
                <w:b/>
                <w:sz w:val="24"/>
                <w:szCs w:val="24"/>
              </w:rPr>
              <w:t xml:space="preserve">、司法数据仓库/统一数据资源池 （详见第四章 采购需求 2.5）</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符合行业信息化环境的司法数据仓库设计与开发方案，明确开发具体框架与前后端设计，方案须结合司法领域的数据特点，阐述数据集成、数据资源目录、数据共享交换、数据资产可视化等功能的具体实现方法，体现对司法数据全生命周期的管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该项未见阐述不得分。</w:t>
            </w:r>
            <w:r/>
          </w:p>
          <w:p>
            <w:pP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二</w:t>
            </w:r>
            <w:r>
              <w:rPr>
                <w:rFonts w:hint="eastAsia" w:asciiTheme="minorEastAsia" w:hAnsiTheme="minorEastAsia" w:eastAsiaTheme="minorEastAsia" w:cstheme="minorEastAsia"/>
                <w:b/>
                <w:sz w:val="24"/>
                <w:szCs w:val="24"/>
              </w:rPr>
              <w:t xml:space="preserve">、</w:t>
            </w:r>
            <w:r>
              <w:rPr>
                <w:rFonts w:hint="eastAsia" w:asciiTheme="minorEastAsia" w:hAnsiTheme="minorEastAsia" w:cstheme="minorEastAsia"/>
                <w:b/>
                <w:sz w:val="24"/>
                <w:szCs w:val="24"/>
                <w:lang w:val="en-US" w:eastAsia="zh-CN"/>
              </w:rPr>
              <w:t xml:space="preserve">统一应用平台设计</w:t>
            </w:r>
            <w:r>
              <w:rPr>
                <w:rFonts w:hint="eastAsia" w:asciiTheme="minorEastAsia" w:hAnsiTheme="minorEastAsia" w:eastAsiaTheme="minorEastAsia" w:cstheme="minorEastAsia"/>
                <w:b/>
                <w:sz w:val="24"/>
                <w:szCs w:val="24"/>
              </w:rPr>
              <w:t xml:space="preserve">（详见第四章 采购需求 2.6）</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提供面向多层级管理指挥调度功能模块的设计与开发方案，须涵盖用户管理、权限分配、业务审批等涉及多层级协同的业务范畴。</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tabs>
                <w:tab w:val="left" w:pos="82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该项未见阐述不得分。</w:t>
            </w:r>
            <w:r/>
          </w:p>
          <w:p>
            <w:pP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三</w:t>
            </w:r>
            <w:r>
              <w:rPr>
                <w:rFonts w:hint="eastAsia" w:asciiTheme="minorEastAsia" w:hAnsiTheme="minorEastAsia" w:eastAsiaTheme="minorEastAsia" w:cstheme="minorEastAsia"/>
                <w:b/>
                <w:sz w:val="24"/>
                <w:szCs w:val="24"/>
              </w:rPr>
              <w:t xml:space="preserve">、</w:t>
            </w:r>
            <w:bookmarkStart w:id="12" w:name="_Hlk239863417"/>
            <w:r>
              <w:rPr>
                <w:rFonts w:hint="eastAsia" w:asciiTheme="minorEastAsia" w:hAnsiTheme="minorEastAsia" w:eastAsiaTheme="minorEastAsia" w:cstheme="minorEastAsia"/>
                <w:b/>
                <w:sz w:val="24"/>
                <w:szCs w:val="24"/>
              </w:rPr>
              <w:t xml:space="preserve">综合态势监测大屏</w:t>
            </w:r>
            <w:bookmarkEnd w:id="12"/>
            <w:r>
              <w:rPr>
                <w:rFonts w:hint="eastAsia" w:asciiTheme="minorEastAsia" w:hAnsiTheme="minorEastAsia" w:eastAsiaTheme="minorEastAsia" w:cstheme="minorEastAsia"/>
                <w:b/>
                <w:sz w:val="24"/>
                <w:szCs w:val="24"/>
              </w:rPr>
              <w:t xml:space="preserve"> （详见第四章 采购需求 </w:t>
            </w:r>
            <w:r>
              <w:rPr>
                <w:rFonts w:hint="eastAsia" w:asciiTheme="minorEastAsia" w:hAnsiTheme="minorEastAsia" w:cstheme="minorEastAsia"/>
                <w:b/>
                <w:sz w:val="24"/>
                <w:szCs w:val="24"/>
                <w:lang w:val="en-US" w:eastAsia="zh-CN"/>
              </w:rPr>
              <w:t xml:space="preserve">2.7</w:t>
            </w:r>
            <w:r>
              <w:rPr>
                <w:rFonts w:hint="eastAsia" w:asciiTheme="minorEastAsia" w:hAnsiTheme="minorEastAsia" w:eastAsiaTheme="minorEastAsia" w:cstheme="minorEastAsia"/>
                <w:b/>
                <w:sz w:val="24"/>
                <w:szCs w:val="24"/>
              </w:rPr>
              <w:t xml:space="preserve">）</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提供详细、贴合业务需求的界面设计方案</w:t>
            </w:r>
            <w:r>
              <w:rPr>
                <w:rFonts w:hint="eastAsia" w:asciiTheme="minorEastAsia" w:hAnsiTheme="minorEastAsia" w:cstheme="minorEastAsia"/>
                <w:sz w:val="24"/>
                <w:szCs w:val="24"/>
                <w:lang w:val="en-US" w:eastAsia="zh-CN"/>
              </w:rPr>
              <w:t xml:space="preserve">或</w:t>
            </w:r>
            <w:r>
              <w:rPr>
                <w:rFonts w:hint="eastAsia" w:asciiTheme="minorEastAsia" w:hAnsiTheme="minorEastAsia" w:eastAsiaTheme="minorEastAsia" w:cstheme="minorEastAsia"/>
                <w:sz w:val="24"/>
                <w:szCs w:val="24"/>
              </w:rPr>
              <w:t xml:space="preserve">截图样例</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须附具体的设计说明</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该项未见阐述不得分。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六大业务场景功能</w:t>
            </w:r>
            <w:r>
              <w:rPr>
                <w:rFonts w:hint="eastAsia" w:asciiTheme="minorEastAsia" w:hAnsiTheme="minorEastAsia" w:eastAsiaTheme="minorEastAsia" w:cstheme="minorEastAsia"/>
                <w:b/>
                <w:bCs/>
                <w:sz w:val="24"/>
                <w:szCs w:val="24"/>
              </w:rPr>
              <w:t xml:space="preserve"> </w:t>
            </w:r>
            <w:r>
              <w:rPr>
                <w:rFonts w:hint="eastAsia" w:asciiTheme="minorEastAsia" w:hAnsiTheme="minorEastAsia" w:eastAsiaTheme="minorEastAsia" w:cstheme="minorEastAsia"/>
                <w:b/>
                <w:sz w:val="24"/>
                <w:szCs w:val="24"/>
              </w:rPr>
              <w:t xml:space="preserve">（详见第四章 采购需求 </w:t>
            </w:r>
            <w:r>
              <w:rPr>
                <w:rFonts w:hint="eastAsia" w:asciiTheme="minorEastAsia" w:hAnsiTheme="minorEastAsia" w:cstheme="minorEastAsia"/>
                <w:b/>
                <w:sz w:val="24"/>
                <w:szCs w:val="24"/>
                <w:lang w:val="en-US" w:eastAsia="zh-CN"/>
              </w:rPr>
              <w:t xml:space="preserve">2.8</w:t>
            </w:r>
            <w:r>
              <w:rPr>
                <w:rFonts w:hint="eastAsia" w:asciiTheme="minorEastAsia" w:hAnsiTheme="minorEastAsia" w:eastAsiaTheme="minorEastAsia" w:cstheme="minorEastAsia"/>
                <w:b/>
                <w:sz w:val="24"/>
                <w:szCs w:val="24"/>
              </w:rPr>
              <w:t xml:space="preserve">）</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提供针对</w:t>
            </w:r>
            <w:r>
              <w:rPr>
                <w:rFonts w:hint="eastAsia" w:asciiTheme="minorEastAsia" w:hAnsiTheme="minorEastAsia" w:cstheme="minorEastAsia"/>
                <w:sz w:val="24"/>
                <w:szCs w:val="24"/>
                <w:lang w:val="en-US" w:eastAsia="zh-CN"/>
              </w:rPr>
              <w:t xml:space="preserve">2.8中前</w:t>
            </w:r>
            <w:r>
              <w:rPr>
                <w:rFonts w:hint="eastAsia" w:asciiTheme="minorEastAsia" w:hAnsiTheme="minorEastAsia" w:eastAsiaTheme="minorEastAsia" w:cstheme="minorEastAsia"/>
                <w:sz w:val="24"/>
                <w:szCs w:val="24"/>
              </w:rPr>
              <w:t xml:space="preserve">六大核心业务场景的功能模块设计，须体现清晰的业务逻辑，符合对应的执行需求。</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该项未见阐述不得分。</w:t>
            </w:r>
            <w:r/>
          </w:p>
          <w:p>
            <w:pP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五</w:t>
            </w:r>
            <w:r>
              <w:rPr>
                <w:rFonts w:hint="eastAsia" w:asciiTheme="minorEastAsia" w:hAnsiTheme="minorEastAsia" w:eastAsiaTheme="minorEastAsia" w:cstheme="minorEastAsia"/>
                <w:b/>
                <w:sz w:val="24"/>
                <w:szCs w:val="24"/>
              </w:rPr>
              <w:t xml:space="preserve">、人工</w:t>
            </w:r>
            <w:r>
              <w:rPr>
                <w:rFonts w:hint="eastAsia" w:asciiTheme="minorEastAsia" w:hAnsiTheme="minorEastAsia" w:cstheme="minorEastAsia"/>
                <w:b/>
                <w:sz w:val="24"/>
                <w:szCs w:val="24"/>
                <w:lang w:val="en-US" w:eastAsia="zh-CN"/>
              </w:rPr>
              <w:t xml:space="preserve">智能模型微调与测试优化</w:t>
            </w:r>
            <w:r>
              <w:rPr>
                <w:rFonts w:hint="eastAsia" w:asciiTheme="minorEastAsia" w:hAnsiTheme="minorEastAsia" w:eastAsiaTheme="minorEastAsia" w:cstheme="minorEastAsia"/>
                <w:b/>
                <w:sz w:val="24"/>
                <w:szCs w:val="24"/>
              </w:rPr>
              <w:t xml:space="preserve"> （详见第四章 采购需求 2.</w:t>
            </w:r>
            <w:r>
              <w:rPr>
                <w:rFonts w:hint="eastAsia" w:asciiTheme="minorEastAsia" w:hAnsiTheme="minorEastAsia" w:cstheme="minorEastAsia"/>
                <w:b/>
                <w:sz w:val="24"/>
                <w:szCs w:val="24"/>
                <w:lang w:val="en-US" w:eastAsia="zh-CN"/>
              </w:rPr>
              <w:t xml:space="preserve">9</w:t>
            </w:r>
            <w:r>
              <w:rPr>
                <w:rFonts w:hint="eastAsia" w:asciiTheme="minorEastAsia" w:hAnsiTheme="minorEastAsia" w:eastAsiaTheme="minorEastAsia" w:cstheme="minorEastAsia"/>
                <w:b/>
                <w:sz w:val="24"/>
                <w:szCs w:val="24"/>
              </w:rPr>
              <w:t xml:space="preserve">）</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提供AI模型赋能业务办理、人物画像、数据分析等智能助手的设计与研发方案，须贴合具体的业务需求，体现赋能后预期成效。</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rPr>
                <w:rFonts w:hint="eastAsia" w:asciiTheme="minorEastAsia" w:hAnsiTheme="minorEastAsia" w:cstheme="minorEastAsia"/>
                <w:b/>
                <w:sz w:val="24"/>
                <w:szCs w:val="24"/>
                <w:lang w:val="en-US" w:eastAsia="zh-CN"/>
              </w:rPr>
            </w:pPr>
            <w:r>
              <w:rPr>
                <w:rFonts w:hint="eastAsia" w:asciiTheme="minorEastAsia" w:hAnsiTheme="minorEastAsia" w:eastAsiaTheme="minorEastAsia" w:cstheme="minorEastAsia"/>
                <w:b/>
                <w:bCs/>
                <w:sz w:val="24"/>
                <w:szCs w:val="24"/>
              </w:rPr>
              <w:t xml:space="preserve">该项未见阐述不得分。</w:t>
            </w:r>
            <w:r/>
          </w:p>
          <w:p>
            <w:pP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六</w:t>
            </w:r>
            <w:r>
              <w:rPr>
                <w:rFonts w:hint="eastAsia" w:asciiTheme="minorEastAsia" w:hAnsiTheme="minorEastAsia" w:eastAsiaTheme="minorEastAsia" w:cstheme="minorEastAsia"/>
                <w:b/>
                <w:sz w:val="24"/>
                <w:szCs w:val="24"/>
              </w:rPr>
              <w:t xml:space="preserve">、</w:t>
            </w:r>
            <w:r>
              <w:rPr>
                <w:rFonts w:hint="eastAsia" w:asciiTheme="minorEastAsia" w:hAnsiTheme="minorEastAsia" w:cstheme="minorEastAsia"/>
                <w:b/>
                <w:sz w:val="24"/>
                <w:szCs w:val="24"/>
                <w:lang w:val="en-US" w:eastAsia="zh-CN"/>
              </w:rPr>
              <w:t xml:space="preserve">数据处理和存储系统设计</w:t>
            </w:r>
            <w:r>
              <w:rPr>
                <w:rFonts w:hint="eastAsia" w:asciiTheme="minorEastAsia" w:hAnsiTheme="minorEastAsia" w:eastAsiaTheme="minorEastAsia" w:cstheme="minorEastAsia"/>
                <w:b/>
                <w:sz w:val="24"/>
                <w:szCs w:val="24"/>
              </w:rPr>
              <w:t xml:space="preserve"> （详见第四章 采购需求 2.</w:t>
            </w:r>
            <w:r>
              <w:rPr>
                <w:rFonts w:hint="eastAsia" w:asciiTheme="minorEastAsia" w:hAnsiTheme="minorEastAsia" w:cstheme="minorEastAsia"/>
                <w:b/>
                <w:sz w:val="24"/>
                <w:szCs w:val="24"/>
                <w:lang w:val="en-US" w:eastAsia="zh-CN"/>
              </w:rPr>
              <w:t xml:space="preserve">10</w:t>
            </w:r>
            <w:r>
              <w:rPr>
                <w:rFonts w:hint="eastAsia" w:asciiTheme="minorEastAsia" w:hAnsiTheme="minorEastAsia" w:eastAsiaTheme="minorEastAsia" w:cstheme="minorEastAsia"/>
                <w:b/>
                <w:sz w:val="24"/>
                <w:szCs w:val="24"/>
              </w:rPr>
              <w:t xml:space="preserve">）</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提供针对互联网、政务网、法院内网不同数据源的数据汇集方案，实现数据的高效汇入，并保证数据流通过程中的安全性。</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eastAsiaTheme="minorEastAsia" w:cstheme="minorEastAsia"/>
                <w:b/>
                <w:bCs/>
                <w:sz w:val="24"/>
                <w:szCs w:val="24"/>
              </w:rPr>
              <w:t xml:space="preserve">得3分；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eastAsiaTheme="minorEastAsia" w:cstheme="minorEastAsia"/>
                <w:b/>
                <w:bCs/>
                <w:sz w:val="24"/>
                <w:szCs w:val="24"/>
              </w:rPr>
              <w:t xml:space="preserve">得2分；</w:t>
            </w:r>
            <w:r/>
          </w:p>
          <w:p>
            <w:pPr>
              <w:keepLines w:val="0"/>
              <w:keepNext w:val="0"/>
              <w:pageBreakBefore w:val="0"/>
              <w:spacing w:line="360" w:lineRule="auto"/>
              <w:widowControl w:val="off"/>
              <w:tabs>
                <w:tab w:val="left" w:pos="8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eastAsiaTheme="minorEastAsia" w:cstheme="minorEastAsia"/>
                <w:b/>
                <w:bCs/>
                <w:sz w:val="24"/>
                <w:szCs w:val="24"/>
              </w:rPr>
              <w:t xml:space="preserve">得1分；</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1.本项目评标标准中的技术分（42分）采用暗标方式进行评审。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2.3供应商需按照上述要求编制方案，未按要求编制的本项（所有暗标项）不得分。</w:t>
      </w:r>
      <w:r/>
    </w:p>
    <w:p>
      <w:pPr>
        <w:ind w:firstLine="562"/>
        <w:jc w:val="center"/>
        <w:spacing w:line="500" w:lineRule="exact"/>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sz w:val="28"/>
          <w:szCs w:val="24"/>
        </w:rPr>
      </w:pPr>
      <w:r>
        <w:rPr>
          <w:rFonts w:asciiTheme="minorEastAsia" w:hAnsiTheme="minorEastAsia"/>
          <w:b/>
          <w:sz w:val="28"/>
          <w:szCs w:val="24"/>
        </w:rPr>
      </w:r>
      <w:r/>
    </w:p>
    <w:p>
      <w:pPr>
        <w:pStyle w:val="858"/>
        <w:rPr>
          <w:rFonts w:asciiTheme="minorEastAsia" w:hAnsiTheme="minorEastAsia"/>
          <w:b/>
          <w:bCs/>
          <w:sz w:val="28"/>
          <w:szCs w:val="28"/>
        </w:rPr>
      </w:pPr>
      <w:r>
        <w:rPr>
          <w:rFonts w:asciiTheme="minorEastAsia" w:hAnsiTheme="minorEastAsia"/>
          <w:b/>
          <w:sz w:val="28"/>
          <w:szCs w:val="24"/>
        </w:rPr>
      </w:r>
      <w:r>
        <w:rPr>
          <w:rFonts w:asciiTheme="minorEastAsia" w:hAnsiTheme="minorEastAsia"/>
          <w:b/>
          <w:sz w:val="28"/>
          <w:szCs w:val="24"/>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bCs/>
          <w:sz w:val="28"/>
          <w:szCs w:val="28"/>
        </w:rPr>
      </w:r>
      <w:r>
        <w:rPr>
          <w:rFonts w:asciiTheme="minorEastAsia" w:hAnsiTheme="minorEastAsia"/>
          <w:b/>
          <w:bCs/>
          <w:sz w:val="28"/>
          <w:szCs w:val="28"/>
        </w:rPr>
      </w:r>
      <w:r/>
    </w:p>
    <w:p>
      <w:pPr>
        <w:pStyle w:val="858"/>
        <w:rPr>
          <w:rFonts w:asciiTheme="minorEastAsia" w:hAnsiTheme="minorEastAsia"/>
          <w:b/>
          <w:bCs/>
          <w:sz w:val="28"/>
          <w:szCs w:val="28"/>
        </w:rPr>
      </w:pPr>
      <w:r>
        <w:rPr>
          <w:rFonts w:asciiTheme="minorEastAsia" w:hAnsiTheme="minorEastAsia"/>
          <w:b/>
          <w:sz w:val="28"/>
          <w:szCs w:val="24"/>
        </w:rPr>
      </w:r>
      <w:r/>
    </w:p>
    <w:p>
      <w:pPr>
        <w:pStyle w:val="858"/>
        <w:ind w:firstLine="0"/>
      </w:pPr>
      <w:r/>
      <w:r/>
    </w:p>
    <w:p>
      <w:pPr>
        <w:jc w:val="center"/>
        <w:spacing w:line="500" w:lineRule="exact"/>
        <w:rPr>
          <w:rFonts w:asciiTheme="minorEastAsia" w:hAnsiTheme="minorEastAsia"/>
          <w:b/>
          <w:sz w:val="28"/>
          <w:szCs w:val="24"/>
        </w:rPr>
      </w:pPr>
      <w:r>
        <w:rPr>
          <w:rFonts w:asciiTheme="minorEastAsia" w:hAnsiTheme="minorEastAsia"/>
          <w:b/>
          <w:sz w:val="28"/>
          <w:szCs w:val="24"/>
        </w:rPr>
        <w:t xml:space="preserve">采购包</w:t>
      </w:r>
      <w:r>
        <w:rPr>
          <w:rFonts w:hint="eastAsia" w:asciiTheme="minorEastAsia" w:hAnsiTheme="minorEastAsia"/>
          <w:b/>
          <w:sz w:val="28"/>
          <w:szCs w:val="24"/>
        </w:rPr>
        <w:t xml:space="preserve">2</w:t>
      </w:r>
      <w:r/>
    </w:p>
    <w:p>
      <w:pPr>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1.价格分（25分）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投标报价得分=（评标基准价／投标报价）×25分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cs="宋体"/>
          <w:b/>
          <w:sz w:val="24"/>
          <w:szCs w:val="24"/>
        </w:rPr>
      </w:pPr>
      <w:r>
        <w:rPr>
          <w:rFonts w:hint="eastAsia" w:asciiTheme="minorEastAsia" w:hAnsiTheme="minorEastAsia"/>
          <w:b/>
          <w:sz w:val="24"/>
          <w:szCs w:val="24"/>
        </w:rPr>
        <w:t xml:space="preserve">2.技术分（30分）</w:t>
      </w:r>
      <w:r>
        <w:rPr>
          <w:rFonts w:hint="eastAsia" w:ascii="宋体" w:hAnsi="宋体" w:eastAsia="宋体" w:cs="宋体"/>
          <w:b/>
          <w:sz w:val="24"/>
          <w:szCs w:val="24"/>
        </w:rPr>
        <w:t xml:space="preserve">（本部分</w:t>
      </w:r>
      <w:r>
        <w:rPr>
          <w:rFonts w:hint="eastAsia" w:ascii="宋体" w:hAnsi="宋体" w:cs="Calibri"/>
          <w:b/>
          <w:color w:val="000000"/>
          <w:sz w:val="24"/>
          <w:szCs w:val="24"/>
        </w:rPr>
        <w:t xml:space="preserve">采用暗标方式进行评审）</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总体实施方案</w:t>
            </w: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bookmarkStart w:id="13" w:name="OLE_LINK10"/>
            <w:r>
              <w:rPr>
                <w:rFonts w:hint="eastAsia" w:ascii="宋体" w:hAnsi="宋体" w:eastAsia="宋体" w:cs="宋体"/>
                <w:sz w:val="24"/>
                <w:szCs w:val="24"/>
              </w:rPr>
              <w:t xml:space="preserve">投标文件中提供总体实施方案，方案包括但不限于对总体安全规划、网络安全应急方式方法、前期整改加固、后期管理体系建设、安全检查等内容：</w:t>
            </w:r>
            <w:r/>
          </w:p>
          <w:p>
            <w:pPr>
              <w:spacing w:line="360" w:lineRule="auto"/>
              <w:rPr>
                <w:rFonts w:ascii="宋体" w:hAnsi="宋体" w:cs="宋体"/>
                <w:b/>
                <w:bCs/>
                <w:sz w:val="24"/>
                <w:szCs w:val="24"/>
              </w:rPr>
            </w:pPr>
            <w:r>
              <w:rPr>
                <w:rFonts w:hint="eastAsia" w:ascii="宋体" w:hAnsi="宋体" w:cs="宋体"/>
                <w:bCs/>
                <w:sz w:val="24"/>
                <w:szCs w:val="24"/>
              </w:rPr>
              <w:t xml:space="preserve">方案分析全面透彻，科学合理，全部满足采购需求的</w:t>
            </w:r>
            <w:r>
              <w:rPr>
                <w:rFonts w:hint="eastAsia" w:ascii="宋体" w:hAnsi="宋体" w:cs="宋体"/>
                <w:b/>
                <w:bCs/>
                <w:sz w:val="24"/>
                <w:szCs w:val="24"/>
              </w:rPr>
              <w:t xml:space="preserve">得6分；</w:t>
            </w:r>
            <w:r/>
          </w:p>
          <w:p>
            <w:pPr>
              <w:spacing w:line="360" w:lineRule="auto"/>
              <w:rPr>
                <w:rFonts w:ascii="宋体" w:hAnsi="宋体" w:cs="宋体"/>
                <w:bCs/>
                <w:sz w:val="24"/>
                <w:szCs w:val="24"/>
              </w:rPr>
            </w:pPr>
            <w:r>
              <w:rPr>
                <w:rFonts w:hint="eastAsia" w:ascii="宋体" w:hAnsi="宋体" w:cs="宋体"/>
                <w:bCs/>
                <w:sz w:val="24"/>
                <w:szCs w:val="24"/>
              </w:rPr>
              <w:t xml:space="preserve">方案分析较透彻，较科学合理，较满足采购需求的</w:t>
            </w:r>
            <w:r>
              <w:rPr>
                <w:rFonts w:hint="eastAsia" w:ascii="宋体" w:hAnsi="宋体" w:cs="宋体"/>
                <w:b/>
                <w:bCs/>
                <w:sz w:val="24"/>
                <w:szCs w:val="24"/>
              </w:rPr>
              <w:t xml:space="preserve">得5分；</w:t>
            </w:r>
            <w:r/>
          </w:p>
          <w:p>
            <w:pPr>
              <w:spacing w:line="360" w:lineRule="auto"/>
              <w:rPr>
                <w:rFonts w:ascii="宋体" w:hAnsi="宋体" w:cs="宋体"/>
                <w:bCs/>
                <w:sz w:val="24"/>
                <w:szCs w:val="24"/>
              </w:rPr>
            </w:pPr>
            <w:r>
              <w:rPr>
                <w:rFonts w:hint="eastAsia" w:ascii="宋体" w:hAnsi="宋体" w:cs="宋体"/>
                <w:bCs/>
                <w:sz w:val="24"/>
                <w:szCs w:val="24"/>
              </w:rPr>
              <w:t xml:space="preserve">方案分析能够满足需求但不全面、科学合理性一般的</w:t>
            </w:r>
            <w:r>
              <w:rPr>
                <w:rFonts w:hint="eastAsia" w:ascii="宋体" w:hAnsi="宋体" w:cs="宋体"/>
                <w:b/>
                <w:bCs/>
                <w:sz w:val="24"/>
                <w:szCs w:val="24"/>
              </w:rPr>
              <w:t xml:space="preserve">得3分</w:t>
            </w:r>
            <w:r>
              <w:rPr>
                <w:rFonts w:hint="eastAsia" w:ascii="宋体" w:hAnsi="宋体" w:cs="宋体"/>
                <w:bCs/>
                <w:sz w:val="24"/>
                <w:szCs w:val="24"/>
              </w:rPr>
              <w:t xml:space="preserve">；</w:t>
            </w:r>
            <w:r/>
          </w:p>
          <w:p>
            <w:pPr>
              <w:spacing w:line="360" w:lineRule="auto"/>
              <w:rPr>
                <w:rFonts w:ascii="宋体" w:hAnsi="宋体" w:cs="宋体"/>
                <w:b/>
                <w:bCs/>
                <w:sz w:val="24"/>
                <w:szCs w:val="24"/>
              </w:rPr>
            </w:pPr>
            <w:r>
              <w:rPr>
                <w:rFonts w:hint="eastAsia" w:ascii="宋体" w:hAnsi="宋体" w:cs="宋体"/>
                <w:bCs/>
                <w:sz w:val="24"/>
                <w:szCs w:val="24"/>
              </w:rPr>
              <w:t xml:space="preserve">方案理解模糊片面，部分满足需求的</w:t>
            </w:r>
            <w:r>
              <w:rPr>
                <w:rFonts w:hint="eastAsia" w:ascii="宋体" w:hAnsi="宋体" w:cs="宋体"/>
                <w:b/>
                <w:bCs/>
                <w:sz w:val="24"/>
                <w:szCs w:val="24"/>
              </w:rPr>
              <w:t xml:space="preserve">得2分；</w:t>
            </w:r>
            <w:r/>
          </w:p>
          <w:p>
            <w:pPr>
              <w:spacing w:line="360" w:lineRule="auto"/>
              <w:rPr>
                <w:sz w:val="24"/>
                <w:szCs w:val="24"/>
              </w:rPr>
            </w:pPr>
            <w:r>
              <w:rPr>
                <w:rFonts w:hint="eastAsia" w:ascii="宋体" w:hAnsi="宋体" w:eastAsia="宋体" w:cs="宋体"/>
                <w:b/>
                <w:sz w:val="24"/>
                <w:szCs w:val="24"/>
              </w:rPr>
              <w:t xml:space="preserve">该项未见阐述不得分。</w:t>
            </w:r>
            <w:bookmarkEnd w:id="13"/>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网络安全风险评估方案</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投标文件中提供网络安全风险评估方案，方案包括但不限于评估方法、风险点识别、处置方案等内容：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方案完整，评估方法科学完善，风险点识别准确，处置方案针对性强的</w:t>
            </w:r>
            <w:r>
              <w:rPr>
                <w:rFonts w:hint="eastAsia" w:ascii="宋体" w:hAnsi="宋体" w:eastAsia="宋体" w:cs="宋体"/>
                <w:b/>
                <w:sz w:val="24"/>
                <w:szCs w:val="24"/>
              </w:rPr>
              <w:t xml:space="preserve">得6分；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方案比较完整，评估方法比较科学，风险点识别比较准确，处置方案针对性较强的</w:t>
            </w:r>
            <w:r>
              <w:rPr>
                <w:rFonts w:hint="eastAsia" w:ascii="宋体" w:hAnsi="宋体" w:eastAsia="宋体" w:cs="宋体"/>
                <w:b/>
                <w:sz w:val="24"/>
                <w:szCs w:val="24"/>
              </w:rPr>
              <w:t xml:space="preserve">得5分；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方案简单，评估方法一般，风险点识别准确性一般、处置方案针对性一般的</w:t>
            </w:r>
            <w:r>
              <w:rPr>
                <w:rFonts w:hint="eastAsia" w:ascii="宋体" w:hAnsi="宋体" w:eastAsia="宋体" w:cs="宋体"/>
                <w:b/>
                <w:sz w:val="24"/>
                <w:szCs w:val="24"/>
              </w:rPr>
              <w:t xml:space="preserve">得3分；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方案简单粗糙，评估方法可实施性不强，风险点识别及处置方案针对性不强的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highlight w:val="yellow"/>
              </w:rPr>
            </w:pPr>
            <w:r>
              <w:rPr>
                <w:rFonts w:hint="eastAsia" w:ascii="宋体" w:hAnsi="宋体" w:eastAsia="宋体" w:cs="宋体"/>
                <w:sz w:val="24"/>
                <w:szCs w:val="24"/>
              </w:rPr>
              <w:t xml:space="preserve">应急演练方案</w:t>
            </w: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bookmarkStart w:id="14" w:name="OLE_LINK11"/>
            <w:r>
              <w:rPr>
                <w:rFonts w:hint="eastAsia" w:ascii="宋体" w:hAnsi="宋体" w:eastAsia="宋体" w:cs="宋体"/>
                <w:sz w:val="24"/>
                <w:szCs w:val="24"/>
              </w:rPr>
              <w:t xml:space="preserve">投标文件中提供应急演练方案，方案包括但不限于演练场景、演练内容、演练人员职责分工等内容：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方案详细，演练场景合理，演练内容覆盖全面，练人员职责分工明确的</w:t>
            </w:r>
            <w:r>
              <w:rPr>
                <w:rFonts w:hint="eastAsia" w:ascii="宋体" w:hAnsi="宋体" w:eastAsia="宋体" w:cs="宋体"/>
                <w:b/>
                <w:sz w:val="24"/>
                <w:szCs w:val="24"/>
              </w:rPr>
              <w:t xml:space="preserve">得6分；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方案比较详细，演练场景比较合理，演练内容覆盖比较全面，演练人员职责分工比较明确的</w:t>
            </w:r>
            <w:r>
              <w:rPr>
                <w:rFonts w:hint="eastAsia" w:ascii="宋体" w:hAnsi="宋体" w:eastAsia="宋体" w:cs="宋体"/>
                <w:b/>
                <w:sz w:val="24"/>
                <w:szCs w:val="24"/>
              </w:rPr>
              <w:t xml:space="preserve">得5分；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方案内容一般，演练场景合理性一般，演练内容有缺失，演练人员职责分工合理性一般的</w:t>
            </w:r>
            <w:r>
              <w:rPr>
                <w:rFonts w:hint="eastAsia" w:ascii="宋体" w:hAnsi="宋体" w:eastAsia="宋体" w:cs="宋体"/>
                <w:b/>
                <w:sz w:val="24"/>
                <w:szCs w:val="24"/>
              </w:rPr>
              <w:t xml:space="preserve">得3分；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方案内容简单粗糙，演练场景合理性不高，演练内容有缺失，演练人员职责分工不明确的</w:t>
            </w:r>
            <w:r>
              <w:rPr>
                <w:rFonts w:hint="eastAsia" w:ascii="宋体" w:hAnsi="宋体" w:eastAsia="宋体" w:cs="宋体"/>
                <w:b/>
                <w:sz w:val="24"/>
                <w:szCs w:val="24"/>
              </w:rPr>
              <w:t xml:space="preserve">得1分；</w:t>
            </w:r>
            <w:r/>
          </w:p>
          <w:p>
            <w:pPr>
              <w:spacing w:line="360" w:lineRule="auto"/>
              <w:rPr>
                <w:b/>
                <w:sz w:val="24"/>
                <w:szCs w:val="24"/>
                <w:highlight w:val="yellow"/>
              </w:rPr>
            </w:pPr>
            <w:r>
              <w:rPr>
                <w:rFonts w:hint="eastAsia" w:ascii="宋体" w:hAnsi="宋体" w:eastAsia="宋体" w:cs="宋体"/>
                <w:b/>
                <w:sz w:val="24"/>
                <w:szCs w:val="24"/>
              </w:rPr>
              <w:t xml:space="preserve">该项未见阐述不得分。</w:t>
            </w:r>
            <w:bookmarkEnd w:id="14"/>
            <w:r/>
            <w:r/>
          </w:p>
        </w:tc>
      </w:tr>
      <w:tr>
        <w:trPr>
          <w:jc w:val="center"/>
          <w:trHeight w:val="621"/>
        </w:trPr>
        <w:tc>
          <w:tcPr>
            <w:tcW w:w="1660" w:type="dxa"/>
            <w:vAlign w:val="center"/>
            <w:textDirection w:val="lrTb"/>
            <w:noWrap w:val="false"/>
          </w:tcPr>
          <w:p>
            <w:pPr>
              <w:pStyle w:val="870"/>
              <w:ind w:left="0" w:firstLine="0"/>
              <w:jc w:val="center"/>
              <w:rPr>
                <w:sz w:val="24"/>
                <w:szCs w:val="24"/>
              </w:rPr>
            </w:pPr>
            <w:r>
              <w:rPr>
                <w:rFonts w:hint="eastAsia" w:ascii="宋体" w:hAnsi="宋体" w:cs="宋体"/>
                <w:sz w:val="24"/>
                <w:szCs w:val="24"/>
              </w:rPr>
              <w:t xml:space="preserve">网络防御方案</w:t>
            </w:r>
            <w:r>
              <w:rPr>
                <w:rFonts w:hint="eastAsia" w:ascii="宋体" w:hAnsi="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投标文件中提供网络防御方案，方案包括但不限于网络安全监测、安全防御措施、安全事件处理等内容：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方案内容完整，网络安全监测方法科学合理，安全防御措施可操作性强，安全事件处理响应及时的</w:t>
            </w:r>
            <w:r>
              <w:rPr>
                <w:rFonts w:hint="eastAsia" w:ascii="宋体" w:hAnsi="宋体" w:eastAsia="宋体" w:cs="宋体"/>
                <w:b/>
                <w:sz w:val="24"/>
                <w:szCs w:val="24"/>
              </w:rPr>
              <w:t xml:space="preserve">得4分；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方案内容比较完整，网络安全监测方法比较合理，安全防御措施可操作性较强，安全事件处理响应比较及时的</w:t>
            </w:r>
            <w:r>
              <w:rPr>
                <w:rFonts w:hint="eastAsia" w:ascii="宋体" w:hAnsi="宋体" w:eastAsia="宋体" w:cs="宋体"/>
                <w:b/>
                <w:sz w:val="24"/>
                <w:szCs w:val="24"/>
              </w:rPr>
              <w:t xml:space="preserve">得2分</w:t>
            </w:r>
            <w:r>
              <w:rPr>
                <w:rFonts w:hint="eastAsia" w:ascii="宋体" w:hAnsi="宋体" w:eastAsia="宋体" w:cs="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方案内容简单，网络安全监测方法合理性一般、安全防御措施可操作性一般的</w:t>
            </w:r>
            <w:r>
              <w:rPr>
                <w:rFonts w:hint="eastAsia" w:ascii="宋体" w:hAnsi="宋体" w:eastAsia="宋体" w:cs="宋体"/>
                <w:b/>
                <w:sz w:val="24"/>
                <w:szCs w:val="24"/>
              </w:rPr>
              <w:t xml:space="preserve">得1分；</w:t>
            </w:r>
            <w:r/>
          </w:p>
          <w:p>
            <w:pPr>
              <w:pStyle w:val="870"/>
              <w:ind w:left="0" w:firstLine="0"/>
              <w:rPr>
                <w:b/>
                <w:sz w:val="24"/>
                <w:szCs w:val="24"/>
              </w:rPr>
            </w:pPr>
            <w:r>
              <w:rPr>
                <w:rFonts w:hint="eastAsia" w:ascii="宋体" w:hAnsi="宋体" w:cs="宋体"/>
                <w:b/>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安全运维方案</w:t>
            </w:r>
            <w:r>
              <w:rPr>
                <w:rFonts w:hint="eastAsia" w:ascii="宋体" w:hAnsi="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bookmarkStart w:id="15" w:name="OLE_LINK12"/>
            <w:r>
              <w:rPr>
                <w:rFonts w:hint="eastAsia" w:ascii="宋体" w:hAnsi="宋体" w:eastAsia="宋体" w:cs="宋体"/>
                <w:sz w:val="24"/>
                <w:szCs w:val="24"/>
              </w:rPr>
              <w:t xml:space="preserve">投标文件中提供安全运维方案，方案包括但不限于安全运维体系、运维内容、安全巡检、应急响应措施等内容：</w:t>
            </w:r>
            <w:r/>
          </w:p>
          <w:p>
            <w:pPr>
              <w:spacing w:line="360" w:lineRule="auto"/>
              <w:rPr>
                <w:b/>
                <w:sz w:val="24"/>
                <w:szCs w:val="24"/>
              </w:rPr>
            </w:pPr>
            <w:r>
              <w:rPr>
                <w:rFonts w:hint="eastAsia" w:ascii="宋体" w:hAnsi="宋体" w:eastAsia="宋体" w:cs="宋体"/>
                <w:sz w:val="24"/>
                <w:szCs w:val="24"/>
              </w:rPr>
              <w:t xml:space="preserve">方案包含上述内容，运维体系完善，运维内容详细，应急响应措施可行性强的</w:t>
            </w:r>
            <w:r>
              <w:rPr>
                <w:rFonts w:hint="eastAsia" w:ascii="宋体" w:hAnsi="宋体" w:eastAsia="宋体" w:cs="宋体"/>
                <w:b/>
                <w:sz w:val="24"/>
                <w:szCs w:val="24"/>
              </w:rPr>
              <w:t xml:space="preserve">得4分；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方案包含上述内容，运维体系比较完善，运维内容比较详细，应急响应措施可行性较强的</w:t>
            </w:r>
            <w:r>
              <w:rPr>
                <w:rFonts w:hint="eastAsia" w:ascii="宋体" w:hAnsi="宋体" w:eastAsia="宋体" w:cs="宋体"/>
                <w:b/>
                <w:sz w:val="24"/>
                <w:szCs w:val="24"/>
              </w:rPr>
              <w:t xml:space="preserve">得2分；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方案内容有缺项，运维体系一般，应急响应措施可行性一般的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bookmarkEnd w:id="15"/>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培训方案</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投标文件中提供培训方案，方案包含但不限于培训计划、培训内容、培训方式等内容：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方案内容详尽完善，培训计划安排合理性强、培训内容全面、培训方式切实可行的</w:t>
            </w:r>
            <w:r>
              <w:rPr>
                <w:rFonts w:hint="eastAsia" w:ascii="宋体" w:hAnsi="宋体" w:eastAsia="宋体" w:cs="宋体"/>
                <w:b/>
                <w:sz w:val="24"/>
                <w:szCs w:val="24"/>
              </w:rPr>
              <w:t xml:space="preserve">得4分；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方案内容比较完善，培训计划安排较合理、培训内容比较全面、培训方式可行性较强的</w:t>
            </w:r>
            <w:r>
              <w:rPr>
                <w:rFonts w:hint="eastAsia" w:ascii="宋体" w:hAnsi="宋体" w:eastAsia="宋体" w:cs="宋体"/>
                <w:b/>
                <w:sz w:val="24"/>
                <w:szCs w:val="24"/>
              </w:rPr>
              <w:t xml:space="preserve">得2分；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方案内容简单粗糙，培训计划安排合理性一般、培训内容单一、培训方式可行性一般的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r/>
          </w:p>
        </w:tc>
      </w:tr>
    </w:tbl>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3.商务分（45分）</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sz w:val="24"/>
                <w:szCs w:val="24"/>
              </w:rPr>
            </w:pPr>
            <w:r>
              <w:rPr>
                <w:rFonts w:hint="eastAsia" w:cs="宋体" w:asciiTheme="minorEastAsia" w:hAnsiTheme="minorEastAsia"/>
                <w:sz w:val="24"/>
                <w:szCs w:val="24"/>
              </w:rPr>
              <w:t xml:space="preserve">技术参数响应</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sz w:val="24"/>
                <w:szCs w:val="24"/>
              </w:rPr>
            </w:pPr>
            <w:r>
              <w:rPr>
                <w:rFonts w:hint="eastAsia" w:cs="宋体" w:asciiTheme="minorEastAsia" w:hAnsiTheme="minorEastAsia"/>
                <w:sz w:val="24"/>
                <w:szCs w:val="24"/>
              </w:rPr>
              <w:t xml:space="preserve">（24分）</w:t>
            </w:r>
            <w:r/>
          </w:p>
        </w:tc>
        <w:tc>
          <w:tcPr>
            <w:tcW w:w="6845" w:type="dxa"/>
            <w:vAlign w:val="center"/>
            <w:textDirection w:val="lrTb"/>
            <w:noWrap w:val="false"/>
          </w:tcPr>
          <w:p>
            <w:pPr>
              <w:spacing w:line="360" w:lineRule="auto"/>
              <w:rPr>
                <w:rFonts w:cs="宋体" w:asciiTheme="minorEastAsia" w:hAnsiTheme="minorEastAsia"/>
                <w:sz w:val="24"/>
                <w:szCs w:val="24"/>
              </w:rPr>
            </w:pPr>
            <w:r>
              <w:rPr>
                <w:rFonts w:hint="eastAsia" w:cs="宋体" w:asciiTheme="minorEastAsia" w:hAnsiTheme="minorEastAsia"/>
                <w:sz w:val="24"/>
                <w:szCs w:val="24"/>
              </w:rPr>
              <w:t xml:space="preserve">技术参数指标评审基准分24分，标注“▲”的指标，每有一项负偏离的扣2分，扣完为止。</w:t>
            </w:r>
            <w:r/>
          </w:p>
          <w:p>
            <w:pPr>
              <w:spacing w:line="360" w:lineRule="auto"/>
              <w:rPr>
                <w:rFonts w:hint="eastAsia" w:asciiTheme="minorEastAsia" w:hAnsiTheme="minorEastAsia" w:eastAsiaTheme="minorEastAsia"/>
                <w:color w:val="000000"/>
                <w:sz w:val="24"/>
                <w:szCs w:val="24"/>
                <w:lang w:eastAsia="zh-CN"/>
              </w:rPr>
            </w:pPr>
            <w:r>
              <w:rPr>
                <w:rFonts w:hint="eastAsia" w:cs="宋体" w:asciiTheme="minorEastAsia" w:hAnsiTheme="minorEastAsia"/>
                <w:b/>
                <w:bCs/>
                <w:sz w:val="24"/>
                <w:szCs w:val="24"/>
                <w:lang w:eastAsia="zh-CN"/>
              </w:rPr>
              <w:t xml:space="preserve">（</w:t>
            </w:r>
            <w:r>
              <w:rPr>
                <w:rFonts w:cs="宋体" w:asciiTheme="minorEastAsia" w:hAnsiTheme="minorEastAsia"/>
                <w:b/>
                <w:bCs/>
                <w:sz w:val="24"/>
                <w:szCs w:val="24"/>
              </w:rPr>
              <w:t xml:space="preserve">投标文件中详细填写《技术规格偏离表》，须逐条响应，对于需要提供证明材料的需提供相应材料并标明证明材料在投标文件中的具体位置并做明显标识，便于评审；证明材料未提供的或提供与要求不符的视为负偏离</w:t>
            </w:r>
            <w:r>
              <w:rPr>
                <w:rFonts w:hint="eastAsia" w:cs="宋体" w:asciiTheme="minorEastAsia" w:hAnsiTheme="minorEastAsia"/>
                <w:b/>
                <w:bCs/>
                <w:sz w:val="24"/>
                <w:szCs w:val="24"/>
                <w:lang w:eastAsia="zh-CN"/>
              </w:rPr>
              <w:t xml:space="preserve">）</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项目实施保障</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sz w:val="24"/>
                <w:szCs w:val="24"/>
              </w:rPr>
            </w:pPr>
            <w:r>
              <w:rPr>
                <w:rFonts w:hint="eastAsia" w:asciiTheme="minorEastAsia" w:hAnsiTheme="minorEastAsia"/>
                <w:bCs/>
                <w:sz w:val="24"/>
                <w:szCs w:val="24"/>
              </w:rPr>
              <w:t xml:space="preserve">（11分）</w:t>
            </w:r>
            <w:r/>
          </w:p>
        </w:tc>
        <w:tc>
          <w:tcPr>
            <w:tcW w:w="6845" w:type="dxa"/>
            <w:vAlign w:val="center"/>
            <w:textDirection w:val="lrTb"/>
            <w:noWrap w:val="false"/>
          </w:tcPr>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信息安全管理体系认证</w:t>
            </w:r>
            <w:r>
              <w:rPr>
                <w:rFonts w:hint="eastAsia" w:ascii="宋体" w:hAnsi="宋体"/>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2.</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质量管理体系认证</w:t>
            </w:r>
            <w:r>
              <w:rPr>
                <w:rFonts w:hint="eastAsia" w:ascii="宋体" w:hAnsi="宋体"/>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信息服务管理体系认证</w:t>
            </w:r>
            <w:r>
              <w:rPr>
                <w:rFonts w:ascii="宋体" w:hAnsi="宋体" w:eastAsia="宋体" w:cs="Times New Roman"/>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投标人具有CCRC信息安全服务资质认证证书的</w:t>
            </w:r>
            <w:r>
              <w:rPr>
                <w:rFonts w:ascii="宋体" w:hAnsi="宋体" w:eastAsia="宋体" w:cs="Times New Roman"/>
                <w:b/>
                <w:color w:val="000000"/>
                <w:sz w:val="24"/>
                <w:szCs w:val="24"/>
              </w:rPr>
              <w:t xml:space="preserve">得2分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olor w:val="000000"/>
                <w:sz w:val="24"/>
                <w:szCs w:val="24"/>
              </w:rPr>
              <w:t xml:space="preserve">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投标人具有ITSS信息技术服务等级</w:t>
            </w:r>
            <w:r>
              <w:rPr>
                <w:rFonts w:ascii="宋体" w:hAnsi="宋体"/>
                <w:color w:val="000000"/>
                <w:sz w:val="24"/>
                <w:szCs w:val="24"/>
              </w:rPr>
              <w:t xml:space="preserve">证书</w:t>
            </w:r>
            <w:r>
              <w:rPr>
                <w:rFonts w:ascii="宋体" w:hAnsi="宋体" w:eastAsia="宋体" w:cs="Times New Roman"/>
                <w:color w:val="000000"/>
                <w:sz w:val="24"/>
                <w:szCs w:val="24"/>
              </w:rPr>
              <w:t xml:space="preserve">的</w:t>
            </w:r>
            <w:r>
              <w:rPr>
                <w:rFonts w:ascii="宋体" w:hAnsi="宋体" w:eastAsia="宋体" w:cs="Times New Roman"/>
                <w:b/>
                <w:color w:val="000000"/>
                <w:sz w:val="24"/>
                <w:szCs w:val="24"/>
              </w:rPr>
              <w:t xml:space="preserve">得</w:t>
            </w:r>
            <w:r>
              <w:rPr>
                <w:rFonts w:hint="eastAsia" w:ascii="宋体" w:hAnsi="宋体" w:eastAsia="宋体" w:cs="Times New Roman"/>
                <w:b/>
                <w:color w:val="000000"/>
                <w:sz w:val="24"/>
                <w:szCs w:val="24"/>
              </w:rPr>
              <w:t xml:space="preserve">2</w:t>
            </w:r>
            <w:r>
              <w:rPr>
                <w:rFonts w:ascii="宋体" w:hAnsi="宋体" w:eastAsia="宋体" w:cs="Times New Roman"/>
                <w:b/>
                <w:color w:val="000000"/>
                <w:sz w:val="24"/>
                <w:szCs w:val="24"/>
              </w:rPr>
              <w:t xml:space="preserve">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6</w:t>
            </w:r>
            <w:r>
              <w:rPr>
                <w:rFonts w:hint="eastAsia" w:ascii="宋体" w:hAnsi="宋体" w:eastAsia="宋体" w:cs="Times New Roman"/>
                <w:color w:val="000000"/>
                <w:sz w:val="24"/>
                <w:szCs w:val="24"/>
              </w:rPr>
              <w:t xml:space="preserve">.投标人具有国家信息安全漏洞库（CNNVD）技术支撑单位等级证书（三级）及以上的</w:t>
            </w:r>
            <w:r>
              <w:rPr>
                <w:rFonts w:hint="eastAsia" w:ascii="宋体" w:hAnsi="宋体" w:eastAsia="宋体" w:cs="Times New Roman"/>
                <w:b/>
                <w:color w:val="000000"/>
                <w:sz w:val="24"/>
                <w:szCs w:val="24"/>
              </w:rPr>
              <w:t xml:space="preserve">得2分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eastAsia="宋体" w:cs="Times New Roman"/>
                <w:b/>
                <w:bCs/>
                <w:color w:val="000000"/>
                <w:sz w:val="24"/>
                <w:szCs w:val="24"/>
              </w:rPr>
              <w:t xml:space="preserve">（</w:t>
            </w:r>
            <w:r>
              <w:rPr>
                <w:rFonts w:ascii="宋体" w:hAnsi="宋体" w:eastAsia="宋体" w:cs="Times New Roman"/>
                <w:b/>
                <w:bCs/>
                <w:color w:val="000000"/>
                <w:sz w:val="24"/>
                <w:szCs w:val="24"/>
              </w:rPr>
              <w:t xml:space="preserve">上述 1-</w:t>
            </w:r>
            <w:r>
              <w:rPr>
                <w:rFonts w:hint="eastAsia" w:ascii="宋体" w:hAnsi="宋体"/>
                <w:b/>
                <w:bCs/>
                <w:color w:val="000000"/>
                <w:sz w:val="24"/>
                <w:szCs w:val="24"/>
              </w:rPr>
              <w:t xml:space="preserve">6</w:t>
            </w:r>
            <w:r>
              <w:rPr>
                <w:rFonts w:ascii="宋体" w:hAnsi="宋体" w:eastAsia="宋体" w:cs="Times New Roman"/>
                <w:b/>
                <w:bCs/>
                <w:color w:val="000000"/>
                <w:sz w:val="24"/>
                <w:szCs w:val="24"/>
              </w:rPr>
              <w:t xml:space="preserve">项投标文件中</w:t>
            </w:r>
            <w:r>
              <w:rPr>
                <w:rFonts w:ascii="宋体" w:hAnsi="宋体"/>
                <w:b/>
                <w:bCs/>
                <w:color w:val="000000"/>
                <w:sz w:val="24"/>
                <w:szCs w:val="24"/>
              </w:rPr>
              <w:t xml:space="preserve">提供有效证书</w:t>
            </w:r>
            <w:r>
              <w:rPr>
                <w:rFonts w:hint="eastAsia" w:ascii="宋体" w:hAnsi="宋体"/>
                <w:b/>
                <w:bCs/>
                <w:color w:val="000000"/>
                <w:sz w:val="24"/>
                <w:szCs w:val="24"/>
                <w:lang w:val="en-US" w:eastAsia="zh-CN"/>
              </w:rPr>
              <w:t xml:space="preserve">证明材料</w:t>
            </w:r>
            <w:r>
              <w:rPr>
                <w:rFonts w:ascii="宋体" w:hAnsi="宋体"/>
                <w:b/>
                <w:bCs/>
                <w:color w:val="000000"/>
                <w:sz w:val="24"/>
                <w:szCs w:val="24"/>
              </w:rPr>
              <w:t xml:space="preserve">并加盖投标人公章，否则不得分</w:t>
            </w:r>
            <w:r>
              <w:rPr>
                <w:rFonts w:hint="eastAsia" w:ascii="宋体" w:hAnsi="宋体" w:eastAsia="宋体" w:cs="Times New Roman"/>
                <w:b/>
                <w:bCs/>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自</w:t>
            </w:r>
            <w:r>
              <w:rPr>
                <w:rFonts w:hint="eastAsia" w:ascii="宋体" w:hAnsi="宋体"/>
                <w:color w:val="000000"/>
                <w:sz w:val="24"/>
                <w:szCs w:val="24"/>
              </w:rPr>
              <w:t xml:space="preserve">2024年1月1日起，</w:t>
            </w:r>
            <w:r>
              <w:rPr>
                <w:rFonts w:ascii="宋体" w:hAnsi="宋体" w:eastAsia="宋体" w:cs="Times New Roman"/>
                <w:color w:val="000000"/>
                <w:sz w:val="24"/>
                <w:szCs w:val="24"/>
              </w:rPr>
              <w:t xml:space="preserve">投标人</w:t>
            </w:r>
            <w:r>
              <w:rPr>
                <w:rFonts w:ascii="宋体" w:hAnsi="宋体"/>
                <w:color w:val="000000"/>
                <w:sz w:val="24"/>
                <w:szCs w:val="24"/>
              </w:rPr>
              <w:t xml:space="preserve">获得过政府部门颁发的</w:t>
            </w:r>
            <w:r>
              <w:rPr>
                <w:rFonts w:hint="eastAsia" w:ascii="宋体" w:hAnsi="宋体" w:eastAsia="宋体" w:cs="Times New Roman"/>
                <w:color w:val="000000"/>
                <w:sz w:val="24"/>
                <w:szCs w:val="24"/>
              </w:rPr>
              <w:t xml:space="preserve">“网络和数据安全技术支撑单位/机构”</w:t>
            </w:r>
            <w:r>
              <w:rPr>
                <w:rFonts w:ascii="宋体" w:hAnsi="宋体"/>
                <w:color w:val="000000"/>
                <w:sz w:val="24"/>
                <w:szCs w:val="24"/>
              </w:rPr>
              <w:t xml:space="preserve">相关荣誉的</w:t>
            </w:r>
            <w:r>
              <w:rPr>
                <w:rFonts w:ascii="宋体" w:hAnsi="宋体" w:eastAsia="宋体" w:cs="Times New Roman"/>
                <w:b/>
                <w:color w:val="000000"/>
                <w:sz w:val="24"/>
                <w:szCs w:val="24"/>
              </w:rPr>
              <w:t xml:space="preserve">得2分</w:t>
            </w:r>
            <w:r>
              <w:rPr>
                <w:rFonts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（投标文件中提供证书/官方发文等证明材料并加盖投标人公章，时间以证书/发文时间为准，否则不得分）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业绩</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（3分）</w:t>
            </w:r>
            <w:r/>
          </w:p>
        </w:tc>
        <w:tc>
          <w:tcPr>
            <w:tcW w:w="6845" w:type="dxa"/>
            <w:vAlign w:val="center"/>
            <w:textDirection w:val="lrTb"/>
            <w:noWrap w:val="false"/>
          </w:tcPr>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ascii="宋体" w:hAnsi="宋体"/>
                <w:color w:val="000000"/>
                <w:sz w:val="24"/>
                <w:szCs w:val="24"/>
              </w:rPr>
              <w:t xml:space="preserve">自</w:t>
            </w:r>
            <w:r>
              <w:rPr>
                <w:rFonts w:hint="eastAsia" w:ascii="宋体" w:hAnsi="宋体"/>
                <w:color w:val="000000"/>
                <w:sz w:val="24"/>
                <w:szCs w:val="24"/>
              </w:rPr>
              <w:t xml:space="preserve">2023年1月1日起，</w:t>
            </w:r>
            <w:r>
              <w:rPr>
                <w:rFonts w:ascii="宋体" w:hAnsi="宋体" w:eastAsia="宋体" w:cs="Times New Roman"/>
                <w:color w:val="000000"/>
                <w:sz w:val="24"/>
                <w:szCs w:val="24"/>
              </w:rPr>
              <w:t xml:space="preserve">投标人具有</w:t>
            </w:r>
            <w:r>
              <w:rPr>
                <w:rFonts w:ascii="宋体" w:hAnsi="宋体"/>
                <w:color w:val="000000"/>
                <w:sz w:val="24"/>
                <w:szCs w:val="24"/>
              </w:rPr>
              <w:t xml:space="preserve">类似项目</w:t>
            </w:r>
            <w:r>
              <w:rPr>
                <w:rFonts w:hint="eastAsia" w:ascii="宋体" w:hAnsi="宋体" w:eastAsia="宋体" w:cs="Times New Roman"/>
                <w:color w:val="000000"/>
                <w:sz w:val="24"/>
                <w:szCs w:val="24"/>
              </w:rPr>
              <w:t xml:space="preserve">（合同内容至少与网络安全相关）</w:t>
            </w:r>
            <w:r>
              <w:rPr>
                <w:rFonts w:ascii="宋体" w:hAnsi="宋体" w:eastAsia="宋体" w:cs="Times New Roman"/>
                <w:color w:val="000000"/>
                <w:sz w:val="24"/>
                <w:szCs w:val="24"/>
              </w:rPr>
              <w:t xml:space="preserve">业绩的，每提供一个</w:t>
            </w:r>
            <w:r>
              <w:rPr>
                <w:rFonts w:ascii="宋体" w:hAnsi="宋体"/>
                <w:color w:val="000000"/>
                <w:sz w:val="24"/>
                <w:szCs w:val="24"/>
              </w:rPr>
              <w:t xml:space="preserve">业绩</w:t>
            </w:r>
            <w:r>
              <w:rPr>
                <w:rFonts w:ascii="宋体" w:hAnsi="宋体" w:eastAsia="宋体" w:cs="Times New Roman"/>
                <w:color w:val="000000"/>
                <w:sz w:val="24"/>
                <w:szCs w:val="24"/>
              </w:rPr>
              <w:t xml:space="preserve">得1分</w:t>
            </w:r>
            <w:r>
              <w:rPr>
                <w:rFonts w:ascii="宋体" w:hAnsi="宋体"/>
                <w:color w:val="000000"/>
                <w:sz w:val="24"/>
                <w:szCs w:val="24"/>
              </w:rPr>
              <w:t xml:space="preserve">，</w:t>
            </w:r>
            <w:r>
              <w:rPr>
                <w:rFonts w:ascii="宋体" w:hAnsi="宋体" w:eastAsia="宋体" w:cs="Times New Roman"/>
                <w:b/>
                <w:color w:val="000000"/>
                <w:sz w:val="24"/>
                <w:szCs w:val="24"/>
              </w:rPr>
              <w:t xml:space="preserve">最高得3分</w:t>
            </w:r>
            <w:r>
              <w:rPr>
                <w:rFonts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（投标文件中提供合同</w:t>
            </w:r>
            <w:r>
              <w:rPr>
                <w:rFonts w:hint="eastAsia" w:ascii="宋体" w:hAnsi="宋体"/>
                <w:b/>
                <w:color w:val="000000"/>
                <w:sz w:val="24"/>
                <w:szCs w:val="24"/>
                <w:lang w:val="en-US" w:eastAsia="zh-CN"/>
              </w:rPr>
              <w:t xml:space="preserve">证明材料</w:t>
            </w:r>
            <w:r>
              <w:rPr>
                <w:rFonts w:hint="eastAsia" w:ascii="宋体" w:hAnsi="宋体"/>
                <w:b/>
                <w:color w:val="000000"/>
                <w:sz w:val="24"/>
                <w:szCs w:val="24"/>
              </w:rPr>
              <w:t xml:space="preserve">并加盖投标人公章，否则不得分。合同内容</w:t>
            </w:r>
            <w:r>
              <w:rPr>
                <w:rFonts w:hint="eastAsia" w:ascii="宋体" w:hAnsi="宋体"/>
                <w:b/>
                <w:bCs/>
                <w:color w:val="000000"/>
                <w:sz w:val="24"/>
                <w:szCs w:val="24"/>
              </w:rPr>
              <w:t xml:space="preserve">由评标委员会现场统一认定</w:t>
            </w:r>
            <w:r>
              <w:rPr>
                <w:rFonts w:ascii="宋体" w:hAnsi="宋体"/>
                <w:b/>
                <w:color w:val="000000"/>
                <w:sz w:val="24"/>
                <w:szCs w:val="24"/>
              </w:rPr>
              <w:t xml:space="preserve">）</w:t>
            </w:r>
            <w:r/>
          </w:p>
        </w:tc>
      </w:tr>
      <w:tr>
        <w:trPr>
          <w:jc w:val="center"/>
          <w:trHeight w:val="557"/>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项目团队</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sz w:val="24"/>
                <w:szCs w:val="24"/>
              </w:rPr>
            </w:pPr>
            <w:r>
              <w:rPr>
                <w:rFonts w:hint="eastAsia" w:asciiTheme="minorEastAsia" w:hAnsiTheme="minorEastAsia"/>
                <w:bCs/>
                <w:sz w:val="24"/>
                <w:szCs w:val="24"/>
              </w:rPr>
              <w:t xml:space="preserve">（7分）</w:t>
            </w:r>
            <w:r/>
          </w:p>
        </w:tc>
        <w:tc>
          <w:tcPr>
            <w:tcW w:w="6845" w:type="dxa"/>
            <w:vAlign w:val="center"/>
            <w:textDirection w:val="lrTb"/>
            <w:noWrap w:val="false"/>
          </w:tcPr>
          <w:p>
            <w:pPr>
              <w:jc w:val="left"/>
              <w:spacing w:line="50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拟派项目经理具有CSPM项目管理专业人员证书、CISAW安全集成（专业级）证书、售后服务管理师证书的</w:t>
            </w:r>
            <w:r>
              <w:rPr>
                <w:rFonts w:hint="eastAsia" w:ascii="宋体" w:hAnsi="宋体" w:eastAsia="宋体" w:cs="Times New Roman"/>
                <w:color w:val="000000"/>
                <w:sz w:val="24"/>
                <w:szCs w:val="24"/>
              </w:rPr>
              <w:t xml:space="preserve">，每提供一个证书得1分，</w:t>
            </w:r>
            <w:r>
              <w:rPr>
                <w:rFonts w:hint="eastAsia" w:ascii="宋体" w:hAnsi="宋体" w:eastAsia="宋体" w:cs="Times New Roman"/>
                <w:b/>
                <w:color w:val="000000"/>
                <w:sz w:val="24"/>
                <w:szCs w:val="24"/>
              </w:rPr>
              <w:t xml:space="preserve">最高</w:t>
            </w:r>
            <w:r>
              <w:rPr>
                <w:rFonts w:ascii="宋体" w:hAnsi="宋体" w:eastAsia="宋体" w:cs="Times New Roman"/>
                <w:b/>
                <w:color w:val="000000"/>
                <w:sz w:val="24"/>
                <w:szCs w:val="24"/>
              </w:rPr>
              <w:t xml:space="preserve">得</w:t>
            </w:r>
            <w:r>
              <w:rPr>
                <w:rFonts w:hint="eastAsia" w:ascii="宋体" w:hAnsi="宋体" w:eastAsia="宋体" w:cs="Times New Roman"/>
                <w:b/>
                <w:color w:val="000000"/>
                <w:sz w:val="24"/>
                <w:szCs w:val="24"/>
              </w:rPr>
              <w:t xml:space="preserve">3</w:t>
            </w:r>
            <w:r>
              <w:rPr>
                <w:rFonts w:ascii="宋体" w:hAnsi="宋体" w:eastAsia="宋体" w:cs="Times New Roman"/>
                <w:b/>
                <w:color w:val="000000"/>
                <w:sz w:val="24"/>
                <w:szCs w:val="24"/>
              </w:rPr>
              <w:t xml:space="preserve">分。</w:t>
            </w:r>
            <w:r/>
          </w:p>
          <w:p>
            <w:pPr>
              <w:jc w:val="left"/>
              <w:spacing w:line="50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拟派项目团队成员（不含项目经理）中具有CISAW安全集成（专业级）证书、CISAW安全运维（专业级）、数字经济（网络安全）</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高级工程师证书、软考网络工程师证书的，每提供一个证书得1分，</w:t>
            </w:r>
            <w:r>
              <w:rPr>
                <w:rFonts w:ascii="宋体" w:hAnsi="宋体" w:eastAsia="宋体" w:cs="Times New Roman"/>
                <w:b/>
                <w:color w:val="000000"/>
                <w:sz w:val="24"/>
                <w:szCs w:val="24"/>
              </w:rPr>
              <w:t xml:space="preserve">最高得</w:t>
            </w:r>
            <w:r>
              <w:rPr>
                <w:rFonts w:hint="eastAsia" w:ascii="宋体" w:hAnsi="宋体" w:eastAsia="宋体" w:cs="Times New Roman"/>
                <w:b/>
                <w:color w:val="000000"/>
                <w:sz w:val="24"/>
                <w:szCs w:val="24"/>
              </w:rPr>
              <w:t xml:space="preserve">4</w:t>
            </w:r>
            <w:r>
              <w:rPr>
                <w:rFonts w:ascii="宋体" w:hAnsi="宋体" w:eastAsia="宋体" w:cs="Times New Roman"/>
                <w:b/>
                <w:color w:val="000000"/>
                <w:sz w:val="24"/>
                <w:szCs w:val="24"/>
              </w:rPr>
              <w:t xml:space="preserve">分。</w:t>
            </w:r>
            <w:r/>
          </w:p>
          <w:p>
            <w:pPr>
              <w:jc w:val="left"/>
              <w:spacing w:line="500" w:lineRule="exact"/>
              <w:rPr>
                <w:rFonts w:asciiTheme="minorEastAsia" w:hAnsiTheme="minorEastAsia"/>
                <w:sz w:val="24"/>
                <w:szCs w:val="24"/>
              </w:rPr>
            </w:pPr>
            <w:r>
              <w:rPr>
                <w:rFonts w:hint="eastAsia" w:ascii="宋体" w:hAnsi="宋体" w:eastAsia="宋体" w:cs="仿宋_GB2312"/>
                <w:b/>
                <w:bCs/>
                <w:color w:val="000000"/>
                <w:sz w:val="24"/>
                <w:szCs w:val="24"/>
              </w:rPr>
              <w:t xml:space="preserve">（上述1-2项</w:t>
            </w:r>
            <w:r>
              <w:rPr>
                <w:rFonts w:hint="eastAsia" w:ascii="宋体" w:hAnsi="宋体" w:eastAsia="宋体" w:cs="宋体"/>
                <w:b/>
                <w:color w:val="000000"/>
                <w:sz w:val="24"/>
                <w:szCs w:val="24"/>
              </w:rPr>
              <w:t xml:space="preserve">投标文件中提供有效证书</w:t>
            </w:r>
            <w:r>
              <w:rPr>
                <w:rFonts w:hint="eastAsia" w:ascii="宋体" w:hAnsi="宋体" w:eastAsia="宋体" w:cs="宋体"/>
                <w:b/>
                <w:color w:val="000000"/>
                <w:sz w:val="24"/>
                <w:szCs w:val="24"/>
                <w:lang w:val="en-US" w:eastAsia="zh-CN"/>
              </w:rPr>
              <w:t xml:space="preserve">证明材料</w:t>
            </w:r>
            <w:r>
              <w:rPr>
                <w:rFonts w:hint="eastAsia" w:ascii="宋体" w:hAnsi="宋体" w:eastAsia="宋体" w:cs="宋体"/>
                <w:b/>
                <w:color w:val="000000"/>
                <w:sz w:val="24"/>
                <w:szCs w:val="24"/>
              </w:rPr>
              <w:t xml:space="preserve">以及202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年1月（含）以来任意1个月由投标</w:t>
            </w:r>
            <w:r>
              <w:rPr>
                <w:rFonts w:ascii="宋体" w:hAnsi="宋体" w:eastAsia="宋体" w:cs="宋体"/>
                <w:b/>
                <w:color w:val="000000"/>
                <w:sz w:val="24"/>
                <w:szCs w:val="24"/>
              </w:rPr>
              <w:t xml:space="preserve">人</w:t>
            </w:r>
            <w:r>
              <w:rPr>
                <w:rFonts w:hint="eastAsia" w:ascii="宋体" w:hAnsi="宋体" w:eastAsia="宋体" w:cs="宋体"/>
                <w:b/>
                <w:color w:val="000000"/>
                <w:sz w:val="24"/>
                <w:szCs w:val="24"/>
              </w:rPr>
              <w:t xml:space="preserve">为其缴纳的社保证明材料，并加盖投标人公章</w:t>
            </w:r>
            <w:r>
              <w:rPr>
                <w:rFonts w:ascii="宋体" w:hAnsi="宋体" w:eastAsia="宋体" w:cs="宋体"/>
                <w:b/>
                <w:color w:val="000000"/>
                <w:sz w:val="24"/>
                <w:szCs w:val="24"/>
              </w:rPr>
              <w:t xml:space="preserve">，</w:t>
            </w:r>
            <w:r>
              <w:rPr>
                <w:rFonts w:hint="eastAsia" w:ascii="宋体" w:hAnsi="宋体" w:eastAsia="宋体" w:cs="宋体"/>
                <w:b/>
                <w:color w:val="000000"/>
                <w:sz w:val="24"/>
                <w:szCs w:val="24"/>
              </w:rPr>
              <w:t xml:space="preserve">否则不得分。</w:t>
            </w:r>
            <w:r>
              <w:rPr>
                <w:rFonts w:hint="eastAsia" w:ascii="宋体" w:hAnsi="宋体" w:eastAsia="宋体" w:cs="仿宋_GB2312"/>
                <w:b/>
                <w:bCs/>
                <w:color w:val="000000"/>
                <w:sz w:val="24"/>
                <w:szCs w:val="24"/>
              </w:rPr>
              <w:t xml:space="preserve">项目组团队成员（不含项目经理）中同一人具有多个证书的不重复计分。</w:t>
            </w:r>
            <w:r>
              <w:rPr>
                <w:rFonts w:hint="eastAsia" w:ascii="宋体" w:hAnsi="宋体" w:cs="仿宋_GB2312"/>
                <w:b/>
                <w:bCs/>
                <w:sz w:val="24"/>
                <w:szCs w:val="24"/>
              </w:rPr>
              <w:t xml:space="preserve">相关证书由评标委员会统一认定后给予得分</w:t>
            </w:r>
            <w:r>
              <w:rPr>
                <w:rFonts w:hint="eastAsia" w:ascii="宋体" w:hAnsi="宋体" w:eastAsia="宋体" w:cs="仿宋_GB2312"/>
                <w:b/>
                <w:bCs/>
                <w:color w:val="000000"/>
                <w:sz w:val="24"/>
                <w:szCs w:val="24"/>
              </w:rPr>
              <w:t xml:space="preserve">）</w:t>
            </w:r>
            <w:r/>
          </w:p>
        </w:tc>
      </w:tr>
    </w:tbl>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eastAsia="宋体" w:cs="Calibri"/>
          <w:b/>
          <w:color w:val="000000"/>
          <w:sz w:val="24"/>
          <w:szCs w:val="24"/>
        </w:rPr>
      </w:pPr>
      <w:r>
        <w:rPr>
          <w:rFonts w:ascii="宋体" w:hAnsi="宋体" w:cs="Calibri"/>
          <w:b/>
          <w:color w:val="000000"/>
          <w:sz w:val="24"/>
          <w:szCs w:val="24"/>
        </w:rPr>
        <w:t xml:space="preserve">1.联合体参与投标的，招标文件</w:t>
      </w:r>
      <w:r>
        <w:rPr>
          <w:rFonts w:hint="eastAsia" w:ascii="宋体" w:hAnsi="宋体" w:cs="Calibri"/>
          <w:b/>
          <w:color w:val="000000"/>
          <w:sz w:val="24"/>
          <w:szCs w:val="24"/>
        </w:rPr>
        <w:t xml:space="preserve">采购包2</w:t>
      </w:r>
      <w:r>
        <w:rPr>
          <w:rFonts w:ascii="宋体" w:hAnsi="宋体" w:cs="Calibri"/>
          <w:b/>
          <w:color w:val="000000"/>
          <w:sz w:val="24"/>
          <w:szCs w:val="24"/>
        </w:rPr>
        <w:t xml:space="preserve">中要求投标人具有相关认证，业绩，人员等，联合体成员中任意一方具有并提供即为满足评审要求，要求加盖投标人公章的加盖牵头人公章即可。</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2.本项目评标标准中的技术分（30分）采用暗标方式进行评审。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3.编制要求：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3.1方案内容、文字、各类型图表、框图均不得出现供应商名称、相关人员姓名和其他可识别供应商身份的字符、徽标、人员名称、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3.2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3.3供应商需按照上述要求编制方案，未按要求编制的本项（30分）不得分。</w:t>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pStyle w:val="858"/>
        <w:rPr>
          <w:rFonts w:cs="宋体" w:asciiTheme="minorEastAsia" w:hAnsiTheme="minorEastAsia"/>
          <w:b/>
          <w:bCs/>
          <w:sz w:val="28"/>
          <w:szCs w:val="28"/>
        </w:rPr>
      </w:pPr>
      <w:r>
        <w:rPr>
          <w:rFonts w:cs="宋体" w:asciiTheme="minorEastAsia" w:hAnsiTheme="minorEastAsia"/>
          <w:b/>
          <w:bCs/>
          <w:sz w:val="28"/>
          <w:szCs w:val="28"/>
        </w:rPr>
      </w:r>
      <w:r/>
    </w:p>
    <w:p>
      <w:pPr>
        <w:pStyle w:val="858"/>
        <w:rPr>
          <w:rFonts w:cs="宋体" w:asciiTheme="minorEastAsia" w:hAnsiTheme="minorEastAsia"/>
          <w:b/>
          <w:bCs/>
          <w:sz w:val="28"/>
          <w:szCs w:val="28"/>
        </w:rPr>
      </w:pPr>
      <w:r>
        <w:rPr>
          <w:rFonts w:cs="宋体" w:asciiTheme="minorEastAsia" w:hAnsiTheme="minorEastAsia"/>
          <w:b/>
          <w:bCs/>
          <w:sz w:val="28"/>
          <w:szCs w:val="28"/>
        </w:rPr>
      </w:r>
      <w:r/>
    </w:p>
    <w:p>
      <w:pPr>
        <w:pStyle w:val="858"/>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pStyle w:val="853"/>
        <w:jc w:val="center"/>
        <w:spacing w:before="156" w:after="156" w:line="360" w:lineRule="auto"/>
        <w:rPr>
          <w:rFonts w:ascii="黑体" w:hAnsi="黑体" w:eastAsia="黑体"/>
          <w:b w:val="0"/>
        </w:rPr>
      </w:pPr>
      <w:r/>
      <w:bookmarkStart w:id="16" w:name="_Toc162361615"/>
      <w:r>
        <w:rPr>
          <w:rFonts w:hint="eastAsia" w:ascii="黑体" w:hAnsi="黑体" w:eastAsia="黑体"/>
          <w:b w:val="0"/>
        </w:rPr>
        <w:t xml:space="preserve">第六章  投标文件格式</w:t>
      </w:r>
      <w:bookmarkEnd w:id="16"/>
      <w:r/>
      <w:r/>
    </w:p>
    <w:p>
      <w:pPr>
        <w:pStyle w:val="853"/>
        <w:jc w:val="center"/>
        <w:spacing w:before="156" w:after="156" w:line="360" w:lineRule="auto"/>
        <w:rPr>
          <w:rFonts w:ascii="黑体" w:hAnsi="黑体" w:eastAsia="黑体"/>
          <w:b w:val="0"/>
          <w:sz w:val="28"/>
          <w:szCs w:val="28"/>
        </w:rPr>
      </w:pPr>
      <w:r>
        <w:rPr>
          <w:rFonts w:hint="eastAsia" w:ascii="黑体" w:hAnsi="黑体" w:eastAsia="黑体"/>
          <w:b w:val="0"/>
          <w:sz w:val="28"/>
          <w:szCs w:val="28"/>
        </w:rPr>
        <w:t xml:space="preserve">（根据采购包1、采购包2项目需求分别编制投标文件）</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20"/>
        <w:spacing w:line="500" w:lineRule="exact"/>
      </w:pPr>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5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7" w:name="_Hlt26955054"/>
      <w:r/>
      <w:bookmarkEnd w:id="17"/>
      <w:r>
        <w:rPr>
          <w:rFonts w:hint="eastAsia" w:ascii="Arial" w:hAnsi="Arial" w:eastAsia="宋体" w:cs="Arial"/>
          <w:b/>
          <w:iCs/>
          <w:sz w:val="36"/>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8" w:name="_Hlt26671372"/>
            <w:r/>
            <w:bookmarkEnd w:id="18"/>
            <w:r/>
            <w:bookmarkStart w:id="19" w:name="_Hlt26580838"/>
            <w:r/>
            <w:bookmarkEnd w:id="19"/>
            <w:r/>
            <w:bookmarkStart w:id="20" w:name="_Hlt26955056"/>
            <w:r/>
            <w:bookmarkEnd w:id="20"/>
            <w:r/>
            <w:bookmarkStart w:id="21" w:name="_Hlt26782999"/>
            <w:r/>
            <w:bookmarkEnd w:id="21"/>
            <w:r/>
            <w:bookmarkStart w:id="22" w:name="_Hlt24879081"/>
            <w:r/>
            <w:bookmarkEnd w:id="22"/>
            <w:r/>
            <w:bookmarkStart w:id="23" w:name="_Hlt26671343"/>
            <w:r/>
            <w:bookmarkEnd w:id="23"/>
            <w:r/>
            <w:bookmarkStart w:id="24" w:name="_Hlt26955064"/>
            <w:r/>
            <w:bookmarkEnd w:id="24"/>
            <w:r/>
            <w:bookmarkStart w:id="25" w:name="_Hlt26609391"/>
            <w:r/>
            <w:bookmarkEnd w:id="25"/>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6" w:name="_Hlt26955066"/>
      <w:r/>
      <w:bookmarkEnd w:id="26"/>
      <w:r/>
      <w:bookmarkStart w:id="27" w:name="_格式2__法定代表人授权书"/>
      <w:r/>
      <w:bookmarkEnd w:id="27"/>
      <w:r/>
      <w:bookmarkStart w:id="28" w:name="_Hlt26671374"/>
      <w:r/>
      <w:bookmarkEnd w:id="28"/>
      <w:r/>
      <w:bookmarkStart w:id="29" w:name="_Hlt26609389"/>
      <w:r/>
      <w:bookmarkEnd w:id="29"/>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71"/>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62"/>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仿宋_GB2312">
    <w:panose1 w:val="02010609060101010101"/>
  </w:font>
  <w:font w:name="黑体">
    <w:panose1 w:val="02010609060101010101"/>
  </w:font>
  <w:font w:name="MS Mincho">
    <w:panose1 w:val="020206030504050903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65"/>
          <w:jc w:val="center"/>
        </w:pPr>
        <w:r>
          <w:fldChar w:fldCharType="begin"/>
        </w:r>
        <w:r>
          <w:instrText xml:space="preserve"> PAGE   \* MERGEFORMAT </w:instrText>
        </w:r>
        <w:r>
          <w:fldChar w:fldCharType="separate"/>
        </w:r>
        <w:r>
          <w:rPr>
            <w:lang w:val="zh-CN"/>
          </w:rPr>
          <w:t xml:space="preserve">83</w:t>
        </w:r>
        <w:r>
          <w:rPr>
            <w:lang w:val="zh-CN"/>
          </w:rPr>
          <w:fldChar w:fldCharType="end"/>
        </w:r>
        <w:r/>
      </w:p>
    </w:sdtContent>
  </w:sdt>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6"/>
    <w:link w:val="853"/>
    <w:uiPriority w:val="9"/>
    <w:rPr>
      <w:rFonts w:ascii="Arial" w:hAnsi="Arial" w:eastAsia="Arial" w:cs="Arial"/>
      <w:sz w:val="40"/>
      <w:szCs w:val="40"/>
    </w:rPr>
  </w:style>
  <w:style w:type="character" w:styleId="683">
    <w:name w:val="Heading 2 Char"/>
    <w:basedOn w:val="856"/>
    <w:link w:val="854"/>
    <w:uiPriority w:val="9"/>
    <w:rPr>
      <w:rFonts w:ascii="Arial" w:hAnsi="Arial" w:eastAsia="Arial" w:cs="Arial"/>
      <w:sz w:val="34"/>
    </w:rPr>
  </w:style>
  <w:style w:type="character" w:styleId="684">
    <w:name w:val="Heading 3 Char"/>
    <w:basedOn w:val="856"/>
    <w:link w:val="855"/>
    <w:uiPriority w:val="9"/>
    <w:rPr>
      <w:rFonts w:ascii="Arial" w:hAnsi="Arial" w:eastAsia="Arial" w:cs="Arial"/>
      <w:sz w:val="30"/>
      <w:szCs w:val="30"/>
    </w:rPr>
  </w:style>
  <w:style w:type="paragraph" w:styleId="685">
    <w:name w:val="Heading 4"/>
    <w:basedOn w:val="852"/>
    <w:next w:val="852"/>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6"/>
    <w:link w:val="685"/>
    <w:uiPriority w:val="9"/>
    <w:rPr>
      <w:rFonts w:ascii="Arial" w:hAnsi="Arial" w:eastAsia="Arial" w:cs="Arial"/>
      <w:b/>
      <w:bCs/>
      <w:sz w:val="26"/>
      <w:szCs w:val="26"/>
    </w:rPr>
  </w:style>
  <w:style w:type="paragraph" w:styleId="687">
    <w:name w:val="Heading 5"/>
    <w:basedOn w:val="852"/>
    <w:next w:val="852"/>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6"/>
    <w:link w:val="687"/>
    <w:uiPriority w:val="9"/>
    <w:rPr>
      <w:rFonts w:ascii="Arial" w:hAnsi="Arial" w:eastAsia="Arial" w:cs="Arial"/>
      <w:b/>
      <w:bCs/>
      <w:sz w:val="24"/>
      <w:szCs w:val="24"/>
    </w:rPr>
  </w:style>
  <w:style w:type="paragraph" w:styleId="689">
    <w:name w:val="Heading 6"/>
    <w:basedOn w:val="852"/>
    <w:next w:val="852"/>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6"/>
    <w:link w:val="689"/>
    <w:uiPriority w:val="9"/>
    <w:rPr>
      <w:rFonts w:ascii="Arial" w:hAnsi="Arial" w:eastAsia="Arial" w:cs="Arial"/>
      <w:b/>
      <w:bCs/>
      <w:sz w:val="22"/>
      <w:szCs w:val="22"/>
    </w:rPr>
  </w:style>
  <w:style w:type="paragraph" w:styleId="691">
    <w:name w:val="Heading 7"/>
    <w:basedOn w:val="852"/>
    <w:next w:val="852"/>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6"/>
    <w:link w:val="691"/>
    <w:uiPriority w:val="9"/>
    <w:rPr>
      <w:rFonts w:ascii="Arial" w:hAnsi="Arial" w:eastAsia="Arial" w:cs="Arial"/>
      <w:b/>
      <w:bCs/>
      <w:i/>
      <w:iCs/>
      <w:sz w:val="22"/>
      <w:szCs w:val="22"/>
    </w:rPr>
  </w:style>
  <w:style w:type="paragraph" w:styleId="693">
    <w:name w:val="Heading 8"/>
    <w:basedOn w:val="852"/>
    <w:next w:val="852"/>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6"/>
    <w:link w:val="693"/>
    <w:uiPriority w:val="9"/>
    <w:rPr>
      <w:rFonts w:ascii="Arial" w:hAnsi="Arial" w:eastAsia="Arial" w:cs="Arial"/>
      <w:i/>
      <w:iCs/>
      <w:sz w:val="22"/>
      <w:szCs w:val="22"/>
    </w:rPr>
  </w:style>
  <w:style w:type="paragraph" w:styleId="695">
    <w:name w:val="Heading 9"/>
    <w:basedOn w:val="852"/>
    <w:next w:val="852"/>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6"/>
    <w:link w:val="695"/>
    <w:uiPriority w:val="9"/>
    <w:rPr>
      <w:rFonts w:ascii="Arial" w:hAnsi="Arial" w:eastAsia="Arial" w:cs="Arial"/>
      <w:i/>
      <w:iCs/>
      <w:sz w:val="21"/>
      <w:szCs w:val="21"/>
    </w:rPr>
  </w:style>
  <w:style w:type="paragraph" w:styleId="697">
    <w:name w:val="List Paragraph"/>
    <w:basedOn w:val="852"/>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2"/>
    <w:next w:val="852"/>
    <w:link w:val="700"/>
    <w:uiPriority w:val="10"/>
    <w:qFormat/>
    <w:pPr>
      <w:contextualSpacing/>
      <w:spacing w:before="300" w:after="200"/>
    </w:pPr>
    <w:rPr>
      <w:sz w:val="48"/>
      <w:szCs w:val="48"/>
    </w:rPr>
  </w:style>
  <w:style w:type="character" w:styleId="700">
    <w:name w:val="Title Char"/>
    <w:basedOn w:val="856"/>
    <w:link w:val="699"/>
    <w:uiPriority w:val="10"/>
    <w:rPr>
      <w:sz w:val="48"/>
      <w:szCs w:val="48"/>
    </w:rPr>
  </w:style>
  <w:style w:type="paragraph" w:styleId="701">
    <w:name w:val="Subtitle"/>
    <w:basedOn w:val="852"/>
    <w:next w:val="852"/>
    <w:link w:val="702"/>
    <w:uiPriority w:val="11"/>
    <w:qFormat/>
    <w:pPr>
      <w:spacing w:before="200" w:after="200"/>
    </w:pPr>
    <w:rPr>
      <w:sz w:val="24"/>
      <w:szCs w:val="24"/>
    </w:rPr>
  </w:style>
  <w:style w:type="character" w:styleId="702">
    <w:name w:val="Subtitle Char"/>
    <w:basedOn w:val="856"/>
    <w:link w:val="701"/>
    <w:uiPriority w:val="11"/>
    <w:rPr>
      <w:sz w:val="24"/>
      <w:szCs w:val="24"/>
    </w:rPr>
  </w:style>
  <w:style w:type="paragraph" w:styleId="703">
    <w:name w:val="Quote"/>
    <w:basedOn w:val="852"/>
    <w:next w:val="852"/>
    <w:link w:val="704"/>
    <w:uiPriority w:val="29"/>
    <w:qFormat/>
    <w:pPr>
      <w:ind w:left="720" w:right="720"/>
    </w:pPr>
    <w:rPr>
      <w:i/>
    </w:rPr>
  </w:style>
  <w:style w:type="character" w:styleId="704">
    <w:name w:val="Quote Char"/>
    <w:link w:val="703"/>
    <w:uiPriority w:val="29"/>
    <w:rPr>
      <w:i/>
    </w:rPr>
  </w:style>
  <w:style w:type="paragraph" w:styleId="705">
    <w:name w:val="Intense Quote"/>
    <w:basedOn w:val="852"/>
    <w:next w:val="852"/>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6"/>
    <w:link w:val="866"/>
    <w:uiPriority w:val="99"/>
  </w:style>
  <w:style w:type="character" w:styleId="708">
    <w:name w:val="Footer Char"/>
    <w:basedOn w:val="856"/>
    <w:link w:val="865"/>
    <w:uiPriority w:val="99"/>
  </w:style>
  <w:style w:type="paragraph" w:styleId="709">
    <w:name w:val="Caption"/>
    <w:basedOn w:val="852"/>
    <w:next w:val="852"/>
    <w:uiPriority w:val="35"/>
    <w:semiHidden/>
    <w:unhideWhenUsed/>
    <w:qFormat/>
    <w:pPr>
      <w:spacing w:line="276" w:lineRule="auto"/>
    </w:pPr>
    <w:rPr>
      <w:b/>
      <w:bCs/>
      <w:color w:val="4f81bd" w:themeColor="accent1"/>
      <w:sz w:val="18"/>
      <w:szCs w:val="18"/>
    </w:rPr>
  </w:style>
  <w:style w:type="character" w:styleId="710">
    <w:name w:val="Caption Char"/>
    <w:basedOn w:val="709"/>
    <w:link w:val="865"/>
    <w:uiPriority w:val="99"/>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2"/>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6"/>
    <w:uiPriority w:val="99"/>
    <w:unhideWhenUsed/>
    <w:rPr>
      <w:vertAlign w:val="superscript"/>
    </w:rPr>
  </w:style>
  <w:style w:type="paragraph" w:styleId="839">
    <w:name w:val="endnote text"/>
    <w:basedOn w:val="852"/>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6"/>
    <w:uiPriority w:val="99"/>
    <w:semiHidden/>
    <w:unhideWhenUsed/>
    <w:rPr>
      <w:vertAlign w:val="superscript"/>
    </w:r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3">
    <w:name w:val="Heading 1"/>
    <w:basedOn w:val="852"/>
    <w:next w:val="852"/>
    <w:link w:val="877"/>
    <w:uiPriority w:val="9"/>
    <w:qFormat/>
    <w:pPr>
      <w:keepLines/>
      <w:keepNext/>
      <w:spacing w:before="340" w:after="330" w:line="578" w:lineRule="auto"/>
      <w:outlineLvl w:val="0"/>
    </w:pPr>
    <w:rPr>
      <w:b/>
      <w:bCs/>
      <w:sz w:val="44"/>
      <w:szCs w:val="44"/>
    </w:rPr>
  </w:style>
  <w:style w:type="paragraph" w:styleId="854">
    <w:name w:val="Heading 2"/>
    <w:basedOn w:val="852"/>
    <w:next w:val="852"/>
    <w:link w:val="87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5">
    <w:name w:val="Heading 3"/>
    <w:basedOn w:val="852"/>
    <w:next w:val="852"/>
    <w:link w:val="880"/>
    <w:uiPriority w:val="9"/>
    <w:unhideWhenUsed/>
    <w:qFormat/>
    <w:pPr>
      <w:keepLines/>
      <w:keepNext/>
      <w:spacing w:before="260" w:after="260" w:line="416" w:lineRule="auto"/>
      <w:outlineLvl w:val="2"/>
    </w:pPr>
    <w:rPr>
      <w:b/>
      <w:bCs/>
      <w:sz w:val="32"/>
      <w:szCs w:val="32"/>
    </w:rPr>
  </w:style>
  <w:style w:type="character" w:styleId="856" w:default="1">
    <w:name w:val="Default Paragraph Font"/>
    <w:uiPriority w:val="1"/>
    <w:semiHidden/>
    <w:unhideWhenUsed/>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2"/>
    <w:uiPriority w:val="0"/>
    <w:qFormat/>
    <w:pPr>
      <w:ind w:firstLine="420"/>
    </w:pPr>
    <w:rPr>
      <w:szCs w:val="20"/>
    </w:rPr>
  </w:style>
  <w:style w:type="paragraph" w:styleId="859">
    <w:name w:val="Document Map"/>
    <w:basedOn w:val="852"/>
    <w:link w:val="878"/>
    <w:uiPriority w:val="99"/>
    <w:semiHidden/>
    <w:unhideWhenUsed/>
    <w:qFormat/>
    <w:rPr>
      <w:rFonts w:ascii="宋体" w:eastAsia="宋体"/>
      <w:sz w:val="18"/>
      <w:szCs w:val="18"/>
    </w:rPr>
  </w:style>
  <w:style w:type="paragraph" w:styleId="860">
    <w:name w:val="annotation text"/>
    <w:basedOn w:val="852"/>
    <w:link w:val="882"/>
    <w:uiPriority w:val="0"/>
    <w:qFormat/>
    <w:pPr>
      <w:ind w:firstLine="922"/>
      <w:jc w:val="left"/>
      <w:spacing w:line="360" w:lineRule="auto"/>
    </w:pPr>
    <w:rPr>
      <w:rFonts w:ascii="Times New Roman" w:hAnsi="Times New Roman" w:eastAsia="宋体" w:cs="Times New Roman"/>
      <w:szCs w:val="24"/>
    </w:rPr>
  </w:style>
  <w:style w:type="paragraph" w:styleId="861">
    <w:name w:val="Body Text Indent"/>
    <w:basedOn w:val="852"/>
    <w:link w:val="889"/>
    <w:uiPriority w:val="99"/>
    <w:semiHidden/>
    <w:unhideWhenUsed/>
    <w:qFormat/>
    <w:pPr>
      <w:ind w:left="420"/>
      <w:spacing w:after="120"/>
    </w:pPr>
  </w:style>
  <w:style w:type="paragraph" w:styleId="862">
    <w:name w:val="Plain Text"/>
    <w:basedOn w:val="852"/>
    <w:link w:val="886"/>
    <w:uiPriority w:val="0"/>
    <w:qFormat/>
    <w:rPr>
      <w:rFonts w:ascii="宋体" w:hAnsi="Courier New" w:eastAsia="宋体" w:cs="Times New Roman"/>
      <w:szCs w:val="20"/>
    </w:rPr>
  </w:style>
  <w:style w:type="paragraph" w:styleId="863">
    <w:name w:val="Date"/>
    <w:basedOn w:val="852"/>
    <w:next w:val="852"/>
    <w:link w:val="881"/>
    <w:uiPriority w:val="99"/>
    <w:semiHidden/>
    <w:unhideWhenUsed/>
    <w:qFormat/>
    <w:pPr>
      <w:ind w:left="100"/>
    </w:pPr>
  </w:style>
  <w:style w:type="paragraph" w:styleId="864">
    <w:name w:val="Balloon Text"/>
    <w:basedOn w:val="852"/>
    <w:link w:val="883"/>
    <w:uiPriority w:val="99"/>
    <w:semiHidden/>
    <w:unhideWhenUsed/>
    <w:qFormat/>
    <w:rPr>
      <w:sz w:val="18"/>
      <w:szCs w:val="18"/>
    </w:rPr>
  </w:style>
  <w:style w:type="paragraph" w:styleId="865">
    <w:name w:val="Footer"/>
    <w:basedOn w:val="852"/>
    <w:link w:val="876"/>
    <w:uiPriority w:val="99"/>
    <w:unhideWhenUsed/>
    <w:qFormat/>
    <w:pPr>
      <w:jc w:val="left"/>
      <w:tabs>
        <w:tab w:val="center" w:pos="4153" w:leader="none"/>
        <w:tab w:val="right" w:pos="8306" w:leader="none"/>
      </w:tabs>
    </w:pPr>
    <w:rPr>
      <w:sz w:val="18"/>
      <w:szCs w:val="18"/>
    </w:rPr>
  </w:style>
  <w:style w:type="paragraph" w:styleId="866">
    <w:name w:val="Header"/>
    <w:basedOn w:val="852"/>
    <w:link w:val="87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52"/>
    <w:next w:val="852"/>
    <w:uiPriority w:val="39"/>
    <w:unhideWhenUsed/>
    <w:qFormat/>
    <w:pPr>
      <w:jc w:val="center"/>
      <w:spacing w:line="360" w:lineRule="auto"/>
      <w:tabs>
        <w:tab w:val="right" w:pos="9628" w:leader="dot"/>
      </w:tabs>
    </w:pPr>
    <w:rPr>
      <w:sz w:val="32"/>
    </w:rPr>
  </w:style>
  <w:style w:type="paragraph" w:styleId="868">
    <w:name w:val="Normal (Web)"/>
    <w:basedOn w:val="852"/>
    <w:uiPriority w:val="99"/>
    <w:semiHidden/>
    <w:unhideWhenUsed/>
    <w:qFormat/>
    <w:pPr>
      <w:jc w:val="left"/>
      <w:spacing w:beforeAutospacing="1" w:afterAutospacing="1"/>
    </w:pPr>
    <w:rPr>
      <w:rFonts w:cs="Times New Roman"/>
      <w:sz w:val="24"/>
    </w:rPr>
  </w:style>
  <w:style w:type="paragraph" w:styleId="869">
    <w:name w:val="annotation subject"/>
    <w:basedOn w:val="860"/>
    <w:next w:val="860"/>
    <w:link w:val="89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870">
    <w:name w:val="Body Text First Indent 2"/>
    <w:link w:val="890"/>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71">
    <w:name w:val="Table Grid"/>
    <w:basedOn w:val="8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basedOn w:val="856"/>
    <w:uiPriority w:val="22"/>
    <w:qFormat/>
    <w:rPr>
      <w:b/>
      <w:bCs/>
    </w:rPr>
  </w:style>
  <w:style w:type="character" w:styleId="873">
    <w:name w:val="Hyperlink"/>
    <w:uiPriority w:val="99"/>
    <w:qFormat/>
    <w:rPr>
      <w:color w:val="0000ff"/>
      <w:u w:val="none"/>
    </w:rPr>
  </w:style>
  <w:style w:type="character" w:styleId="874">
    <w:name w:val="annotation reference"/>
    <w:uiPriority w:val="0"/>
    <w:qFormat/>
    <w:rPr>
      <w:sz w:val="21"/>
      <w:szCs w:val="21"/>
    </w:rPr>
  </w:style>
  <w:style w:type="character" w:styleId="875" w:customStyle="1">
    <w:name w:val="页眉 字符"/>
    <w:basedOn w:val="856"/>
    <w:link w:val="866"/>
    <w:uiPriority w:val="99"/>
    <w:semiHidden/>
    <w:qFormat/>
    <w:rPr>
      <w:sz w:val="18"/>
      <w:szCs w:val="18"/>
    </w:rPr>
  </w:style>
  <w:style w:type="character" w:styleId="876" w:customStyle="1">
    <w:name w:val="页脚 字符"/>
    <w:basedOn w:val="856"/>
    <w:link w:val="865"/>
    <w:uiPriority w:val="99"/>
    <w:qFormat/>
    <w:rPr>
      <w:sz w:val="18"/>
      <w:szCs w:val="18"/>
    </w:rPr>
  </w:style>
  <w:style w:type="character" w:styleId="877" w:customStyle="1">
    <w:name w:val="标题 1 字符"/>
    <w:basedOn w:val="856"/>
    <w:link w:val="853"/>
    <w:uiPriority w:val="9"/>
    <w:qFormat/>
    <w:rPr>
      <w:b/>
      <w:bCs/>
      <w:sz w:val="44"/>
      <w:szCs w:val="44"/>
    </w:rPr>
  </w:style>
  <w:style w:type="character" w:styleId="878" w:customStyle="1">
    <w:name w:val="文档结构图 字符"/>
    <w:basedOn w:val="856"/>
    <w:link w:val="859"/>
    <w:uiPriority w:val="99"/>
    <w:semiHidden/>
    <w:qFormat/>
    <w:rPr>
      <w:rFonts w:ascii="宋体" w:eastAsia="宋体"/>
      <w:sz w:val="18"/>
      <w:szCs w:val="18"/>
    </w:rPr>
  </w:style>
  <w:style w:type="character" w:styleId="879" w:customStyle="1">
    <w:name w:val="标题 2 字符"/>
    <w:basedOn w:val="856"/>
    <w:link w:val="854"/>
    <w:uiPriority w:val="9"/>
    <w:qFormat/>
    <w:rPr>
      <w:rFonts w:asciiTheme="majorHAnsi" w:hAnsiTheme="majorHAnsi" w:eastAsiaTheme="majorEastAsia" w:cstheme="majorBidi"/>
      <w:b/>
      <w:bCs/>
      <w:sz w:val="32"/>
      <w:szCs w:val="32"/>
    </w:rPr>
  </w:style>
  <w:style w:type="character" w:styleId="880" w:customStyle="1">
    <w:name w:val="标题 3 字符"/>
    <w:basedOn w:val="856"/>
    <w:link w:val="855"/>
    <w:uiPriority w:val="9"/>
    <w:qFormat/>
    <w:rPr>
      <w:b/>
      <w:bCs/>
      <w:sz w:val="32"/>
      <w:szCs w:val="32"/>
    </w:rPr>
  </w:style>
  <w:style w:type="character" w:styleId="881" w:customStyle="1">
    <w:name w:val="日期 字符"/>
    <w:basedOn w:val="856"/>
    <w:link w:val="863"/>
    <w:uiPriority w:val="99"/>
    <w:semiHidden/>
    <w:qFormat/>
  </w:style>
  <w:style w:type="character" w:styleId="882" w:customStyle="1">
    <w:name w:val="批注文字 字符"/>
    <w:basedOn w:val="856"/>
    <w:link w:val="860"/>
    <w:uiPriority w:val="0"/>
    <w:qFormat/>
    <w:rPr>
      <w:rFonts w:ascii="Times New Roman" w:hAnsi="Times New Roman" w:eastAsia="宋体" w:cs="Times New Roman"/>
      <w:szCs w:val="24"/>
    </w:rPr>
  </w:style>
  <w:style w:type="character" w:styleId="883" w:customStyle="1">
    <w:name w:val="批注框文本 字符"/>
    <w:basedOn w:val="856"/>
    <w:link w:val="864"/>
    <w:uiPriority w:val="99"/>
    <w:semiHidden/>
    <w:qFormat/>
    <w:rPr>
      <w:sz w:val="18"/>
      <w:szCs w:val="18"/>
    </w:rPr>
  </w:style>
  <w:style w:type="paragraph" w:styleId="884" w:customStyle="1">
    <w:name w:val="Default"/>
    <w:link w:val="885"/>
    <w:uiPriority w:val="99"/>
    <w:qFormat/>
    <w:pPr>
      <w:widowControl w:val="off"/>
    </w:pPr>
    <w:rPr>
      <w:rFonts w:ascii="MS Mincho" w:hAnsi="Calibri" w:eastAsia="宋体" w:cs="Times New Roman"/>
      <w:color w:val="000000"/>
      <w:sz w:val="21"/>
      <w:szCs w:val="24"/>
      <w:lang w:val="en-US" w:eastAsia="zh-CN" w:bidi="ar-SA"/>
    </w:rPr>
  </w:style>
  <w:style w:type="character" w:styleId="885" w:customStyle="1">
    <w:name w:val="Default Char"/>
    <w:link w:val="884"/>
    <w:uiPriority w:val="99"/>
    <w:qFormat/>
    <w:rPr>
      <w:rFonts w:ascii="MS Mincho" w:hAnsi="Calibri" w:eastAsia="宋体" w:cs="Times New Roman"/>
      <w:color w:val="000000"/>
      <w:szCs w:val="24"/>
    </w:rPr>
  </w:style>
  <w:style w:type="character" w:styleId="886" w:customStyle="1">
    <w:name w:val="纯文本 字符"/>
    <w:basedOn w:val="856"/>
    <w:link w:val="862"/>
    <w:uiPriority w:val="0"/>
    <w:qFormat/>
    <w:rPr>
      <w:rFonts w:ascii="宋体" w:hAnsi="Courier New" w:eastAsia="宋体" w:cs="Times New Roman"/>
      <w:szCs w:val="20"/>
    </w:rPr>
  </w:style>
  <w:style w:type="paragraph" w:styleId="887" w:customStyle="1">
    <w:name w:val="批注文字1"/>
    <w:basedOn w:val="852"/>
    <w:uiPriority w:val="0"/>
    <w:qFormat/>
    <w:pPr>
      <w:ind w:firstLine="922"/>
      <w:jc w:val="left"/>
      <w:spacing w:line="360" w:lineRule="auto"/>
    </w:pPr>
    <w:rPr>
      <w:rFonts w:ascii="Times New Roman" w:hAnsi="Times New Roman" w:eastAsia="宋体" w:cs="Times New Roman"/>
      <w:szCs w:val="24"/>
    </w:rPr>
  </w:style>
  <w:style w:type="paragraph" w:styleId="888" w:customStyle="1">
    <w:name w:val="普通(网站)1"/>
    <w:basedOn w:val="852"/>
    <w:uiPriority w:val="0"/>
    <w:qFormat/>
    <w:rPr>
      <w:sz w:val="24"/>
    </w:rPr>
  </w:style>
  <w:style w:type="character" w:styleId="889" w:customStyle="1">
    <w:name w:val="正文文本缩进 字符"/>
    <w:basedOn w:val="856"/>
    <w:link w:val="861"/>
    <w:uiPriority w:val="99"/>
    <w:semiHidden/>
    <w:qFormat/>
    <w:rPr>
      <w:rFonts w:asciiTheme="minorHAnsi" w:hAnsiTheme="minorHAnsi" w:eastAsiaTheme="minorEastAsia" w:cstheme="minorBidi"/>
      <w:sz w:val="21"/>
      <w:szCs w:val="22"/>
    </w:rPr>
  </w:style>
  <w:style w:type="character" w:styleId="890" w:customStyle="1">
    <w:name w:val="正文文本首行缩进 2 字符"/>
    <w:basedOn w:val="889"/>
    <w:link w:val="870"/>
    <w:uiPriority w:val="99"/>
    <w:qFormat/>
    <w:rPr>
      <w:rFonts w:ascii="Calibri" w:hAnsi="Calibri" w:eastAsiaTheme="minorEastAsia" w:cstheme="minorBidi"/>
      <w:sz w:val="21"/>
      <w:szCs w:val="22"/>
    </w:rPr>
  </w:style>
  <w:style w:type="character" w:styleId="891" w:customStyle="1">
    <w:name w:val="批注主题 字符"/>
    <w:basedOn w:val="882"/>
    <w:link w:val="869"/>
    <w:uiPriority w:val="99"/>
    <w:semiHidden/>
    <w:qFormat/>
    <w:rPr>
      <w:rFonts w:asciiTheme="minorHAnsi" w:hAnsiTheme="minorHAnsi" w:eastAsiaTheme="minorEastAsia" w:cstheme="minorBidi"/>
      <w:b/>
      <w:bCs/>
      <w:sz w:val="21"/>
      <w:szCs w:val="22"/>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132</cp:revision>
  <dcterms:created xsi:type="dcterms:W3CDTF">2024-01-04T03:50:00Z</dcterms:created>
  <dcterms:modified xsi:type="dcterms:W3CDTF">2026-09-14T08:59:41Z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5C13F96205EE456AB44B9D4ACC813A75_13</vt:lpwstr>
  </property>
</Properties>
</file>