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color w:val="auto"/>
          <w:sz w:val="96"/>
          <w:szCs w:val="96"/>
          <w:highlight w:val="none"/>
        </w:rPr>
      </w:pPr>
      <w:r>
        <w:rPr>
          <w:rFonts w:ascii="宋体" w:hAnsi="宋体" w:cs="宋体"/>
          <w:b/>
          <w:color w:val="auto"/>
          <w:sz w:val="96"/>
          <w:szCs w:val="96"/>
          <w:highlight w:val="none"/>
        </w:rPr>
      </w:r>
      <w:r/>
    </w:p>
    <w:p>
      <w:pPr>
        <w:jc w:val="center"/>
        <w:rPr>
          <w:rFonts w:ascii="宋体" w:hAnsi="宋体" w:cs="宋体"/>
          <w:b/>
          <w:color w:val="auto"/>
          <w:spacing w:val="40"/>
          <w:sz w:val="72"/>
          <w:szCs w:val="72"/>
          <w:highlight w:val="none"/>
        </w:rPr>
      </w:pPr>
      <w:r/>
      <w:bookmarkStart w:id="0" w:name="_Toc23250"/>
      <w:r>
        <w:rPr>
          <w:rFonts w:hint="eastAsia" w:ascii="宋体" w:hAnsi="宋体" w:cs="宋体"/>
          <w:b/>
          <w:color w:val="auto"/>
          <w:spacing w:val="40"/>
          <w:sz w:val="72"/>
          <w:szCs w:val="72"/>
          <w:highlight w:val="none"/>
        </w:rPr>
        <w:t xml:space="preserve">苏州市吴江区政府采购</w:t>
      </w:r>
      <w:bookmarkEnd w:id="0"/>
      <w:r/>
      <w:r/>
    </w:p>
    <w:p>
      <w:pPr>
        <w:jc w:val="center"/>
        <w:rPr>
          <w:rFonts w:hint="eastAsia" w:ascii="宋体" w:hAnsi="宋体" w:cs="宋体"/>
          <w:b/>
          <w:color w:val="auto"/>
          <w:spacing w:val="20"/>
          <w:sz w:val="72"/>
          <w:szCs w:val="72"/>
          <w:highlight w:val="none"/>
        </w:rPr>
      </w:pPr>
      <w:r/>
      <w:bookmarkStart w:id="1" w:name="_Toc21822"/>
      <w:r>
        <w:rPr>
          <w:rFonts w:hint="eastAsia" w:ascii="宋体" w:hAnsi="宋体" w:cs="宋体"/>
          <w:b/>
          <w:color w:val="auto"/>
          <w:spacing w:val="40"/>
          <w:sz w:val="72"/>
          <w:szCs w:val="72"/>
          <w:highlight w:val="none"/>
        </w:rPr>
        <w:t xml:space="preserve">竞争性</w:t>
      </w:r>
      <w:bookmarkStart w:id="76" w:name="_GoBack"/>
      <w:r/>
      <w:bookmarkEnd w:id="76"/>
      <w:r>
        <w:rPr>
          <w:rFonts w:hint="eastAsia" w:ascii="宋体" w:hAnsi="宋体" w:cs="宋体"/>
          <w:b/>
          <w:color w:val="auto"/>
          <w:spacing w:val="40"/>
          <w:sz w:val="72"/>
          <w:szCs w:val="72"/>
          <w:highlight w:val="none"/>
        </w:rPr>
        <w:t xml:space="preserve">磋商</w:t>
      </w:r>
      <w:r>
        <w:rPr>
          <w:rFonts w:hint="eastAsia" w:ascii="宋体" w:hAnsi="宋体" w:cs="宋体"/>
          <w:b/>
          <w:color w:val="auto"/>
          <w:spacing w:val="20"/>
          <w:sz w:val="72"/>
          <w:szCs w:val="72"/>
          <w:highlight w:val="none"/>
        </w:rPr>
        <w:t xml:space="preserve">文件</w:t>
      </w:r>
      <w:bookmarkEnd w:id="1"/>
      <w:r/>
      <w:r/>
    </w:p>
    <w:p>
      <w:pPr>
        <w:jc w:val="center"/>
        <w:rPr>
          <w:rFonts w:ascii="宋体" w:hAnsi="宋体" w:cs="宋体"/>
          <w:color w:val="auto"/>
          <w:highlight w:val="none"/>
        </w:rPr>
      </w:pPr>
      <w:r>
        <w:rPr>
          <w:rFonts w:ascii="宋体" w:hAnsi="宋体" w:cs="宋体"/>
          <w:color w:val="auto"/>
          <w:highlight w:val="none"/>
        </w:rPr>
      </w:r>
      <w:r/>
    </w:p>
    <w:p>
      <w:pPr>
        <w:pStyle w:val="1115"/>
        <w:spacing w:before="156" w:after="156"/>
        <w:rPr>
          <w:rFonts w:cs="宋体"/>
          <w:color w:val="auto"/>
          <w:highlight w:val="none"/>
        </w:rPr>
      </w:pPr>
      <w:r>
        <w:rPr>
          <w:rFonts w:cs="宋体"/>
          <w:color w:val="auto"/>
          <w:highlight w:val="none"/>
        </w:rPr>
      </w:r>
      <w:r/>
    </w:p>
    <w:p>
      <w:pPr>
        <w:jc w:val="center"/>
        <w:rPr>
          <w:rFonts w:ascii="宋体" w:hAnsi="宋体" w:cs="宋体"/>
          <w:color w:val="auto"/>
          <w:highlight w:val="none"/>
        </w:rPr>
      </w:pPr>
      <w:r>
        <w:rPr>
          <w:rFonts w:ascii="宋体" w:hAnsi="宋体" w:cs="宋体"/>
          <w:color w:val="auto"/>
          <w:highlight w:val="none"/>
        </w:rPr>
      </w:r>
      <w:r/>
    </w:p>
    <w:p>
      <w:pPr>
        <w:ind w:firstLine="1200"/>
        <w:tabs>
          <w:tab w:val="left" w:pos="709" w:leader="none"/>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lang w:eastAsia="zh-CN"/>
        </w:rPr>
        <w:t xml:space="preserve">项目编号</w:t>
      </w:r>
      <w:r>
        <w:rPr>
          <w:rFonts w:hint="eastAsia" w:ascii="宋体" w:hAnsi="宋体" w:cs="宋体"/>
          <w:color w:val="auto"/>
          <w:sz w:val="30"/>
          <w:szCs w:val="30"/>
          <w:highlight w:val="none"/>
        </w:rPr>
        <w:t xml:space="preserve">：</w:t>
      </w:r>
      <w:r>
        <w:rPr>
          <w:rFonts w:hint="eastAsia" w:ascii="宋体" w:hAnsi="宋体" w:cs="宋体"/>
          <w:color w:val="auto"/>
          <w:sz w:val="30"/>
          <w:szCs w:val="30"/>
          <w:highlight w:val="none"/>
          <w:lang w:eastAsia="zh-CN"/>
        </w:rPr>
        <w:t xml:space="preserve">JSZC-320509-SZTY-C2026-0007</w:t>
      </w:r>
      <w:r/>
    </w:p>
    <w:p>
      <w:pPr>
        <w:ind w:firstLine="1200"/>
        <w:tabs>
          <w:tab w:val="left" w:pos="709" w:leader="none"/>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采购内容：</w:t>
      </w:r>
      <w:r>
        <w:rPr>
          <w:rFonts w:hint="eastAsia" w:ascii="宋体" w:hAnsi="宋体" w:cs="宋体"/>
          <w:color w:val="auto"/>
          <w:sz w:val="32"/>
          <w:szCs w:val="32"/>
          <w:highlight w:val="none"/>
          <w:lang w:eastAsia="zh-CN"/>
        </w:rPr>
        <w:t xml:space="preserve">兴黎社区综合服务项目</w:t>
      </w:r>
      <w:r/>
    </w:p>
    <w:p>
      <w:pPr>
        <w:ind w:firstLine="1200"/>
        <w:tabs>
          <w:tab w:val="left" w:pos="709" w:leader="none"/>
        </w:tabs>
        <w:rPr>
          <w:rFonts w:ascii="宋体" w:hAnsi="宋体" w:cs="宋体"/>
          <w:color w:val="auto"/>
          <w:sz w:val="30"/>
          <w:szCs w:val="30"/>
          <w:highlight w:val="none"/>
        </w:rPr>
      </w:pPr>
      <w:r>
        <w:rPr>
          <w:rFonts w:hint="eastAsia" w:ascii="宋体" w:hAnsi="宋体" w:cs="宋体"/>
          <w:color w:val="auto"/>
          <w:sz w:val="30"/>
          <w:szCs w:val="30"/>
          <w:highlight w:val="none"/>
        </w:rPr>
        <w:t xml:space="preserve">采购类别：服务类</w:t>
      </w:r>
      <w:r/>
    </w:p>
    <w:p>
      <w:pPr>
        <w:ind w:firstLine="1200"/>
        <w:tabs>
          <w:tab w:val="left" w:pos="709" w:leader="none"/>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采 购 人：</w:t>
      </w:r>
      <w:bookmarkStart w:id="2" w:name="OLE_LINK20"/>
      <w:r>
        <w:rPr>
          <w:rFonts w:hint="eastAsia" w:ascii="宋体" w:hAnsi="宋体" w:cs="宋体"/>
          <w:color w:val="auto"/>
          <w:sz w:val="30"/>
          <w:szCs w:val="30"/>
          <w:highlight w:val="none"/>
          <w:lang w:eastAsia="zh-CN"/>
        </w:rPr>
        <w:t xml:space="preserve">江苏省汾湖高新技术产业开发区黎里古镇开发保护区管理办公室</w:t>
      </w:r>
      <w:bookmarkEnd w:id="2"/>
      <w:r/>
      <w:r/>
    </w:p>
    <w:p>
      <w:pPr>
        <w:jc w:val="center"/>
        <w:rPr>
          <w:rFonts w:ascii="宋体" w:hAnsi="宋体" w:cs="宋体"/>
          <w:color w:val="auto"/>
          <w:spacing w:val="-14"/>
          <w:sz w:val="30"/>
          <w:highlight w:val="none"/>
        </w:rPr>
      </w:pPr>
      <w:r>
        <w:rPr>
          <w:rFonts w:ascii="宋体" w:hAnsi="宋体" w:cs="宋体"/>
          <w:color w:val="auto"/>
          <w:spacing w:val="-14"/>
          <w:sz w:val="30"/>
          <w:highlight w:val="none"/>
        </w:rPr>
      </w:r>
      <w:r/>
    </w:p>
    <w:p>
      <w:pPr>
        <w:jc w:val="center"/>
        <w:rPr>
          <w:rFonts w:ascii="宋体" w:hAnsi="宋体" w:cs="宋体"/>
          <w:color w:val="auto"/>
          <w:sz w:val="32"/>
          <w:highlight w:val="none"/>
        </w:rPr>
      </w:pPr>
      <w:r>
        <w:rPr>
          <w:rFonts w:ascii="宋体" w:hAnsi="宋体" w:cs="宋体"/>
          <w:color w:val="auto"/>
          <w:sz w:val="32"/>
          <w:highlight w:val="none"/>
        </w:rPr>
      </w:r>
      <w:r/>
    </w:p>
    <w:p>
      <w:pPr>
        <w:jc w:val="center"/>
        <w:rPr>
          <w:rFonts w:ascii="宋体" w:hAnsi="宋体" w:cs="宋体"/>
          <w:color w:val="auto"/>
          <w:sz w:val="32"/>
          <w:highlight w:val="none"/>
        </w:rPr>
      </w:pPr>
      <w:r>
        <w:rPr>
          <w:rFonts w:ascii="宋体" w:hAnsi="宋体" w:cs="宋体"/>
          <w:color w:val="auto"/>
          <w:sz w:val="32"/>
          <w:highlight w:val="none"/>
        </w:rPr>
      </w:r>
      <w:r/>
    </w:p>
    <w:p>
      <w:pPr>
        <w:jc w:val="center"/>
        <w:rPr>
          <w:rFonts w:ascii="宋体" w:hAnsi="宋体" w:cs="宋体"/>
          <w:color w:val="auto"/>
          <w:sz w:val="30"/>
          <w:szCs w:val="30"/>
          <w:highlight w:val="none"/>
        </w:rPr>
      </w:pPr>
      <w:r>
        <w:rPr>
          <w:rFonts w:hint="eastAsia" w:ascii="宋体" w:hAnsi="宋体" w:cs="宋体"/>
          <w:color w:val="auto"/>
          <w:sz w:val="30"/>
          <w:szCs w:val="30"/>
          <w:highlight w:val="none"/>
        </w:rPr>
        <w:t xml:space="preserve">苏州通宜房地产土地评估咨询有限公司</w:t>
      </w:r>
      <w:r/>
    </w:p>
    <w:p>
      <w:pPr>
        <w:jc w:val="center"/>
        <w:rPr>
          <w:rFonts w:ascii="宋体" w:hAnsi="宋体" w:cs="宋体"/>
          <w:color w:val="auto"/>
          <w:sz w:val="30"/>
          <w:szCs w:val="30"/>
          <w:highlight w:val="none"/>
          <w:lang w:val="zh-CN"/>
        </w:rPr>
      </w:pPr>
      <w:r>
        <w:rPr>
          <w:rFonts w:hint="eastAsia" w:ascii="宋体" w:hAnsi="宋体" w:cs="宋体"/>
          <w:color w:val="auto"/>
          <w:sz w:val="30"/>
          <w:szCs w:val="30"/>
          <w:highlight w:val="none"/>
          <w:lang w:val="zh-CN"/>
        </w:rPr>
        <w:t xml:space="preserve">二</w:t>
      </w:r>
      <w:r>
        <w:rPr>
          <w:rFonts w:hint="eastAsia" w:ascii="宋体" w:hAnsi="宋体" w:cs="宋体"/>
          <w:color w:val="auto"/>
          <w:sz w:val="30"/>
          <w:szCs w:val="30"/>
          <w:highlight w:val="none"/>
        </w:rPr>
        <w:t xml:space="preserve">〇二</w:t>
      </w:r>
      <w:r>
        <w:rPr>
          <w:rFonts w:hint="eastAsia" w:ascii="宋体" w:hAnsi="宋体" w:cs="宋体"/>
          <w:color w:val="auto"/>
          <w:sz w:val="30"/>
          <w:szCs w:val="30"/>
          <w:highlight w:val="none"/>
          <w:lang w:val="en-US" w:eastAsia="zh-CN"/>
        </w:rPr>
        <w:t xml:space="preserve">六</w:t>
      </w:r>
      <w:r>
        <w:rPr>
          <w:rFonts w:hint="eastAsia" w:ascii="宋体" w:hAnsi="宋体" w:cs="宋体"/>
          <w:color w:val="auto"/>
          <w:sz w:val="30"/>
          <w:szCs w:val="30"/>
          <w:highlight w:val="none"/>
          <w:lang w:val="zh-CN"/>
        </w:rPr>
        <w:t xml:space="preserve">年</w:t>
      </w:r>
      <w:r>
        <w:rPr>
          <w:rFonts w:hint="eastAsia" w:ascii="宋体" w:hAnsi="宋体" w:cs="宋体"/>
          <w:color w:val="auto"/>
          <w:sz w:val="30"/>
          <w:szCs w:val="30"/>
          <w:highlight w:val="none"/>
          <w:lang w:val="en-US" w:eastAsia="zh-CN"/>
        </w:rPr>
        <w:t xml:space="preserve">九</w:t>
      </w:r>
      <w:r>
        <w:rPr>
          <w:rFonts w:hint="eastAsia" w:ascii="宋体" w:hAnsi="宋体" w:cs="宋体"/>
          <w:color w:val="auto"/>
          <w:sz w:val="30"/>
          <w:szCs w:val="30"/>
          <w:highlight w:val="none"/>
        </w:rPr>
        <w:t xml:space="preserve">月</w:t>
      </w:r>
      <w:r/>
    </w:p>
    <w:p>
      <w:pPr>
        <w:jc w:val="center"/>
        <w:rPr>
          <w:rFonts w:ascii="宋体" w:hAnsi="宋体" w:cs="宋体"/>
          <w:b/>
          <w:color w:val="auto"/>
          <w:sz w:val="52"/>
          <w:szCs w:val="52"/>
          <w:highlight w:val="none"/>
        </w:rPr>
      </w:pPr>
      <w:r/>
      <w:bookmarkStart w:id="3" w:name="_Toc27525"/>
      <w:r/>
      <w:r/>
    </w:p>
    <w:p>
      <w:pPr>
        <w:jc w:val="center"/>
        <w:rPr>
          <w:rFonts w:ascii="宋体" w:hAnsi="宋体" w:cs="宋体"/>
          <w:b/>
          <w:color w:val="auto"/>
          <w:sz w:val="52"/>
          <w:szCs w:val="52"/>
          <w:highlight w:val="none"/>
        </w:rPr>
        <w:sectPr>
          <w:headerReference w:type="default" r:id="rId9"/>
          <w:footerReference w:type="default" r:id="rId11"/>
          <w:footnotePr/>
          <w:endnotePr/>
          <w:type w:val="nextPage"/>
          <w:pgSz w:w="11906" w:h="16838" w:orient="portrait"/>
          <w:pgMar w:top="1440" w:right="1417" w:bottom="1134" w:left="1417" w:header="851" w:footer="850" w:gutter="0"/>
          <w:cols w:num="1" w:sep="0" w:space="1701" w:equalWidth="1"/>
          <w:docGrid w:linePitch="360"/>
        </w:sectPr>
      </w:pPr>
      <w:r>
        <w:rPr>
          <w:rFonts w:ascii="宋体" w:hAnsi="宋体" w:cs="宋体"/>
          <w:b/>
          <w:color w:val="auto"/>
          <w:sz w:val="52"/>
          <w:szCs w:val="52"/>
          <w:highlight w:val="none"/>
        </w:rPr>
      </w:r>
      <w:r/>
    </w:p>
    <w:p>
      <w:pPr>
        <w:jc w:val="center"/>
        <w:pageBreakBefore/>
        <w:rPr>
          <w:rFonts w:ascii="宋体" w:hAnsi="宋体" w:cs="宋体"/>
          <w:b/>
          <w:color w:val="auto"/>
          <w:sz w:val="32"/>
          <w:highlight w:val="none"/>
        </w:rPr>
      </w:pPr>
      <w:r>
        <w:rPr>
          <w:rFonts w:hint="eastAsia" w:ascii="宋体" w:hAnsi="宋体" w:cs="宋体"/>
          <w:b/>
          <w:color w:val="auto"/>
          <w:sz w:val="32"/>
          <w:highlight w:val="none"/>
        </w:rPr>
        <w:t xml:space="preserve">前附表</w:t>
      </w:r>
      <w:r/>
    </w:p>
    <w:p>
      <w:pPr>
        <w:pStyle w:val="886"/>
        <w:ind w:firstLine="420"/>
        <w:rPr>
          <w:rFonts w:ascii="宋体" w:hAnsi="宋体" w:cs="宋体"/>
          <w:color w:val="auto"/>
          <w:highlight w:val="none"/>
        </w:rPr>
      </w:pPr>
      <w:r>
        <w:rPr>
          <w:rFonts w:hint="eastAsia" w:ascii="宋体" w:hAnsi="宋体" w:cs="宋体"/>
          <w:color w:val="auto"/>
          <w:highlight w:val="none"/>
        </w:rPr>
        <w:t xml:space="preserve">尊敬的投标单位：欢迎参加本项目的投标。为了保证投标顺利进行，请在制作投标文件之前，仔细阅读本招标文件的各项条款，并严格按要求制作和递交投标文件。谢谢合作！</w:t>
      </w:r>
      <w:r/>
    </w:p>
    <w:tbl>
      <w:tblPr>
        <w:tblStyle w:val="8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2009"/>
        <w:gridCol w:w="5569"/>
      </w:tblGrid>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b/>
                <w:color w:val="auto"/>
                <w:szCs w:val="21"/>
                <w:highlight w:val="none"/>
              </w:rPr>
            </w:pPr>
            <w:r>
              <w:rPr>
                <w:rFonts w:hint="eastAsia" w:ascii="宋体" w:hAnsi="宋体" w:cs="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09" w:type="dxa"/>
            <w:vAlign w:val="center"/>
            <w:textDirection w:val="lrTb"/>
            <w:noWrap/>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5569" w:type="dxa"/>
            <w:vAlign w:val="center"/>
            <w:textDirection w:val="lrTb"/>
            <w:noWrap/>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0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5569" w:type="dxa"/>
            <w:vAlign w:val="center"/>
            <w:textDirection w:val="lrTb"/>
            <w:noWrap/>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兴黎社区综合服务项目</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0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预算金额（元）</w:t>
            </w:r>
            <w:r/>
          </w:p>
        </w:tc>
        <w:tc>
          <w:tcPr>
            <w:tcBorders>
              <w:top w:val="single" w:color="auto" w:sz="4" w:space="0"/>
              <w:left w:val="single" w:color="auto" w:sz="4" w:space="0"/>
              <w:bottom w:val="single" w:color="auto" w:sz="4" w:space="0"/>
              <w:right w:val="single" w:color="auto" w:sz="4" w:space="0"/>
            </w:tcBorders>
            <w:tcW w:w="5569" w:type="dxa"/>
            <w:vAlign w:val="center"/>
            <w:textDirection w:val="lrTb"/>
            <w:noWrap/>
          </w:tcPr>
          <w:p>
            <w:pPr>
              <w:ind w:firstLine="420"/>
              <w:rPr>
                <w:rFonts w:hint="eastAsia" w:eastAsia="宋体"/>
                <w:color w:val="auto"/>
                <w:highlight w:val="none"/>
                <w:lang w:eastAsia="zh-CN"/>
              </w:rPr>
            </w:pPr>
            <w:r>
              <w:rPr>
                <w:rFonts w:hint="eastAsia" w:ascii="宋体" w:hAnsi="宋体" w:cs="宋体"/>
                <w:bCs/>
                <w:color w:val="auto"/>
                <w:szCs w:val="21"/>
                <w:highlight w:val="none"/>
                <w:lang w:eastAsia="zh-CN"/>
              </w:rPr>
              <w:t xml:space="preserve">人民币壹佰玖拾肆万玖仟柒佰元整（￥1949700元）</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0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556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0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现场勘察</w:t>
            </w:r>
            <w:r/>
          </w:p>
        </w:tc>
        <w:tc>
          <w:tcPr>
            <w:tcBorders>
              <w:top w:val="single" w:color="auto" w:sz="4" w:space="0"/>
              <w:left w:val="single" w:color="auto" w:sz="4" w:space="0"/>
              <w:bottom w:val="single" w:color="auto" w:sz="4" w:space="0"/>
              <w:right w:val="single" w:color="auto" w:sz="4" w:space="0"/>
            </w:tcBorders>
            <w:tcW w:w="556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无</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00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响应文件份数</w:t>
            </w:r>
            <w:r/>
          </w:p>
        </w:tc>
        <w:tc>
          <w:tcPr>
            <w:tcBorders>
              <w:top w:val="single" w:color="auto" w:sz="4" w:space="0"/>
              <w:left w:val="single" w:color="auto" w:sz="4" w:space="0"/>
              <w:bottom w:val="single" w:color="auto" w:sz="4" w:space="0"/>
              <w:right w:val="single" w:color="auto" w:sz="4" w:space="0"/>
            </w:tcBorders>
            <w:tcW w:w="5569" w:type="dxa"/>
            <w:vAlign w:val="center"/>
            <w:textDirection w:val="lrTb"/>
            <w:noWrap/>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网上响应文件</w:t>
            </w:r>
            <w:r>
              <w:rPr>
                <w:rFonts w:hint="eastAsia" w:ascii="宋体" w:hAnsi="宋体" w:cs="宋体"/>
                <w:bCs/>
                <w:color w:val="auto"/>
                <w:szCs w:val="21"/>
                <w:highlight w:val="none"/>
                <w:u w:val="single"/>
              </w:rPr>
              <w:t xml:space="preserve"> 壹 </w:t>
            </w:r>
            <w:r>
              <w:rPr>
                <w:rFonts w:hint="eastAsia" w:ascii="宋体" w:hAnsi="宋体" w:cs="宋体"/>
                <w:bCs/>
                <w:color w:val="auto"/>
                <w:szCs w:val="21"/>
                <w:highlight w:val="none"/>
              </w:rPr>
              <w:t xml:space="preserve">份</w:t>
            </w:r>
            <w:r>
              <w:rPr>
                <w:rFonts w:hint="eastAsia" w:ascii="宋体" w:hAnsi="宋体"/>
                <w:color w:val="auto"/>
                <w:highlight w:val="none"/>
              </w:rPr>
              <w:t xml:space="preserve">（成交后，成交单位向招标代理机构提供与电子投标文件内容一致的纸质投标文件两份。）</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00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响应货币</w:t>
            </w:r>
            <w:r/>
          </w:p>
        </w:tc>
        <w:tc>
          <w:tcPr>
            <w:tcBorders>
              <w:top w:val="single" w:color="auto" w:sz="4" w:space="0"/>
              <w:left w:val="single" w:color="auto" w:sz="4" w:space="0"/>
              <w:bottom w:val="single" w:color="auto" w:sz="4" w:space="0"/>
              <w:right w:val="single" w:color="auto" w:sz="4" w:space="0"/>
            </w:tcBorders>
            <w:tcW w:w="556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00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响应文件有效期</w:t>
            </w:r>
            <w:r/>
          </w:p>
        </w:tc>
        <w:tc>
          <w:tcPr>
            <w:tcBorders>
              <w:top w:val="single" w:color="auto" w:sz="4" w:space="0"/>
              <w:left w:val="single" w:color="auto" w:sz="4" w:space="0"/>
              <w:bottom w:val="single" w:color="auto" w:sz="4" w:space="0"/>
              <w:right w:val="single" w:color="auto" w:sz="4" w:space="0"/>
            </w:tcBorders>
            <w:tcW w:w="556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u w:val="single"/>
              </w:rPr>
              <w:t xml:space="preserve">90</w:t>
            </w:r>
            <w:r>
              <w:rPr>
                <w:rFonts w:hint="eastAsia" w:ascii="宋体" w:hAnsi="宋体" w:cs="宋体"/>
                <w:color w:val="auto"/>
                <w:szCs w:val="21"/>
                <w:highlight w:val="none"/>
              </w:rPr>
              <w:t xml:space="preserve">日历天（从响应截止之日算起）</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pStyle w:val="1114"/>
              <w:ind w:firstLine="0"/>
              <w:jc w:val="center"/>
              <w:rPr>
                <w:rFonts w:ascii="宋体" w:hAnsi="宋体" w:cs="宋体"/>
                <w:color w:val="auto"/>
                <w:szCs w:val="21"/>
                <w:highlight w:val="none"/>
                <w:lang w:val="en-US"/>
              </w:rPr>
            </w:pPr>
            <w:r>
              <w:rPr>
                <w:rFonts w:hint="eastAsia" w:ascii="宋体" w:hAnsi="宋体" w:cs="宋体"/>
                <w:color w:val="auto"/>
                <w:szCs w:val="21"/>
                <w:highlight w:val="none"/>
                <w:lang w:val="en-US"/>
              </w:rPr>
              <w:t xml:space="preserve">8</w:t>
            </w:r>
            <w:r/>
          </w:p>
        </w:tc>
        <w:tc>
          <w:tcPr>
            <w:tcBorders>
              <w:top w:val="single" w:color="auto" w:sz="4" w:space="0"/>
              <w:left w:val="single" w:color="auto" w:sz="4" w:space="0"/>
              <w:bottom w:val="single" w:color="auto" w:sz="4" w:space="0"/>
              <w:right w:val="single" w:color="auto" w:sz="4" w:space="0"/>
            </w:tcBorders>
            <w:tcW w:w="200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网上响应文件接收截止时间</w:t>
            </w:r>
            <w:r/>
          </w:p>
        </w:tc>
        <w:tc>
          <w:tcPr>
            <w:tcBorders>
              <w:top w:val="single" w:color="auto" w:sz="4" w:space="0"/>
              <w:left w:val="single" w:color="auto" w:sz="4" w:space="0"/>
              <w:bottom w:val="single" w:color="auto" w:sz="4" w:space="0"/>
              <w:right w:val="single" w:color="auto" w:sz="4" w:space="0"/>
            </w:tcBorders>
            <w:tcW w:w="556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rPr>
              <w:t xml:space="preserve">年</w:t>
            </w:r>
            <w:r>
              <w:rPr>
                <w:rFonts w:hint="eastAsia" w:ascii="宋体" w:hAnsi="宋体" w:cs="宋体"/>
                <w:color w:val="auto"/>
                <w:szCs w:val="21"/>
                <w:highlight w:val="none"/>
              </w:rPr>
              <w:t xml:space="preserve">9月</w:t>
            </w:r>
            <w:r>
              <w:rPr>
                <w:rFonts w:hint="eastAsia" w:ascii="宋体" w:hAnsi="宋体" w:cs="宋体"/>
                <w:color w:val="auto"/>
                <w:szCs w:val="21"/>
                <w:highlight w:val="none"/>
              </w:rPr>
              <w:t xml:space="preserve">20日09：30 （北京时间）</w:t>
            </w:r>
            <w:r/>
          </w:p>
        </w:tc>
      </w:tr>
      <w:tr>
        <w:trPr>
          <w:jc w:val="center"/>
          <w:trHeight w:val="680"/>
        </w:trPr>
        <w:tc>
          <w:tcPr>
            <w:tcBorders>
              <w:left w:val="single" w:color="auto" w:sz="4" w:space="0"/>
              <w:right w:val="single" w:color="auto" w:sz="4" w:space="0"/>
            </w:tcBorders>
            <w:tcW w:w="639" w:type="dxa"/>
            <w:vAlign w:val="center"/>
            <w:vMerge w:val="restart"/>
            <w:textDirection w:val="lrTb"/>
            <w:noWrap/>
          </w:tcPr>
          <w:p>
            <w:pPr>
              <w:pStyle w:val="1114"/>
              <w:ind w:firstLine="0"/>
              <w:jc w:val="center"/>
              <w:rPr>
                <w:rFonts w:ascii="宋体" w:hAnsi="宋体" w:cs="宋体"/>
                <w:color w:val="auto"/>
                <w:szCs w:val="21"/>
                <w:highlight w:val="none"/>
                <w:lang w:val="en-US"/>
              </w:rPr>
            </w:pPr>
            <w:r>
              <w:rPr>
                <w:rFonts w:hint="eastAsia" w:ascii="宋体" w:hAnsi="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200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投标截止时间</w:t>
            </w:r>
            <w:r/>
          </w:p>
        </w:tc>
        <w:tc>
          <w:tcPr>
            <w:tcBorders>
              <w:top w:val="single" w:color="auto" w:sz="4" w:space="0"/>
              <w:left w:val="single" w:color="auto" w:sz="4" w:space="0"/>
              <w:bottom w:val="single" w:color="auto" w:sz="4" w:space="0"/>
              <w:right w:val="single" w:color="auto" w:sz="4" w:space="0"/>
            </w:tcBorders>
            <w:tcW w:w="556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rPr>
              <w:t xml:space="preserve">年</w:t>
            </w:r>
            <w:r>
              <w:rPr>
                <w:rFonts w:hint="eastAsia" w:ascii="宋体" w:hAnsi="宋体" w:cs="宋体"/>
                <w:color w:val="auto"/>
                <w:szCs w:val="21"/>
                <w:highlight w:val="none"/>
              </w:rPr>
              <w:t xml:space="preserve">9月</w:t>
            </w:r>
            <w:r>
              <w:rPr>
                <w:rFonts w:hint="eastAsia" w:ascii="宋体" w:hAnsi="宋体" w:cs="宋体"/>
                <w:color w:val="auto"/>
                <w:szCs w:val="21"/>
                <w:highlight w:val="none"/>
              </w:rPr>
              <w:t xml:space="preserve">20日09：30 （北京时间）</w:t>
            </w:r>
            <w:r/>
          </w:p>
        </w:tc>
      </w:tr>
      <w:tr>
        <w:trPr>
          <w:jc w:val="center"/>
          <w:trHeight w:val="680"/>
        </w:trPr>
        <w:tc>
          <w:tcPr>
            <w:tcBorders>
              <w:left w:val="single" w:color="auto" w:sz="4" w:space="0"/>
              <w:bottom w:val="single" w:color="auto" w:sz="4" w:space="0"/>
              <w:right w:val="single" w:color="auto" w:sz="4" w:space="0"/>
            </w:tcBorders>
            <w:tcW w:w="639"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09" w:type="dxa"/>
            <w:vAlign w:val="center"/>
            <w:textDirection w:val="lrTb"/>
            <w:noWrap/>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开启时间</w:t>
            </w:r>
            <w:r/>
          </w:p>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开启地点</w:t>
            </w:r>
            <w:r/>
          </w:p>
        </w:tc>
        <w:tc>
          <w:tcPr>
            <w:tcBorders>
              <w:top w:val="single" w:color="auto" w:sz="4" w:space="0"/>
              <w:left w:val="single" w:color="auto" w:sz="4" w:space="0"/>
              <w:bottom w:val="single" w:color="auto" w:sz="4" w:space="0"/>
              <w:right w:val="single" w:color="auto" w:sz="4" w:space="0"/>
            </w:tcBorders>
            <w:tcW w:w="5569" w:type="dxa"/>
            <w:vAlign w:val="center"/>
            <w:textDirection w:val="lrTb"/>
            <w:noWrap/>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rPr>
              <w:t xml:space="preserve">年</w:t>
            </w:r>
            <w:r>
              <w:rPr>
                <w:rFonts w:hint="eastAsia" w:ascii="宋体" w:hAnsi="宋体" w:cs="宋体"/>
                <w:color w:val="auto"/>
                <w:szCs w:val="21"/>
                <w:highlight w:val="none"/>
              </w:rPr>
              <w:t xml:space="preserve">9月</w:t>
            </w:r>
            <w:r>
              <w:rPr>
                <w:rFonts w:hint="eastAsia" w:ascii="宋体" w:hAnsi="宋体" w:cs="宋体"/>
                <w:color w:val="auto"/>
                <w:szCs w:val="21"/>
                <w:highlight w:val="none"/>
              </w:rPr>
              <w:t xml:space="preserve">20日09：30 （北京时间）</w:t>
            </w:r>
            <w:r/>
          </w:p>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cs="宋体"/>
                <w:color w:val="auto"/>
                <w:szCs w:val="21"/>
                <w:highlight w:val="none"/>
              </w:rPr>
              <w:t xml:space="preserve">http://jszfcg.jsczt.cn/</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w:t>
            </w:r>
            <w:r/>
          </w:p>
          <w:p>
            <w:pPr>
              <w:jc w:val="center"/>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本项目为不见面磋商项目，开启阶段供应商在【供应商解密】环节必须使用 CA证书解密电子响应文件，如在系统规定的解密时间内未能完成解密的视为放弃参与本项目。</w:t>
            </w:r>
            <w:r/>
          </w:p>
        </w:tc>
      </w:tr>
      <w:tr>
        <w:trPr>
          <w:jc w:val="center"/>
          <w:trHeight w:val="1021"/>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2009" w:type="dxa"/>
            <w:vAlign w:val="center"/>
            <w:textDirection w:val="lrTb"/>
            <w:noWrap/>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评审时间</w:t>
            </w:r>
            <w:r/>
          </w:p>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评审地点</w:t>
            </w:r>
            <w:r/>
          </w:p>
        </w:tc>
        <w:tc>
          <w:tcPr>
            <w:tcBorders>
              <w:top w:val="single" w:color="auto" w:sz="4" w:space="0"/>
              <w:left w:val="single" w:color="auto" w:sz="4" w:space="0"/>
              <w:bottom w:val="single" w:color="auto" w:sz="4" w:space="0"/>
              <w:right w:val="single" w:color="auto" w:sz="4" w:space="0"/>
            </w:tcBorders>
            <w:tcW w:w="5569" w:type="dxa"/>
            <w:vAlign w:val="center"/>
            <w:textDirection w:val="lrTb"/>
            <w:noWrap/>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rPr>
              <w:t xml:space="preserve">年</w:t>
            </w:r>
            <w:r>
              <w:rPr>
                <w:rFonts w:hint="eastAsia" w:ascii="宋体" w:hAnsi="宋体" w:cs="宋体"/>
                <w:color w:val="auto"/>
                <w:szCs w:val="21"/>
                <w:highlight w:val="none"/>
              </w:rPr>
              <w:t xml:space="preserve">9月</w:t>
            </w:r>
            <w:r>
              <w:rPr>
                <w:rFonts w:hint="eastAsia" w:ascii="宋体" w:hAnsi="宋体" w:cs="宋体"/>
                <w:color w:val="auto"/>
                <w:szCs w:val="21"/>
                <w:highlight w:val="none"/>
              </w:rPr>
              <w:t xml:space="preserve">20日09：30（北京时间）</w:t>
            </w:r>
            <w:r/>
          </w:p>
          <w:p>
            <w:pPr>
              <w:jc w:val="center"/>
              <w:spacing w:line="312" w:lineRule="auto"/>
              <w:rPr>
                <w:rFonts w:ascii="宋体" w:hAnsi="宋体" w:cs="宋体"/>
                <w:b/>
                <w:color w:val="auto"/>
                <w:szCs w:val="21"/>
                <w:highlight w:val="none"/>
              </w:rPr>
            </w:pPr>
            <w:r>
              <w:rPr>
                <w:rFonts w:hint="eastAsia" w:ascii="宋体" w:hAnsi="宋体" w:cs="宋体"/>
                <w:color w:val="auto"/>
                <w:szCs w:val="21"/>
                <w:highlight w:val="none"/>
              </w:rPr>
              <w:t xml:space="preserve">苏州市吴江区开平路998号行政服务大楼三楼评标室</w:t>
            </w:r>
            <w:r/>
          </w:p>
        </w:tc>
      </w:tr>
    </w:tbl>
    <w:p>
      <w:pPr>
        <w:jc w:val="center"/>
        <w:rPr>
          <w:rFonts w:ascii="宋体" w:hAnsi="宋体" w:cs="宋体"/>
          <w:b/>
          <w:color w:val="auto"/>
          <w:sz w:val="52"/>
          <w:szCs w:val="52"/>
          <w:highlight w:val="none"/>
        </w:rPr>
      </w:pPr>
      <w:r>
        <w:rPr>
          <w:rFonts w:ascii="宋体" w:hAnsi="宋体" w:cs="宋体"/>
          <w:b/>
          <w:color w:val="auto"/>
          <w:sz w:val="52"/>
          <w:szCs w:val="52"/>
          <w:highlight w:val="none"/>
        </w:rPr>
      </w:r>
      <w:r/>
    </w:p>
    <w:p>
      <w:pPr>
        <w:jc w:val="center"/>
        <w:rPr>
          <w:rFonts w:ascii="宋体" w:hAnsi="宋体" w:cs="宋体"/>
          <w:b/>
          <w:color w:val="auto"/>
          <w:sz w:val="52"/>
          <w:szCs w:val="52"/>
          <w:highlight w:val="none"/>
        </w:rPr>
      </w:pPr>
      <w:r>
        <w:rPr>
          <w:rFonts w:ascii="宋体" w:hAnsi="宋体" w:cs="宋体"/>
          <w:b/>
          <w:color w:val="auto"/>
          <w:sz w:val="52"/>
          <w:szCs w:val="52"/>
          <w:highlight w:val="none"/>
        </w:rPr>
      </w:r>
      <w:r/>
    </w:p>
    <w:p>
      <w:pPr>
        <w:jc w:val="center"/>
        <w:rPr>
          <w:rFonts w:ascii="宋体" w:hAnsi="宋体" w:cs="宋体"/>
          <w:b/>
          <w:color w:val="auto"/>
          <w:sz w:val="52"/>
          <w:szCs w:val="52"/>
          <w:highlight w:val="none"/>
        </w:rPr>
        <w:sectPr>
          <w:footerReference w:type="default" r:id="rId12"/>
          <w:footnotePr/>
          <w:endnotePr/>
          <w:type w:val="nextPage"/>
          <w:pgSz w:w="11906" w:h="16838" w:orient="portrait"/>
          <w:pgMar w:top="1440" w:right="1417" w:bottom="1134" w:left="1417" w:header="851" w:footer="850" w:gutter="0"/>
          <w:pgNumType w:start="1"/>
          <w:cols w:num="1" w:sep="0" w:space="1701" w:equalWidth="1"/>
          <w:docGrid w:linePitch="360"/>
        </w:sectPr>
      </w:pPr>
      <w:r>
        <w:rPr>
          <w:rFonts w:ascii="宋体" w:hAnsi="宋体" w:cs="宋体"/>
          <w:b/>
          <w:color w:val="auto"/>
          <w:sz w:val="52"/>
          <w:szCs w:val="52"/>
          <w:highlight w:val="none"/>
        </w:rPr>
      </w:r>
      <w:r/>
    </w:p>
    <w:p>
      <w:pPr>
        <w:jc w:val="center"/>
        <w:rPr>
          <w:rFonts w:ascii="宋体" w:hAnsi="宋体" w:cs="宋体"/>
          <w:b/>
          <w:color w:val="auto"/>
          <w:sz w:val="52"/>
          <w:szCs w:val="52"/>
          <w:highlight w:val="none"/>
        </w:rPr>
      </w:pPr>
      <w:r>
        <w:rPr>
          <w:rFonts w:hint="eastAsia" w:ascii="宋体" w:hAnsi="宋体" w:cs="宋体"/>
          <w:b/>
          <w:color w:val="auto"/>
          <w:sz w:val="52"/>
          <w:szCs w:val="52"/>
          <w:highlight w:val="none"/>
        </w:rPr>
        <w:t xml:space="preserve">目    录</w:t>
      </w:r>
      <w:bookmarkEnd w:id="3"/>
      <w:r/>
      <w:r/>
    </w:p>
    <w:p>
      <w:pPr>
        <w:pStyle w:val="877"/>
        <w:tabs>
          <w:tab w:val="right" w:pos="9072"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TOC \o "1-2" \h \u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_Toc11016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一、竞争性磋商邀请函</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_Toc11016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877"/>
        <w:tabs>
          <w:tab w:val="right" w:pos="9072"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_Toc26391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二、磋商供应商须知</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_Toc26391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5</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877"/>
        <w:tabs>
          <w:tab w:val="right" w:pos="9072"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_Toc7652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三、采购需求</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_Toc7652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19</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877"/>
        <w:tabs>
          <w:tab w:val="right" w:pos="9072"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_Toc14846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四、评标办法及评分标准</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_Toc14846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25</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877"/>
        <w:tabs>
          <w:tab w:val="right" w:pos="9072"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_Toc21982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五、合同主要条款</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_Toc21982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29</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877"/>
        <w:tabs>
          <w:tab w:val="right" w:pos="9072"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_Toc30803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六、响应文件格式</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_Toc30803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40</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r/>
    </w:p>
    <w:p>
      <w:pPr>
        <w:pStyle w:val="850"/>
        <w:rPr>
          <w:rFonts w:ascii="宋体" w:hAnsi="宋体" w:cs="宋体"/>
          <w:color w:val="auto"/>
          <w:highlight w:val="none"/>
        </w:rPr>
      </w:pPr>
      <w:r>
        <w:rPr>
          <w:rFonts w:hint="eastAsia" w:ascii="宋体" w:hAnsi="宋体" w:eastAsia="宋体" w:cs="宋体"/>
          <w:color w:val="auto"/>
          <w:sz w:val="30"/>
          <w:szCs w:val="30"/>
          <w:highlight w:val="none"/>
        </w:rPr>
        <w:fldChar w:fldCharType="end"/>
      </w:r>
      <w:bookmarkStart w:id="4" w:name="_Toc15176"/>
      <w:r/>
      <w:r/>
    </w:p>
    <w:p>
      <w:pPr>
        <w:pStyle w:val="850"/>
        <w:rPr>
          <w:rFonts w:ascii="宋体" w:hAnsi="宋体" w:cs="宋体"/>
          <w:color w:val="auto"/>
          <w:highlight w:val="none"/>
        </w:rPr>
        <w:sectPr>
          <w:footerReference w:type="default" r:id="rId13"/>
          <w:footnotePr/>
          <w:endnotePr/>
          <w:type w:val="nextPage"/>
          <w:pgSz w:w="11906" w:h="16838" w:orient="portrait"/>
          <w:pgMar w:top="1440" w:right="1417" w:bottom="1134" w:left="1417" w:header="851" w:footer="850" w:gutter="0"/>
          <w:cols w:num="1" w:sep="0" w:space="1701" w:equalWidth="1"/>
          <w:docGrid w:linePitch="360"/>
        </w:sectPr>
      </w:pPr>
      <w:r>
        <w:rPr>
          <w:rFonts w:ascii="宋体" w:hAnsi="宋体" w:cs="宋体"/>
          <w:color w:val="auto"/>
          <w:highlight w:val="none"/>
        </w:rPr>
      </w:r>
      <w:r/>
    </w:p>
    <w:p>
      <w:pPr>
        <w:pStyle w:val="850"/>
        <w:rPr>
          <w:rFonts w:ascii="宋体" w:hAnsi="宋体" w:cs="宋体"/>
          <w:color w:val="auto"/>
          <w:highlight w:val="none"/>
        </w:rPr>
      </w:pPr>
      <w:r/>
      <w:bookmarkStart w:id="5" w:name="_Toc11016"/>
      <w:r>
        <w:rPr>
          <w:rFonts w:hint="eastAsia" w:ascii="宋体" w:hAnsi="宋体" w:cs="宋体"/>
          <w:color w:val="auto"/>
          <w:highlight w:val="none"/>
        </w:rPr>
        <w:t xml:space="preserve">一、</w:t>
      </w:r>
      <w:bookmarkStart w:id="6" w:name="_Toc1"/>
      <w:r>
        <w:rPr>
          <w:rFonts w:hint="eastAsia" w:ascii="宋体" w:hAnsi="宋体" w:cs="宋体"/>
          <w:color w:val="auto"/>
          <w:highlight w:val="none"/>
        </w:rPr>
        <w:t xml:space="preserve">竞争性磋商邀请函</w:t>
      </w:r>
      <w:bookmarkEnd w:id="4"/>
      <w:r/>
      <w:bookmarkEnd w:id="5"/>
      <w:r/>
      <w:bookmarkEnd w:id="6"/>
      <w:r/>
      <w:r/>
    </w:p>
    <w:tbl>
      <w:tblPr>
        <w:tblStyle w:val="8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02"/>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spacing w:after="21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项目概况</w:t>
            </w:r>
            <w:r/>
          </w:p>
          <w:p>
            <w:pPr>
              <w:spacing w:after="21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eastAsia="zh-CN"/>
              </w:rPr>
              <w:t xml:space="preserve">兴黎社区综合服务项目JSZC-320509-SZTY-C2026-0007</w:t>
            </w:r>
            <w:r>
              <w:rPr>
                <w:rFonts w:hint="eastAsia" w:ascii="宋体" w:hAnsi="宋体" w:cs="宋体"/>
                <w:color w:val="auto"/>
                <w:szCs w:val="21"/>
                <w:highlight w:val="none"/>
              </w:rPr>
              <w:t xml:space="preserve">采购项目的潜在供应商应在“苏采云”系统获取采购文件，并于</w:t>
            </w: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rPr>
              <w:t xml:space="preserve">-09</w:t>
            </w:r>
            <w:r>
              <w:rPr>
                <w:rFonts w:hint="eastAsia" w:ascii="宋体" w:hAnsi="宋体" w:cs="宋体"/>
                <w:color w:val="auto"/>
                <w:szCs w:val="21"/>
                <w:highlight w:val="none"/>
              </w:rPr>
              <w:t xml:space="preserve">-20</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09:30（北京时间）前提交响应文件。</w:t>
            </w:r>
            <w:r/>
          </w:p>
        </w:tc>
      </w:tr>
    </w:tbl>
    <w:p>
      <w:pPr>
        <w:pStyle w:val="851"/>
        <w:ind w:firstLine="422"/>
        <w:spacing w:before="0" w:after="0" w:line="440" w:lineRule="exact"/>
        <w:shd w:val="clear" w:color="ffffff" w:fill="ffff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7" w:name="_Toc30187"/>
      <w:r>
        <w:rPr>
          <w:rFonts w:hint="eastAsia" w:ascii="宋体" w:hAnsi="宋体" w:cs="宋体"/>
          <w:color w:val="auto"/>
          <w:sz w:val="21"/>
          <w:szCs w:val="21"/>
          <w:highlight w:val="none"/>
        </w:rPr>
        <w:t xml:space="preserve">一、项目基本情况</w:t>
      </w:r>
      <w:bookmarkEnd w:id="7"/>
      <w:r/>
      <w:r/>
    </w:p>
    <w:p>
      <w:pPr>
        <w:numPr>
          <w:ilvl w:val="255"/>
          <w:numId w:val="0"/>
        </w:num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JSZC-320509-SZTY-C2026-0007</w:t>
      </w:r>
      <w:r>
        <w:rPr>
          <w:rFonts w:hint="eastAsia" w:ascii="宋体" w:hAnsi="宋体" w:cs="宋体"/>
          <w:color w:val="auto"/>
          <w:szCs w:val="21"/>
          <w:highlight w:val="none"/>
        </w:rPr>
        <w:t xml:space="preserve"> </w:t>
      </w:r>
      <w:r/>
    </w:p>
    <w:p>
      <w:pPr>
        <w:numPr>
          <w:ilvl w:val="255"/>
          <w:numId w:val="0"/>
        </w:numPr>
        <w:ind w:firstLine="420"/>
        <w:spacing w:line="440" w:lineRule="exact"/>
        <w:shd w:val="clear" w:color="ffffff" w:fill="ffffff"/>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bookmarkStart w:id="8" w:name="OLE_LINK17"/>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兴黎社区综合服务项目</w:t>
      </w:r>
      <w:r/>
    </w:p>
    <w:p>
      <w:pPr>
        <w:numPr>
          <w:ilvl w:val="255"/>
          <w:numId w:val="0"/>
        </w:num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3、采购方式：竞争性磋商 </w:t>
      </w:r>
      <w:r/>
    </w:p>
    <w:p>
      <w:pPr>
        <w:numPr>
          <w:ilvl w:val="255"/>
          <w:numId w:val="0"/>
        </w:numPr>
        <w:ind w:firstLine="420"/>
        <w:spacing w:line="440" w:lineRule="exact"/>
        <w:shd w:val="clear" w:color="ffffff" w:fill="ffffff"/>
        <w:rPr>
          <w:rFonts w:hint="eastAsia" w:ascii="宋体" w:hAnsi="宋体" w:eastAsia="宋体" w:cs="宋体"/>
          <w:bCs/>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w:t>
      </w:r>
      <w:bookmarkStart w:id="9" w:name="OLE_LINK25"/>
      <w:r>
        <w:rPr>
          <w:rFonts w:hint="eastAsia" w:ascii="宋体" w:hAnsi="宋体" w:cs="宋体"/>
          <w:color w:val="auto"/>
          <w:szCs w:val="21"/>
          <w:highlight w:val="none"/>
        </w:rPr>
        <w:t xml:space="preserve">预算金额：</w:t>
      </w:r>
      <w:bookmarkEnd w:id="9"/>
      <w:r>
        <w:rPr>
          <w:rFonts w:hint="eastAsia" w:ascii="宋体" w:hAnsi="宋体" w:cs="宋体"/>
          <w:bCs/>
          <w:color w:val="auto"/>
          <w:szCs w:val="21"/>
          <w:highlight w:val="none"/>
          <w:lang w:eastAsia="zh-CN"/>
        </w:rPr>
        <w:t xml:space="preserve">人民币壹佰玖拾肆万玖仟柒佰元整（￥1949700元）</w:t>
      </w:r>
      <w:r/>
    </w:p>
    <w:p>
      <w:pPr>
        <w:numPr>
          <w:ilvl w:val="255"/>
          <w:numId w:val="0"/>
        </w:numPr>
        <w:ind w:firstLine="420"/>
        <w:spacing w:line="440" w:lineRule="exact"/>
        <w:shd w:val="clear" w:color="ffffff" w:fill="ffffff"/>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w:t>
      </w:r>
      <w:r>
        <w:rPr>
          <w:rFonts w:hint="eastAsia" w:ascii="宋体" w:hAnsi="宋体"/>
          <w:color w:val="auto"/>
          <w:szCs w:val="21"/>
          <w:highlight w:val="none"/>
        </w:rPr>
        <w:t xml:space="preserve">最高限价：</w:t>
      </w:r>
      <w:r>
        <w:rPr>
          <w:rFonts w:hint="eastAsia" w:ascii="宋体" w:hAnsi="宋体"/>
          <w:color w:val="auto"/>
          <w:szCs w:val="21"/>
          <w:highlight w:val="none"/>
          <w:lang w:eastAsia="zh-CN"/>
        </w:rPr>
        <w:t xml:space="preserve">人民币壹佰玖拾肆万玖仟柒佰元整（￥1949700元）</w:t>
      </w:r>
      <w:bookmarkEnd w:id="8"/>
      <w:r/>
      <w:r/>
    </w:p>
    <w:p>
      <w:pPr>
        <w:numPr>
          <w:ilvl w:val="255"/>
          <w:numId w:val="0"/>
        </w:num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6、</w:t>
      </w:r>
      <w:r>
        <w:rPr>
          <w:rFonts w:hint="eastAsia" w:ascii="宋体" w:hAnsi="宋体" w:cs="宋体"/>
          <w:color w:val="auto"/>
          <w:szCs w:val="21"/>
          <w:highlight w:val="none"/>
          <w:lang w:val="en-US" w:eastAsia="zh-CN"/>
        </w:rPr>
        <w:t xml:space="preserve">采购需求</w:t>
      </w:r>
      <w:r>
        <w:rPr>
          <w:rFonts w:hint="eastAsia" w:ascii="宋体" w:hAnsi="宋体" w:cs="宋体"/>
          <w:color w:val="auto"/>
          <w:szCs w:val="21"/>
          <w:highlight w:val="none"/>
        </w:rPr>
        <w:t xml:space="preserve">：本项目为兴黎社区综合</w:t>
      </w:r>
      <w:r>
        <w:rPr>
          <w:rFonts w:hint="eastAsia" w:ascii="宋体" w:hAnsi="宋体" w:cs="宋体"/>
          <w:color w:val="auto"/>
          <w:szCs w:val="21"/>
          <w:highlight w:val="none"/>
        </w:rPr>
        <w:t xml:space="preserve">服务中心全域一体化布展服务</w:t>
      </w:r>
      <w:r>
        <w:rPr>
          <w:rFonts w:hint="eastAsia" w:ascii="宋体" w:hAnsi="宋体" w:cs="宋体"/>
          <w:color w:val="auto"/>
          <w:szCs w:val="21"/>
          <w:highlight w:val="none"/>
        </w:rPr>
        <w:t xml:space="preserve">，采用模块化灵活布局实现空间多功能复用，整合政务服务、便民活动、文体娱乐、邻里共治、志愿服务、特色配套等多元功能，融入本土历史文化元素打造综合社区服务阵地。</w:t>
      </w:r>
      <w:r/>
    </w:p>
    <w:p>
      <w:pPr>
        <w:numPr>
          <w:ilvl w:val="255"/>
          <w:numId w:val="0"/>
        </w:num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7、合同履行期限：合同签订之日起</w:t>
      </w:r>
      <w:r>
        <w:rPr>
          <w:rFonts w:hint="eastAsia" w:ascii="宋体" w:hAnsi="宋体" w:cs="宋体"/>
          <w:color w:val="auto"/>
          <w:szCs w:val="21"/>
          <w:highlight w:val="none"/>
          <w:lang w:val="en-US" w:eastAsia="zh-CN"/>
        </w:rPr>
        <w:t xml:space="preserve">90</w:t>
      </w:r>
      <w:r>
        <w:rPr>
          <w:rFonts w:hint="eastAsia" w:ascii="宋体" w:hAnsi="宋体" w:cs="宋体"/>
          <w:color w:val="auto"/>
          <w:szCs w:val="21"/>
          <w:highlight w:val="none"/>
        </w:rPr>
        <w:t xml:space="preserve">天内完成</w:t>
      </w:r>
      <w:r>
        <w:rPr>
          <w:rFonts w:hint="eastAsia" w:ascii="宋体" w:hAnsi="宋体" w:cs="宋体"/>
          <w:color w:val="auto"/>
          <w:szCs w:val="21"/>
          <w:highlight w:val="none"/>
          <w:lang w:val="en-US" w:eastAsia="zh-CN"/>
        </w:rPr>
        <w:t xml:space="preserve">布展</w:t>
      </w:r>
      <w:r>
        <w:rPr>
          <w:rFonts w:hint="eastAsia" w:ascii="宋体" w:hAnsi="宋体" w:cs="宋体"/>
          <w:color w:val="auto"/>
          <w:szCs w:val="21"/>
          <w:highlight w:val="none"/>
        </w:rPr>
        <w:t xml:space="preserve">并交付使用。</w:t>
      </w:r>
      <w:r/>
    </w:p>
    <w:p>
      <w:pPr>
        <w:numPr>
          <w:ilvl w:val="255"/>
          <w:numId w:val="0"/>
        </w:numPr>
        <w:ind w:firstLine="420"/>
        <w:spacing w:line="440" w:lineRule="exact"/>
        <w:shd w:val="clear" w:color="ffffff" w:fill="ffffff"/>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8、本项目（是/否）接受联合体：否 </w:t>
      </w:r>
      <w:r/>
    </w:p>
    <w:p>
      <w:pPr>
        <w:numPr>
          <w:ilvl w:val="255"/>
          <w:numId w:val="0"/>
        </w:numPr>
        <w:ind w:firstLine="420"/>
        <w:spacing w:line="440" w:lineRule="exact"/>
        <w:shd w:val="clear" w:color="ffffff" w:fill="ffffff"/>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9、本项目不允许转包、分包。</w:t>
      </w:r>
      <w:r/>
    </w:p>
    <w:p>
      <w:pPr>
        <w:pStyle w:val="851"/>
        <w:ind w:firstLine="422"/>
        <w:spacing w:before="0" w:after="0" w:line="440" w:lineRule="exact"/>
        <w:shd w:val="clear" w:color="ffffff" w:fill="ffff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10" w:name="_Toc3178"/>
      <w:r>
        <w:rPr>
          <w:rFonts w:hint="eastAsia" w:ascii="宋体" w:hAnsi="宋体" w:cs="宋体"/>
          <w:color w:val="auto"/>
          <w:sz w:val="21"/>
          <w:szCs w:val="21"/>
          <w:highlight w:val="none"/>
        </w:rPr>
        <w:t xml:space="preserve">二、申请人的资格要求：</w:t>
      </w:r>
      <w:bookmarkEnd w:id="10"/>
      <w:r/>
      <w:r/>
    </w:p>
    <w:p>
      <w:p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（一）满足</w:t>
      </w:r>
      <w:bookmarkStart w:id="11" w:name="OLE_LINK42"/>
      <w:r>
        <w:rPr>
          <w:rFonts w:hint="eastAsia" w:ascii="宋体" w:hAnsi="宋体" w:cs="宋体"/>
          <w:color w:val="auto"/>
          <w:szCs w:val="21"/>
          <w:highlight w:val="none"/>
        </w:rPr>
        <w:t xml:space="preserve">《中华人民共和国政府采购法》第二十二条规定</w:t>
      </w:r>
      <w:bookmarkEnd w:id="11"/>
      <w:r>
        <w:rPr>
          <w:rFonts w:hint="eastAsia" w:ascii="宋体" w:hAnsi="宋体" w:cs="宋体"/>
          <w:color w:val="auto"/>
          <w:szCs w:val="21"/>
          <w:highlight w:val="none"/>
        </w:rPr>
        <w:t xml:space="preserve">：</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1.具有独立承担民事责任的能力</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2.具有良好的商业信誉和健全的财务会计制度</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3.具有履行合同所必需的设备和专业技术能力</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4.有依法缴纳税收和社会保障资金的良好记录</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5.参加政府采购活动前三年内，在经营活动中没有重大违法记录。</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6.法律、行政法规规定的其他条件。</w:t>
      </w:r>
      <w:r/>
    </w:p>
    <w:p>
      <w:pPr>
        <w:ind w:firstLine="420"/>
        <w:spacing w:line="440" w:lineRule="exact"/>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（二）落实政府采购政策需满足的资格要求：</w:t>
      </w:r>
      <w:bookmarkStart w:id="12" w:name="OLE_LINK49"/>
      <w:r>
        <w:rPr>
          <w:rFonts w:hint="eastAsia" w:ascii="宋体" w:hAnsi="宋体" w:cs="宋体"/>
          <w:b/>
          <w:bCs/>
          <w:color w:val="auto"/>
          <w:szCs w:val="21"/>
          <w:highlight w:val="none"/>
        </w:rPr>
        <w:t xml:space="preserve">本项目专门面向中小企业</w:t>
      </w:r>
      <w:bookmarkEnd w:id="12"/>
      <w:r>
        <w:rPr>
          <w:rFonts w:hint="eastAsia" w:ascii="宋体" w:hAnsi="宋体" w:cs="宋体"/>
          <w:b/>
          <w:bCs/>
          <w:color w:val="auto"/>
          <w:szCs w:val="21"/>
          <w:highlight w:val="none"/>
          <w:lang w:eastAsia="zh-CN"/>
        </w:rPr>
        <w:t xml:space="preserve">。</w:t>
      </w:r>
      <w:r>
        <w:rPr>
          <w:rFonts w:hint="eastAsia" w:ascii="宋体" w:hAnsi="宋体" w:eastAsia="宋体" w:cs="宋体"/>
          <w:color w:val="auto"/>
          <w:szCs w:val="21"/>
          <w:highlight w:val="none"/>
          <w:lang w:eastAsia="zh-CN"/>
        </w:rPr>
        <w:t xml:space="preserve">根据《政府采购促进中小企业发展管理办法》（财库〔2020〕46号）及《中小企业划型标准规定》（工信部联企业〔2011〕300号），</w:t>
      </w:r>
      <w:r>
        <w:rPr>
          <w:rFonts w:hint="eastAsia" w:ascii="宋体" w:hAnsi="宋体" w:eastAsia="宋体" w:cs="宋体"/>
          <w:color w:val="auto"/>
          <w:szCs w:val="21"/>
          <w:highlight w:val="none"/>
          <w:lang w:eastAsia="zh-CN"/>
        </w:rPr>
        <w:t xml:space="preserve">本采购标的对应的中小企业划分标准所属行业为：其他未列明行业。</w:t>
      </w:r>
      <w:r>
        <w:rPr>
          <w:rFonts w:hint="eastAsia" w:ascii="宋体" w:hAnsi="宋体" w:eastAsia="宋体" w:cs="宋体"/>
          <w:color w:val="auto"/>
          <w:szCs w:val="21"/>
          <w:highlight w:val="none"/>
          <w:lang w:eastAsia="zh-CN"/>
        </w:rPr>
        <w:t xml:space="preserve">承接服务的供应商应为中小微企业、监狱企业、残疾人福利性单位。</w:t>
      </w:r>
      <w:r>
        <w:rPr>
          <w:rFonts w:hint="eastAsia" w:ascii="宋体" w:hAnsi="宋体" w:eastAsia="宋体" w:cs="宋体"/>
          <w:color w:val="auto"/>
          <w:szCs w:val="21"/>
          <w:highlight w:val="none"/>
          <w:lang w:eastAsia="zh-CN"/>
        </w:rPr>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（三）本项目的特定资格要求：无</w:t>
      </w:r>
      <w:r/>
    </w:p>
    <w:p>
      <w:pPr>
        <w:ind w:firstLine="420"/>
        <w:spacing w:line="44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（四）其他要求：</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1.未被“信用中国”网站（www.creditchina.gov.cn）列入失信被执行人、重大税收违法案件当事人名单、政府采购严重失信行为记录名单。</w:t>
      </w:r>
      <w:r/>
    </w:p>
    <w:p>
      <w:pPr>
        <w:ind w:firstLine="420"/>
        <w:spacing w:line="440" w:lineRule="exact"/>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auto"/>
          <w:szCs w:val="21"/>
          <w:highlight w:val="none"/>
          <w:lang w:eastAsia="zh-CN"/>
        </w:rPr>
        <w:t xml:space="preserve">。</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3.法人的分支机构不得参加本项目的采购活动(除银行、保险、石油石化、电力、电信等行业特殊情况外)。</w:t>
      </w:r>
      <w:r/>
    </w:p>
    <w:p>
      <w:pPr>
        <w:pStyle w:val="851"/>
        <w:ind w:firstLine="422"/>
        <w:spacing w:before="0" w:after="0" w:line="440" w:lineRule="exact"/>
        <w:shd w:val="clear" w:color="ffffff" w:fill="ffff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13" w:name="_Toc15592"/>
      <w:r>
        <w:rPr>
          <w:rFonts w:hint="eastAsia" w:ascii="宋体" w:hAnsi="宋体" w:cs="宋体"/>
          <w:color w:val="auto"/>
          <w:sz w:val="21"/>
          <w:szCs w:val="21"/>
          <w:highlight w:val="none"/>
        </w:rPr>
        <w:t xml:space="preserve">三、获取采购文件</w:t>
      </w:r>
      <w:bookmarkEnd w:id="13"/>
      <w:r/>
      <w:r/>
    </w:p>
    <w:p>
      <w:pPr>
        <w:ind w:firstLine="420"/>
        <w:spacing w:line="440" w:lineRule="exact"/>
        <w:shd w:val="clear" w:color="ffffff" w:fill="ffff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1.时间：自公告发布之日起5个工作日</w:t>
      </w:r>
      <w:r/>
    </w:p>
    <w:p>
      <w:pPr>
        <w:ind w:firstLine="420"/>
        <w:spacing w:line="440" w:lineRule="exact"/>
        <w:shd w:val="clear" w:color="ffffff" w:fill="ffff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2.地点：苏采云系统自行下载</w:t>
      </w:r>
      <w:r/>
    </w:p>
    <w:p>
      <w:pPr>
        <w:ind w:firstLine="420"/>
        <w:spacing w:line="440" w:lineRule="exact"/>
        <w:shd w:val="clear" w:color="ffffff" w:fill="ffff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3.方式：“苏采云”系统报名后自行下载</w:t>
      </w:r>
      <w:r/>
    </w:p>
    <w:p>
      <w:pPr>
        <w:ind w:firstLine="420"/>
        <w:spacing w:line="440" w:lineRule="exact"/>
        <w:shd w:val="clear" w:color="ffffff" w:fill="ffff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4.售价：免费。</w:t>
      </w:r>
      <w:r/>
    </w:p>
    <w:p>
      <w:pPr>
        <w:pStyle w:val="851"/>
        <w:ind w:firstLine="422"/>
        <w:spacing w:before="0" w:after="0" w:line="440" w:lineRule="exact"/>
        <w:shd w:val="clear" w:color="ffffff" w:fill="ffff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14" w:name="_Toc819"/>
      <w:r>
        <w:rPr>
          <w:rFonts w:hint="eastAsia" w:ascii="宋体" w:hAnsi="宋体" w:cs="宋体"/>
          <w:color w:val="auto"/>
          <w:sz w:val="21"/>
          <w:szCs w:val="21"/>
          <w:highlight w:val="none"/>
        </w:rPr>
        <w:t xml:space="preserve">四、响应文件提交</w:t>
      </w:r>
      <w:bookmarkEnd w:id="14"/>
      <w:r/>
      <w:r/>
    </w:p>
    <w:p>
      <w:p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截止时间：</w:t>
      </w: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rPr>
        <w:t xml:space="preserve">-09</w:t>
      </w:r>
      <w:r>
        <w:rPr>
          <w:rFonts w:hint="eastAsia" w:ascii="宋体" w:hAnsi="宋体" w:cs="宋体"/>
          <w:color w:val="auto"/>
          <w:szCs w:val="21"/>
          <w:highlight w:val="none"/>
        </w:rPr>
        <w:t xml:space="preserve">-20</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09：30 （北京时间）</w:t>
      </w:r>
      <w:r/>
    </w:p>
    <w:p>
      <w:p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地点：“苏采云”系统（网址：http://jszfcg.jsczt.cn/） </w:t>
      </w:r>
      <w:r/>
    </w:p>
    <w:p>
      <w:pPr>
        <w:pStyle w:val="851"/>
        <w:ind w:firstLine="422"/>
        <w:spacing w:before="0" w:after="0" w:line="440" w:lineRule="exact"/>
        <w:shd w:val="clear" w:color="ffffff" w:fill="ffff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15" w:name="_Toc19956"/>
      <w:r>
        <w:rPr>
          <w:rFonts w:hint="eastAsia" w:ascii="宋体" w:hAnsi="宋体" w:cs="宋体"/>
          <w:color w:val="auto"/>
          <w:sz w:val="21"/>
          <w:szCs w:val="21"/>
          <w:highlight w:val="none"/>
        </w:rPr>
        <w:t xml:space="preserve">五、开启</w:t>
      </w:r>
      <w:bookmarkEnd w:id="15"/>
      <w:r/>
      <w:r/>
    </w:p>
    <w:p>
      <w:pPr>
        <w:ind w:firstLine="420"/>
        <w:spacing w:line="440" w:lineRule="exact"/>
        <w:shd w:val="clear" w:color="ffffff" w:fill="ffff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时间：</w:t>
      </w: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09</w:t>
      </w:r>
      <w:r>
        <w:rPr>
          <w:rFonts w:hint="eastAsia" w:ascii="宋体" w:hAnsi="宋体" w:cs="宋体"/>
          <w:color w:val="auto"/>
          <w:szCs w:val="21"/>
          <w:highlight w:val="none"/>
        </w:rPr>
        <w:t xml:space="preserve">-20</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09:30 （北京时间）</w:t>
      </w:r>
      <w:r/>
    </w:p>
    <w:p>
      <w:pPr>
        <w:pStyle w:val="851"/>
        <w:ind w:firstLine="422"/>
        <w:spacing w:before="0" w:after="0" w:line="440" w:lineRule="exact"/>
        <w:shd w:val="clear" w:color="ffffff" w:fill="ffff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16" w:name="_Toc26104"/>
      <w:r>
        <w:rPr>
          <w:rFonts w:hint="eastAsia" w:ascii="宋体" w:hAnsi="宋体" w:cs="宋体"/>
          <w:color w:val="auto"/>
          <w:sz w:val="21"/>
          <w:szCs w:val="21"/>
          <w:highlight w:val="none"/>
        </w:rPr>
        <w:t xml:space="preserve">六、公告期限</w:t>
      </w:r>
      <w:bookmarkEnd w:id="16"/>
      <w:r/>
      <w:r/>
    </w:p>
    <w:p>
      <w:p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自本公告发布之日起5个工作日。</w:t>
      </w:r>
      <w:r/>
    </w:p>
    <w:p>
      <w:pPr>
        <w:pStyle w:val="851"/>
        <w:ind w:firstLine="422"/>
        <w:spacing w:before="0" w:after="0" w:line="440" w:lineRule="exact"/>
        <w:shd w:val="clear" w:color="ffffff" w:fill="ffff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17" w:name="_Toc386"/>
      <w:r>
        <w:rPr>
          <w:rFonts w:hint="eastAsia" w:ascii="宋体" w:hAnsi="宋体" w:cs="宋体"/>
          <w:color w:val="auto"/>
          <w:sz w:val="21"/>
          <w:szCs w:val="21"/>
          <w:highlight w:val="none"/>
        </w:rPr>
        <w:t xml:space="preserve">七、其他补充事宜</w:t>
      </w:r>
      <w:bookmarkEnd w:id="17"/>
      <w:r/>
      <w:r/>
    </w:p>
    <w:p>
      <w:pPr>
        <w:ind w:left="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bookmarkStart w:id="18" w:name="OLE_LINK50"/>
      <w:r>
        <w:rPr>
          <w:rFonts w:hint="eastAsia" w:ascii="宋体" w:hAnsi="宋体" w:cs="宋体"/>
          <w:color w:val="auto"/>
          <w:szCs w:val="21"/>
          <w:highlight w:val="none"/>
        </w:rPr>
        <w:t xml:space="preserve">1.本次采购的相关信息刊登在苏州市政府采购网、江苏省政府采购网、中国政府采购网。</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2.采购文件获取方式：   </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（1）CA证书办理</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auto"/>
          <w:szCs w:val="21"/>
          <w:highlight w:val="none"/>
        </w:rPr>
        <w:t xml:space="preserve">苏州现场办理地址：苏州市高新区邓尉路105号狮山科技馆一楼服务大厅，咨询电话：0512-65737699。</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（2）参与采购活动</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（3）电子投标准备</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注册咨询：18261002950；</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CA技术咨询电话：400-608-6099；</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签章使用问题：025-83633811、025-83633812、15380932027、15371015030；</w:t>
      </w:r>
      <w:r/>
    </w:p>
    <w:p>
      <w:pPr>
        <w:ind w:firstLine="420"/>
        <w:spacing w:line="440" w:lineRule="exac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系统使用指导与咨询：联系电话：18261002950；QQ：3048755361、1315179389、895706745。</w:t>
      </w:r>
      <w:r/>
    </w:p>
    <w:p>
      <w:pPr>
        <w:ind w:firstLine="420"/>
        <w:spacing w:line="440" w:lineRule="exact"/>
        <w:shd w:val="clear" w:color="ffffff" w:fill="ffff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请供应商确保电脑、系统及其他设备（视频输入输出设备等）无误，且开启直至项目结束始终保持系统在线状态。</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3.有关本项目电子投标具体操作方法详见苏采云系统中的客户端使用说明和供应商《操作手册》。</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4.补充通知（如有）。成功获取磋商文件的供应商通过“苏州市政府采购网”或“苏采云”系统自行查看所报项目的补充通知。</w:t>
      </w:r>
      <w:bookmarkEnd w:id="18"/>
      <w:r/>
      <w:r/>
    </w:p>
    <w:p>
      <w:pPr>
        <w:pStyle w:val="851"/>
        <w:ind w:firstLine="422"/>
        <w:spacing w:before="0" w:after="0" w:line="440" w:lineRule="exact"/>
        <w:shd w:val="clear" w:color="ffffff" w:fill="ffff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19" w:name="_Toc24271"/>
      <w:r>
        <w:rPr>
          <w:rFonts w:hint="eastAsia" w:ascii="宋体" w:hAnsi="宋体" w:cs="宋体"/>
          <w:color w:val="auto"/>
          <w:sz w:val="21"/>
          <w:szCs w:val="21"/>
          <w:highlight w:val="none"/>
        </w:rPr>
        <w:t xml:space="preserve">八、凡对本次采购提出询问，请按以下方式联系。</w:t>
      </w:r>
      <w:bookmarkEnd w:id="19"/>
      <w:r/>
      <w:r/>
    </w:p>
    <w:p>
      <w:p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1.采购人信息</w:t>
      </w:r>
      <w:r/>
    </w:p>
    <w:p>
      <w:pPr>
        <w:ind w:firstLine="420"/>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单位</w:t>
      </w:r>
      <w:r>
        <w:rPr>
          <w:rFonts w:hint="eastAsia" w:ascii="宋体" w:hAnsi="宋体" w:eastAsia="宋体" w:cs="宋体"/>
          <w:color w:val="auto"/>
          <w:szCs w:val="21"/>
          <w:highlight w:val="none"/>
        </w:rPr>
        <w:t xml:space="preserve">名称：</w:t>
      </w:r>
      <w:r>
        <w:rPr>
          <w:rFonts w:hint="eastAsia" w:ascii="宋体" w:hAnsi="宋体" w:cs="宋体"/>
          <w:color w:val="auto"/>
          <w:szCs w:val="21"/>
          <w:highlight w:val="none"/>
          <w:lang w:eastAsia="zh-CN"/>
        </w:rPr>
        <w:t xml:space="preserve">江苏省汾湖高新技术产业开发区黎里古镇开发保护区管理办公室</w:t>
      </w:r>
      <w:r>
        <w:rPr>
          <w:rFonts w:hint="eastAsia" w:ascii="宋体" w:hAnsi="宋体" w:eastAsia="宋体" w:cs="宋体"/>
          <w:color w:val="auto"/>
          <w:szCs w:val="21"/>
          <w:highlight w:val="none"/>
        </w:rPr>
        <w:t xml:space="preserve"> </w:t>
      </w:r>
      <w:r/>
    </w:p>
    <w:p>
      <w:pPr>
        <w:ind w:firstLine="420"/>
        <w:spacing w:line="440" w:lineRule="exact"/>
        <w:rPr>
          <w:rFonts w:hint="eastAsia" w:ascii="宋体" w:hAnsi="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地址：江苏省汾湖高新技术产业开发区黎里镇黎里人民中路128号</w:t>
      </w:r>
      <w:r>
        <w:rPr>
          <w:rFonts w:hint="eastAsia" w:ascii="宋体" w:hAnsi="宋体" w:cs="宋体"/>
          <w:color w:val="auto"/>
          <w:szCs w:val="21"/>
          <w:highlight w:val="none"/>
          <w:lang w:val="en-US" w:eastAsia="zh-CN"/>
        </w:rPr>
        <w:t xml:space="preserve"> </w:t>
      </w:r>
      <w:r/>
    </w:p>
    <w:p>
      <w:pPr>
        <w:ind w:firstLine="420"/>
        <w:spacing w:line="440" w:lineRule="exact"/>
        <w:rPr>
          <w:rFonts w:hint="default"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联系人：庞展宏</w:t>
      </w:r>
      <w:r>
        <w:rPr>
          <w:rFonts w:hint="eastAsia" w:ascii="宋体" w:hAnsi="宋体" w:cs="宋体"/>
          <w:color w:val="auto"/>
          <w:szCs w:val="21"/>
          <w:highlight w:val="none"/>
          <w:lang w:val="en-US" w:eastAsia="zh-CN"/>
        </w:rPr>
        <w:t xml:space="preserve"> </w:t>
      </w:r>
      <w:r/>
    </w:p>
    <w:p>
      <w:pPr>
        <w:ind w:firstLine="420"/>
        <w:spacing w:line="440" w:lineRule="exact"/>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联系电话：0512-</w:t>
      </w:r>
      <w:r>
        <w:rPr>
          <w:rFonts w:hint="eastAsia" w:ascii="宋体" w:hAnsi="宋体" w:eastAsia="宋体" w:cs="宋体"/>
          <w:color w:val="auto"/>
          <w:szCs w:val="21"/>
          <w:highlight w:val="none"/>
        </w:rPr>
        <w:t xml:space="preserve">63616662</w:t>
      </w:r>
      <w:r>
        <w:rPr>
          <w:rFonts w:hint="eastAsia" w:ascii="宋体" w:hAnsi="宋体" w:cs="宋体"/>
          <w:color w:val="auto"/>
          <w:szCs w:val="21"/>
          <w:highlight w:val="none"/>
          <w:lang w:val="en-US" w:eastAsia="zh-CN"/>
        </w:rPr>
      </w:r>
      <w:r/>
    </w:p>
    <w:p>
      <w:p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2.采购代理机构信息</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单位名称：苏州通宜房地产土地评估咨询有限公司</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单位地址：</w:t>
      </w:r>
      <w:bookmarkStart w:id="20" w:name="OLE_LINK3"/>
      <w:r>
        <w:rPr>
          <w:rFonts w:hint="eastAsia" w:ascii="宋体" w:hAnsi="宋体" w:cs="宋体"/>
          <w:color w:val="auto"/>
          <w:szCs w:val="21"/>
          <w:highlight w:val="none"/>
        </w:rPr>
        <w:t xml:space="preserve">吴江区松陵镇鲈乡南路鲈乡园别墅区103幢</w:t>
      </w:r>
      <w:bookmarkEnd w:id="20"/>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联系人：董鹏、朱雪芬</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联系电话：0512-63000883</w:t>
      </w:r>
      <w:r/>
    </w:p>
    <w:p>
      <w:pPr>
        <w:ind w:firstLine="420"/>
        <w:spacing w:line="440" w:lineRule="exact"/>
        <w:shd w:val="clear" w:color="ffffff" w:fill="ffffff"/>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3.项目联系方式</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项目联系人：董鹏、朱雪芬</w:t>
      </w:r>
      <w:r/>
    </w:p>
    <w:p>
      <w:pPr>
        <w:ind w:firstLine="420"/>
        <w:spacing w:line="44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电话：0512-63000883</w:t>
      </w:r>
      <w:r/>
    </w:p>
    <w:p>
      <w:pPr>
        <w:ind w:firstLine="420"/>
        <w:jc w:val="left"/>
        <w:spacing w:line="440" w:lineRule="exact"/>
        <w:rPr>
          <w:rFonts w:ascii="宋体" w:hAnsi="宋体" w:cs="宋体"/>
          <w:color w:val="auto"/>
          <w:highlight w:val="none"/>
        </w:rPr>
      </w:pPr>
      <w:r>
        <w:rPr>
          <w:rFonts w:hint="eastAsia" w:ascii="宋体" w:hAnsi="宋体" w:cs="宋体"/>
          <w:color w:val="auto"/>
          <w:szCs w:val="21"/>
          <w:highlight w:val="none"/>
        </w:rPr>
        <w:t xml:space="preserve">备注：本次采购的有关信息将在江苏省政府采购网、苏州政府采购网、中国政府采购网等媒体上发布，敬请留意，请各单位获取本次磋商采购文件后，认真阅读各项内容，进行必要准备工作，按文件的要求详细填写和编制响应文件，并按以上确定的时间、地点准时参加磋商。</w:t>
      </w:r>
      <w:r/>
    </w:p>
    <w:p>
      <w:pPr>
        <w:ind w:firstLine="420"/>
        <w:jc w:val="center"/>
        <w:spacing w:after="210" w:line="36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br w:type="page" w:clear="all"/>
      </w:r>
      <w:bookmarkStart w:id="21" w:name="_Toc11937"/>
      <w:r/>
      <w:bookmarkStart w:id="22" w:name="_Toc18157"/>
      <w:r/>
      <w:bookmarkStart w:id="23" w:name="_Toc6289"/>
      <w:r/>
      <w:bookmarkStart w:id="24" w:name="_Toc19638"/>
      <w:r/>
      <w:bookmarkStart w:id="25" w:name="_Toc26391"/>
      <w:r/>
      <w:bookmarkStart w:id="26" w:name="_Toc7179"/>
      <w:r/>
      <w:bookmarkStart w:id="27" w:name="_Toc23541"/>
      <w:r/>
      <w:bookmarkStart w:id="28" w:name="_Toc25272"/>
      <w:r>
        <w:rPr>
          <w:rStyle w:val="1105"/>
          <w:rFonts w:hint="eastAsia" w:ascii="宋体" w:hAnsi="宋体" w:cs="宋体"/>
          <w:color w:val="auto"/>
          <w:highlight w:val="none"/>
        </w:rPr>
        <w:t xml:space="preserve">二、磋商供应商须知</w:t>
      </w:r>
      <w:bookmarkEnd w:id="21"/>
      <w:r/>
      <w:bookmarkEnd w:id="22"/>
      <w:r/>
      <w:bookmarkEnd w:id="23"/>
      <w:r/>
      <w:bookmarkEnd w:id="24"/>
      <w:r/>
      <w:bookmarkEnd w:id="25"/>
      <w:r/>
      <w:bookmarkEnd w:id="26"/>
      <w:r/>
      <w:bookmarkEnd w:id="27"/>
      <w:r/>
      <w:bookmarkEnd w:id="28"/>
      <w:r/>
      <w:r/>
    </w:p>
    <w:p>
      <w:pPr>
        <w:ind w:firstLine="422"/>
        <w:spacing w:line="440" w:lineRule="exact"/>
        <w:rPr>
          <w:rFonts w:hint="eastAsia" w:ascii="宋体" w:hAnsi="宋体" w:cs="宋体"/>
          <w:b/>
          <w:color w:val="auto"/>
          <w:szCs w:val="21"/>
          <w:highlight w:val="none"/>
          <w:lang w:eastAsia="zh-CN"/>
        </w:rPr>
      </w:pPr>
      <w:r/>
      <w:bookmarkStart w:id="29" w:name="_Toc29852"/>
      <w:r>
        <w:rPr>
          <w:rFonts w:hint="eastAsia" w:ascii="宋体" w:hAnsi="宋体" w:cs="宋体"/>
          <w:b/>
          <w:color w:val="auto"/>
          <w:szCs w:val="21"/>
          <w:highlight w:val="none"/>
          <w:lang w:eastAsia="zh-CN"/>
        </w:rPr>
        <w:t xml:space="preserve">一、说明和释义</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1.1本招标文件仅适用于苏州通宜房地产土地评估咨询有限公司的招标活动。</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1.2本次招标活动及因本次招标产生的合同受中国法律制约和保护。</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1.3本招标文件的解释权属于苏州通宜房地产土地评估咨询有限公司。</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1.4词语释义</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1.4.1招标代理机构：具体组织实施招标活动的法人。</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1.4.2投标人（投标单位）：经认定有资格响应招标，参加投标竞争的法人或其他组织和自然人。</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1.4.3响应：投标单位根据招标代理机构或招标代理机构发布的招标文件，编制投标文件并按规定投标的行为。</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1.4.4合同：采供双方根据招标文件和中标的投标文件及中标通知书规定的内容签署的以书面形式所达成的协议，包括所有的附件、附录和构成协议的所有文件。</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1.4.5 甲方（委托方）：合同中明确规定的实际购买货物和服务的法人或其他组织和自然人 。</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1.4.6乙方（服务方）：合同中规定的向采购单位提供货物和服务的法人或其他组织和自然人。</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1.4.7货物：系指乙方按招标文件规定，应向甲方提供的一切设备、备品、备件、工具、手册及其它有关技术资料和材料。</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1.4.8服务：系指本次招标文件规定乙方应承担的</w:t>
      </w:r>
      <w:r>
        <w:rPr>
          <w:rFonts w:hint="eastAsia" w:ascii="宋体" w:hAnsi="宋体" w:cs="宋体"/>
          <w:color w:val="auto"/>
          <w:szCs w:val="21"/>
          <w:highlight w:val="none"/>
          <w:lang w:eastAsia="zh-CN"/>
        </w:rPr>
        <w:t xml:space="preserve">兴黎社区综合服务项目</w:t>
      </w:r>
      <w:r>
        <w:rPr>
          <w:rFonts w:hint="eastAsia" w:ascii="宋体" w:hAnsi="宋体" w:cs="宋体"/>
          <w:color w:val="auto"/>
          <w:szCs w:val="21"/>
          <w:highlight w:val="none"/>
          <w:lang w:val="en-US" w:eastAsia="zh-CN"/>
        </w:rPr>
        <w:t xml:space="preserve">。</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1.4.9知识产权：指专利权、商标权、著作权等无形财产专有权的统称。</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1.4.10天：日历日。</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1.4.11交货地点：合同中明确约定的乙方提交的货物和服务最终交付地点。</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1.4.12合同价款：根据合同规定，乙方在正确地履行合同义务后甲方应支付乙方的价款。</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1.4.13产地：货物开采、生长、生产、最终制造、加工或提供服务的来源地。</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1.4.14 不可抗力：不能预见、不能避免并且不能克服的客观情况。</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1.4.16进口产品：指通过中国海关报关验收进入中国境内且产自境外的产品，具体按照苏财购〔2008〕14号江苏省财政厅转发财政部办公厅关于政府采购进口产品管理有关问题的通知的规定。</w:t>
      </w:r>
      <w:r/>
    </w:p>
    <w:p>
      <w:pPr>
        <w:pStyle w:val="1114"/>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1.4.17书面形式：指书面文字、合同书、信件和数据电文（包括传真、电子数据交换和电子邮件）等可以有形地表现所载内容的形式。</w:t>
      </w:r>
      <w:r/>
    </w:p>
    <w:p>
      <w:pPr>
        <w:ind w:firstLine="422"/>
        <w:spacing w:line="440" w:lineRule="exact"/>
        <w:rPr>
          <w:rFonts w:ascii="宋体" w:hAnsi="宋体" w:cs="宋体"/>
          <w:bCs/>
          <w:color w:val="auto"/>
          <w:szCs w:val="21"/>
          <w:highlight w:val="none"/>
        </w:rPr>
      </w:pPr>
      <w:r>
        <w:rPr>
          <w:rFonts w:hint="eastAsia" w:ascii="宋体" w:hAnsi="宋体" w:cs="宋体"/>
          <w:b/>
          <w:color w:val="auto"/>
          <w:szCs w:val="21"/>
          <w:highlight w:val="none"/>
        </w:rPr>
        <w:t xml:space="preserve">2.★联合体响应：不接受。</w:t>
      </w:r>
      <w:r/>
    </w:p>
    <w:p>
      <w:pPr>
        <w:pStyle w:val="1114"/>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2.1.两个以上的自然人、法人或者其他组织可以组成一个联合体，以一个供应商的身份共同参加政府采购。</w:t>
      </w:r>
      <w:r/>
    </w:p>
    <w:p>
      <w:pPr>
        <w:pStyle w:val="1114"/>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2.2.鼓励大中型企业和其他自然人、法人或者其他组织与小型、微型企业组成联合体共同参加非专门面向中小企业的政府采购活动。</w:t>
      </w:r>
      <w:r/>
    </w:p>
    <w:p>
      <w:pPr>
        <w:pStyle w:val="1114"/>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2.2.以联合体形式参加</w:t>
      </w:r>
      <w:r>
        <w:rPr>
          <w:rFonts w:hint="eastAsia" w:ascii="宋体" w:hAnsi="宋体" w:cs="宋体"/>
          <w:color w:val="auto"/>
          <w:szCs w:val="21"/>
          <w:highlight w:val="none"/>
          <w:lang w:val="en-US"/>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1114"/>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2.4. 联合体各方之间应当签订联合体协议，明确约定联合体各方承担的工作和相应的责任，并将联合体协议连同响应文件一并提交。</w:t>
      </w:r>
      <w:r/>
    </w:p>
    <w:p>
      <w:pPr>
        <w:pStyle w:val="1114"/>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2.5. 以联合体形式参加政府采购活动的，联合体各方不得再单独参加或者与其他供应商另外组成联合体参加同一合同项下的政府采购活动。</w:t>
      </w:r>
      <w:r/>
    </w:p>
    <w:p>
      <w:pPr>
        <w:ind w:firstLine="422"/>
        <w:spacing w:line="440" w:lineRule="exact"/>
        <w:rPr>
          <w:rFonts w:ascii="宋体" w:hAnsi="宋体" w:cs="宋体"/>
          <w:bCs/>
          <w:color w:val="auto"/>
          <w:szCs w:val="21"/>
          <w:highlight w:val="none"/>
        </w:rPr>
      </w:pPr>
      <w:r>
        <w:rPr>
          <w:rFonts w:hint="eastAsia" w:ascii="宋体" w:hAnsi="宋体" w:cs="宋体"/>
          <w:b/>
          <w:bCs/>
          <w:color w:val="auto"/>
          <w:szCs w:val="21"/>
          <w:highlight w:val="none"/>
        </w:rPr>
        <w:t xml:space="preserve">3.★转包与分包与</w:t>
      </w:r>
      <w:r>
        <w:rPr>
          <w:rFonts w:hint="eastAsia" w:ascii="宋体" w:hAnsi="宋体" w:cs="宋体"/>
          <w:b/>
          <w:color w:val="auto"/>
          <w:szCs w:val="21"/>
          <w:highlight w:val="none"/>
        </w:rPr>
        <w:t xml:space="preserve">磋商费用</w:t>
      </w:r>
      <w:r/>
    </w:p>
    <w:p>
      <w:pPr>
        <w:pStyle w:val="1205"/>
        <w:spacing w:line="440" w:lineRule="exact"/>
        <w:rPr>
          <w:rFonts w:ascii="宋体" w:hAnsi="宋体" w:cs="宋体"/>
          <w:color w:val="auto"/>
          <w:highlight w:val="none"/>
        </w:rPr>
      </w:pPr>
      <w:r>
        <w:rPr>
          <w:rFonts w:hint="eastAsia" w:ascii="宋体" w:hAnsi="宋体" w:cs="宋体"/>
          <w:color w:val="auto"/>
          <w:highlight w:val="none"/>
        </w:rPr>
        <w:t xml:space="preserve">3.1.本项目不允许转包或分包。</w:t>
      </w:r>
      <w:r/>
    </w:p>
    <w:p>
      <w:pPr>
        <w:pStyle w:val="1191"/>
        <w:jc w:val="both"/>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3.2.无论磋商过程中的做法和结果如何，磋商供应商自行承担所有与参加磋商有关的全部费用。</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4.磋商文件</w:t>
      </w:r>
      <w:r/>
    </w:p>
    <w:p>
      <w:pPr>
        <w:pStyle w:val="1114"/>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4.1.磋商文件的内容如下：</w:t>
      </w:r>
      <w:r/>
    </w:p>
    <w:p>
      <w:pPr>
        <w:pStyle w:val="1114"/>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第一章 磋商邀请书</w:t>
      </w:r>
      <w:r/>
    </w:p>
    <w:p>
      <w:pPr>
        <w:pStyle w:val="1114"/>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第二章 磋商供应商须知</w:t>
      </w:r>
      <w:r/>
    </w:p>
    <w:p>
      <w:pPr>
        <w:pStyle w:val="1114"/>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第三章 采购需求</w:t>
      </w:r>
      <w:r/>
    </w:p>
    <w:p>
      <w:pPr>
        <w:pStyle w:val="1114"/>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第四章 评标办法及评分标准</w:t>
      </w:r>
      <w:r/>
    </w:p>
    <w:p>
      <w:pPr>
        <w:pStyle w:val="1114"/>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第五章 合同主要条款</w:t>
      </w:r>
      <w:r/>
    </w:p>
    <w:p>
      <w:pPr>
        <w:pStyle w:val="1114"/>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lang w:val="en-US"/>
        </w:rPr>
        <w:t xml:space="preserve">第六章 响应文件格式</w:t>
      </w:r>
      <w:r/>
    </w:p>
    <w:p>
      <w:pPr>
        <w:pStyle w:val="1191"/>
        <w:jc w:val="both"/>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5.磋商文件的澄清和修改</w:t>
      </w:r>
      <w:r/>
    </w:p>
    <w:p>
      <w:pPr>
        <w:pStyle w:val="1191"/>
        <w:jc w:val="both"/>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1191"/>
        <w:jc w:val="both"/>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5.2.磋商文件的澄清、修改等内容与竞争性磋商文件在同一内容的表述上不一致时，以发出日期最接近磋商时间的公告为准。</w:t>
      </w:r>
      <w:r/>
    </w:p>
    <w:p>
      <w:pPr>
        <w:pStyle w:val="1191"/>
        <w:jc w:val="both"/>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5.3.磋商文件的澄清、修改等内容均将在财政部门指定的政府采购信息发布媒体上发布，作为磋商文件的组成部分，对供应商起约束作用。</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6.★响应文件计量单位和使用文字</w:t>
      </w:r>
      <w:r/>
    </w:p>
    <w:p>
      <w:pPr>
        <w:pStyle w:val="1191"/>
        <w:jc w:val="both"/>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6.1.响应文件中所使用的计量单位，除竞争性磋商文件中有特殊要求外，均应使用中华人民共和国法定计量单位。</w:t>
      </w:r>
      <w:r/>
    </w:p>
    <w:p>
      <w:pPr>
        <w:pStyle w:val="1191"/>
        <w:jc w:val="both"/>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6.2.响应文件应使用中文编制，响应文件中使用其他文字的，必须附有中文译本，且以中文译本为准。对于未附有中文译本和中文译本不准确的响应文件可能引起的对供应商不利的后果，磋商采购单位概不负责。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1191"/>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7.响应文件的组成及要求</w:t>
      </w:r>
      <w:r/>
    </w:p>
    <w:p>
      <w:pPr>
        <w:pStyle w:val="1191"/>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7.1封面</w:t>
      </w:r>
      <w:r/>
    </w:p>
    <w:p>
      <w:pPr>
        <w:pStyle w:val="1191"/>
        <w:ind w:firstLine="422"/>
        <w:spacing w:line="440" w:lineRule="exact"/>
        <w:rPr>
          <w:rFonts w:hint="eastAsia" w:ascii="宋体" w:hAnsi="宋体" w:cs="宋体"/>
          <w:b/>
          <w:color w:val="auto"/>
          <w:sz w:val="21"/>
          <w:szCs w:val="21"/>
          <w:highlight w:val="none"/>
          <w:lang w:eastAsia="zh-CN"/>
        </w:rPr>
      </w:pPr>
      <w:r>
        <w:rPr>
          <w:rFonts w:hint="eastAsia" w:ascii="宋体" w:hAnsi="宋体" w:cs="宋体"/>
          <w:b/>
          <w:color w:val="auto"/>
          <w:sz w:val="21"/>
          <w:szCs w:val="21"/>
          <w:highlight w:val="none"/>
        </w:rPr>
        <w:t xml:space="preserve">7.2开标一览表</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rPr>
        <w:t xml:space="preserve">磋商报价表</w:t>
      </w:r>
      <w:r>
        <w:rPr>
          <w:rFonts w:hint="eastAsia" w:ascii="宋体" w:hAnsi="宋体" w:cs="宋体"/>
          <w:b/>
          <w:color w:val="auto"/>
          <w:sz w:val="21"/>
          <w:szCs w:val="21"/>
          <w:highlight w:val="none"/>
          <w:lang w:eastAsia="zh-CN"/>
        </w:rPr>
        <w:t xml:space="preserve">）</w:t>
      </w:r>
      <w:r/>
    </w:p>
    <w:p>
      <w:pPr>
        <w:pStyle w:val="1191"/>
        <w:spacing w:line="440" w:lineRule="exact"/>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7.2.1磋商报价分析表</w:t>
      </w:r>
      <w:r/>
    </w:p>
    <w:p>
      <w:pPr>
        <w:pStyle w:val="1191"/>
        <w:ind w:firstLine="422"/>
        <w:spacing w:line="440" w:lineRule="exact"/>
        <w:rPr>
          <w:rFonts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7.3资格审查响应文件</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7.3.1具有独立承担民事责任的能力证明。（提供营业执照或事业单位法人证等法人证明材料（加盖公章））；</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7.3.2具有良好的商业信誉和健全的财务会计制度证明（提供参加本次采购活动前的最近一期的年度会计报表或审计报告，其他组织、自然人及成立未满一年的法人应提供银行出具的资信证明（加盖公章））；</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7.3.3有依法缴纳税收和社会保障资金的良好记录（提供参加本次政府采购活动前依法缴纳税收和社会保障资金的相关材料。响应单位如依法享受缓缴、免缴税收、社会保障资金的应提供相关主管部门出具的证明材料）；</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7.3.4</w:t>
      </w:r>
      <w:r>
        <w:rPr>
          <w:rFonts w:hint="eastAsia" w:ascii="宋体" w:hAnsi="宋体" w:cs="宋体"/>
          <w:color w:val="auto"/>
          <w:sz w:val="21"/>
          <w:szCs w:val="21"/>
          <w:highlight w:val="none"/>
        </w:rPr>
        <w:t xml:space="preserve">具有</w:t>
      </w:r>
      <w:r>
        <w:rPr>
          <w:rFonts w:hint="eastAsia" w:ascii="宋体" w:hAnsi="宋体" w:cs="宋体"/>
          <w:bCs/>
          <w:color w:val="auto"/>
          <w:sz w:val="21"/>
          <w:szCs w:val="21"/>
          <w:highlight w:val="none"/>
        </w:rPr>
        <w:t xml:space="preserve">履行合同所必需的设备和专业技术能力的证明材料或承诺；</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7.3.5参加政府采购活动前三年内在经营活动中没有重大违法记录的书面声明函；</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7.3.6法律、行政法规规定的其他条件；</w:t>
      </w:r>
      <w:r/>
    </w:p>
    <w:p>
      <w:pPr>
        <w:pStyle w:val="1191"/>
        <w:spacing w:line="440" w:lineRule="exact"/>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7.3.7落实政府采购政策需满足的资格要求：</w:t>
      </w:r>
      <w:r>
        <w:rPr>
          <w:rFonts w:hint="eastAsia" w:ascii="宋体" w:hAnsi="宋体" w:cs="宋体"/>
          <w:b/>
          <w:bCs w:val="0"/>
          <w:color w:val="auto"/>
          <w:sz w:val="21"/>
          <w:szCs w:val="21"/>
          <w:highlight w:val="none"/>
        </w:rPr>
        <w:t xml:space="preserve">本项目专门面向中小企业，</w:t>
      </w:r>
      <w:r>
        <w:rPr>
          <w:rFonts w:hint="eastAsia" w:ascii="宋体" w:hAnsi="宋体" w:cs="宋体"/>
          <w:bCs/>
          <w:color w:val="auto"/>
          <w:sz w:val="21"/>
          <w:szCs w:val="21"/>
          <w:highlight w:val="none"/>
        </w:rPr>
        <w:t xml:space="preserve">根据《政府采购促进中小企业发展管理办法》（财库〔2020〕46号）及《中小企业划型标准规定》（工信部联企业〔2011〕300号），本采购标的对应的中小企业划分标准所属行业为：其他未列明行业</w:t>
      </w:r>
      <w:r>
        <w:rPr>
          <w:rFonts w:hint="eastAsia" w:ascii="宋体" w:hAnsi="宋体" w:cs="宋体"/>
          <w:bCs/>
          <w:color w:val="auto"/>
          <w:sz w:val="21"/>
          <w:szCs w:val="21"/>
          <w:highlight w:val="none"/>
          <w:lang w:eastAsia="zh-CN"/>
        </w:rPr>
        <w:t xml:space="preserve">。</w:t>
      </w:r>
      <w:r/>
    </w:p>
    <w:p>
      <w:pPr>
        <w:ind w:firstLine="420"/>
        <w:jc w:val="left"/>
        <w:spacing w:line="440" w:lineRule="exact"/>
        <w:rPr>
          <w:rFonts w:ascii="宋体" w:hAnsi="宋体" w:cs="宋体"/>
          <w:color w:val="auto"/>
          <w:szCs w:val="21"/>
          <w:highlight w:val="none"/>
        </w:rPr>
      </w:pPr>
      <w:r>
        <w:rPr>
          <w:rFonts w:hint="eastAsia" w:ascii="宋体" w:hAnsi="宋体" w:cs="宋体"/>
          <w:bCs/>
          <w:color w:val="auto"/>
          <w:szCs w:val="21"/>
          <w:highlight w:val="none"/>
        </w:rPr>
        <w:t xml:space="preserve">7.3.8 本项目的特定资格要求</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无</w:t>
      </w:r>
      <w:r>
        <w:rPr>
          <w:rFonts w:hint="eastAsia" w:ascii="宋体" w:hAnsi="宋体" w:cs="宋体"/>
          <w:bCs/>
          <w:color w:val="auto"/>
          <w:szCs w:val="21"/>
          <w:highlight w:val="none"/>
        </w:rPr>
        <w:t xml:space="preserve">。</w:t>
      </w:r>
      <w:r/>
    </w:p>
    <w:p>
      <w:pPr>
        <w:pStyle w:val="1191"/>
        <w:ind w:firstLine="422"/>
        <w:spacing w:line="440" w:lineRule="exact"/>
        <w:rPr>
          <w:rFonts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7.4符合性审查响应文件</w:t>
      </w:r>
      <w:r/>
    </w:p>
    <w:p>
      <w:pPr>
        <w:pStyle w:val="1191"/>
        <w:spacing w:line="440" w:lineRule="exact"/>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7.</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.1</w:t>
      </w:r>
      <w:r>
        <w:rPr>
          <w:rFonts w:hint="eastAsia" w:ascii="宋体" w:hAnsi="宋体" w:cs="宋体"/>
          <w:bCs/>
          <w:color w:val="auto"/>
          <w:sz w:val="21"/>
          <w:szCs w:val="21"/>
          <w:highlight w:val="none"/>
          <w:lang w:val="en-US" w:eastAsia="zh-CN"/>
        </w:rPr>
        <w:t xml:space="preserve">报价符合性审查</w:t>
      </w:r>
      <w:r/>
    </w:p>
    <w:p>
      <w:pPr>
        <w:pStyle w:val="1191"/>
        <w:spacing w:line="440" w:lineRule="exact"/>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7.4.</w:t>
      </w:r>
      <w:r>
        <w:rPr>
          <w:rFonts w:hint="eastAsia" w:ascii="宋体" w:hAnsi="宋体" w:cs="宋体"/>
          <w:bCs/>
          <w:color w:val="auto"/>
          <w:sz w:val="21"/>
          <w:szCs w:val="21"/>
          <w:highlight w:val="none"/>
          <w:lang w:val="en-US" w:eastAsia="zh-CN"/>
        </w:rPr>
        <w:t xml:space="preserve">2</w:t>
      </w:r>
      <w:r>
        <w:rPr>
          <w:rFonts w:hint="eastAsia" w:ascii="宋体" w:hAnsi="宋体" w:cs="宋体"/>
          <w:color w:val="auto"/>
          <w:sz w:val="21"/>
          <w:szCs w:val="21"/>
          <w:highlight w:val="none"/>
        </w:rPr>
        <w:t xml:space="preserve">磋商响应函（</w:t>
      </w:r>
      <w:r>
        <w:rPr>
          <w:rFonts w:hint="eastAsia" w:ascii="宋体" w:hAnsi="宋体" w:cs="宋体"/>
          <w:bCs/>
          <w:color w:val="auto"/>
          <w:sz w:val="21"/>
          <w:szCs w:val="21"/>
          <w:highlight w:val="none"/>
        </w:rPr>
        <w:t xml:space="preserve">格式见第六章）</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7.4.</w:t>
      </w: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法定代表人身份证</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7.4.</w:t>
      </w: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法人授权委托书及委托代理人身份证复印件（如有授权）（格式见第六章）</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7.4.</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关于资格文件的声明函（格式见第六章）</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7.4.</w:t>
      </w: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响应单位基本情况表（格式见第六章）</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偏离表</w:t>
      </w:r>
      <w:r>
        <w:rPr>
          <w:rFonts w:hint="eastAsia" w:ascii="宋体" w:hAnsi="宋体" w:cs="宋体"/>
          <w:bCs/>
          <w:color w:val="auto"/>
          <w:sz w:val="21"/>
          <w:szCs w:val="21"/>
          <w:highlight w:val="none"/>
        </w:rPr>
        <w:t xml:space="preserve">（格式见第六章）</w:t>
      </w:r>
      <w:r/>
    </w:p>
    <w:p>
      <w:pPr>
        <w:pStyle w:val="1191"/>
        <w:spacing w:line="440" w:lineRule="exact"/>
        <w:rPr>
          <w:rFonts w:ascii="宋体" w:hAnsi="宋体" w:cs="宋体"/>
          <w:color w:val="auto"/>
          <w:sz w:val="21"/>
          <w:szCs w:val="21"/>
          <w:highlight w:val="none"/>
        </w:rPr>
      </w:pPr>
      <w:r>
        <w:rPr>
          <w:rFonts w:hint="eastAsia" w:ascii="宋体" w:hAnsi="宋体" w:cs="宋体"/>
          <w:bCs/>
          <w:color w:val="auto"/>
          <w:sz w:val="21"/>
          <w:szCs w:val="21"/>
          <w:highlight w:val="none"/>
        </w:rPr>
        <w:t xml:space="preserve">7.</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实质性条款（承诺函）</w:t>
      </w:r>
      <w:r/>
    </w:p>
    <w:p>
      <w:pPr>
        <w:pStyle w:val="1191"/>
        <w:spacing w:line="440" w:lineRule="exact"/>
        <w:rPr>
          <w:rFonts w:ascii="宋体" w:hAnsi="宋体" w:cs="宋体"/>
          <w:color w:val="auto"/>
          <w:sz w:val="21"/>
          <w:szCs w:val="21"/>
          <w:highlight w:val="none"/>
        </w:rPr>
      </w:pPr>
      <w:r>
        <w:rPr>
          <w:rFonts w:hint="eastAsia" w:ascii="宋体" w:hAnsi="宋体" w:cs="宋体"/>
          <w:bCs/>
          <w:color w:val="auto"/>
          <w:sz w:val="21"/>
          <w:szCs w:val="21"/>
          <w:highlight w:val="none"/>
        </w:rPr>
        <w:t xml:space="preserve">7.</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其他有关符合性证明的文件（投标（响应）保证承诺书等）</w:t>
      </w:r>
      <w:r/>
    </w:p>
    <w:p>
      <w:pPr>
        <w:pStyle w:val="1191"/>
        <w:ind w:firstLine="422"/>
        <w:spacing w:line="440" w:lineRule="exact"/>
        <w:rPr>
          <w:rFonts w:ascii="宋体" w:hAnsi="宋体" w:cs="宋体"/>
          <w:color w:val="auto"/>
          <w:sz w:val="21"/>
          <w:szCs w:val="21"/>
          <w:highlight w:val="none"/>
          <w:u w:val="single"/>
        </w:rPr>
      </w:pPr>
      <w:r>
        <w:rPr>
          <w:rFonts w:hint="eastAsia" w:ascii="宋体" w:hAnsi="宋体" w:cs="宋体"/>
          <w:b/>
          <w:color w:val="auto"/>
          <w:sz w:val="21"/>
          <w:szCs w:val="21"/>
          <w:highlight w:val="none"/>
          <w:u w:val="single"/>
        </w:rPr>
        <w:t xml:space="preserve">7.5综合评审响应文件</w:t>
      </w:r>
      <w:r/>
    </w:p>
    <w:p>
      <w:pPr>
        <w:ind w:firstLine="420"/>
        <w:spacing w:line="440" w:lineRule="exact"/>
        <w:rPr>
          <w:rFonts w:ascii="宋体" w:hAnsi="宋体" w:cs="宋体"/>
          <w:color w:val="auto"/>
          <w:szCs w:val="21"/>
          <w:highlight w:val="none"/>
        </w:rPr>
      </w:pPr>
      <w:r>
        <w:rPr>
          <w:rFonts w:hint="eastAsia" w:ascii="宋体" w:hAnsi="宋体" w:cs="宋体"/>
          <w:bCs/>
          <w:color w:val="auto"/>
          <w:szCs w:val="21"/>
          <w:highlight w:val="none"/>
        </w:rPr>
        <w:t xml:space="preserve">7.</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.1</w:t>
      </w:r>
      <w:r>
        <w:rPr>
          <w:rFonts w:hint="eastAsia" w:ascii="宋体" w:hAnsi="宋体" w:cs="宋体"/>
          <w:color w:val="auto"/>
          <w:szCs w:val="21"/>
          <w:highlight w:val="none"/>
          <w:lang w:val="en-US" w:eastAsia="zh-CN"/>
        </w:rPr>
        <w:t xml:space="preserve">技术</w:t>
      </w:r>
      <w:r>
        <w:rPr>
          <w:rFonts w:hint="eastAsia" w:ascii="宋体" w:hAnsi="宋体" w:cs="宋体"/>
          <w:color w:val="auto"/>
          <w:szCs w:val="21"/>
          <w:highlight w:val="none"/>
          <w:lang w:val="zh-CN"/>
        </w:rPr>
        <w:t xml:space="preserve">服务方案</w:t>
      </w:r>
      <w:r/>
    </w:p>
    <w:p>
      <w:pPr>
        <w:ind w:firstLine="420"/>
        <w:spacing w:line="440" w:lineRule="exact"/>
        <w:rPr>
          <w:rFonts w:ascii="宋体" w:hAnsi="宋体" w:cs="宋体"/>
          <w:color w:val="auto"/>
          <w:szCs w:val="21"/>
          <w:highlight w:val="none"/>
        </w:rPr>
      </w:pPr>
      <w:r>
        <w:rPr>
          <w:rFonts w:hint="eastAsia" w:ascii="宋体" w:hAnsi="宋体" w:cs="宋体"/>
          <w:bCs/>
          <w:color w:val="auto"/>
          <w:szCs w:val="21"/>
          <w:highlight w:val="none"/>
        </w:rPr>
        <w:t xml:space="preserve">7.</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2企业综合实力评价</w:t>
      </w:r>
      <w:r/>
    </w:p>
    <w:p>
      <w:pPr>
        <w:ind w:firstLine="420"/>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7.5.3响应单位针对本项目服务人员的配备及设备比较</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7.5.4其他可以证明投标人资质、服务质量的证书、文件等相关资料。</w:t>
      </w:r>
      <w:r/>
    </w:p>
    <w:p>
      <w:pPr>
        <w:pStyle w:val="1191"/>
        <w:ind w:firstLine="422"/>
        <w:spacing w:line="440" w:lineRule="exac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lang w:val="en-US" w:eastAsia="zh-CN"/>
        </w:rPr>
        <w:t xml:space="preserve">7.6</w:t>
      </w:r>
      <w:r>
        <w:rPr>
          <w:rFonts w:hint="eastAsia" w:ascii="宋体" w:hAnsi="宋体" w:eastAsia="宋体" w:cs="宋体"/>
          <w:b/>
          <w:color w:val="auto"/>
          <w:sz w:val="21"/>
          <w:szCs w:val="21"/>
          <w:highlight w:val="none"/>
          <w:u w:val="single"/>
        </w:rPr>
        <w:t xml:space="preserve">价格折扣响应文件</w:t>
      </w:r>
      <w:r/>
    </w:p>
    <w:p>
      <w:pPr>
        <w:ind w:firstLine="420"/>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6.1</w:t>
      </w:r>
      <w:r>
        <w:rPr>
          <w:rFonts w:hint="eastAsia" w:ascii="宋体" w:hAnsi="宋体" w:eastAsia="宋体" w:cs="宋体"/>
          <w:color w:val="auto"/>
          <w:szCs w:val="21"/>
          <w:highlight w:val="none"/>
          <w:lang w:val="zh-CN"/>
        </w:rPr>
        <w:t xml:space="preserve">中小企业声明函/残疾人福利性单位声明函/监狱企业的证明文件。</w:t>
      </w:r>
      <w:r/>
    </w:p>
    <w:p>
      <w:pPr>
        <w:ind w:firstLine="420"/>
        <w:spacing w:line="440" w:lineRule="exact"/>
        <w:rPr>
          <w:rFonts w:hint="eastAsia" w:ascii="宋体" w:hAnsi="宋体" w:eastAsia="宋体" w:cs="宋体"/>
          <w:color w:val="auto"/>
          <w:szCs w:val="21"/>
          <w:highlight w:val="none"/>
          <w:lang w:val="zh-CN" w:eastAsia="zh-CN"/>
        </w:rPr>
      </w:pPr>
      <w:r>
        <w:rPr>
          <w:rFonts w:hint="eastAsia" w:ascii="宋体" w:hAnsi="宋体" w:cs="宋体"/>
          <w:color w:val="auto"/>
          <w:szCs w:val="21"/>
          <w:highlight w:val="none"/>
          <w:lang w:val="en-US" w:eastAsia="zh-CN"/>
        </w:rPr>
        <w:t xml:space="preserve">7.6.2</w:t>
      </w:r>
      <w:r>
        <w:rPr>
          <w:rFonts w:hint="eastAsia" w:ascii="宋体" w:hAnsi="宋体" w:eastAsia="宋体" w:cs="宋体"/>
          <w:color w:val="auto"/>
          <w:szCs w:val="21"/>
          <w:highlight w:val="none"/>
          <w:lang w:val="zh-CN" w:eastAsia="zh-CN"/>
        </w:rPr>
        <w:t xml:space="preserve">供应商对其提供的产品出具《关于符合本国产品标准的声明函》或财政部会同有关部门规定的有关证明文件。如不提供将不享受本国产品价格评审优惠。</w:t>
      </w:r>
      <w:r/>
    </w:p>
    <w:p>
      <w:pPr>
        <w:pStyle w:val="1191"/>
        <w:ind w:firstLine="422"/>
        <w:spacing w:line="440" w:lineRule="exact"/>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注：</w:t>
      </w:r>
      <w:r>
        <w:rPr>
          <w:rFonts w:hint="eastAsia" w:ascii="宋体" w:hAnsi="宋体" w:cs="宋体"/>
          <w:b/>
          <w:bCs/>
          <w:color w:val="auto"/>
          <w:sz w:val="21"/>
          <w:szCs w:val="21"/>
          <w:highlight w:val="none"/>
        </w:rPr>
        <w:t xml:space="preserve">（1）以上7.3.1-7.3.8为资格审查要求提供的材料，是作为对供应商资格审查、质疑身份认定的依据，响应供应商必须提供并加盖电子公章。否则，磋商响应文件将被认定为不符合资格审查要求。</w:t>
      </w:r>
      <w:r/>
    </w:p>
    <w:p>
      <w:pPr>
        <w:pStyle w:val="1191"/>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（2）以上7.4.1-7.4.10为符合性审查须提供的资料，响应供应商必须提供并加盖电子公章。否则，磋商响应文件将被认定为未实质性响应。</w:t>
      </w:r>
      <w:r/>
    </w:p>
    <w:p>
      <w:pPr>
        <w:pStyle w:val="1191"/>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（3)制作电子响应文件时必须与投标文件制作软件目录一一对应，将相关资料上传至相应模块。</w:t>
      </w:r>
      <w:r/>
    </w:p>
    <w:p>
      <w:pPr>
        <w:pStyle w:val="1191"/>
        <w:ind w:firstLine="422"/>
        <w:spacing w:line="4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（4）磋商响应文件编制要求：</w:t>
      </w:r>
      <w:r>
        <w:rPr>
          <w:rFonts w:hint="eastAsia" w:ascii="宋体" w:hAnsi="宋体" w:cs="宋体"/>
          <w:bCs/>
          <w:color w:val="auto"/>
          <w:sz w:val="21"/>
          <w:szCs w:val="21"/>
          <w:highlight w:val="none"/>
        </w:rPr>
        <w:t xml:space="preserve">本项目采用电子招投标形式，请供应商按照《苏采云系统供应商操作手册》进行制作、上传电子响应文件。</w:t>
      </w:r>
      <w:r>
        <w:rPr>
          <w:rFonts w:hint="eastAsia" w:ascii="宋体" w:hAnsi="宋体" w:cs="宋体"/>
          <w:b/>
          <w:bCs/>
          <w:color w:val="auto"/>
          <w:sz w:val="21"/>
          <w:szCs w:val="21"/>
          <w:highlight w:val="none"/>
        </w:rPr>
        <w:t xml:space="preserve">电子响应文件制作完成后请于响应文件递交截止时间前成功上传至“苏采云”系统，否则视为放弃参加该采购项目。</w:t>
      </w:r>
      <w:r>
        <w:rPr>
          <w:rFonts w:hint="eastAsia" w:ascii="宋体" w:hAnsi="宋体" w:cs="宋体"/>
          <w:bCs/>
          <w:color w:val="auto"/>
          <w:sz w:val="21"/>
          <w:szCs w:val="21"/>
          <w:highlight w:val="none"/>
        </w:rPr>
        <w:t xml:space="preserve">供应商应充分考虑到网络环境、网络带宽等风险因素，如因供应商自身原因造成的电子响应文件上传不成功由供应商自行承担全部责任。</w:t>
      </w:r>
      <w:r>
        <w:rPr>
          <w:rFonts w:hint="eastAsia" w:ascii="宋体" w:hAnsi="宋体" w:cs="宋体"/>
          <w:b/>
          <w:color w:val="auto"/>
          <w:sz w:val="21"/>
          <w:szCs w:val="21"/>
          <w:highlight w:val="none"/>
        </w:rPr>
        <w:t xml:space="preserve">注：具体投标文件编制教程查看苏采云系统中的客户端使用说明和供应商《操作手册》。</w:t>
      </w:r>
      <w:r/>
    </w:p>
    <w:p>
      <w:pPr>
        <w:pStyle w:val="1191"/>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（5）磋商过程中如有问题采购代理机构工作人员会及时通知《投标供应商确认函》留存的手机号与供应商联系。请供应商确保该手机号磋商当日通讯畅通，否则导致的对供应商不利的后果由供应商自行承担。</w:t>
      </w:r>
      <w:r/>
    </w:p>
    <w:p>
      <w:pPr>
        <w:pStyle w:val="1191"/>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8.响应文件的解密与评审</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8.1采购代理机构按本须知规定的时间、地点主持磋商采购活动。</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8.2供应商通过“苏采云”系统在线参与磋商活动。供应商应当按照《苏采云系统供应商操作手册》规定在 “苏采云”系统规定的时间内对响应文件进行解密。</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8.3在磋商响应文件网上递交截止时间止成功解密的磋商供应商少于三家，则本次采购失败。</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8.4由磋商小组审查供应商解密的响应文件。</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磋商小组并非对每个供应商都作澄清要求。</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8.6磋商小组要求供应商澄清、说明或者更正响应文件应当以书面形式做出。供应商的澄清、说明或者更正应当由其单位加盖电子公章。</w:t>
      </w:r>
      <w:r/>
    </w:p>
    <w:p>
      <w:pPr>
        <w:pStyle w:val="1191"/>
        <w:ind w:firstLine="422"/>
        <w:spacing w:line="440" w:lineRule="exact"/>
        <w:rPr>
          <w:rFonts w:ascii="宋体" w:hAnsi="宋体" w:cs="宋体"/>
          <w:bCs/>
          <w:color w:val="auto"/>
          <w:sz w:val="21"/>
          <w:szCs w:val="21"/>
          <w:highlight w:val="none"/>
        </w:rPr>
      </w:pPr>
      <w:r>
        <w:rPr>
          <w:rFonts w:hint="eastAsia" w:ascii="宋体" w:hAnsi="宋体" w:cs="宋体"/>
          <w:b/>
          <w:color w:val="auto"/>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8.7对响应文件的审查</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8.7.1响应文件审查分为资格审查和符合性审查。</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8.7.1.1 资格审查：由磋商小组依据法律法规和磋商文件的规定，对响应文件中的资格证明文件进行审查，以确定供应商是否具备参加磋商的资格。</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磋商小组在进行资格审查的同时，将在“信用中国”网站（www.creditchina.gov.cn）查询供应商的信用记录，以确定供应商是否具备磋商资格，查询结果留存并归档。</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8.7.1.2 符合性审查：依据磋商文件的规定，由磋商小组从响应文件的有效性、完整性和对磋商文件的响应程度进行审查，以确定是否对磋商文件的实质性要求作出响应。</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8.7.1.3 未通过资格审查或符合性审查的供应商，磋商小组将在苏采云系统中告知未通过资格审查或符合性审查的原因，评审结束后，磋商小组将不再告知未通过资格审查或符合性审查的原因。</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8.7.2在详细评审之前，磋商小组将首先审查每份响应文件是否实质性响应了磋商文件的要求。实质性响应的响应文件应该是与磋商文件要求的条款、条件和规格相符，没有重大偏离或保留。</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auto"/>
          <w:sz w:val="21"/>
          <w:szCs w:val="21"/>
          <w:highlight w:val="none"/>
        </w:rPr>
        <w:t xml:space="preserve">磋商小组通过“苏采云”系统向供应商发布“磋商函”，供应商应当按照要求在“苏采云”系统提交“磋商响应函”并加盖CA电子公章。</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8.9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磋商结束后，磋商小组将在“苏采云”系统向所有实质性响应的供应商发布“最后报价要求函”及最后报价格式表，要求所有实质性响应的供应商在规定时间内提交最后报价。</w:t>
      </w:r>
      <w:r/>
    </w:p>
    <w:p>
      <w:pPr>
        <w:pStyle w:val="1191"/>
        <w:ind w:firstLine="422"/>
        <w:spacing w:line="440" w:lineRule="exact"/>
        <w:rPr>
          <w:rFonts w:ascii="宋体" w:hAnsi="宋体" w:cs="宋体"/>
          <w:bCs/>
          <w:color w:val="auto"/>
          <w:sz w:val="21"/>
          <w:szCs w:val="21"/>
          <w:highlight w:val="none"/>
        </w:rPr>
      </w:pPr>
      <w:r>
        <w:rPr>
          <w:rFonts w:hint="eastAsia" w:ascii="宋体" w:hAnsi="宋体" w:cs="宋体"/>
          <w:b w:val="0"/>
          <w:bCs/>
          <w:color w:val="auto"/>
          <w:sz w:val="21"/>
          <w:szCs w:val="21"/>
          <w:highlight w:val="none"/>
        </w:rPr>
        <w:t xml:space="preserve">8.10</w:t>
      </w:r>
      <w:r>
        <w:rPr>
          <w:rFonts w:hint="eastAsia" w:ascii="宋体" w:hAnsi="宋体" w:cs="宋体"/>
          <w:b/>
          <w:color w:val="auto"/>
          <w:sz w:val="21"/>
          <w:szCs w:val="21"/>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1191"/>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已提交响应文件的供应商，在提交最后报价之前，可以根据磋商情况退出磋商，并在“苏采云”系统中提交“退出磋商函”并加盖CA电子公章。</w:t>
      </w:r>
      <w:r/>
    </w:p>
    <w:p>
      <w:pPr>
        <w:pStyle w:val="1191"/>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*进入项目评审流程后，建议各供应商法定代表人或授权委托人始终保持通讯顺畅，时刻关注不见面开标大厅，不离开不见面开标大厅。</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8.11经磋商确定最终采购需求和提交最后报价的供应商后，由磋商小组采用综合评分法对提交最后报价的供应商的响应文件和最后报价进行综合评分。</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8.12磋商小组根据磋商成交原则确定成交供应商，并将结果通知所有参加磋商的供应商。</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8.13评审过程的保密与公正</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8.13.1磋商小组、采购人和代理公司工作人员、相关监督人员等与评审工作有关的人员，对评审情况以及在评审过程中获悉的国家秘密、商业秘密负有保密责任。</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8.13.2在评审过程中，供应商不得以任何行为影响磋商评审过程，否则其响应文件将被作为无效响应文件。</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8.13.3在项目评审期间，代理公司将设专门人员与供应商联系。</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8.13.4 代理公司和磋商小组不向未成交的供应商解释未成交原因，也不公布评审过程中的相关细节。</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8.14如磋商过程中出现本采购文件未尽事宜，由磋商小组根据政府采购有关法律、法规讨论决定。</w:t>
      </w:r>
      <w:r/>
    </w:p>
    <w:p>
      <w:pPr>
        <w:pStyle w:val="1191"/>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9.未实质性响应磋商文件的情形</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9.1供应商在苏采云系统规定的时间内未成功解密电子响应文件的。</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9.2供应商未按照磋商文件要求上传电子响应文件的。</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9.3同一供应商提交两个（含两个）以上不同的响应文件或者最后报价的。</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9.4供应商不具备磋商文件中规定资格要求的。</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9.5供应商的报价超过了采购预算或最高限价。</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9.6不符合磋商文件中规定的实质性要求和条件的。</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9.8响应文件含有采购人不能接受的附加条件的。</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9.10响应文件未按照磋商文件要求加盖CA电子公章或签署的。</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9.11法律、法规和招标文件规定的其他无效情形。</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9.12未实质性响应磋商文件的响应文件按无效响应处理。</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注：</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①如果响应文件实质上没有响应磋商文件的要求，磋商小组将予以拒绝，供应商不得通过修改或撤销不合要求的偏离或保留而使其成为实质性响应的文件。</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②供应商在项目评审全过程中应保持通讯畅通，并安排专人与代理公司及磋商小组联系。</w:t>
      </w:r>
      <w:r/>
    </w:p>
    <w:p>
      <w:pPr>
        <w:pStyle w:val="1191"/>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10.项目的终止</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10.1出现下列情形之一的，本次竞争性磋商采购活动将被终止：</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10.1.1因情况变化，不再符合规定的竞争性磋商采购方式适用情形的。</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10.1.2出现影响采购公正的违法、违规行为的。</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10.1.3除“符合《政府采购竞争性磋商采购方式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10.1.4在苏采云系统规定时间内成功解密电子响应文件的供应商不足3家的。</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10.1.5供应商的报价均超过了采购预算，采购人不能支付的； </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10.1.6因重大变故，采购任务取消的。</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10.2供应商应当遵循公平竞争的原则，不得恶意串通，不得妨碍其他供应商的竞争行为，不得损害采购人或者其他供应商的合法权益。</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10.3在评审过程中发现供应商有下述情形的，磋商小组应当认定其响应无效，并书面报告本级财政部门。</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10.4有下列情形之一的，视为供应商串通投标，其响应无效：</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10.4.1不同供应商的响应文件由同一单位或者个人编制；</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10.4.2不同供应商委托同一单位或者个人办理投标事宜；</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10.4.3不同供应商的响应文件载明的项目管理成员或者联系人员为同一人；</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10.4.4不同供应商的响应文件异常一致或者报价呈规律性差异；</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10.4.5不同供应商的响应文件相互混装。</w:t>
      </w:r>
      <w:r/>
    </w:p>
    <w:p>
      <w:pPr>
        <w:pStyle w:val="1191"/>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11.成交</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11.1确定成交单位</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11.1.1磋商小组根据磋商成交原则确定成交供应商，并将结果通知所有参加磋商的供应商。</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11.2若有充分证据证明，成交供应商出现下列情况之一的，一经查实，将被取消成交资格：</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11.2.1提供虚假材料谋取成交的。</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11.2.2与评审专家、采购人、其他供应商或者代理公司工作人员恶意串通的。</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11.2.3向评审专家、采购人或代理公司工作人员行贿或者提供其他不正当利益的。</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11.2.4恶意竞争，最后报价明显低于其自身合理成本且又无法提供证明的。</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11.2.5不满足本磋商文件规定的实质性要求，但在评审过程中又未被磋商小组发现的。</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11.2.6成交后无正当理由拒不与采购人签订政府采购合同或者未按照磋商文件确定的事项签订政府采购合同的。</w:t>
      </w:r>
      <w:r/>
    </w:p>
    <w:p>
      <w:pPr>
        <w:pStyle w:val="1191"/>
        <w:spacing w:line="44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11.2.7将政府采购合同转包的。</w:t>
      </w:r>
      <w:r/>
    </w:p>
    <w:p>
      <w:pPr>
        <w:pStyle w:val="1191"/>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12.质疑处理</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需同时提供网上报名确认单及质疑单位符合本项目合格响应单位资格要求的证明文件，因供应商资格条件或报名时间设定不符合有关法律法规规定等原因使供应商权益受损的质疑除外）。</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12.2本次采购文件要求供应商在法定质疑期内一次性提出针对同一采购程序环节的质疑，否则不予受理。</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12.3供应商提出质疑应当提交质疑函和必要的证明材料，质疑函应当包括下列内容：</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12.3.1供应商的姓名或者名称（以提供的营业执照副本复印件为准）、地址、邮编、联系人及联系电话；</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12.3.2质疑项目的名称、编号；</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12.3.3具体、明确的质疑事项和与质疑事项相关的请求；</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12.3.4事实依据；</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12.3.5必要的法律依据；</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12.3.6提出质疑的日期。</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auto"/>
          <w:sz w:val="21"/>
          <w:szCs w:val="21"/>
          <w:highlight w:val="none"/>
        </w:rPr>
        <w:t xml:space="preserve">授权委托书</w:t>
      </w:r>
      <w:r>
        <w:rPr>
          <w:rFonts w:hint="eastAsia" w:ascii="宋体" w:hAnsi="宋体" w:cs="宋体"/>
          <w:color w:val="auto"/>
          <w:sz w:val="21"/>
          <w:szCs w:val="21"/>
          <w:highlight w:val="none"/>
        </w:rPr>
        <w:t xml:space="preserve">上应当载明代理人的姓名或者名称、代理事项、具体权限、期限和相关事项。</w:t>
      </w:r>
      <w:r/>
    </w:p>
    <w:p>
      <w:pPr>
        <w:pStyle w:val="1191"/>
        <w:ind w:firstLine="422"/>
        <w:spacing w:line="44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auto"/>
          <w:sz w:val="21"/>
          <w:szCs w:val="21"/>
          <w:highlight w:val="none"/>
        </w:rPr>
        <w:t xml:space="preserve">。</w:t>
      </w:r>
      <w:r/>
    </w:p>
    <w:p>
      <w:pPr>
        <w:pStyle w:val="1191"/>
        <w:spacing w:line="440" w:lineRule="exact"/>
        <w:rPr>
          <w:rFonts w:ascii="宋体" w:hAnsi="宋体" w:cs="宋体"/>
          <w:b/>
          <w:color w:val="auto"/>
          <w:sz w:val="21"/>
          <w:szCs w:val="21"/>
          <w:highlight w:val="none"/>
        </w:rPr>
      </w:pPr>
      <w:r>
        <w:rPr>
          <w:rFonts w:hint="eastAsia" w:ascii="宋体" w:hAnsi="宋体" w:cs="宋体"/>
          <w:color w:val="auto"/>
          <w:sz w:val="21"/>
          <w:szCs w:val="21"/>
          <w:highlight w:val="none"/>
        </w:rPr>
        <w:t xml:space="preserve">12.4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auto"/>
          <w:sz w:val="21"/>
          <w:szCs w:val="21"/>
          <w:highlight w:val="none"/>
        </w:rPr>
        <w:t xml:space="preserve">《投标供应商确认函》</w:t>
      </w:r>
      <w:r>
        <w:rPr>
          <w:rFonts w:hint="eastAsia" w:ascii="宋体" w:hAnsi="宋体" w:cs="宋体"/>
          <w:color w:val="auto"/>
          <w:sz w:val="21"/>
          <w:szCs w:val="21"/>
          <w:highlight w:val="none"/>
        </w:rPr>
        <w:t xml:space="preserve">）与质疑函一起递交，否则不予受理。</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12.5接收质疑函的方式：书面形式（当场送达或邮寄方式）</w:t>
      </w:r>
      <w:r/>
    </w:p>
    <w:p>
      <w:pPr>
        <w:pStyle w:val="1114"/>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rPr>
        <w:t xml:space="preserve">采购代理机构：</w:t>
      </w:r>
      <w:r>
        <w:rPr>
          <w:rFonts w:hint="eastAsia" w:ascii="宋体" w:hAnsi="宋体" w:cs="宋体"/>
          <w:color w:val="auto"/>
          <w:szCs w:val="21"/>
          <w:highlight w:val="none"/>
          <w:lang w:val="en-US"/>
        </w:rPr>
        <w:t xml:space="preserve">苏州通宜房地产土地评估咨询有限公司</w:t>
      </w:r>
      <w:r/>
    </w:p>
    <w:p>
      <w:pPr>
        <w:pStyle w:val="1114"/>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地址:吴江区松陵镇鲈乡南路鲈乡园别墅区103幢</w:t>
      </w:r>
      <w:r/>
    </w:p>
    <w:p>
      <w:pPr>
        <w:pStyle w:val="1114"/>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联系人：董鹏、朱雪芬  </w:t>
      </w:r>
      <w:r/>
    </w:p>
    <w:p>
      <w:pPr>
        <w:pStyle w:val="1114"/>
        <w:ind w:firstLine="420"/>
        <w:spacing w:line="440" w:lineRule="exact"/>
        <w:rPr>
          <w:rFonts w:ascii="宋体" w:hAnsi="宋体" w:cs="宋体"/>
          <w:color w:val="auto"/>
          <w:szCs w:val="21"/>
          <w:highlight w:val="none"/>
          <w:lang w:val="en-US"/>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lang w:val="en-US"/>
        </w:rPr>
        <w:t xml:space="preserve">0512-</w:t>
      </w:r>
      <w:r>
        <w:rPr>
          <w:rFonts w:hint="eastAsia" w:ascii="宋体" w:hAnsi="宋体" w:cs="宋体"/>
          <w:color w:val="auto"/>
          <w:szCs w:val="21"/>
          <w:highlight w:val="none"/>
        </w:rPr>
        <w:t xml:space="preserve">63000883</w:t>
      </w:r>
      <w:r>
        <w:rPr>
          <w:rFonts w:hint="eastAsia" w:ascii="宋体" w:hAnsi="宋体" w:cs="宋体"/>
          <w:color w:val="auto"/>
          <w:szCs w:val="21"/>
          <w:highlight w:val="none"/>
          <w:lang w:val="en-US"/>
        </w:rPr>
        <w:t xml:space="preserve"> </w:t>
      </w:r>
      <w:r/>
    </w:p>
    <w:p>
      <w:pPr>
        <w:pStyle w:val="1114"/>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提交方式：书面形式原件（邮寄或当面递交）</w:t>
      </w:r>
      <w:r/>
    </w:p>
    <w:p>
      <w:pPr>
        <w:pStyle w:val="1114"/>
        <w:ind w:firstLine="420"/>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13.响应无效和终止磋商活动条款</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13.1响应人存在下列情况之一的，响应无效:</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13.1.1未按照竞争性磋商文件规定要求签署、盖章的；</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13.1.2供应商不具备竞争性磋商文件中规定资格条件的；</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13.1.3报价超过磋商文件中规定的预算金额或者最高限价的；</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13.1.4响应文件含有采购人不能接受的附加条件；</w:t>
      </w:r>
      <w:r/>
    </w:p>
    <w:p>
      <w:pPr>
        <w:pStyle w:val="1120"/>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13.1.5因磋商响应单位自身原因导致网上磋商响应文件无法递交的其他情况；</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13.1.6不符合法律、法规和竞争性磋商文件中规定的其他实质性要求的；</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13.1.7法律、法规及本竞争性磋商文件规定的其他无效的情形。</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13.2响应人应当遵循公平竞争的原则，不得恶意串通，不得妨碍其他响应人的竞争行为，不得损害采购人或者其他响应人的合法权益。</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磋商在过程中发现响应人有上述情形的，磋商小组应当认定其响应无效，并书面报告本级财政部门。</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13.3有下列情形之一的，视为响应人恶意串通，其响应无效：</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13.3.1不同响应人的响应文件由同一单位或者个人编制；</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13.3.2不同响应人委托同一单位或者个人办理磋商事宜；</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13.3.3不同响应人的响应文件载明的项目管理成员或者联系人员为同一人；</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13.3.4不同响应人的响应文件异常一致或者报价呈规律性差异；</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13.3.5不同响应人的响应文件相互混装；</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13.4终止竞争性磋商采购活动的条款</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出现下列情形之一的，采购代理机构将终止竞争性磋商采购活动，发布项目终止公告并说明原因，重新开展采购活动：</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13.4.1因情况变化，不再符合规定的竞争性磋商采购方式适用情形的；</w:t>
      </w:r>
      <w:r/>
    </w:p>
    <w:p>
      <w:pPr>
        <w:pStyle w:val="1191"/>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13.4.2出现影响采购公正的违法、违规行为的；</w:t>
      </w:r>
      <w:r/>
    </w:p>
    <w:p>
      <w:pPr>
        <w:pStyle w:val="1191"/>
        <w:jc w:val="both"/>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13.4.3在采购过程中符合要求的供应商或者报价未超过采购预算的供应商不足3家的。</w:t>
      </w:r>
      <w:r/>
    </w:p>
    <w:p>
      <w:pPr>
        <w:ind w:firstLine="422"/>
        <w:spacing w:line="440" w:lineRule="exact"/>
        <w:tabs>
          <w:tab w:val="left" w:pos="42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14.政府采购政策</w:t>
      </w:r>
      <w:r/>
    </w:p>
    <w:p>
      <w:pPr>
        <w:ind w:firstLine="420"/>
        <w:spacing w:line="44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14.1小、微企业</w:t>
      </w:r>
      <w:r/>
    </w:p>
    <w:p>
      <w:pPr>
        <w:ind w:firstLine="420"/>
        <w:spacing w:line="440" w:lineRule="exact"/>
        <w:tabs>
          <w:tab w:val="left" w:pos="567" w:leader="none"/>
        </w:tabs>
        <w:rPr>
          <w:rFonts w:ascii="宋体" w:hAnsi="宋体" w:cs="宋体"/>
          <w:color w:val="auto"/>
          <w:highlight w:val="none"/>
        </w:rPr>
      </w:pPr>
      <w:r>
        <w:rPr>
          <w:rFonts w:hint="eastAsia" w:ascii="宋体" w:hAnsi="宋体" w:cs="宋体"/>
          <w:color w:val="auto"/>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auto"/>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4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14.2残疾人福利性单位</w:t>
      </w:r>
      <w:r/>
    </w:p>
    <w:p>
      <w:pPr>
        <w:ind w:firstLine="420"/>
        <w:spacing w:line="44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44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14.3监狱企业</w:t>
      </w:r>
      <w:r/>
    </w:p>
    <w:p>
      <w:pPr>
        <w:ind w:firstLine="420"/>
        <w:spacing w:line="44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440"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14.4</w:t>
      </w:r>
      <w:r>
        <w:rPr>
          <w:rFonts w:hint="eastAsia" w:ascii="宋体" w:hAnsi="宋体" w:cs="宋体"/>
          <w:color w:val="auto"/>
          <w:szCs w:val="21"/>
          <w:highlight w:val="none"/>
        </w:rPr>
        <w:t xml:space="preserve">强制采购节能产品、信息安全产品，优先采购环境标志产品。</w:t>
      </w:r>
      <w:r/>
    </w:p>
    <w:p>
      <w:pPr>
        <w:ind w:firstLine="420"/>
        <w:spacing w:line="440" w:lineRule="exact"/>
        <w:tabs>
          <w:tab w:val="left" w:pos="567" w:leader="none"/>
        </w:tabs>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14.4.1</w:t>
      </w:r>
      <w:r>
        <w:rPr>
          <w:rFonts w:hint="eastAsia" w:ascii="宋体" w:hAnsi="宋体" w:cs="宋体"/>
          <w:color w:val="auto"/>
          <w:szCs w:val="21"/>
          <w:highlight w:val="none"/>
        </w:rPr>
        <w:t xml:space="preserve">节能产品是指列入财政部、国家发展和改革委员会制定的节能产品品目政府采购清单，且经过认定的节能产品</w:t>
      </w:r>
      <w:r>
        <w:rPr>
          <w:rFonts w:hint="eastAsia" w:ascii="宋体" w:hAnsi="宋体" w:cs="宋体"/>
          <w:color w:val="auto"/>
          <w:szCs w:val="21"/>
          <w:highlight w:val="none"/>
          <w:lang w:eastAsia="zh-CN"/>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14.4.2</w:t>
      </w:r>
      <w:r>
        <w:rPr>
          <w:rFonts w:hint="eastAsia" w:ascii="宋体" w:hAnsi="宋体" w:cs="宋体"/>
          <w:color w:val="auto"/>
          <w:szCs w:val="21"/>
          <w:highlight w:val="none"/>
        </w:rPr>
        <w:t xml:space="preserve">信息安全产品是指列入国家质检总局国家认监委《信息安全产品强制性认证目录》，并获得强制性产品认证证书的产品</w:t>
      </w:r>
      <w:r>
        <w:rPr>
          <w:rFonts w:hint="eastAsia" w:ascii="宋体" w:hAnsi="宋体" w:cs="宋体"/>
          <w:color w:val="auto"/>
          <w:szCs w:val="21"/>
          <w:highlight w:val="none"/>
          <w:lang w:val="en-US" w:eastAsia="zh-CN"/>
        </w:rPr>
        <w:t xml:space="preserve">.</w:t>
      </w:r>
      <w:r/>
    </w:p>
    <w:p>
      <w:pPr>
        <w:ind w:firstLine="420"/>
        <w:spacing w:line="440" w:lineRule="exact"/>
        <w:tabs>
          <w:tab w:val="left" w:pos="567"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14.4.3</w:t>
      </w:r>
      <w:r>
        <w:rPr>
          <w:rFonts w:hint="eastAsia" w:ascii="宋体" w:hAnsi="宋体" w:cs="宋体"/>
          <w:color w:val="auto"/>
          <w:szCs w:val="21"/>
          <w:highlight w:val="none"/>
        </w:rPr>
        <w:t xml:space="preserve">环境标志产品是指列入财政部、国家环保总局制定的环境标志产品品目政府采购清单，且经过认证的环境标志产品</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提供的产品属于环境标志产品的,供应商应当选择经过认证的环境标志产品投标,并提供有效的环境标志产品认证证书扫描件。</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14.5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14.6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14.7政府采购中实施本国产品标准及相关政策</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14.7.1本项目对采购本国产品给予政策支持：</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14.7.1.1本项目政府采购活动中既有本国产品又有非本国产品参与竞争的，依法对本国产品给予价格评审优惠，对本国产品的报价给予20%的价格扣除，用扣除后的价格参与评审。</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14.7.1.2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14.7.1.3供应商需按照招标文件的要求提供《关于符合本国产品标准的声明函》（以下简称《声明函》），如不提供将不享受本国产品价格评审优惠。</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14.7.1.4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14.7.1.5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40" w:lineRule="exact"/>
        <w:tabs>
          <w:tab w:val="left" w:pos="56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14.7.3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40" w:lineRule="exact"/>
        <w:tabs>
          <w:tab w:val="left" w:pos="567" w:leader="none"/>
        </w:tabs>
        <w:rPr>
          <w:rFonts w:hint="eastAsia"/>
          <w:color w:val="auto"/>
          <w:highlight w:val="none"/>
        </w:rPr>
      </w:pPr>
      <w:r>
        <w:rPr>
          <w:rFonts w:hint="eastAsia" w:ascii="宋体" w:hAnsi="宋体" w:cs="宋体"/>
          <w:color w:val="auto"/>
          <w:szCs w:val="21"/>
          <w:highlight w:val="none"/>
          <w:lang w:val="en-US" w:eastAsia="zh-CN"/>
        </w:rPr>
        <w:t xml:space="preserve">14.8</w:t>
      </w:r>
      <w:r>
        <w:rPr>
          <w:rFonts w:hint="eastAsia" w:ascii="宋体" w:hAnsi="宋体" w:cs="宋体"/>
          <w:color w:val="auto"/>
          <w:szCs w:val="21"/>
          <w:highlight w:val="none"/>
        </w:rPr>
        <w:t xml:space="preserve">如采购货物涉及协议供货相关产品的，执行协议供货相关政策。</w:t>
      </w:r>
      <w:r/>
    </w:p>
    <w:p>
      <w:pPr>
        <w:ind w:firstLine="422"/>
        <w:spacing w:line="440" w:lineRule="exact"/>
        <w:tabs>
          <w:tab w:val="left" w:pos="42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15.关于对参与供应商信用记录的政府采购要求</w:t>
      </w:r>
      <w:r/>
    </w:p>
    <w:p>
      <w:pPr>
        <w:ind w:firstLine="420"/>
        <w:spacing w:line="440" w:lineRule="exact"/>
        <w:tabs>
          <w:tab w:val="left" w:pos="420" w:leader="none"/>
        </w:tabs>
        <w:rPr>
          <w:rFonts w:ascii="宋体" w:hAnsi="宋体" w:cs="宋体"/>
          <w:color w:val="auto"/>
          <w:szCs w:val="21"/>
          <w:highlight w:val="none"/>
        </w:rPr>
      </w:pPr>
      <w:r>
        <w:rPr>
          <w:rFonts w:hint="eastAsia" w:ascii="宋体" w:hAnsi="宋体" w:cs="宋体"/>
          <w:color w:val="auto"/>
          <w:szCs w:val="21"/>
          <w:highlight w:val="none"/>
        </w:rPr>
        <w:t xml:space="preserve">15.1采购代理机构会在接收响应文件截止时间后，实时查询“信用中国”相关主体信用记录，并将查询结果递交评审小组并留档。</w:t>
      </w:r>
      <w:r/>
    </w:p>
    <w:p>
      <w:pPr>
        <w:ind w:firstLine="420"/>
        <w:spacing w:line="44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15.2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44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440"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15.3供应商若在经营活动中受到罚款的，请携带相关地方、部门对较大数额认定标准的证明材料，与响应文件一并提交。若无法提供，则可能承担响应无效等相应不利后果。</w:t>
      </w:r>
      <w:r/>
    </w:p>
    <w:p>
      <w:pPr>
        <w:ind w:firstLine="420"/>
        <w:spacing w:line="440" w:lineRule="exact"/>
        <w:tabs>
          <w:tab w:val="left" w:pos="420" w:leader="none"/>
        </w:tabs>
        <w:rPr>
          <w:rFonts w:ascii="宋体" w:hAnsi="宋体" w:cs="宋体"/>
          <w:color w:val="auto"/>
          <w:szCs w:val="21"/>
          <w:highlight w:val="none"/>
        </w:rPr>
      </w:pPr>
      <w:r>
        <w:rPr>
          <w:rFonts w:hint="eastAsia" w:ascii="宋体" w:hAnsi="宋体" w:cs="宋体"/>
          <w:color w:val="auto"/>
          <w:szCs w:val="21"/>
          <w:highlight w:val="none"/>
        </w:rPr>
        <w:t xml:space="preserve">15.4对存在失信信息的供应商，由失信供应商进行确认。同时，采购代理机构工作人员应根据评审小组确认的失信信息，登陆到相关来源网站页面进行复核并打印，作为证据留存。</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16.合同的签订</w:t>
      </w:r>
      <w:r/>
    </w:p>
    <w:p>
      <w:pPr>
        <w:pStyle w:val="1189"/>
        <w:ind w:firstLine="420"/>
        <w:jc w:val="both"/>
        <w:spacing w:before="0" w:beforeAutospacing="0" w:after="0" w:afterAutospacing="0" w:line="440" w:lineRule="exact"/>
        <w:widowControl w:val="off"/>
        <w:rPr>
          <w:color w:val="auto"/>
          <w:sz w:val="21"/>
          <w:szCs w:val="21"/>
          <w:highlight w:val="none"/>
        </w:rPr>
      </w:pPr>
      <w:r>
        <w:rPr>
          <w:rFonts w:hint="eastAsia"/>
          <w:color w:val="auto"/>
          <w:sz w:val="21"/>
          <w:szCs w:val="21"/>
          <w:highlight w:val="none"/>
        </w:rPr>
        <w:t xml:space="preserve">16.1.成交供应商应按成交通知书中规定的时间和地点，与采购人签订合同。</w:t>
      </w:r>
      <w:r/>
    </w:p>
    <w:p>
      <w:pPr>
        <w:pStyle w:val="1189"/>
        <w:ind w:firstLine="420"/>
        <w:jc w:val="both"/>
        <w:spacing w:before="0" w:beforeAutospacing="0" w:after="0" w:afterAutospacing="0" w:line="440" w:lineRule="exact"/>
        <w:widowControl w:val="off"/>
        <w:rPr>
          <w:color w:val="auto"/>
          <w:sz w:val="21"/>
          <w:szCs w:val="21"/>
          <w:highlight w:val="none"/>
        </w:rPr>
      </w:pPr>
      <w:r>
        <w:rPr>
          <w:rFonts w:hint="eastAsia"/>
          <w:color w:val="auto"/>
          <w:sz w:val="21"/>
          <w:szCs w:val="21"/>
          <w:highlight w:val="none"/>
        </w:rPr>
        <w:t xml:space="preserve">16.2.签订合同及合同条款应以磋商文件和成交供应商的磋商响应文件及其澄清承诺文件为依据。</w:t>
      </w:r>
      <w:r/>
    </w:p>
    <w:p>
      <w:pPr>
        <w:ind w:firstLine="422"/>
        <w:spacing w:line="440" w:lineRule="exact"/>
        <w:rPr>
          <w:rFonts w:ascii="宋体" w:hAnsi="宋体" w:cs="宋体"/>
          <w:bCs/>
          <w:color w:val="auto"/>
          <w:szCs w:val="21"/>
          <w:highlight w:val="none"/>
        </w:rPr>
      </w:pPr>
      <w:r>
        <w:rPr>
          <w:rFonts w:hint="eastAsia" w:ascii="宋体" w:hAnsi="宋体" w:cs="宋体"/>
          <w:b/>
          <w:color w:val="auto"/>
          <w:szCs w:val="21"/>
          <w:highlight w:val="none"/>
        </w:rPr>
        <w:t xml:space="preserve">16.3.《政府采购促进中小企业发展管理办法》规定享受扶持政策获得政府采购合同的，小微企业不得将合同分包给大中型企业，中型企业不得将合同分包给大型企业。</w:t>
      </w:r>
      <w:r/>
    </w:p>
    <w:p>
      <w:pPr>
        <w:pStyle w:val="1189"/>
        <w:ind w:firstLine="422"/>
        <w:jc w:val="both"/>
        <w:spacing w:before="0" w:beforeAutospacing="0" w:after="0" w:afterAutospacing="0" w:line="440" w:lineRule="exact"/>
        <w:rPr>
          <w:bCs/>
          <w:color w:val="auto"/>
          <w:sz w:val="21"/>
          <w:szCs w:val="21"/>
          <w:highlight w:val="none"/>
        </w:rPr>
      </w:pPr>
      <w:r>
        <w:rPr>
          <w:rFonts w:hint="eastAsia"/>
          <w:b/>
          <w:color w:val="auto"/>
          <w:sz w:val="21"/>
          <w:szCs w:val="21"/>
          <w:highlight w:val="none"/>
        </w:rPr>
        <w:t xml:space="preserve">17.磋商保证金：</w:t>
      </w:r>
      <w:r>
        <w:rPr>
          <w:rFonts w:hint="eastAsia"/>
          <w:bCs/>
          <w:color w:val="auto"/>
          <w:sz w:val="21"/>
          <w:szCs w:val="21"/>
          <w:highlight w:val="none"/>
        </w:rPr>
        <w:t xml:space="preserve">本项目不收取保证金，但需在响应文件中提供《</w:t>
      </w:r>
      <w:r>
        <w:rPr>
          <w:rFonts w:hint="eastAsia"/>
          <w:bCs/>
          <w:color w:val="auto"/>
          <w:sz w:val="21"/>
          <w:szCs w:val="21"/>
          <w:highlight w:val="none"/>
          <w:lang w:val="zh-CN"/>
        </w:rPr>
        <w:t xml:space="preserve">投标（响应）保证承诺书》。</w:t>
      </w:r>
      <w:r/>
    </w:p>
    <w:p>
      <w:pPr>
        <w:ind w:firstLine="422"/>
        <w:spacing w:line="440" w:lineRule="exact"/>
        <w:rPr>
          <w:rFonts w:ascii="宋体" w:hAnsi="宋体" w:cs="宋体"/>
          <w:bCs/>
          <w:color w:val="auto"/>
          <w:szCs w:val="21"/>
          <w:highlight w:val="none"/>
        </w:rPr>
      </w:pPr>
      <w:r>
        <w:rPr>
          <w:rFonts w:hint="eastAsia" w:ascii="宋体" w:hAnsi="宋体" w:cs="宋体"/>
          <w:b/>
          <w:color w:val="auto"/>
          <w:szCs w:val="21"/>
          <w:highlight w:val="none"/>
        </w:rPr>
        <w:t xml:space="preserve">18.代理服务费：</w:t>
      </w:r>
      <w:r>
        <w:rPr>
          <w:rFonts w:hint="eastAsia" w:ascii="宋体" w:hAnsi="宋体" w:cs="宋体"/>
          <w:b w:val="0"/>
          <w:bCs/>
          <w:color w:val="auto"/>
          <w:szCs w:val="21"/>
          <w:highlight w:val="none"/>
        </w:rPr>
        <w:t xml:space="preserve">采购人支付自代理服务履约完毕之日起 30 个工作日内支付款项。</w:t>
      </w:r>
      <w:r>
        <w:rPr>
          <w:rFonts w:hint="eastAsia" w:ascii="宋体" w:hAnsi="宋体" w:cs="宋体"/>
          <w:color w:val="auto"/>
          <w:szCs w:val="21"/>
          <w:highlight w:val="none"/>
          <w:lang w:val="zh-CN"/>
        </w:rPr>
        <w:t xml:space="preserve">按差额定率累进法</w:t>
      </w:r>
      <w:r>
        <w:rPr>
          <w:rFonts w:hint="eastAsia" w:ascii="宋体" w:hAnsi="宋体" w:cs="宋体"/>
          <w:color w:val="auto"/>
          <w:szCs w:val="21"/>
          <w:highlight w:val="none"/>
        </w:rPr>
        <w:t xml:space="preserve">分标段</w:t>
      </w:r>
      <w:r>
        <w:rPr>
          <w:rFonts w:hint="eastAsia" w:ascii="宋体" w:hAnsi="宋体" w:cs="宋体"/>
          <w:color w:val="auto"/>
          <w:szCs w:val="21"/>
          <w:highlight w:val="none"/>
          <w:lang w:val="zh-CN"/>
        </w:rPr>
        <w:t xml:space="preserve">计算收取，预算金额100万以下费率为预算金额的1.5%；预算金额100万（含）-500万费率为预算金额的1.1%；</w:t>
      </w:r>
      <w:r>
        <w:rPr>
          <w:rFonts w:hint="eastAsia" w:ascii="宋体" w:hAnsi="宋体"/>
          <w:color w:val="auto"/>
          <w:szCs w:val="21"/>
          <w:highlight w:val="none"/>
        </w:rPr>
        <w:t xml:space="preserve">本项目经中介超市竞价，招标代理费为2</w:t>
      </w:r>
      <w:r>
        <w:rPr>
          <w:rFonts w:hint="eastAsia" w:ascii="宋体" w:hAnsi="宋体"/>
          <w:color w:val="auto"/>
          <w:szCs w:val="21"/>
          <w:highlight w:val="none"/>
          <w:lang w:val="en-US" w:eastAsia="zh-CN"/>
        </w:rPr>
        <w:t xml:space="preserve">4000</w:t>
      </w:r>
      <w:r>
        <w:rPr>
          <w:rFonts w:hint="eastAsia" w:ascii="宋体" w:hAnsi="宋体"/>
          <w:color w:val="auto"/>
          <w:szCs w:val="21"/>
          <w:highlight w:val="none"/>
        </w:rPr>
        <w:t xml:space="preserve">元。</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服务费交纳账户：苏州通宜房地产土地评估咨询有限公司</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账号：0706678011120100265232</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开户银行：苏州农村商业银行营业部</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19.磋商说明：</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19.1不符合供应商资格要求的响应文件将被拒绝；</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19.2参加磋商的供应商必须</w:t>
      </w:r>
      <w:r>
        <w:rPr>
          <w:rFonts w:hint="eastAsia" w:ascii="宋体" w:hAnsi="宋体" w:cs="宋体"/>
          <w:color w:val="auto"/>
          <w:szCs w:val="21"/>
          <w:highlight w:val="none"/>
        </w:rPr>
        <w:t xml:space="preserve">法定代表人或授权委托人</w:t>
      </w:r>
      <w:r>
        <w:rPr>
          <w:rFonts w:hint="eastAsia" w:ascii="宋体" w:hAnsi="宋体" w:cs="宋体"/>
          <w:bCs/>
          <w:color w:val="auto"/>
          <w:szCs w:val="21"/>
          <w:highlight w:val="none"/>
        </w:rPr>
        <w:t xml:space="preserve">；</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19.3响应文件签署不符合要求的，响应文件将被拒绝；</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19.4最终报价超过采购预算的，不能成交；</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19.5不实质性响应磋商文件的不能成交；</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19.6</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各标段</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实质性响应磋商文件不满三家或进入二次报价的不满三家或二次报价在采购预算内不满三家的，磋商采购失败。</w:t>
      </w:r>
      <w:r/>
    </w:p>
    <w:p>
      <w:pPr>
        <w:ind w:firstLine="422"/>
        <w:spacing w:line="440" w:lineRule="exact"/>
        <w:rPr>
          <w:rFonts w:ascii="宋体" w:hAnsi="宋体" w:cs="宋体"/>
          <w:color w:val="auto"/>
          <w:szCs w:val="21"/>
          <w:highlight w:val="none"/>
        </w:rPr>
      </w:pPr>
      <w:r>
        <w:rPr>
          <w:rFonts w:hint="eastAsia" w:ascii="宋体" w:hAnsi="宋体" w:cs="宋体"/>
          <w:b/>
          <w:color w:val="auto"/>
          <w:szCs w:val="21"/>
          <w:highlight w:val="none"/>
        </w:rPr>
        <w:t xml:space="preserve">20.未尽事宜：</w:t>
      </w:r>
      <w:r>
        <w:rPr>
          <w:rFonts w:hint="eastAsia" w:ascii="宋体" w:hAnsi="宋体" w:cs="宋体"/>
          <w:color w:val="auto"/>
          <w:szCs w:val="21"/>
          <w:highlight w:val="none"/>
        </w:rPr>
        <w:t xml:space="preserve">按《中华人民共和国政府采购法》及其他有关的法律法规的规定执行。</w:t>
      </w:r>
      <w:r/>
    </w:p>
    <w:p>
      <w:pPr>
        <w:ind w:firstLine="422"/>
        <w:spacing w:line="440" w:lineRule="exact"/>
        <w:rPr>
          <w:rFonts w:ascii="宋体" w:hAnsi="宋体" w:cs="宋体"/>
          <w:b/>
          <w:color w:val="auto"/>
          <w:szCs w:val="21"/>
          <w:highlight w:val="none"/>
        </w:rPr>
      </w:pPr>
      <w:r>
        <w:rPr>
          <w:rFonts w:hint="eastAsia" w:ascii="宋体" w:hAnsi="宋体" w:cs="宋体"/>
          <w:b/>
          <w:bCs/>
          <w:color w:val="auto"/>
          <w:highlight w:val="none"/>
        </w:rPr>
        <w:t xml:space="preserve">21.备注：本文件打“★”为实质性条款，不可负偏离，如负偏离响应文件无效。</w:t>
      </w:r>
      <w:r/>
    </w:p>
    <w:p>
      <w:pPr>
        <w:ind w:firstLine="422"/>
        <w:spacing w:line="440" w:lineRule="exact"/>
        <w:rPr>
          <w:rFonts w:ascii="宋体" w:hAnsi="宋体" w:cs="宋体"/>
          <w:b/>
          <w:color w:val="auto"/>
          <w:szCs w:val="21"/>
          <w:highlight w:val="none"/>
        </w:rPr>
      </w:pPr>
      <w:r>
        <w:rPr>
          <w:rFonts w:ascii="宋体" w:hAnsi="宋体" w:cs="宋体"/>
          <w:b/>
          <w:color w:val="auto"/>
          <w:szCs w:val="21"/>
          <w:highlight w:val="none"/>
        </w:rPr>
      </w:r>
      <w:r/>
    </w:p>
    <w:p>
      <w:pPr>
        <w:ind w:firstLine="422"/>
        <w:spacing w:line="440" w:lineRule="exact"/>
        <w:rPr>
          <w:rFonts w:ascii="宋体" w:hAnsi="宋体" w:cs="宋体"/>
          <w:b/>
          <w:color w:val="auto"/>
          <w:szCs w:val="21"/>
          <w:highlight w:val="none"/>
        </w:rPr>
      </w:pPr>
      <w:r>
        <w:rPr>
          <w:rFonts w:ascii="宋体" w:hAnsi="宋体" w:cs="宋体"/>
          <w:b/>
          <w:color w:val="auto"/>
          <w:szCs w:val="21"/>
          <w:highlight w:val="none"/>
        </w:rPr>
      </w:r>
      <w:r/>
    </w:p>
    <w:p>
      <w:pPr>
        <w:ind w:firstLine="422"/>
        <w:spacing w:line="440" w:lineRule="exact"/>
        <w:rPr>
          <w:rFonts w:ascii="宋体" w:hAnsi="宋体" w:cs="宋体"/>
          <w:b/>
          <w:color w:val="auto"/>
          <w:szCs w:val="21"/>
          <w:highlight w:val="none"/>
        </w:rPr>
      </w:pPr>
      <w:r>
        <w:rPr>
          <w:rFonts w:ascii="宋体" w:hAnsi="宋体" w:cs="宋体"/>
          <w:b/>
          <w:color w:val="auto"/>
          <w:szCs w:val="21"/>
          <w:highlight w:val="none"/>
        </w:rPr>
      </w:r>
      <w:r/>
    </w:p>
    <w:p>
      <w:pPr>
        <w:ind w:firstLine="422"/>
        <w:spacing w:line="440" w:lineRule="exact"/>
        <w:rPr>
          <w:rFonts w:ascii="宋体" w:hAnsi="宋体" w:cs="宋体"/>
          <w:b/>
          <w:color w:val="auto"/>
          <w:szCs w:val="21"/>
          <w:highlight w:val="none"/>
        </w:rPr>
      </w:pPr>
      <w:r>
        <w:rPr>
          <w:rFonts w:ascii="宋体" w:hAnsi="宋体" w:cs="宋体"/>
          <w:b/>
          <w:color w:val="auto"/>
          <w:szCs w:val="21"/>
          <w:highlight w:val="none"/>
        </w:rPr>
      </w:r>
      <w:r/>
    </w:p>
    <w:p>
      <w:pPr>
        <w:ind w:firstLine="422"/>
        <w:spacing w:line="440" w:lineRule="exact"/>
        <w:rPr>
          <w:rFonts w:ascii="宋体" w:hAnsi="宋体" w:cs="宋体"/>
          <w:b/>
          <w:color w:val="auto"/>
          <w:szCs w:val="21"/>
          <w:highlight w:val="none"/>
        </w:rPr>
      </w:pPr>
      <w:r>
        <w:rPr>
          <w:rFonts w:ascii="宋体" w:hAnsi="宋体" w:cs="宋体"/>
          <w:b/>
          <w:color w:val="auto"/>
          <w:szCs w:val="21"/>
          <w:highlight w:val="none"/>
        </w:rPr>
      </w:r>
      <w:r/>
    </w:p>
    <w:p>
      <w:pPr>
        <w:ind w:firstLine="422"/>
        <w:spacing w:line="440" w:lineRule="exact"/>
        <w:rPr>
          <w:rFonts w:ascii="宋体" w:hAnsi="宋体" w:cs="宋体"/>
          <w:b/>
          <w:color w:val="auto"/>
          <w:szCs w:val="21"/>
          <w:highlight w:val="none"/>
        </w:rPr>
      </w:pPr>
      <w:r>
        <w:rPr>
          <w:rFonts w:ascii="宋体" w:hAnsi="宋体" w:cs="宋体"/>
          <w:b/>
          <w:color w:val="auto"/>
          <w:szCs w:val="21"/>
          <w:highlight w:val="none"/>
        </w:rPr>
      </w:r>
      <w:r/>
    </w:p>
    <w:p>
      <w:pPr>
        <w:ind w:firstLine="422"/>
        <w:spacing w:line="440" w:lineRule="exact"/>
        <w:rPr>
          <w:rFonts w:ascii="宋体" w:hAnsi="宋体" w:cs="宋体"/>
          <w:b/>
          <w:color w:val="auto"/>
          <w:szCs w:val="21"/>
          <w:highlight w:val="none"/>
        </w:rPr>
      </w:pPr>
      <w:r>
        <w:rPr>
          <w:rFonts w:ascii="宋体" w:hAnsi="宋体" w:cs="宋体"/>
          <w:b/>
          <w:color w:val="auto"/>
          <w:szCs w:val="21"/>
          <w:highlight w:val="none"/>
        </w:rPr>
      </w:r>
      <w:bookmarkEnd w:id="29"/>
      <w:r/>
      <w:r/>
    </w:p>
    <w:p>
      <w:pPr>
        <w:ind w:firstLine="422"/>
        <w:spacing w:line="440" w:lineRule="exact"/>
        <w:rPr>
          <w:rFonts w:ascii="宋体" w:hAnsi="宋体" w:cs="宋体"/>
          <w:b/>
          <w:color w:val="auto"/>
          <w:szCs w:val="21"/>
          <w:highlight w:val="none"/>
        </w:rPr>
      </w:pPr>
      <w:r>
        <w:rPr>
          <w:rFonts w:ascii="宋体" w:hAnsi="宋体" w:cs="宋体"/>
          <w:b/>
          <w:color w:val="auto"/>
          <w:szCs w:val="21"/>
          <w:highlight w:val="none"/>
        </w:rPr>
      </w:r>
      <w:r/>
    </w:p>
    <w:p>
      <w:pPr>
        <w:rPr>
          <w:rStyle w:val="1105"/>
          <w:rFonts w:ascii="宋体" w:hAnsi="宋体" w:cs="宋体"/>
          <w:color w:val="auto"/>
          <w:highlight w:val="none"/>
        </w:rPr>
      </w:pPr>
      <w:r/>
      <w:bookmarkStart w:id="30" w:name="_Toc18546"/>
      <w:r>
        <w:rPr>
          <w:rStyle w:val="1105"/>
          <w:rFonts w:hint="eastAsia" w:ascii="宋体" w:hAnsi="宋体" w:cs="宋体"/>
          <w:color w:val="auto"/>
          <w:highlight w:val="none"/>
        </w:rPr>
        <w:br w:type="page" w:clear="all"/>
      </w:r>
      <w:r/>
    </w:p>
    <w:p>
      <w:pPr>
        <w:pStyle w:val="850"/>
        <w:rPr>
          <w:color w:val="auto"/>
          <w:highlight w:val="none"/>
        </w:rPr>
      </w:pPr>
      <w:r/>
      <w:bookmarkStart w:id="31" w:name="_Toc7652"/>
      <w:r>
        <w:rPr>
          <w:rFonts w:hint="eastAsia"/>
          <w:color w:val="auto"/>
          <w:highlight w:val="none"/>
        </w:rPr>
        <w:t xml:space="preserve">三、采购需求</w:t>
      </w:r>
      <w:bookmarkEnd w:id="30"/>
      <w:r/>
      <w:bookmarkEnd w:id="31"/>
      <w:r/>
      <w:r/>
    </w:p>
    <w:p>
      <w:pPr>
        <w:ind w:firstLine="420"/>
        <w:jc w:val="left"/>
        <w:shd w:val="clear" w:color="ffffff" w:themeColor="background1" w:fill="ffffff" w:themeFill="background1"/>
        <w:widowControl/>
        <w:rPr>
          <w:rFonts w:ascii="宋体" w:hAnsi="宋体" w:cs="宋体"/>
          <w:bCs/>
          <w:color w:val="auto"/>
          <w:szCs w:val="21"/>
          <w:highlight w:val="none"/>
        </w:rPr>
      </w:pPr>
      <w:r/>
      <w:bookmarkStart w:id="32" w:name="_Toc20120"/>
      <w:r>
        <w:rPr>
          <w:rFonts w:hint="eastAsia" w:ascii="宋体" w:hAnsi="宋体" w:cs="宋体"/>
          <w:bCs/>
          <w:color w:val="auto"/>
          <w:szCs w:val="21"/>
          <w:highlight w:val="none"/>
        </w:rPr>
        <w:t xml:space="preserve">受</w:t>
      </w:r>
      <w:r>
        <w:rPr>
          <w:rFonts w:hint="eastAsia" w:ascii="宋体" w:hAnsi="宋体" w:cs="宋体"/>
          <w:bCs/>
          <w:color w:val="auto"/>
          <w:szCs w:val="21"/>
          <w:highlight w:val="none"/>
          <w:lang w:eastAsia="zh-CN"/>
        </w:rPr>
        <w:t xml:space="preserve">江苏省汾湖高新技术产业开发区黎里古镇开发保护区管理办公室</w:t>
      </w:r>
      <w:r>
        <w:rPr>
          <w:rFonts w:hint="eastAsia" w:ascii="宋体" w:hAnsi="宋体" w:cs="宋体"/>
          <w:bCs/>
          <w:color w:val="auto"/>
          <w:szCs w:val="21"/>
          <w:highlight w:val="none"/>
        </w:rPr>
        <w:t xml:space="preserve">之委托，苏州通宜房地产土地评估咨询有限公司对其需采购的</w:t>
      </w:r>
      <w:r>
        <w:rPr>
          <w:rFonts w:hint="eastAsia" w:ascii="宋体" w:hAnsi="宋体" w:cs="宋体"/>
          <w:bCs/>
          <w:color w:val="auto"/>
          <w:szCs w:val="21"/>
          <w:highlight w:val="none"/>
          <w:lang w:eastAsia="zh-CN"/>
        </w:rPr>
        <w:t xml:space="preserve">兴黎社区综合服务项目</w:t>
      </w:r>
      <w:r>
        <w:rPr>
          <w:rFonts w:hint="eastAsia" w:ascii="宋体" w:hAnsi="宋体" w:cs="宋体"/>
          <w:bCs/>
          <w:color w:val="auto"/>
          <w:szCs w:val="21"/>
          <w:highlight w:val="none"/>
        </w:rPr>
        <w:t xml:space="preserve">在国内组织竞争性磋商采购。欢迎符合资格条件的响应单位前来报名参加。</w:t>
      </w:r>
      <w:bookmarkEnd w:id="32"/>
      <w:r/>
      <w:r/>
    </w:p>
    <w:p>
      <w:pPr>
        <w:ind w:firstLine="422"/>
        <w:rPr>
          <w:rFonts w:hint="eastAsia" w:ascii="宋体" w:hAnsi="宋体" w:eastAsia="宋体" w:cs="宋体"/>
          <w:color w:val="auto"/>
          <w:szCs w:val="21"/>
          <w:highlight w:val="none"/>
          <w:lang w:eastAsia="zh-CN"/>
        </w:rPr>
      </w:pPr>
      <w:r/>
      <w:bookmarkStart w:id="33" w:name="_Toc3978"/>
      <w:r>
        <w:rPr>
          <w:rFonts w:hint="eastAsia" w:ascii="宋体" w:hAnsi="宋体" w:cs="宋体"/>
          <w:b/>
          <w:color w:val="auto"/>
          <w:szCs w:val="21"/>
          <w:highlight w:val="none"/>
        </w:rPr>
        <w:t xml:space="preserve">一、</w:t>
      </w:r>
      <w:r>
        <w:rPr>
          <w:rFonts w:hint="eastAsia" w:ascii="宋体" w:hAnsi="宋体" w:cs="宋体"/>
          <w:b/>
          <w:color w:val="auto"/>
          <w:szCs w:val="21"/>
          <w:highlight w:val="none"/>
          <w:lang w:eastAsia="zh-CN"/>
        </w:rPr>
        <w:t xml:space="preserve">项目编号</w:t>
      </w:r>
      <w:r>
        <w:rPr>
          <w:rFonts w:hint="eastAsia" w:ascii="宋体" w:hAnsi="宋体" w:cs="宋体"/>
          <w:color w:val="auto"/>
          <w:szCs w:val="21"/>
          <w:highlight w:val="none"/>
        </w:rPr>
        <w:t xml:space="preserve">：</w:t>
      </w:r>
      <w:bookmarkEnd w:id="33"/>
      <w:r>
        <w:rPr>
          <w:rFonts w:hint="eastAsia" w:ascii="宋体" w:hAnsi="宋体" w:cs="宋体"/>
          <w:color w:val="auto"/>
          <w:szCs w:val="21"/>
          <w:highlight w:val="none"/>
          <w:lang w:eastAsia="zh-CN"/>
        </w:rPr>
        <w:t xml:space="preserve">JSZC-320509-SZTY-C2026-0007</w:t>
      </w:r>
      <w:r/>
    </w:p>
    <w:p>
      <w:pPr>
        <w:ind w:firstLine="422"/>
        <w:rPr>
          <w:rFonts w:hint="eastAsia" w:ascii="宋体" w:hAnsi="宋体" w:eastAsia="宋体" w:cs="宋体"/>
          <w:b/>
          <w:color w:val="auto"/>
          <w:szCs w:val="21"/>
          <w:highlight w:val="none"/>
          <w:lang w:eastAsia="zh-CN"/>
        </w:rPr>
      </w:pPr>
      <w:r/>
      <w:bookmarkStart w:id="34" w:name="_Toc5894"/>
      <w:r>
        <w:rPr>
          <w:rFonts w:hint="eastAsia" w:ascii="宋体" w:hAnsi="宋体" w:cs="宋体"/>
          <w:b/>
          <w:color w:val="auto"/>
          <w:szCs w:val="21"/>
          <w:highlight w:val="none"/>
        </w:rPr>
        <w:t xml:space="preserve">二、项目名称：</w:t>
      </w:r>
      <w:bookmarkEnd w:id="34"/>
      <w:r>
        <w:rPr>
          <w:rFonts w:hint="eastAsia" w:ascii="宋体" w:hAnsi="宋体" w:cs="宋体"/>
          <w:bCs/>
          <w:color w:val="auto"/>
          <w:szCs w:val="21"/>
          <w:highlight w:val="none"/>
          <w:lang w:eastAsia="zh-CN"/>
        </w:rPr>
        <w:t xml:space="preserve">兴黎社区综合服务项目</w:t>
      </w:r>
      <w:r/>
    </w:p>
    <w:p>
      <w:pPr>
        <w:ind w:firstLine="422"/>
        <w:rPr>
          <w:rFonts w:hint="eastAsia" w:ascii="宋体" w:hAnsi="宋体" w:eastAsia="宋体" w:cs="宋体"/>
          <w:bCs/>
          <w:color w:val="auto"/>
          <w:szCs w:val="21"/>
          <w:highlight w:val="none"/>
          <w:lang w:eastAsia="zh-CN"/>
        </w:rPr>
      </w:pPr>
      <w:r>
        <w:rPr>
          <w:rFonts w:hint="eastAsia" w:ascii="宋体" w:hAnsi="宋体" w:cs="宋体"/>
          <w:b/>
          <w:color w:val="auto"/>
          <w:szCs w:val="21"/>
          <w:highlight w:val="none"/>
        </w:rPr>
        <w:t xml:space="preserve">三、预算金额：</w:t>
      </w:r>
      <w:r>
        <w:rPr>
          <w:rFonts w:hint="eastAsia" w:ascii="宋体" w:hAnsi="宋体" w:cs="宋体"/>
          <w:bCs/>
          <w:color w:val="auto"/>
          <w:szCs w:val="21"/>
          <w:highlight w:val="none"/>
          <w:lang w:eastAsia="zh-CN"/>
        </w:rPr>
        <w:t xml:space="preserve">人民币壹佰玖拾肆万玖仟柒佰元整（￥1949700元）</w:t>
      </w:r>
      <w:r/>
    </w:p>
    <w:p>
      <w:pPr>
        <w:ind w:firstLine="840"/>
        <w:rPr>
          <w:rFonts w:hint="eastAsia" w:ascii="宋体" w:hAnsi="宋体" w:eastAsia="宋体" w:cs="宋体"/>
          <w:bCs/>
          <w:color w:val="auto"/>
          <w:szCs w:val="21"/>
          <w:highlight w:val="none"/>
          <w:lang w:eastAsia="zh-CN"/>
        </w:rPr>
      </w:pPr>
      <w:r/>
      <w:bookmarkStart w:id="35" w:name="OLE_LINK4"/>
      <w:r>
        <w:rPr>
          <w:rFonts w:hint="eastAsia" w:ascii="宋体" w:hAnsi="宋体" w:cs="宋体"/>
          <w:bCs/>
          <w:color w:val="auto"/>
          <w:szCs w:val="21"/>
          <w:highlight w:val="none"/>
        </w:rPr>
        <w:t xml:space="preserve">最高限价：</w:t>
      </w:r>
      <w:bookmarkEnd w:id="35"/>
      <w:r>
        <w:rPr>
          <w:rFonts w:hint="eastAsia" w:ascii="宋体" w:hAnsi="宋体" w:cs="宋体"/>
          <w:bCs/>
          <w:color w:val="auto"/>
          <w:szCs w:val="21"/>
          <w:highlight w:val="none"/>
          <w:lang w:eastAsia="zh-CN"/>
        </w:rPr>
        <w:t xml:space="preserve">人民币壹佰玖拾肆万玖仟柒佰元整（￥1949700元）</w:t>
      </w:r>
      <w:r/>
    </w:p>
    <w:p>
      <w:pPr>
        <w:ind w:firstLine="422"/>
        <w:rPr>
          <w:rFonts w:ascii="宋体" w:hAnsi="宋体" w:cs="宋体"/>
          <w:b w:val="0"/>
          <w:bCs/>
          <w:i w:val="0"/>
          <w:iCs w:val="0"/>
          <w:color w:val="auto"/>
          <w:szCs w:val="21"/>
          <w:highlight w:val="none"/>
        </w:rPr>
      </w:pPr>
      <w:r>
        <w:rPr>
          <w:rFonts w:hint="eastAsia" w:ascii="宋体" w:hAnsi="宋体" w:cs="宋体"/>
          <w:b/>
          <w:color w:val="auto"/>
          <w:szCs w:val="21"/>
          <w:highlight w:val="none"/>
        </w:rPr>
        <w:t xml:space="preserve">四、服务期限：</w:t>
      </w:r>
      <w:bookmarkStart w:id="36" w:name="OLE_LINK1"/>
      <w:r>
        <w:rPr>
          <w:rFonts w:hint="eastAsia" w:ascii="宋体" w:hAnsi="宋体" w:cs="宋体"/>
          <w:b w:val="0"/>
          <w:bCs/>
          <w:i w:val="0"/>
          <w:iCs w:val="0"/>
          <w:color w:val="auto"/>
          <w:szCs w:val="21"/>
          <w:highlight w:val="none"/>
        </w:rPr>
        <w:t xml:space="preserve">合同签订之日起</w:t>
      </w:r>
      <w:r>
        <w:rPr>
          <w:rFonts w:hint="eastAsia" w:ascii="宋体" w:hAnsi="宋体" w:cs="宋体"/>
          <w:b w:val="0"/>
          <w:bCs/>
          <w:i w:val="0"/>
          <w:iCs w:val="0"/>
          <w:color w:val="auto"/>
          <w:szCs w:val="21"/>
          <w:highlight w:val="none"/>
          <w:lang w:val="en-US" w:eastAsia="zh-CN"/>
        </w:rPr>
        <w:t xml:space="preserve">90</w:t>
      </w:r>
      <w:r>
        <w:rPr>
          <w:rFonts w:hint="eastAsia" w:ascii="宋体" w:hAnsi="宋体" w:cs="宋体"/>
          <w:b w:val="0"/>
          <w:bCs/>
          <w:i w:val="0"/>
          <w:iCs w:val="0"/>
          <w:color w:val="auto"/>
          <w:szCs w:val="21"/>
          <w:highlight w:val="none"/>
        </w:rPr>
        <w:t xml:space="preserve">天内完成</w:t>
      </w:r>
      <w:r>
        <w:rPr>
          <w:rFonts w:hint="eastAsia" w:ascii="宋体" w:hAnsi="宋体" w:cs="宋体"/>
          <w:b w:val="0"/>
          <w:bCs/>
          <w:i w:val="0"/>
          <w:iCs w:val="0"/>
          <w:color w:val="auto"/>
          <w:szCs w:val="21"/>
          <w:highlight w:val="none"/>
          <w:lang w:val="en-US" w:eastAsia="zh-CN"/>
        </w:rPr>
        <w:t xml:space="preserve">布展</w:t>
      </w:r>
      <w:r>
        <w:rPr>
          <w:rFonts w:hint="eastAsia" w:ascii="宋体" w:hAnsi="宋体" w:cs="宋体"/>
          <w:b w:val="0"/>
          <w:bCs/>
          <w:i w:val="0"/>
          <w:iCs w:val="0"/>
          <w:color w:val="auto"/>
          <w:szCs w:val="21"/>
          <w:highlight w:val="none"/>
        </w:rPr>
        <w:t xml:space="preserve">并交付使用。 </w:t>
      </w:r>
      <w:bookmarkEnd w:id="36"/>
      <w:r/>
      <w:r/>
    </w:p>
    <w:p>
      <w:pPr>
        <w:ind w:firstLine="422"/>
        <w:rPr>
          <w:rFonts w:hint="eastAsia" w:ascii="宋体" w:hAnsi="宋体" w:cs="宋体"/>
          <w:b/>
          <w:bCs/>
          <w:color w:val="auto"/>
          <w:szCs w:val="21"/>
          <w:highlight w:val="none"/>
          <w:lang w:bidi="zh-CN"/>
        </w:rPr>
      </w:pPr>
      <w:r/>
      <w:bookmarkStart w:id="37" w:name="_Toc1554"/>
      <w:r>
        <w:rPr>
          <w:rFonts w:hint="eastAsia" w:ascii="宋体" w:hAnsi="宋体" w:cs="宋体"/>
          <w:b/>
          <w:color w:val="auto"/>
          <w:szCs w:val="21"/>
          <w:highlight w:val="none"/>
        </w:rPr>
        <w:t xml:space="preserve">五</w:t>
      </w:r>
      <w:r>
        <w:rPr>
          <w:rFonts w:hint="eastAsia" w:ascii="宋体" w:hAnsi="宋体" w:cs="宋体"/>
          <w:b/>
          <w:color w:val="auto"/>
          <w:szCs w:val="21"/>
          <w:highlight w:val="none"/>
          <w:lang w:val="zh-CN"/>
        </w:rPr>
        <w:t xml:space="preserve">、</w:t>
      </w:r>
      <w:bookmarkEnd w:id="37"/>
      <w:r>
        <w:rPr>
          <w:rFonts w:hint="eastAsia" w:ascii="宋体" w:hAnsi="宋体" w:cs="宋体"/>
          <w:b/>
          <w:color w:val="auto"/>
          <w:szCs w:val="21"/>
          <w:highlight w:val="none"/>
          <w:lang w:val="en-US" w:eastAsia="zh-CN"/>
        </w:rPr>
        <w:t xml:space="preserve">采购需求</w:t>
      </w:r>
      <w:r>
        <w:rPr>
          <w:rFonts w:hint="eastAsia" w:ascii="宋体" w:hAnsi="宋体" w:cs="宋体"/>
          <w:b/>
          <w:bCs/>
          <w:color w:val="auto"/>
          <w:szCs w:val="21"/>
          <w:highlight w:val="none"/>
          <w:lang w:bidi="zh-CN"/>
        </w:rPr>
        <w:t xml:space="preserve">：</w:t>
      </w:r>
      <w:r/>
    </w:p>
    <w:p>
      <w:pPr>
        <w:ind w:firstLine="422"/>
        <w:rPr>
          <w:rFonts w:hint="eastAsia" w:ascii="宋体" w:hAnsi="宋体" w:cs="宋体"/>
          <w:color w:val="auto"/>
          <w:szCs w:val="21"/>
          <w:highlight w:val="none"/>
        </w:rPr>
      </w:pPr>
      <w:r>
        <w:rPr>
          <w:rFonts w:hint="eastAsia" w:ascii="宋体" w:hAnsi="宋体" w:cs="宋体"/>
          <w:b/>
          <w:bCs/>
          <w:color w:val="auto"/>
          <w:szCs w:val="21"/>
          <w:highlight w:val="none"/>
          <w:lang w:bidi="zh-CN"/>
        </w:rPr>
        <w:t xml:space="preserve">（</w:t>
      </w:r>
      <w:r>
        <w:rPr>
          <w:rFonts w:hint="eastAsia" w:ascii="宋体" w:hAnsi="宋体" w:cs="宋体"/>
          <w:b/>
          <w:bCs/>
          <w:color w:val="auto"/>
          <w:szCs w:val="21"/>
          <w:highlight w:val="none"/>
          <w:lang w:val="en-US" w:bidi="zh-CN"/>
        </w:rPr>
        <w:t xml:space="preserve">一</w:t>
      </w:r>
      <w:r>
        <w:rPr>
          <w:rFonts w:hint="eastAsia" w:ascii="宋体" w:hAnsi="宋体" w:cs="宋体"/>
          <w:b/>
          <w:bCs/>
          <w:color w:val="auto"/>
          <w:szCs w:val="21"/>
          <w:highlight w:val="none"/>
          <w:lang w:bidi="zh-CN"/>
        </w:rPr>
        <w:t xml:space="preserve">）</w:t>
      </w:r>
      <w:r>
        <w:rPr>
          <w:rFonts w:hint="eastAsia" w:ascii="宋体" w:hAnsi="宋体" w:cs="宋体"/>
          <w:b/>
          <w:bCs/>
          <w:color w:val="auto"/>
          <w:szCs w:val="21"/>
          <w:highlight w:val="none"/>
          <w:lang w:val="en-US" w:bidi="zh-CN"/>
        </w:rPr>
        <w:t xml:space="preserve">项目概况：</w:t>
      </w:r>
      <w:r>
        <w:rPr>
          <w:rFonts w:hint="eastAsia" w:ascii="宋体" w:hAnsi="宋体" w:cs="宋体"/>
          <w:color w:val="auto"/>
          <w:szCs w:val="21"/>
          <w:highlight w:val="none"/>
        </w:rPr>
        <w:t xml:space="preserve">本项目为兴黎社区综合服务中心全域一体化布展服务，采用模块化灵活布局实现空间多功能复用，整合政务服务、便民活动、文体娱乐、邻里共治、志愿服务、特色配套等多元功能，融入本土历史文化元素打造综合社区服务阵地。</w:t>
      </w:r>
      <w:r/>
    </w:p>
    <w:p>
      <w:pPr>
        <w:ind w:firstLine="422"/>
        <w:rPr>
          <w:rFonts w:hint="eastAsia" w:ascii="宋体" w:hAnsi="宋体" w:cs="宋体"/>
          <w:b/>
          <w:bCs/>
          <w:color w:val="auto"/>
          <w:szCs w:val="21"/>
          <w:highlight w:val="none"/>
          <w:lang w:bidi="zh-CN"/>
        </w:rPr>
      </w:pPr>
      <w:r>
        <w:rPr>
          <w:rFonts w:hint="eastAsia" w:ascii="宋体" w:hAnsi="宋体" w:cs="宋体"/>
          <w:b/>
          <w:bCs/>
          <w:color w:val="auto"/>
          <w:szCs w:val="21"/>
          <w:highlight w:val="none"/>
          <w:lang w:bidi="zh-CN"/>
        </w:rPr>
        <w:t xml:space="preserve">（二）展示与空间设计形式：</w:t>
      </w:r>
      <w:r/>
    </w:p>
    <w:p>
      <w:pPr>
        <w:ind w:firstLine="422"/>
        <w:rPr>
          <w:rFonts w:hint="default"/>
          <w:color w:val="auto"/>
          <w:highlight w:val="none"/>
          <w:lang w:val="en-US"/>
        </w:rPr>
      </w:pPr>
      <w:r>
        <w:rPr>
          <w:rFonts w:hint="eastAsia" w:ascii="宋体" w:hAnsi="宋体" w:cs="宋体"/>
          <w:b w:val="0"/>
          <w:bCs w:val="0"/>
          <w:color w:val="auto"/>
          <w:szCs w:val="21"/>
          <w:highlight w:val="none"/>
          <w:lang w:bidi="zh-CN"/>
        </w:rPr>
        <w:t xml:space="preserve">各功能板块及功能空间，投标人可结合空间实际，综合运用文化展板、艺术装置等传统与现代化设计手法，将社区文化、党建文化、便民服务理念融入空间环境。做到功能优先、内容与空间形式高度融合，实现“庄重大气、温馨简约、便民实用”的整体效果，让居民沉浸式感受社区治理成果、本土社区文化，提升居民归属感与体验感。</w:t>
      </w:r>
      <w:r/>
    </w:p>
    <w:p>
      <w:pPr>
        <w:ind w:firstLine="422"/>
        <w:rPr>
          <w:rFonts w:hint="eastAsia" w:ascii="宋体" w:hAnsi="宋体" w:cs="宋体"/>
          <w:b/>
          <w:bCs/>
          <w:color w:val="auto"/>
          <w:szCs w:val="21"/>
          <w:highlight w:val="none"/>
          <w:lang w:bidi="zh-CN"/>
        </w:rPr>
      </w:pPr>
      <w:r>
        <w:rPr>
          <w:rFonts w:hint="eastAsia" w:ascii="宋体" w:hAnsi="宋体" w:cs="宋体"/>
          <w:b/>
          <w:bCs/>
          <w:color w:val="auto"/>
          <w:szCs w:val="21"/>
          <w:highlight w:val="none"/>
          <w:lang w:bidi="zh-CN"/>
        </w:rPr>
        <w:t xml:space="preserve">（三）设计内容</w:t>
      </w:r>
      <w:r/>
    </w:p>
    <w:p>
      <w:pPr>
        <w:ind w:firstLine="422"/>
        <w:rPr>
          <w:rFonts w:hint="eastAsia" w:ascii="宋体" w:hAnsi="宋体" w:cs="宋体"/>
          <w:b/>
          <w:bCs/>
          <w:color w:val="auto"/>
          <w:szCs w:val="21"/>
          <w:highlight w:val="none"/>
          <w:lang w:bidi="zh-CN"/>
        </w:rPr>
      </w:pPr>
      <w:r>
        <w:rPr>
          <w:rFonts w:hint="eastAsia" w:ascii="宋体" w:hAnsi="宋体" w:cs="宋体"/>
          <w:b/>
          <w:bCs/>
          <w:color w:val="auto"/>
          <w:szCs w:val="21"/>
          <w:highlight w:val="none"/>
          <w:lang w:bidi="zh-CN"/>
        </w:rPr>
        <w:t xml:space="preserve">第一版块：门厅氛围营造</w:t>
      </w:r>
      <w:r/>
    </w:p>
    <w:p>
      <w:pPr>
        <w:ind w:firstLine="422"/>
        <w:rPr>
          <w:rFonts w:hint="eastAsia" w:ascii="宋体" w:hAnsi="宋体" w:cs="宋体"/>
          <w:b w:val="0"/>
          <w:bCs w:val="0"/>
          <w:color w:val="auto"/>
          <w:szCs w:val="21"/>
          <w:highlight w:val="none"/>
          <w:lang w:bidi="zh-CN"/>
        </w:rPr>
      </w:pPr>
      <w:r>
        <w:rPr>
          <w:rFonts w:hint="eastAsia" w:ascii="宋体" w:hAnsi="宋体" w:cs="宋体"/>
          <w:b w:val="0"/>
          <w:bCs w:val="0"/>
          <w:color w:val="auto"/>
          <w:szCs w:val="21"/>
          <w:highlight w:val="none"/>
          <w:lang w:bidi="zh-CN"/>
        </w:rPr>
        <w:t xml:space="preserve">1.一楼门厅空间，兼顾形象展示、来访接待、导览指引功能，融入党建文化、社区简介、社区治理理念，打造社区第一形象窗口。</w:t>
      </w:r>
      <w:r/>
    </w:p>
    <w:p>
      <w:pPr>
        <w:ind w:firstLine="422"/>
        <w:rPr>
          <w:rFonts w:hint="eastAsia" w:ascii="宋体" w:hAnsi="宋体" w:cs="宋体"/>
          <w:b/>
          <w:bCs/>
          <w:color w:val="auto"/>
          <w:szCs w:val="21"/>
          <w:highlight w:val="none"/>
          <w:lang w:bidi="zh-CN"/>
        </w:rPr>
      </w:pPr>
      <w:r>
        <w:rPr>
          <w:rFonts w:hint="eastAsia" w:ascii="宋体" w:hAnsi="宋体" w:cs="宋体"/>
          <w:b/>
          <w:bCs/>
          <w:color w:val="auto"/>
          <w:szCs w:val="21"/>
          <w:highlight w:val="none"/>
          <w:lang w:bidi="zh-CN"/>
        </w:rPr>
        <w:t xml:space="preserve">第二版块：一楼功能空间设计区</w:t>
      </w:r>
      <w:r/>
    </w:p>
    <w:p>
      <w:pPr>
        <w:ind w:firstLine="422"/>
        <w:rPr>
          <w:rFonts w:hint="eastAsia" w:ascii="宋体" w:hAnsi="宋体" w:cs="宋体"/>
          <w:b w:val="0"/>
          <w:bCs w:val="0"/>
          <w:color w:val="auto"/>
          <w:szCs w:val="21"/>
          <w:highlight w:val="none"/>
          <w:lang w:bidi="zh-CN"/>
        </w:rPr>
      </w:pPr>
      <w:r>
        <w:rPr>
          <w:rFonts w:hint="eastAsia" w:ascii="宋体" w:hAnsi="宋体" w:cs="宋体"/>
          <w:b w:val="0"/>
          <w:bCs w:val="0"/>
          <w:color w:val="auto"/>
          <w:szCs w:val="21"/>
          <w:highlight w:val="none"/>
          <w:lang w:bidi="zh-CN"/>
        </w:rPr>
        <w:t xml:space="preserve">本板块包含一楼医疗服务区域、院落、便民服务大厅、</w:t>
      </w:r>
      <w:r>
        <w:rPr>
          <w:rFonts w:hint="eastAsia" w:ascii="宋体" w:hAnsi="宋体" w:cs="宋体"/>
          <w:b w:val="0"/>
          <w:bCs w:val="0"/>
          <w:color w:val="auto"/>
          <w:szCs w:val="21"/>
          <w:highlight w:val="none"/>
          <w:lang w:val="en-US" w:bidi="zh-CN"/>
        </w:rPr>
        <w:t xml:space="preserve">邻里中心</w:t>
      </w:r>
      <w:r>
        <w:rPr>
          <w:rFonts w:hint="eastAsia" w:ascii="宋体" w:hAnsi="宋体" w:cs="宋体"/>
          <w:b w:val="0"/>
          <w:bCs w:val="0"/>
          <w:color w:val="auto"/>
          <w:szCs w:val="21"/>
          <w:highlight w:val="none"/>
          <w:lang w:bidi="zh-CN"/>
        </w:rPr>
        <w:t xml:space="preserve">、办公室、多功能室等。</w:t>
      </w:r>
      <w:r/>
    </w:p>
    <w:p>
      <w:pPr>
        <w:ind w:firstLine="422"/>
        <w:rPr>
          <w:rFonts w:hint="eastAsia" w:ascii="宋体" w:hAnsi="宋体" w:cs="宋体"/>
          <w:b w:val="0"/>
          <w:bCs w:val="0"/>
          <w:color w:val="auto"/>
          <w:szCs w:val="21"/>
          <w:highlight w:val="none"/>
          <w:lang w:bidi="zh-CN"/>
        </w:rPr>
      </w:pPr>
      <w:r>
        <w:rPr>
          <w:rFonts w:hint="eastAsia" w:ascii="宋体" w:hAnsi="宋体" w:cs="宋体"/>
          <w:b w:val="0"/>
          <w:bCs w:val="0"/>
          <w:color w:val="auto"/>
          <w:szCs w:val="21"/>
          <w:highlight w:val="none"/>
          <w:lang w:val="en-US" w:bidi="zh-CN"/>
        </w:rPr>
        <w:t xml:space="preserve">1.</w:t>
      </w:r>
      <w:r>
        <w:rPr>
          <w:rFonts w:hint="eastAsia" w:ascii="宋体" w:hAnsi="宋体" w:cs="宋体"/>
          <w:b w:val="0"/>
          <w:bCs w:val="0"/>
          <w:color w:val="auto"/>
          <w:szCs w:val="21"/>
          <w:highlight w:val="none"/>
          <w:lang w:bidi="zh-CN"/>
        </w:rPr>
        <w:t xml:space="preserve">医疗服务区域：空间设计兼顾温馨感与专业性，做好功能分区，适配社区基础医疗、健康宣教服务，公示相关服务流程、制度规范。</w:t>
      </w:r>
      <w:r/>
    </w:p>
    <w:p>
      <w:pPr>
        <w:ind w:firstLine="422"/>
        <w:rPr>
          <w:rFonts w:hint="eastAsia" w:ascii="宋体" w:hAnsi="宋体" w:cs="宋体"/>
          <w:b w:val="0"/>
          <w:bCs w:val="0"/>
          <w:color w:val="auto"/>
          <w:szCs w:val="21"/>
          <w:highlight w:val="none"/>
          <w:lang w:bidi="zh-CN"/>
        </w:rPr>
      </w:pPr>
      <w:r>
        <w:rPr>
          <w:rFonts w:hint="eastAsia" w:ascii="宋体" w:hAnsi="宋体" w:cs="宋体"/>
          <w:b w:val="0"/>
          <w:bCs w:val="0"/>
          <w:color w:val="auto"/>
          <w:szCs w:val="21"/>
          <w:highlight w:val="none"/>
          <w:lang w:val="en-US" w:bidi="zh-CN"/>
        </w:rPr>
        <w:t xml:space="preserve">2.</w:t>
      </w:r>
      <w:r>
        <w:rPr>
          <w:rFonts w:hint="eastAsia" w:ascii="宋体" w:hAnsi="宋体" w:cs="宋体"/>
          <w:b w:val="0"/>
          <w:bCs w:val="0"/>
          <w:color w:val="auto"/>
          <w:szCs w:val="21"/>
          <w:highlight w:val="none"/>
          <w:lang w:bidi="zh-CN"/>
        </w:rPr>
        <w:t xml:space="preserve">院落：立足邻里交往、居民议事、休闲交流定位，进行场景化氛围打造，融入社区邻里文化，兼顾议事交流、小型邻里活动开展的空间氛围。</w:t>
      </w:r>
      <w:r/>
    </w:p>
    <w:p>
      <w:pPr>
        <w:ind w:firstLine="422"/>
        <w:rPr>
          <w:rFonts w:hint="eastAsia" w:ascii="宋体" w:hAnsi="宋体" w:cs="宋体"/>
          <w:b w:val="0"/>
          <w:bCs w:val="0"/>
          <w:color w:val="auto"/>
          <w:szCs w:val="21"/>
          <w:highlight w:val="none"/>
          <w:lang w:bidi="zh-CN"/>
        </w:rPr>
      </w:pPr>
      <w:r>
        <w:rPr>
          <w:rFonts w:hint="eastAsia" w:ascii="宋体" w:hAnsi="宋体" w:cs="宋体"/>
          <w:b w:val="0"/>
          <w:bCs w:val="0"/>
          <w:color w:val="auto"/>
          <w:szCs w:val="21"/>
          <w:highlight w:val="none"/>
          <w:lang w:val="en-US" w:bidi="zh-CN"/>
        </w:rPr>
        <w:t xml:space="preserve">3.</w:t>
      </w:r>
      <w:r>
        <w:rPr>
          <w:rFonts w:hint="eastAsia" w:ascii="宋体" w:hAnsi="宋体" w:cs="宋体"/>
          <w:b w:val="0"/>
          <w:bCs w:val="0"/>
          <w:color w:val="auto"/>
          <w:szCs w:val="21"/>
          <w:highlight w:val="none"/>
          <w:lang w:bidi="zh-CN"/>
        </w:rPr>
        <w:t xml:space="preserve">便民服务大厅：优化大厅整体环境，合理规划功能标识，突出便民服务主题，满足政务受理、政策宣传、居民办事咨询的使用需求，展板内容支持后期更新。</w:t>
      </w:r>
      <w:r/>
    </w:p>
    <w:p>
      <w:pPr>
        <w:ind w:firstLine="422"/>
        <w:rPr>
          <w:rFonts w:hint="eastAsia" w:ascii="宋体" w:hAnsi="宋体" w:cs="宋体"/>
          <w:b w:val="0"/>
          <w:bCs w:val="0"/>
          <w:color w:val="auto"/>
          <w:szCs w:val="21"/>
          <w:highlight w:val="none"/>
          <w:lang w:val="en-US" w:bidi="zh-CN"/>
        </w:rPr>
      </w:pPr>
      <w:r>
        <w:rPr>
          <w:rFonts w:hint="eastAsia" w:ascii="宋体" w:hAnsi="宋体" w:cs="宋体"/>
          <w:b w:val="0"/>
          <w:bCs w:val="0"/>
          <w:color w:val="auto"/>
          <w:szCs w:val="21"/>
          <w:highlight w:val="none"/>
          <w:lang w:val="en-US" w:bidi="zh-CN"/>
        </w:rPr>
        <w:t xml:space="preserve">4.邻里中心：</w:t>
      </w:r>
      <w:r>
        <w:rPr>
          <w:rFonts w:hint="eastAsia" w:ascii="宋体" w:hAnsi="宋体" w:cs="宋体"/>
          <w:b w:val="0"/>
          <w:bCs w:val="0"/>
          <w:color w:val="auto"/>
          <w:szCs w:val="21"/>
          <w:highlight w:val="none"/>
          <w:lang w:val="en-US" w:bidi="zh-CN"/>
        </w:rPr>
        <w:t xml:space="preserve">打造社区便民休闲空间，兼顾邻里社交属性，空间风格与整体社区中心风格统一，做好文化点缀，实现休闲、小型交流功能。</w:t>
      </w:r>
      <w:r/>
    </w:p>
    <w:p>
      <w:pPr>
        <w:ind w:firstLine="422"/>
        <w:rPr>
          <w:rFonts w:hint="eastAsia" w:ascii="宋体" w:hAnsi="宋体" w:cs="宋体"/>
          <w:b w:val="0"/>
          <w:bCs w:val="0"/>
          <w:color w:val="auto"/>
          <w:szCs w:val="21"/>
          <w:highlight w:val="none"/>
          <w:lang w:bidi="zh-CN"/>
        </w:rPr>
      </w:pPr>
      <w:r>
        <w:rPr>
          <w:rFonts w:hint="eastAsia" w:ascii="宋体" w:hAnsi="宋体" w:cs="宋体"/>
          <w:b w:val="0"/>
          <w:bCs w:val="0"/>
          <w:color w:val="auto"/>
          <w:szCs w:val="21"/>
          <w:highlight w:val="none"/>
          <w:lang w:val="en-US" w:bidi="zh-CN"/>
        </w:rPr>
        <w:t xml:space="preserve">5.</w:t>
      </w:r>
      <w:r>
        <w:rPr>
          <w:rFonts w:hint="eastAsia" w:ascii="宋体" w:hAnsi="宋体" w:cs="宋体"/>
          <w:b w:val="0"/>
          <w:bCs w:val="0"/>
          <w:color w:val="auto"/>
          <w:szCs w:val="21"/>
          <w:highlight w:val="none"/>
          <w:lang w:bidi="zh-CN"/>
        </w:rPr>
        <w:t xml:space="preserve">办公室：完成办公空间文化墙面设计，融入基层工作理念、制度公示，满足日常办公、内部学习的环境需求。</w:t>
      </w:r>
      <w:r/>
    </w:p>
    <w:p>
      <w:pPr>
        <w:ind w:firstLine="422"/>
        <w:rPr>
          <w:rFonts w:hint="eastAsia" w:ascii="宋体" w:hAnsi="宋体" w:cs="宋体"/>
          <w:b w:val="0"/>
          <w:bCs w:val="0"/>
          <w:color w:val="auto"/>
          <w:szCs w:val="21"/>
          <w:highlight w:val="none"/>
          <w:lang w:bidi="zh-CN"/>
        </w:rPr>
      </w:pPr>
      <w:r>
        <w:rPr>
          <w:rFonts w:hint="eastAsia" w:ascii="宋体" w:hAnsi="宋体" w:cs="宋体"/>
          <w:b w:val="0"/>
          <w:bCs w:val="0"/>
          <w:color w:val="auto"/>
          <w:szCs w:val="21"/>
          <w:highlight w:val="none"/>
          <w:lang w:val="en-US" w:bidi="zh-CN"/>
        </w:rPr>
        <w:t xml:space="preserve">6.</w:t>
      </w:r>
      <w:r>
        <w:rPr>
          <w:rFonts w:hint="eastAsia" w:ascii="宋体" w:hAnsi="宋体" w:cs="宋体"/>
          <w:b w:val="0"/>
          <w:bCs w:val="0"/>
          <w:color w:val="auto"/>
          <w:szCs w:val="21"/>
          <w:highlight w:val="none"/>
          <w:lang w:bidi="zh-CN"/>
        </w:rPr>
        <w:t xml:space="preserve">多功能室：兼顾党员学习、居民讲座、集体活动、会议等复合用途，改造升级墙面展示内容，融入党建内容、社区文化，配置宣誓、学习相关文化场景，适配多样化集体活动开展。</w:t>
      </w:r>
      <w:r/>
    </w:p>
    <w:p>
      <w:pPr>
        <w:ind w:firstLine="422"/>
        <w:rPr>
          <w:rFonts w:hint="eastAsia" w:ascii="宋体" w:hAnsi="宋体" w:cs="宋体"/>
          <w:b/>
          <w:bCs/>
          <w:color w:val="auto"/>
          <w:szCs w:val="21"/>
          <w:highlight w:val="none"/>
          <w:lang w:bidi="zh-CN"/>
        </w:rPr>
      </w:pPr>
      <w:r>
        <w:rPr>
          <w:rFonts w:hint="eastAsia" w:ascii="宋体" w:hAnsi="宋体" w:cs="宋体"/>
          <w:b/>
          <w:bCs/>
          <w:color w:val="auto"/>
          <w:szCs w:val="21"/>
          <w:highlight w:val="none"/>
          <w:lang w:bidi="zh-CN"/>
        </w:rPr>
        <w:t xml:space="preserve">第三版块：二楼功能空间设计区</w:t>
      </w:r>
      <w:r/>
    </w:p>
    <w:p>
      <w:pPr>
        <w:ind w:firstLine="422"/>
        <w:rPr>
          <w:rFonts w:hint="eastAsia" w:ascii="宋体" w:hAnsi="宋体" w:cs="宋体"/>
          <w:b w:val="0"/>
          <w:bCs w:val="0"/>
          <w:color w:val="auto"/>
          <w:szCs w:val="21"/>
          <w:highlight w:val="none"/>
          <w:lang w:bidi="zh-CN"/>
        </w:rPr>
      </w:pPr>
      <w:r>
        <w:rPr>
          <w:rFonts w:hint="eastAsia" w:ascii="宋体" w:hAnsi="宋体" w:cs="宋体"/>
          <w:b w:val="0"/>
          <w:bCs w:val="0"/>
          <w:color w:val="auto"/>
          <w:szCs w:val="21"/>
          <w:highlight w:val="none"/>
          <w:lang w:bidi="zh-CN"/>
        </w:rPr>
        <w:t xml:space="preserve">本板块包含妇女儿童之家、退伍军人服务站，其他空间作为预留空间，以便后期服务升级。</w:t>
      </w:r>
      <w:r/>
    </w:p>
    <w:p>
      <w:pPr>
        <w:ind w:firstLine="422"/>
        <w:rPr>
          <w:rFonts w:hint="eastAsia" w:ascii="宋体" w:hAnsi="宋体" w:cs="宋体"/>
          <w:b w:val="0"/>
          <w:bCs w:val="0"/>
          <w:color w:val="auto"/>
          <w:szCs w:val="21"/>
          <w:highlight w:val="none"/>
          <w:lang w:bidi="zh-CN"/>
        </w:rPr>
      </w:pPr>
      <w:r>
        <w:rPr>
          <w:rFonts w:hint="eastAsia" w:ascii="宋体" w:hAnsi="宋体" w:cs="宋体"/>
          <w:b w:val="0"/>
          <w:bCs w:val="0"/>
          <w:color w:val="auto"/>
          <w:szCs w:val="21"/>
          <w:highlight w:val="none"/>
          <w:lang w:val="en-US" w:bidi="zh-CN"/>
        </w:rPr>
        <w:t xml:space="preserve">1.</w:t>
      </w:r>
      <w:r>
        <w:rPr>
          <w:rFonts w:hint="eastAsia" w:ascii="宋体" w:hAnsi="宋体" w:cs="宋体"/>
          <w:b w:val="0"/>
          <w:bCs w:val="0"/>
          <w:color w:val="auto"/>
          <w:szCs w:val="21"/>
          <w:highlight w:val="none"/>
          <w:lang w:bidi="zh-CN"/>
        </w:rPr>
        <w:t xml:space="preserve">妇女儿童之家：围绕妇女维权、家庭教育、亲子活动、巾帼风采主题开展空间设计，打造温馨活泼的活动环境，满足亲子活动、妇女沙龙、手工课堂等活动开展。</w:t>
      </w:r>
      <w:r/>
    </w:p>
    <w:p>
      <w:pPr>
        <w:ind w:firstLine="422"/>
        <w:rPr>
          <w:rFonts w:hint="eastAsia" w:ascii="宋体" w:hAnsi="宋体" w:cs="宋体"/>
          <w:b w:val="0"/>
          <w:bCs w:val="0"/>
          <w:color w:val="auto"/>
          <w:szCs w:val="21"/>
          <w:highlight w:val="none"/>
          <w:lang w:bidi="zh-CN"/>
        </w:rPr>
      </w:pPr>
      <w:r>
        <w:rPr>
          <w:rFonts w:hint="eastAsia" w:ascii="宋体" w:hAnsi="宋体" w:cs="宋体"/>
          <w:b w:val="0"/>
          <w:bCs w:val="0"/>
          <w:color w:val="auto"/>
          <w:szCs w:val="21"/>
          <w:highlight w:val="none"/>
          <w:lang w:val="en-US" w:bidi="zh-CN"/>
        </w:rPr>
        <w:t xml:space="preserve">2.</w:t>
      </w:r>
      <w:r>
        <w:rPr>
          <w:rFonts w:hint="eastAsia" w:ascii="宋体" w:hAnsi="宋体" w:cs="宋体"/>
          <w:b w:val="0"/>
          <w:bCs w:val="0"/>
          <w:color w:val="auto"/>
          <w:szCs w:val="21"/>
          <w:highlight w:val="none"/>
          <w:lang w:bidi="zh-CN"/>
        </w:rPr>
        <w:t xml:space="preserve">退伍军人服务站：凸显尊崇军人主题，适配退役军人接待、谈心交流、政策宣讲、荣誉展示等功能。</w:t>
      </w:r>
      <w:r/>
    </w:p>
    <w:p>
      <w:pPr>
        <w:ind w:firstLine="422"/>
        <w:rPr>
          <w:rFonts w:hint="default" w:ascii="宋体" w:hAnsi="宋体" w:cs="宋体"/>
          <w:b/>
          <w:bCs/>
          <w:color w:val="auto"/>
          <w:szCs w:val="21"/>
          <w:highlight w:val="none"/>
          <w:lang w:val="en-US" w:bidi="zh-CN"/>
        </w:rPr>
      </w:pPr>
      <w:r>
        <w:rPr>
          <w:rFonts w:hint="eastAsia" w:ascii="宋体" w:hAnsi="宋体" w:cs="宋体"/>
          <w:b/>
          <w:bCs/>
          <w:color w:val="auto"/>
          <w:szCs w:val="21"/>
          <w:highlight w:val="none"/>
          <w:lang w:bidi="zh-CN"/>
        </w:rPr>
        <w:t xml:space="preserve">（</w:t>
      </w:r>
      <w:r>
        <w:rPr>
          <w:rFonts w:hint="eastAsia" w:ascii="宋体" w:hAnsi="宋体" w:cs="宋体"/>
          <w:b/>
          <w:bCs/>
          <w:color w:val="auto"/>
          <w:szCs w:val="21"/>
          <w:highlight w:val="none"/>
          <w:lang w:val="en-US" w:bidi="zh-CN"/>
        </w:rPr>
        <w:t xml:space="preserve">四）布展内容</w:t>
      </w:r>
      <w:r/>
    </w:p>
    <w:tbl>
      <w:tblPr>
        <w:tblStyle w:val="890"/>
        <w:tblW w:w="86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6355"/>
        <w:gridCol w:w="876"/>
        <w:gridCol w:w="734"/>
      </w:tblGrid>
      <w:tr>
        <w:trPr>
          <w:jc w:val="center"/>
          <w:trHeight w:val="416"/>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序号</w:t>
            </w:r>
            <w:r/>
          </w:p>
        </w:tc>
        <w:tc>
          <w:tcPr>
            <w:tcW w:w="6355"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采购需求</w:t>
            </w:r>
            <w:r/>
          </w:p>
        </w:tc>
        <w:tc>
          <w:tcPr>
            <w:tcW w:w="876"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工作量（约）</w:t>
            </w:r>
            <w:r/>
          </w:p>
        </w:tc>
        <w:tc>
          <w:tcPr>
            <w:tcW w:w="734"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单位</w:t>
            </w:r>
            <w:r/>
          </w:p>
        </w:tc>
      </w:tr>
      <w:tr>
        <w:trPr>
          <w:jc w:val="center"/>
          <w:trHeight w:val="495"/>
        </w:trPr>
        <w:tc>
          <w:tcPr>
            <w:gridSpan w:val="4"/>
            <w:tcW w:w="8668"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1、户外导视牌</w:t>
            </w:r>
            <w:r/>
          </w:p>
        </w:tc>
      </w:tr>
      <w:tr>
        <w:trPr>
          <w:jc w:val="center"/>
          <w:trHeight w:val="545"/>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1.1</w:t>
            </w:r>
            <w:r/>
          </w:p>
        </w:tc>
        <w:tc>
          <w:tcPr>
            <w:tcW w:w="6355" w:type="dxa"/>
            <w:vAlign w:val="center"/>
            <w:textDirection w:val="lrTb"/>
            <w:noWrap w:val="false"/>
          </w:tcPr>
          <w:p>
            <w:pPr>
              <w:pStyle w:val="1132"/>
              <w:rPr>
                <w:rFonts w:hint="eastAsia"/>
                <w:color w:val="auto"/>
                <w:highlight w:val="none"/>
              </w:rPr>
            </w:pPr>
            <w:r>
              <w:rPr>
                <w:rFonts w:hint="eastAsia"/>
                <w:color w:val="auto"/>
                <w:highlight w:val="none"/>
              </w:rPr>
              <w:t xml:space="preserve">户外导视牌（定制金属导视牌，具体按设计配置）</w:t>
            </w:r>
            <w:r/>
          </w:p>
        </w:tc>
        <w:tc>
          <w:tcPr>
            <w:tcW w:w="876"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1</w:t>
            </w:r>
            <w:r/>
          </w:p>
        </w:tc>
        <w:tc>
          <w:tcPr>
            <w:tcW w:w="734"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组</w:t>
            </w:r>
            <w:r/>
          </w:p>
        </w:tc>
      </w:tr>
      <w:tr>
        <w:trPr>
          <w:jc w:val="center"/>
          <w:trHeight w:val="566"/>
        </w:trPr>
        <w:tc>
          <w:tcPr>
            <w:gridSpan w:val="4"/>
            <w:tcW w:w="8668"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2、门厅</w:t>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2.1</w:t>
            </w:r>
            <w:r/>
          </w:p>
        </w:tc>
        <w:tc>
          <w:tcPr>
            <w:tcW w:w="6355" w:type="dxa"/>
            <w:vAlign w:val="center"/>
            <w:textDirection w:val="lrTb"/>
            <w:noWrap w:val="false"/>
          </w:tcPr>
          <w:p>
            <w:pPr>
              <w:pStyle w:val="1132"/>
              <w:rPr>
                <w:rFonts w:hint="eastAsia"/>
                <w:color w:val="auto"/>
                <w:highlight w:val="none"/>
              </w:rPr>
            </w:pPr>
            <w:r>
              <w:rPr>
                <w:rFonts w:hint="eastAsia"/>
                <w:color w:val="auto"/>
                <w:highlight w:val="none"/>
              </w:rPr>
              <w:t xml:space="preserve">空间围合【</w:t>
            </w:r>
            <w:r>
              <w:rPr>
                <w:color w:val="auto"/>
                <w:spacing w:val="-2"/>
                <w:szCs w:val="22"/>
                <w:highlight w:val="none"/>
              </w:rPr>
              <w:t xml:space="preserve">定制产品，具体按设计配置，包括但不限于：</w:t>
            </w:r>
            <w:r>
              <w:rPr>
                <w:rFonts w:hint="eastAsia"/>
                <w:color w:val="auto"/>
                <w:highlight w:val="none"/>
              </w:rPr>
              <w:t xml:space="preserve">钢化玻璃隔断，玻璃门及门套、墙面处理、地砖防尘处理等】</w:t>
            </w:r>
            <w:r/>
          </w:p>
        </w:tc>
        <w:tc>
          <w:tcPr>
            <w:tcW w:w="876" w:type="dxa"/>
            <w:vAlign w:val="center"/>
            <w:vMerge w:val="restart"/>
            <w:textDirection w:val="lrTb"/>
            <w:noWrap w:val="false"/>
          </w:tcPr>
          <w:p>
            <w:pPr>
              <w:pStyle w:val="1132"/>
              <w:jc w:val="center"/>
              <w:rPr>
                <w:rFonts w:hint="eastAsia"/>
                <w:color w:val="auto"/>
                <w:highlight w:val="none"/>
              </w:rPr>
            </w:pPr>
            <w:r>
              <w:rPr>
                <w:rFonts w:hint="eastAsia"/>
                <w:color w:val="auto"/>
                <w:highlight w:val="none"/>
              </w:rPr>
              <w:t xml:space="preserve">40</w:t>
            </w:r>
            <w:r/>
          </w:p>
        </w:tc>
        <w:tc>
          <w:tcPr>
            <w:tcW w:w="734" w:type="dxa"/>
            <w:vAlign w:val="center"/>
            <w:vMerge w:val="restart"/>
            <w:textDirection w:val="lrTb"/>
            <w:noWrap w:val="false"/>
          </w:tcPr>
          <w:p>
            <w:pPr>
              <w:pStyle w:val="1132"/>
              <w:jc w:val="center"/>
              <w:rPr>
                <w:rFonts w:hint="eastAsia"/>
                <w:color w:val="auto"/>
                <w:highlight w:val="none"/>
              </w:rPr>
            </w:pPr>
            <w:r>
              <w:rPr>
                <w:color w:val="auto"/>
                <w:szCs w:val="22"/>
                <w:highlight w:val="none"/>
              </w:rPr>
              <w:t xml:space="preserve">㎡</w:t>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2.2</w:t>
            </w:r>
            <w:r/>
          </w:p>
        </w:tc>
        <w:tc>
          <w:tcPr>
            <w:tcW w:w="6355" w:type="dxa"/>
            <w:vAlign w:val="center"/>
            <w:textDirection w:val="lrTb"/>
            <w:noWrap w:val="false"/>
          </w:tcPr>
          <w:p>
            <w:pPr>
              <w:pStyle w:val="1132"/>
              <w:rPr>
                <w:rFonts w:hint="eastAsia"/>
                <w:color w:val="auto"/>
                <w:spacing w:val="-2"/>
                <w:szCs w:val="22"/>
                <w:highlight w:val="none"/>
              </w:rPr>
            </w:pPr>
            <w:r>
              <w:rPr>
                <w:color w:val="auto"/>
                <w:spacing w:val="-2"/>
                <w:szCs w:val="22"/>
                <w:highlight w:val="none"/>
              </w:rPr>
              <w:t xml:space="preserve">展</w:t>
            </w:r>
            <w:r>
              <w:rPr>
                <w:rFonts w:hint="eastAsia"/>
                <w:color w:val="auto"/>
                <w:spacing w:val="-2"/>
                <w:szCs w:val="22"/>
                <w:highlight w:val="none"/>
              </w:rPr>
              <w:t xml:space="preserve">陈</w:t>
            </w:r>
            <w:r>
              <w:rPr>
                <w:color w:val="auto"/>
                <w:spacing w:val="-2"/>
                <w:szCs w:val="22"/>
                <w:highlight w:val="none"/>
              </w:rPr>
              <w:t xml:space="preserve">及</w:t>
            </w:r>
            <w:r>
              <w:rPr>
                <w:rFonts w:hint="eastAsia"/>
                <w:color w:val="auto"/>
                <w:spacing w:val="-2"/>
                <w:szCs w:val="22"/>
                <w:highlight w:val="none"/>
              </w:rPr>
              <w:t xml:space="preserve">陈设布置</w:t>
            </w:r>
            <w:r>
              <w:rPr>
                <w:color w:val="auto"/>
                <w:spacing w:val="-2"/>
                <w:szCs w:val="22"/>
                <w:highlight w:val="none"/>
              </w:rPr>
              <w:t xml:space="preserve">【定制产品，具体按设计配置，包括但不限于：</w:t>
            </w:r>
            <w:r>
              <w:rPr>
                <w:rFonts w:hint="eastAsia"/>
                <w:color w:val="auto"/>
                <w:spacing w:val="-2"/>
                <w:szCs w:val="22"/>
                <w:highlight w:val="none"/>
              </w:rPr>
              <w:t xml:space="preserve">定制服务台及服务台背景墙、吧台及吧凳、便民服务柜、定制小品装置、</w:t>
            </w:r>
            <w:r>
              <w:rPr>
                <w:color w:val="auto"/>
                <w:spacing w:val="-2"/>
                <w:szCs w:val="22"/>
                <w:highlight w:val="none"/>
              </w:rPr>
              <w:t xml:space="preserve">绿植盆景、雨伞架、饮水机</w:t>
            </w:r>
            <w:r>
              <w:rPr>
                <w:rFonts w:hint="eastAsia"/>
                <w:color w:val="auto"/>
                <w:spacing w:val="-2"/>
                <w:szCs w:val="22"/>
                <w:highlight w:val="none"/>
              </w:rPr>
              <w:t xml:space="preserve">、</w:t>
            </w:r>
            <w:r>
              <w:rPr>
                <w:color w:val="auto"/>
                <w:spacing w:val="-2"/>
                <w:szCs w:val="22"/>
                <w:highlight w:val="none"/>
              </w:rPr>
              <w:t xml:space="preserve">桌面摆件、台卡、AED设备</w:t>
            </w:r>
            <w:r>
              <w:rPr>
                <w:rFonts w:hint="eastAsia"/>
                <w:color w:val="auto"/>
                <w:spacing w:val="-2"/>
                <w:szCs w:val="22"/>
                <w:highlight w:val="none"/>
              </w:rPr>
              <w:t xml:space="preserve">、茶几休闲椅1套、定制图文展陈】</w:t>
            </w:r>
            <w:r/>
          </w:p>
        </w:tc>
        <w:tc>
          <w:tcPr>
            <w:tcW w:w="876"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c>
          <w:tcPr>
            <w:tcW w:w="734"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r>
      <w:tr>
        <w:trPr>
          <w:jc w:val="center"/>
          <w:trHeight w:val="639"/>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2.3</w:t>
            </w:r>
            <w:r/>
          </w:p>
        </w:tc>
        <w:tc>
          <w:tcPr>
            <w:tcW w:w="6355" w:type="dxa"/>
            <w:vAlign w:val="center"/>
            <w:textDirection w:val="lrTb"/>
            <w:noWrap w:val="false"/>
          </w:tcPr>
          <w:p>
            <w:pPr>
              <w:pStyle w:val="1132"/>
              <w:rPr>
                <w:color w:val="auto"/>
                <w:spacing w:val="-2"/>
                <w:szCs w:val="22"/>
                <w:highlight w:val="none"/>
              </w:rPr>
            </w:pPr>
            <w:r>
              <w:rPr>
                <w:color w:val="auto"/>
                <w:spacing w:val="-3"/>
                <w:szCs w:val="22"/>
                <w:highlight w:val="none"/>
              </w:rPr>
              <w:t xml:space="preserve">电气、照明【定制产品，具体按设计配置，包括但不限于：空调</w:t>
            </w:r>
            <w:r>
              <w:rPr>
                <w:color w:val="auto"/>
                <w:spacing w:val="-4"/>
                <w:szCs w:val="22"/>
                <w:highlight w:val="none"/>
              </w:rPr>
              <w:t xml:space="preserve">，不少于1组；主照明（聚光</w:t>
            </w:r>
            <w:r>
              <w:rPr>
                <w:color w:val="auto"/>
                <w:spacing w:val="-5"/>
                <w:szCs w:val="22"/>
                <w:highlight w:val="none"/>
              </w:rPr>
              <w:t xml:space="preserve">筒灯</w:t>
            </w:r>
            <w:r>
              <w:rPr>
                <w:color w:val="auto"/>
                <w:spacing w:val="-2"/>
                <w:szCs w:val="22"/>
                <w:highlight w:val="none"/>
              </w:rPr>
              <w:t xml:space="preserve">）、装饰光源等，各不少于1组】</w:t>
            </w:r>
            <w:r/>
          </w:p>
        </w:tc>
        <w:tc>
          <w:tcPr>
            <w:tcW w:w="876"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c>
          <w:tcPr>
            <w:tcW w:w="734"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r>
      <w:tr>
        <w:trPr>
          <w:jc w:val="center"/>
          <w:trHeight w:val="560"/>
        </w:trPr>
        <w:tc>
          <w:tcPr>
            <w:gridSpan w:val="4"/>
            <w:tcW w:w="8668"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3、中庭</w:t>
            </w:r>
            <w:r/>
          </w:p>
        </w:tc>
      </w:tr>
      <w:tr>
        <w:trPr>
          <w:jc w:val="center"/>
          <w:trHeight w:val="9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3.1</w:t>
            </w:r>
            <w:r/>
          </w:p>
        </w:tc>
        <w:tc>
          <w:tcPr>
            <w:tcW w:w="6355" w:type="dxa"/>
            <w:vAlign w:val="center"/>
            <w:textDirection w:val="lrTb"/>
            <w:noWrap w:val="false"/>
          </w:tcPr>
          <w:p>
            <w:pPr>
              <w:pStyle w:val="1132"/>
              <w:rPr>
                <w:color w:val="auto"/>
                <w:spacing w:val="-3"/>
                <w:szCs w:val="22"/>
                <w:highlight w:val="none"/>
              </w:rPr>
            </w:pPr>
            <w:r>
              <w:rPr>
                <w:rFonts w:hint="eastAsia"/>
                <w:color w:val="auto"/>
                <w:highlight w:val="none"/>
              </w:rPr>
              <w:t xml:space="preserve">空间围合【</w:t>
            </w:r>
            <w:r>
              <w:rPr>
                <w:color w:val="auto"/>
                <w:spacing w:val="-2"/>
                <w:szCs w:val="22"/>
                <w:highlight w:val="none"/>
              </w:rPr>
              <w:t xml:space="preserve">定制产品，具体按设计配置，包括但不限于：</w:t>
            </w:r>
            <w:r>
              <w:rPr>
                <w:rFonts w:hint="eastAsia"/>
                <w:color w:val="auto"/>
                <w:highlight w:val="none"/>
              </w:rPr>
              <w:t xml:space="preserve">钢化玻璃隔断，玻璃门及门套、墙面处理、地砖防尘处理等】</w:t>
            </w:r>
            <w:r/>
          </w:p>
        </w:tc>
        <w:tc>
          <w:tcPr>
            <w:tcW w:w="876" w:type="dxa"/>
            <w:vAlign w:val="center"/>
            <w:vMerge w:val="restart"/>
            <w:textDirection w:val="lrTb"/>
            <w:noWrap w:val="false"/>
          </w:tcPr>
          <w:p>
            <w:pPr>
              <w:pStyle w:val="1132"/>
              <w:jc w:val="center"/>
              <w:rPr>
                <w:rFonts w:hint="eastAsia"/>
                <w:color w:val="auto"/>
                <w:highlight w:val="none"/>
              </w:rPr>
            </w:pPr>
            <w:r>
              <w:rPr>
                <w:rFonts w:hint="eastAsia"/>
                <w:color w:val="auto"/>
                <w:highlight w:val="none"/>
              </w:rPr>
              <w:t xml:space="preserve">44</w:t>
            </w:r>
            <w:r/>
          </w:p>
        </w:tc>
        <w:tc>
          <w:tcPr>
            <w:tcW w:w="734" w:type="dxa"/>
            <w:vAlign w:val="center"/>
            <w:vMerge w:val="restart"/>
            <w:textDirection w:val="lrTb"/>
            <w:noWrap w:val="false"/>
          </w:tcPr>
          <w:p>
            <w:pPr>
              <w:pStyle w:val="1132"/>
              <w:jc w:val="center"/>
              <w:rPr>
                <w:rFonts w:hint="eastAsia"/>
                <w:color w:val="auto"/>
                <w:highlight w:val="none"/>
              </w:rPr>
            </w:pPr>
            <w:r>
              <w:rPr>
                <w:color w:val="auto"/>
                <w:szCs w:val="22"/>
                <w:highlight w:val="none"/>
              </w:rPr>
              <w:t xml:space="preserve">㎡</w:t>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3.2</w:t>
            </w:r>
            <w:r/>
          </w:p>
        </w:tc>
        <w:tc>
          <w:tcPr>
            <w:tcW w:w="6355" w:type="dxa"/>
            <w:vAlign w:val="center"/>
            <w:textDirection w:val="lrTb"/>
            <w:noWrap w:val="false"/>
          </w:tcPr>
          <w:p>
            <w:pPr>
              <w:pStyle w:val="1132"/>
              <w:rPr>
                <w:color w:val="auto"/>
                <w:spacing w:val="-3"/>
                <w:szCs w:val="22"/>
                <w:highlight w:val="none"/>
              </w:rPr>
            </w:pPr>
            <w:r>
              <w:rPr>
                <w:color w:val="auto"/>
                <w:spacing w:val="-2"/>
                <w:szCs w:val="22"/>
                <w:highlight w:val="none"/>
              </w:rPr>
              <w:t xml:space="preserve">展</w:t>
            </w:r>
            <w:r>
              <w:rPr>
                <w:rFonts w:hint="eastAsia"/>
                <w:color w:val="auto"/>
                <w:spacing w:val="-2"/>
                <w:szCs w:val="22"/>
                <w:highlight w:val="none"/>
              </w:rPr>
              <w:t xml:space="preserve">陈</w:t>
            </w:r>
            <w:r>
              <w:rPr>
                <w:color w:val="auto"/>
                <w:spacing w:val="-2"/>
                <w:szCs w:val="22"/>
                <w:highlight w:val="none"/>
              </w:rPr>
              <w:t xml:space="preserve">及</w:t>
            </w:r>
            <w:r>
              <w:rPr>
                <w:rFonts w:hint="eastAsia"/>
                <w:color w:val="auto"/>
                <w:spacing w:val="-2"/>
                <w:szCs w:val="22"/>
                <w:highlight w:val="none"/>
              </w:rPr>
              <w:t xml:space="preserve">陈设布置</w:t>
            </w:r>
            <w:r>
              <w:rPr>
                <w:color w:val="auto"/>
                <w:spacing w:val="-2"/>
                <w:szCs w:val="22"/>
                <w:highlight w:val="none"/>
              </w:rPr>
              <w:t xml:space="preserve">【定制产品，具体按设计配置，包括但不限于：</w:t>
            </w:r>
            <w:r>
              <w:rPr>
                <w:rFonts w:hint="eastAsia"/>
                <w:color w:val="auto"/>
                <w:spacing w:val="-2"/>
                <w:szCs w:val="22"/>
                <w:highlight w:val="none"/>
              </w:rPr>
              <w:t xml:space="preserve">定制艺术坐凳、定制绿植坐凳装置（含仿真绿植）、落地书架及休闲椅1套、定制图文展陈、电动遮阳帘1套】</w:t>
            </w:r>
            <w:r/>
          </w:p>
        </w:tc>
        <w:tc>
          <w:tcPr>
            <w:tcW w:w="876"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c>
          <w:tcPr>
            <w:tcW w:w="734"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3.3</w:t>
            </w:r>
            <w:r/>
          </w:p>
        </w:tc>
        <w:tc>
          <w:tcPr>
            <w:tcW w:w="6355" w:type="dxa"/>
            <w:vAlign w:val="center"/>
            <w:textDirection w:val="lrTb"/>
            <w:noWrap w:val="false"/>
          </w:tcPr>
          <w:p>
            <w:pPr>
              <w:pStyle w:val="1132"/>
              <w:rPr>
                <w:color w:val="auto"/>
                <w:spacing w:val="-2"/>
                <w:szCs w:val="22"/>
                <w:highlight w:val="none"/>
              </w:rPr>
            </w:pPr>
            <w:r>
              <w:rPr>
                <w:color w:val="auto"/>
                <w:spacing w:val="-3"/>
                <w:szCs w:val="22"/>
                <w:highlight w:val="none"/>
              </w:rPr>
              <w:t xml:space="preserve">电气、照明【定制产品，具体按设计配置，包括但不限于：空调</w:t>
            </w:r>
            <w:r>
              <w:rPr>
                <w:color w:val="auto"/>
                <w:spacing w:val="-4"/>
                <w:szCs w:val="22"/>
                <w:highlight w:val="none"/>
              </w:rPr>
              <w:t xml:space="preserve">，不少于1组；主照明（聚光</w:t>
            </w:r>
            <w:r>
              <w:rPr>
                <w:color w:val="auto"/>
                <w:spacing w:val="-5"/>
                <w:szCs w:val="22"/>
                <w:highlight w:val="none"/>
              </w:rPr>
              <w:t xml:space="preserve">筒灯</w:t>
            </w:r>
            <w:r>
              <w:rPr>
                <w:color w:val="auto"/>
                <w:spacing w:val="-2"/>
                <w:szCs w:val="22"/>
                <w:highlight w:val="none"/>
              </w:rPr>
              <w:t xml:space="preserve">）、装饰光源等，各不少于1组】</w:t>
            </w:r>
            <w:r/>
          </w:p>
        </w:tc>
        <w:tc>
          <w:tcPr>
            <w:tcW w:w="876"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c>
          <w:tcPr>
            <w:tcW w:w="734"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r>
      <w:tr>
        <w:trPr>
          <w:jc w:val="center"/>
          <w:trHeight w:val="560"/>
        </w:trPr>
        <w:tc>
          <w:tcPr>
            <w:gridSpan w:val="4"/>
            <w:tcW w:w="8668"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4、社区便民服务大厅</w:t>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4.1</w:t>
            </w:r>
            <w:r/>
          </w:p>
        </w:tc>
        <w:tc>
          <w:tcPr>
            <w:tcW w:w="6355" w:type="dxa"/>
            <w:vAlign w:val="center"/>
            <w:textDirection w:val="lrTb"/>
            <w:noWrap w:val="false"/>
          </w:tcPr>
          <w:p>
            <w:pPr>
              <w:pStyle w:val="1132"/>
              <w:rPr>
                <w:color w:val="auto"/>
                <w:spacing w:val="-3"/>
                <w:szCs w:val="22"/>
                <w:highlight w:val="none"/>
              </w:rPr>
            </w:pPr>
            <w:r>
              <w:rPr>
                <w:rFonts w:hint="eastAsia"/>
                <w:color w:val="auto"/>
                <w:highlight w:val="none"/>
              </w:rPr>
              <w:t xml:space="preserve">空间围合【</w:t>
            </w:r>
            <w:r>
              <w:rPr>
                <w:color w:val="auto"/>
                <w:spacing w:val="-2"/>
                <w:szCs w:val="22"/>
                <w:highlight w:val="none"/>
              </w:rPr>
              <w:t xml:space="preserve">定制产品，具体按设计配置，包括但不限于：</w:t>
            </w:r>
            <w:r>
              <w:rPr>
                <w:rFonts w:hint="eastAsia"/>
                <w:color w:val="auto"/>
                <w:spacing w:val="-2"/>
                <w:szCs w:val="22"/>
                <w:highlight w:val="none"/>
              </w:rPr>
              <w:t xml:space="preserve">新建隔断墙、</w:t>
            </w:r>
            <w:r>
              <w:rPr>
                <w:rFonts w:hint="eastAsia"/>
                <w:color w:val="auto"/>
                <w:highlight w:val="none"/>
              </w:rPr>
              <w:t xml:space="preserve">天花局部吊顶，玻璃门及门套、墙面处理、地砖防尘处理等】</w:t>
            </w:r>
            <w:r/>
          </w:p>
        </w:tc>
        <w:tc>
          <w:tcPr>
            <w:tcW w:w="876" w:type="dxa"/>
            <w:vAlign w:val="center"/>
            <w:vMerge w:val="restart"/>
            <w:textDirection w:val="lrTb"/>
            <w:noWrap w:val="false"/>
          </w:tcPr>
          <w:p>
            <w:pPr>
              <w:pStyle w:val="1132"/>
              <w:jc w:val="center"/>
              <w:rPr>
                <w:rFonts w:hint="eastAsia"/>
                <w:color w:val="auto"/>
                <w:highlight w:val="none"/>
              </w:rPr>
            </w:pPr>
            <w:r>
              <w:rPr>
                <w:rFonts w:hint="eastAsia"/>
                <w:color w:val="auto"/>
                <w:highlight w:val="none"/>
              </w:rPr>
              <w:t xml:space="preserve">80</w:t>
            </w:r>
            <w:r/>
          </w:p>
        </w:tc>
        <w:tc>
          <w:tcPr>
            <w:tcW w:w="734" w:type="dxa"/>
            <w:vAlign w:val="center"/>
            <w:vMerge w:val="restart"/>
            <w:textDirection w:val="lrTb"/>
            <w:noWrap w:val="false"/>
          </w:tcPr>
          <w:p>
            <w:pPr>
              <w:pStyle w:val="1132"/>
              <w:jc w:val="center"/>
              <w:rPr>
                <w:rFonts w:hint="eastAsia"/>
                <w:color w:val="auto"/>
                <w:highlight w:val="none"/>
              </w:rPr>
            </w:pPr>
            <w:r>
              <w:rPr>
                <w:color w:val="auto"/>
                <w:szCs w:val="22"/>
                <w:highlight w:val="none"/>
              </w:rPr>
              <w:t xml:space="preserve">㎡</w:t>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4.2</w:t>
            </w:r>
            <w:r/>
          </w:p>
        </w:tc>
        <w:tc>
          <w:tcPr>
            <w:tcW w:w="6355" w:type="dxa"/>
            <w:vAlign w:val="center"/>
            <w:textDirection w:val="lrTb"/>
            <w:noWrap w:val="false"/>
          </w:tcPr>
          <w:p>
            <w:pPr>
              <w:pStyle w:val="1132"/>
              <w:rPr>
                <w:rFonts w:hint="eastAsia"/>
                <w:color w:val="auto"/>
                <w:highlight w:val="none"/>
              </w:rPr>
            </w:pPr>
            <w:r>
              <w:rPr>
                <w:rFonts w:hint="eastAsia"/>
                <w:color w:val="auto"/>
                <w:highlight w:val="none"/>
              </w:rPr>
              <w:t xml:space="preserve">给排水配套【</w:t>
            </w:r>
            <w:r>
              <w:rPr>
                <w:color w:val="auto"/>
                <w:spacing w:val="-2"/>
                <w:szCs w:val="22"/>
                <w:highlight w:val="none"/>
              </w:rPr>
              <w:t xml:space="preserve">定制产品，具体按设计配置，包括但不限于：</w:t>
            </w:r>
            <w:r>
              <w:rPr>
                <w:rFonts w:hint="eastAsia"/>
                <w:color w:val="auto"/>
                <w:spacing w:val="-2"/>
                <w:szCs w:val="22"/>
                <w:highlight w:val="none"/>
              </w:rPr>
              <w:t xml:space="preserve">卫生间给排水铺设、洁具（洗手台、坐便器）1套；茶水间给排水铺设、不锈钢水槽、</w:t>
            </w:r>
            <w:r>
              <w:rPr>
                <w:color w:val="auto"/>
                <w:spacing w:val="-2"/>
                <w:szCs w:val="22"/>
                <w:highlight w:val="none"/>
              </w:rPr>
              <w:t xml:space="preserve">挂墙式管线饮水机</w:t>
            </w:r>
            <w:r>
              <w:rPr>
                <w:rFonts w:hint="eastAsia"/>
                <w:color w:val="auto"/>
                <w:highlight w:val="none"/>
              </w:rPr>
              <w:t xml:space="preserve">等】</w:t>
            </w:r>
            <w:r/>
          </w:p>
        </w:tc>
        <w:tc>
          <w:tcPr>
            <w:tcW w:w="876"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c>
          <w:tcPr>
            <w:tcW w:w="734"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4.3</w:t>
            </w:r>
            <w:r/>
          </w:p>
        </w:tc>
        <w:tc>
          <w:tcPr>
            <w:tcW w:w="6355" w:type="dxa"/>
            <w:vAlign w:val="center"/>
            <w:textDirection w:val="lrTb"/>
            <w:noWrap w:val="false"/>
          </w:tcPr>
          <w:p>
            <w:pPr>
              <w:pStyle w:val="1132"/>
              <w:rPr>
                <w:rFonts w:hint="eastAsia"/>
                <w:color w:val="auto"/>
                <w:highlight w:val="none"/>
              </w:rPr>
            </w:pPr>
            <w:r>
              <w:rPr>
                <w:color w:val="auto"/>
                <w:spacing w:val="-2"/>
                <w:szCs w:val="22"/>
                <w:highlight w:val="none"/>
              </w:rPr>
              <w:t xml:space="preserve">展</w:t>
            </w:r>
            <w:r>
              <w:rPr>
                <w:rFonts w:hint="eastAsia"/>
                <w:color w:val="auto"/>
                <w:spacing w:val="-2"/>
                <w:szCs w:val="22"/>
                <w:highlight w:val="none"/>
              </w:rPr>
              <w:t xml:space="preserve">陈</w:t>
            </w:r>
            <w:r>
              <w:rPr>
                <w:color w:val="auto"/>
                <w:spacing w:val="-2"/>
                <w:szCs w:val="22"/>
                <w:highlight w:val="none"/>
              </w:rPr>
              <w:t xml:space="preserve">及</w:t>
            </w:r>
            <w:r>
              <w:rPr>
                <w:rFonts w:hint="eastAsia"/>
                <w:color w:val="auto"/>
                <w:spacing w:val="-2"/>
                <w:szCs w:val="22"/>
                <w:highlight w:val="none"/>
              </w:rPr>
              <w:t xml:space="preserve">陈设布置</w:t>
            </w:r>
            <w:r>
              <w:rPr>
                <w:color w:val="auto"/>
                <w:spacing w:val="-2"/>
                <w:szCs w:val="22"/>
                <w:highlight w:val="none"/>
              </w:rPr>
              <w:t xml:space="preserve">【定制产品，具体按设计配置，包括但不限于：</w:t>
            </w:r>
            <w:r>
              <w:rPr>
                <w:rFonts w:hint="eastAsia"/>
                <w:color w:val="auto"/>
                <w:spacing w:val="-2"/>
                <w:szCs w:val="22"/>
                <w:highlight w:val="none"/>
              </w:rPr>
              <w:t xml:space="preserve">办公桌椅不少于</w:t>
            </w:r>
            <w:r>
              <w:rPr>
                <w:rFonts w:hint="eastAsia"/>
                <w:color w:val="auto"/>
                <w:spacing w:val="-2"/>
                <w:szCs w:val="22"/>
                <w:highlight w:val="none"/>
                <w:lang w:val="en-US" w:eastAsia="zh-CN"/>
              </w:rPr>
              <w:t xml:space="preserve">10</w:t>
            </w:r>
            <w:r>
              <w:rPr>
                <w:rFonts w:hint="eastAsia"/>
                <w:color w:val="auto"/>
                <w:spacing w:val="-2"/>
                <w:szCs w:val="22"/>
                <w:highlight w:val="none"/>
              </w:rPr>
              <w:t xml:space="preserve">套</w:t>
            </w:r>
            <w:r>
              <w:rPr>
                <w:rFonts w:hint="eastAsia"/>
                <w:color w:val="auto"/>
                <w:spacing w:val="-2"/>
                <w:szCs w:val="22"/>
                <w:highlight w:val="none"/>
              </w:rPr>
              <w:t xml:space="preserve">、休息沙发组合（含茶几）1套、茶水柜1个、定制图文展陈、手动竹帘1项】</w:t>
            </w:r>
            <w:r/>
          </w:p>
        </w:tc>
        <w:tc>
          <w:tcPr>
            <w:tcW w:w="876"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c>
          <w:tcPr>
            <w:tcW w:w="734"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4.4</w:t>
            </w:r>
            <w:r/>
          </w:p>
        </w:tc>
        <w:tc>
          <w:tcPr>
            <w:tcW w:w="6355" w:type="dxa"/>
            <w:vAlign w:val="center"/>
            <w:textDirection w:val="lrTb"/>
            <w:noWrap w:val="false"/>
          </w:tcPr>
          <w:p>
            <w:pPr>
              <w:pStyle w:val="1132"/>
              <w:rPr>
                <w:color w:val="auto"/>
                <w:spacing w:val="-2"/>
                <w:szCs w:val="22"/>
                <w:highlight w:val="none"/>
              </w:rPr>
            </w:pPr>
            <w:r>
              <w:rPr>
                <w:color w:val="auto"/>
                <w:spacing w:val="-3"/>
                <w:szCs w:val="22"/>
                <w:highlight w:val="none"/>
              </w:rPr>
              <w:t xml:space="preserve">电气、照明【定制产品，具体按设计配置，包括但不限于：空调</w:t>
            </w:r>
            <w:r>
              <w:rPr>
                <w:color w:val="auto"/>
                <w:spacing w:val="-4"/>
                <w:szCs w:val="22"/>
                <w:highlight w:val="none"/>
              </w:rPr>
              <w:t xml:space="preserve">，不少于1组；主照明（聚光</w:t>
            </w:r>
            <w:r>
              <w:rPr>
                <w:color w:val="auto"/>
                <w:spacing w:val="-5"/>
                <w:szCs w:val="22"/>
                <w:highlight w:val="none"/>
              </w:rPr>
              <w:t xml:space="preserve">筒灯</w:t>
            </w:r>
            <w:r>
              <w:rPr>
                <w:color w:val="auto"/>
                <w:spacing w:val="-2"/>
                <w:szCs w:val="22"/>
                <w:highlight w:val="none"/>
              </w:rPr>
              <w:t xml:space="preserve">）、装饰光源等，各不少于1组】</w:t>
            </w:r>
            <w:r/>
          </w:p>
        </w:tc>
        <w:tc>
          <w:tcPr>
            <w:tcW w:w="876"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c>
          <w:tcPr>
            <w:tcW w:w="734"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r>
      <w:tr>
        <w:trPr>
          <w:jc w:val="center"/>
          <w:trHeight w:val="560"/>
        </w:trPr>
        <w:tc>
          <w:tcPr>
            <w:gridSpan w:val="4"/>
            <w:tcW w:w="8668"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5、办公室/资料室</w:t>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5.1</w:t>
            </w:r>
            <w:r/>
          </w:p>
        </w:tc>
        <w:tc>
          <w:tcPr>
            <w:tcW w:w="6355" w:type="dxa"/>
            <w:vAlign w:val="center"/>
            <w:textDirection w:val="lrTb"/>
            <w:noWrap w:val="false"/>
          </w:tcPr>
          <w:p>
            <w:pPr>
              <w:pStyle w:val="1132"/>
              <w:rPr>
                <w:color w:val="auto"/>
                <w:spacing w:val="-3"/>
                <w:szCs w:val="22"/>
                <w:highlight w:val="none"/>
              </w:rPr>
            </w:pPr>
            <w:r>
              <w:rPr>
                <w:color w:val="auto"/>
                <w:spacing w:val="-2"/>
                <w:szCs w:val="22"/>
                <w:highlight w:val="none"/>
              </w:rPr>
              <w:t xml:space="preserve">墙面艺术布置【定制产品，具体按设计配置，包括但不限于：</w:t>
            </w:r>
            <w:r>
              <w:rPr>
                <w:rFonts w:hint="eastAsia"/>
                <w:color w:val="auto"/>
                <w:highlight w:val="none"/>
              </w:rPr>
              <w:t xml:space="preserve">门及门套、墙面处理、地砖防尘处理</w:t>
            </w:r>
            <w:r>
              <w:rPr>
                <w:color w:val="auto"/>
                <w:spacing w:val="-1"/>
                <w:szCs w:val="22"/>
                <w:highlight w:val="none"/>
              </w:rPr>
              <w:t xml:space="preserve">等】</w:t>
            </w:r>
            <w:r/>
          </w:p>
        </w:tc>
        <w:tc>
          <w:tcPr>
            <w:tcW w:w="876" w:type="dxa"/>
            <w:vAlign w:val="center"/>
            <w:vMerge w:val="restart"/>
            <w:textDirection w:val="lrTb"/>
            <w:noWrap w:val="false"/>
          </w:tcPr>
          <w:p>
            <w:pPr>
              <w:pStyle w:val="1132"/>
              <w:jc w:val="center"/>
              <w:rPr>
                <w:rFonts w:hint="eastAsia"/>
                <w:color w:val="auto"/>
                <w:highlight w:val="none"/>
              </w:rPr>
            </w:pPr>
            <w:r>
              <w:rPr>
                <w:rFonts w:hint="eastAsia"/>
                <w:color w:val="auto"/>
                <w:highlight w:val="none"/>
              </w:rPr>
              <w:t xml:space="preserve">40</w:t>
            </w:r>
            <w:r/>
          </w:p>
        </w:tc>
        <w:tc>
          <w:tcPr>
            <w:tcW w:w="734" w:type="dxa"/>
            <w:vAlign w:val="center"/>
            <w:vMerge w:val="restart"/>
            <w:textDirection w:val="lrTb"/>
            <w:noWrap w:val="false"/>
          </w:tcPr>
          <w:p>
            <w:pPr>
              <w:pStyle w:val="1132"/>
              <w:jc w:val="center"/>
              <w:rPr>
                <w:rFonts w:hint="eastAsia"/>
                <w:color w:val="auto"/>
                <w:highlight w:val="none"/>
              </w:rPr>
            </w:pPr>
            <w:r>
              <w:rPr>
                <w:color w:val="auto"/>
                <w:szCs w:val="22"/>
                <w:highlight w:val="none"/>
              </w:rPr>
              <w:t xml:space="preserve">㎡</w:t>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5.2</w:t>
            </w:r>
            <w:r/>
          </w:p>
        </w:tc>
        <w:tc>
          <w:tcPr>
            <w:tcW w:w="6355" w:type="dxa"/>
            <w:vAlign w:val="center"/>
            <w:textDirection w:val="lrTb"/>
            <w:noWrap w:val="false"/>
          </w:tcPr>
          <w:p>
            <w:pPr>
              <w:pStyle w:val="1132"/>
              <w:rPr>
                <w:color w:val="auto"/>
                <w:spacing w:val="-2"/>
                <w:szCs w:val="22"/>
                <w:highlight w:val="none"/>
              </w:rPr>
            </w:pPr>
            <w:r>
              <w:rPr>
                <w:color w:val="auto"/>
                <w:spacing w:val="-2"/>
                <w:szCs w:val="22"/>
                <w:highlight w:val="none"/>
              </w:rPr>
              <w:t xml:space="preserve">展</w:t>
            </w:r>
            <w:r>
              <w:rPr>
                <w:rFonts w:hint="eastAsia"/>
                <w:color w:val="auto"/>
                <w:spacing w:val="-2"/>
                <w:szCs w:val="22"/>
                <w:highlight w:val="none"/>
              </w:rPr>
              <w:t xml:space="preserve">陈</w:t>
            </w:r>
            <w:r>
              <w:rPr>
                <w:color w:val="auto"/>
                <w:spacing w:val="-2"/>
                <w:szCs w:val="22"/>
                <w:highlight w:val="none"/>
              </w:rPr>
              <w:t xml:space="preserve">及</w:t>
            </w:r>
            <w:r>
              <w:rPr>
                <w:rFonts w:hint="eastAsia"/>
                <w:color w:val="auto"/>
                <w:spacing w:val="-2"/>
                <w:szCs w:val="22"/>
                <w:highlight w:val="none"/>
              </w:rPr>
              <w:t xml:space="preserve">陈设布置</w:t>
            </w:r>
            <w:r>
              <w:rPr>
                <w:color w:val="auto"/>
                <w:spacing w:val="-2"/>
                <w:szCs w:val="22"/>
                <w:highlight w:val="none"/>
              </w:rPr>
              <w:t xml:space="preserve">【定制产品，具体按设计配置，包括但不限于：</w:t>
            </w:r>
            <w:r>
              <w:rPr>
                <w:rFonts w:hint="eastAsia"/>
                <w:color w:val="auto"/>
                <w:spacing w:val="-2"/>
                <w:szCs w:val="22"/>
                <w:highlight w:val="none"/>
              </w:rPr>
              <w:t xml:space="preserve">办公桌椅1套、会议桌椅1套、茶水柜1个、定制吧台及吧椅、定制资料柜、定制图文展陈、手动竹帘1项】</w:t>
            </w:r>
            <w:r/>
          </w:p>
        </w:tc>
        <w:tc>
          <w:tcPr>
            <w:tcW w:w="876"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c>
          <w:tcPr>
            <w:tcW w:w="734"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5.3</w:t>
            </w:r>
            <w:r/>
          </w:p>
        </w:tc>
        <w:tc>
          <w:tcPr>
            <w:tcW w:w="6355" w:type="dxa"/>
            <w:vAlign w:val="center"/>
            <w:textDirection w:val="lrTb"/>
            <w:noWrap w:val="false"/>
          </w:tcPr>
          <w:p>
            <w:pPr>
              <w:pStyle w:val="1132"/>
              <w:rPr>
                <w:color w:val="auto"/>
                <w:spacing w:val="-2"/>
                <w:szCs w:val="22"/>
                <w:highlight w:val="none"/>
              </w:rPr>
            </w:pPr>
            <w:r>
              <w:rPr>
                <w:color w:val="auto"/>
                <w:spacing w:val="-3"/>
                <w:szCs w:val="22"/>
                <w:highlight w:val="none"/>
              </w:rPr>
              <w:t xml:space="preserve">电气、照明【定制产品，具体按设计配置，包括但不限于：空调</w:t>
            </w:r>
            <w:r>
              <w:rPr>
                <w:color w:val="auto"/>
                <w:spacing w:val="-4"/>
                <w:szCs w:val="22"/>
                <w:highlight w:val="none"/>
              </w:rPr>
              <w:t xml:space="preserve">，不少于1组；主照明（聚光</w:t>
            </w:r>
            <w:r>
              <w:rPr>
                <w:color w:val="auto"/>
                <w:spacing w:val="-5"/>
                <w:szCs w:val="22"/>
                <w:highlight w:val="none"/>
              </w:rPr>
              <w:t xml:space="preserve">筒灯</w:t>
            </w:r>
            <w:r>
              <w:rPr>
                <w:color w:val="auto"/>
                <w:spacing w:val="-2"/>
                <w:szCs w:val="22"/>
                <w:highlight w:val="none"/>
              </w:rPr>
              <w:t xml:space="preserve">）、装饰光源等，各不少于1组】</w:t>
            </w:r>
            <w:r/>
          </w:p>
        </w:tc>
        <w:tc>
          <w:tcPr>
            <w:tcW w:w="876"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c>
          <w:tcPr>
            <w:tcW w:w="734"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r>
      <w:tr>
        <w:trPr>
          <w:jc w:val="center"/>
          <w:trHeight w:val="560"/>
        </w:trPr>
        <w:tc>
          <w:tcPr>
            <w:gridSpan w:val="4"/>
            <w:tcW w:w="8668" w:type="dxa"/>
            <w:vAlign w:val="center"/>
            <w:textDirection w:val="lrTb"/>
            <w:noWrap w:val="false"/>
          </w:tcPr>
          <w:p>
            <w:pPr>
              <w:pStyle w:val="1132"/>
              <w:jc w:val="center"/>
              <w:rPr>
                <w:rFonts w:hint="eastAsia" w:eastAsia="宋体"/>
                <w:color w:val="auto"/>
                <w:highlight w:val="none"/>
                <w:lang w:eastAsia="zh-CN"/>
              </w:rPr>
            </w:pPr>
            <w:r>
              <w:rPr>
                <w:rFonts w:hint="eastAsia"/>
                <w:color w:val="auto"/>
                <w:highlight w:val="none"/>
              </w:rPr>
              <w:t xml:space="preserve">6、</w:t>
            </w:r>
            <w:r>
              <w:rPr>
                <w:rFonts w:hint="eastAsia"/>
                <w:color w:val="auto"/>
                <w:highlight w:val="none"/>
                <w:lang w:val="en-US" w:eastAsia="zh-CN"/>
              </w:rPr>
              <w:t xml:space="preserve">邻里中心</w:t>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6.1</w:t>
            </w:r>
            <w:r/>
          </w:p>
        </w:tc>
        <w:tc>
          <w:tcPr>
            <w:tcW w:w="6355" w:type="dxa"/>
            <w:vAlign w:val="center"/>
            <w:textDirection w:val="lrTb"/>
            <w:noWrap w:val="false"/>
          </w:tcPr>
          <w:p>
            <w:pPr>
              <w:pStyle w:val="1132"/>
              <w:rPr>
                <w:color w:val="auto"/>
                <w:spacing w:val="-3"/>
                <w:szCs w:val="22"/>
                <w:highlight w:val="none"/>
              </w:rPr>
            </w:pPr>
            <w:r>
              <w:rPr>
                <w:rFonts w:hint="eastAsia"/>
                <w:color w:val="auto"/>
                <w:highlight w:val="none"/>
              </w:rPr>
              <w:t xml:space="preserve">空间围合【</w:t>
            </w:r>
            <w:r>
              <w:rPr>
                <w:color w:val="auto"/>
                <w:spacing w:val="-2"/>
                <w:szCs w:val="22"/>
                <w:highlight w:val="none"/>
              </w:rPr>
              <w:t xml:space="preserve">定制产品，具体按设计配置，包括但不限于：</w:t>
            </w:r>
            <w:r>
              <w:rPr>
                <w:rFonts w:hint="eastAsia"/>
                <w:color w:val="auto"/>
                <w:spacing w:val="-2"/>
                <w:szCs w:val="22"/>
                <w:highlight w:val="none"/>
              </w:rPr>
              <w:t xml:space="preserve">新建隔断墙、</w:t>
            </w:r>
            <w:r>
              <w:rPr>
                <w:rFonts w:hint="eastAsia"/>
                <w:color w:val="auto"/>
                <w:highlight w:val="none"/>
              </w:rPr>
              <w:t xml:space="preserve">天花局部处理，玻璃门及门套、墙面处理、地砖防尘处理等】</w:t>
            </w:r>
            <w:r/>
          </w:p>
        </w:tc>
        <w:tc>
          <w:tcPr>
            <w:tcW w:w="876" w:type="dxa"/>
            <w:vAlign w:val="center"/>
            <w:vMerge w:val="restart"/>
            <w:textDirection w:val="lrTb"/>
            <w:noWrap w:val="false"/>
          </w:tcPr>
          <w:p>
            <w:pPr>
              <w:pStyle w:val="1132"/>
              <w:jc w:val="center"/>
              <w:rPr>
                <w:rFonts w:hint="eastAsia"/>
                <w:color w:val="auto"/>
                <w:highlight w:val="none"/>
              </w:rPr>
            </w:pPr>
            <w:r>
              <w:rPr>
                <w:rFonts w:hint="eastAsia"/>
                <w:color w:val="auto"/>
                <w:highlight w:val="none"/>
              </w:rPr>
              <w:t xml:space="preserve">60</w:t>
            </w:r>
            <w:r/>
          </w:p>
        </w:tc>
        <w:tc>
          <w:tcPr>
            <w:tcW w:w="734" w:type="dxa"/>
            <w:vAlign w:val="center"/>
            <w:vMerge w:val="restart"/>
            <w:textDirection w:val="lrTb"/>
            <w:noWrap w:val="false"/>
          </w:tcPr>
          <w:p>
            <w:pPr>
              <w:pStyle w:val="1132"/>
              <w:jc w:val="center"/>
              <w:rPr>
                <w:rFonts w:hint="eastAsia"/>
                <w:color w:val="auto"/>
                <w:highlight w:val="none"/>
              </w:rPr>
            </w:pPr>
            <w:r>
              <w:rPr>
                <w:color w:val="auto"/>
                <w:szCs w:val="22"/>
                <w:highlight w:val="none"/>
              </w:rPr>
              <w:t xml:space="preserve">㎡</w:t>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6.2</w:t>
            </w:r>
            <w:r/>
          </w:p>
        </w:tc>
        <w:tc>
          <w:tcPr>
            <w:tcW w:w="6355" w:type="dxa"/>
            <w:vAlign w:val="center"/>
            <w:textDirection w:val="lrTb"/>
            <w:noWrap w:val="false"/>
          </w:tcPr>
          <w:p>
            <w:pPr>
              <w:pStyle w:val="1132"/>
              <w:rPr>
                <w:rFonts w:hint="eastAsia"/>
                <w:color w:val="auto"/>
                <w:highlight w:val="none"/>
              </w:rPr>
            </w:pPr>
            <w:r>
              <w:rPr>
                <w:color w:val="auto"/>
                <w:spacing w:val="-2"/>
                <w:szCs w:val="22"/>
                <w:highlight w:val="none"/>
              </w:rPr>
              <w:t xml:space="preserve">展</w:t>
            </w:r>
            <w:r>
              <w:rPr>
                <w:rFonts w:hint="eastAsia"/>
                <w:color w:val="auto"/>
                <w:spacing w:val="-2"/>
                <w:szCs w:val="22"/>
                <w:highlight w:val="none"/>
              </w:rPr>
              <w:t xml:space="preserve">陈</w:t>
            </w:r>
            <w:r>
              <w:rPr>
                <w:color w:val="auto"/>
                <w:spacing w:val="-2"/>
                <w:szCs w:val="22"/>
                <w:highlight w:val="none"/>
              </w:rPr>
              <w:t xml:space="preserve">及</w:t>
            </w:r>
            <w:r>
              <w:rPr>
                <w:rFonts w:hint="eastAsia"/>
                <w:color w:val="auto"/>
                <w:spacing w:val="-2"/>
                <w:szCs w:val="22"/>
                <w:highlight w:val="none"/>
              </w:rPr>
              <w:t xml:space="preserve">陈设布置</w:t>
            </w:r>
            <w:r>
              <w:rPr>
                <w:color w:val="auto"/>
                <w:spacing w:val="-2"/>
                <w:szCs w:val="22"/>
                <w:highlight w:val="none"/>
              </w:rPr>
              <w:t xml:space="preserve">【定制产品，具体按设计配置，包括但不限于：</w:t>
            </w:r>
            <w:r>
              <w:rPr>
                <w:rFonts w:hint="eastAsia"/>
                <w:color w:val="auto"/>
                <w:spacing w:val="-2"/>
                <w:szCs w:val="22"/>
                <w:highlight w:val="none"/>
              </w:rPr>
              <w:t xml:space="preserve">定制吧台、定制操作柜、定制置物架、墙面老物件、定制休闲坐凳、休闲椅（含茶几）2组、休闲桌椅2套、储物柜1套、定制图文展陈】</w:t>
            </w:r>
            <w:r/>
          </w:p>
        </w:tc>
        <w:tc>
          <w:tcPr>
            <w:tcW w:w="876"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c>
          <w:tcPr>
            <w:tcW w:w="734"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6.3</w:t>
            </w:r>
            <w:r/>
          </w:p>
        </w:tc>
        <w:tc>
          <w:tcPr>
            <w:tcW w:w="6355" w:type="dxa"/>
            <w:vAlign w:val="center"/>
            <w:textDirection w:val="lrTb"/>
            <w:noWrap w:val="false"/>
          </w:tcPr>
          <w:p>
            <w:pPr>
              <w:pStyle w:val="1132"/>
              <w:rPr>
                <w:color w:val="auto"/>
                <w:spacing w:val="-2"/>
                <w:szCs w:val="22"/>
                <w:highlight w:val="none"/>
              </w:rPr>
            </w:pPr>
            <w:r>
              <w:rPr>
                <w:color w:val="auto"/>
                <w:spacing w:val="-3"/>
                <w:szCs w:val="22"/>
                <w:highlight w:val="none"/>
              </w:rPr>
              <w:t xml:space="preserve">电气、照明【定制产品，具体按设计配置，包括但不限于：空调</w:t>
            </w:r>
            <w:r>
              <w:rPr>
                <w:color w:val="auto"/>
                <w:spacing w:val="-4"/>
                <w:szCs w:val="22"/>
                <w:highlight w:val="none"/>
              </w:rPr>
              <w:t xml:space="preserve">，不少于1组；主照明（聚光</w:t>
            </w:r>
            <w:r>
              <w:rPr>
                <w:color w:val="auto"/>
                <w:spacing w:val="-5"/>
                <w:szCs w:val="22"/>
                <w:highlight w:val="none"/>
              </w:rPr>
              <w:t xml:space="preserve">筒灯</w:t>
            </w:r>
            <w:r>
              <w:rPr>
                <w:color w:val="auto"/>
                <w:spacing w:val="-2"/>
                <w:szCs w:val="22"/>
                <w:highlight w:val="none"/>
              </w:rPr>
              <w:t xml:space="preserve">）、装饰光源等，各不少于1组】</w:t>
            </w:r>
            <w:r/>
          </w:p>
        </w:tc>
        <w:tc>
          <w:tcPr>
            <w:tcW w:w="876"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c>
          <w:tcPr>
            <w:tcW w:w="734"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6.4</w:t>
            </w:r>
            <w:r/>
          </w:p>
        </w:tc>
        <w:tc>
          <w:tcPr>
            <w:tcW w:w="6355" w:type="dxa"/>
            <w:vAlign w:val="center"/>
            <w:textDirection w:val="lrTb"/>
            <w:noWrap w:val="false"/>
          </w:tcPr>
          <w:p>
            <w:pPr>
              <w:pStyle w:val="1132"/>
              <w:rPr>
                <w:color w:val="auto"/>
                <w:spacing w:val="-3"/>
                <w:szCs w:val="22"/>
                <w:highlight w:val="none"/>
              </w:rPr>
            </w:pPr>
            <w:r>
              <w:rPr>
                <w:rFonts w:hint="eastAsia"/>
                <w:color w:val="auto"/>
                <w:highlight w:val="none"/>
              </w:rPr>
              <w:t xml:space="preserve">给排水配套【</w:t>
            </w:r>
            <w:r>
              <w:rPr>
                <w:color w:val="auto"/>
                <w:spacing w:val="-2"/>
                <w:szCs w:val="22"/>
                <w:highlight w:val="none"/>
              </w:rPr>
              <w:t xml:space="preserve">定制产品，具体按设计配置，包括但不限于：</w:t>
            </w:r>
            <w:r>
              <w:rPr>
                <w:rFonts w:hint="eastAsia"/>
                <w:color w:val="auto"/>
                <w:spacing w:val="-2"/>
                <w:szCs w:val="22"/>
                <w:highlight w:val="none"/>
              </w:rPr>
              <w:t xml:space="preserve">吧台区域给排水铺设、不锈钢水槽、净水器</w:t>
            </w:r>
            <w:r>
              <w:rPr>
                <w:rFonts w:hint="eastAsia"/>
                <w:color w:val="auto"/>
                <w:highlight w:val="none"/>
              </w:rPr>
              <w:t xml:space="preserve">等】</w:t>
            </w:r>
            <w:r/>
          </w:p>
        </w:tc>
        <w:tc>
          <w:tcPr>
            <w:tcW w:w="876"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c>
          <w:tcPr>
            <w:tcW w:w="734"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r>
      <w:tr>
        <w:trPr>
          <w:jc w:val="center"/>
          <w:trHeight w:val="560"/>
        </w:trPr>
        <w:tc>
          <w:tcPr>
            <w:gridSpan w:val="4"/>
            <w:tcW w:w="8668"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7、妇女儿童之家</w:t>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7.1</w:t>
            </w:r>
            <w:r/>
          </w:p>
        </w:tc>
        <w:tc>
          <w:tcPr>
            <w:tcW w:w="6355" w:type="dxa"/>
            <w:vAlign w:val="center"/>
            <w:textDirection w:val="lrTb"/>
            <w:noWrap w:val="false"/>
          </w:tcPr>
          <w:p>
            <w:pPr>
              <w:pStyle w:val="1132"/>
              <w:rPr>
                <w:rFonts w:hint="eastAsia"/>
                <w:color w:val="auto"/>
                <w:highlight w:val="none"/>
              </w:rPr>
            </w:pPr>
            <w:r>
              <w:rPr>
                <w:rFonts w:hint="eastAsia"/>
                <w:color w:val="auto"/>
                <w:highlight w:val="none"/>
              </w:rPr>
              <w:t xml:space="preserve">空间围合【</w:t>
            </w:r>
            <w:r>
              <w:rPr>
                <w:color w:val="auto"/>
                <w:spacing w:val="-2"/>
                <w:szCs w:val="22"/>
                <w:highlight w:val="none"/>
              </w:rPr>
              <w:t xml:space="preserve">定制产品，具体按设计配置，包括但不限于：</w:t>
            </w:r>
            <w:r>
              <w:rPr>
                <w:rFonts w:hint="eastAsia"/>
                <w:color w:val="auto"/>
                <w:spacing w:val="-2"/>
                <w:szCs w:val="22"/>
                <w:highlight w:val="none"/>
              </w:rPr>
              <w:t xml:space="preserve">新建隔断墙、</w:t>
            </w:r>
            <w:r>
              <w:rPr>
                <w:rFonts w:hint="eastAsia"/>
                <w:color w:val="auto"/>
                <w:highlight w:val="none"/>
              </w:rPr>
              <w:t xml:space="preserve">天花局部处理，门及门套、墙面处理等】</w:t>
            </w:r>
            <w:r/>
          </w:p>
        </w:tc>
        <w:tc>
          <w:tcPr>
            <w:tcW w:w="876" w:type="dxa"/>
            <w:vAlign w:val="center"/>
            <w:vMerge w:val="restart"/>
            <w:textDirection w:val="lrTb"/>
            <w:noWrap w:val="false"/>
          </w:tcPr>
          <w:p>
            <w:pPr>
              <w:pStyle w:val="1132"/>
              <w:jc w:val="center"/>
              <w:rPr>
                <w:rFonts w:hint="eastAsia"/>
                <w:color w:val="auto"/>
                <w:highlight w:val="none"/>
              </w:rPr>
            </w:pPr>
            <w:r>
              <w:rPr>
                <w:rFonts w:hint="eastAsia"/>
                <w:color w:val="auto"/>
                <w:highlight w:val="none"/>
              </w:rPr>
              <w:t xml:space="preserve">28</w:t>
            </w:r>
            <w:r/>
          </w:p>
        </w:tc>
        <w:tc>
          <w:tcPr>
            <w:tcW w:w="734" w:type="dxa"/>
            <w:vAlign w:val="center"/>
            <w:vMerge w:val="restart"/>
            <w:textDirection w:val="lrTb"/>
            <w:noWrap w:val="false"/>
          </w:tcPr>
          <w:p>
            <w:pPr>
              <w:pStyle w:val="1132"/>
              <w:jc w:val="center"/>
              <w:rPr>
                <w:rFonts w:hint="eastAsia"/>
                <w:color w:val="auto"/>
                <w:highlight w:val="none"/>
              </w:rPr>
            </w:pPr>
            <w:r>
              <w:rPr>
                <w:color w:val="auto"/>
                <w:szCs w:val="22"/>
                <w:highlight w:val="none"/>
              </w:rPr>
              <w:t xml:space="preserve">㎡</w:t>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7.2</w:t>
            </w:r>
            <w:r/>
          </w:p>
        </w:tc>
        <w:tc>
          <w:tcPr>
            <w:tcW w:w="6355" w:type="dxa"/>
            <w:vAlign w:val="center"/>
            <w:textDirection w:val="lrTb"/>
            <w:noWrap w:val="false"/>
          </w:tcPr>
          <w:p>
            <w:pPr>
              <w:pStyle w:val="1132"/>
              <w:rPr>
                <w:rFonts w:hint="eastAsia"/>
                <w:color w:val="auto"/>
                <w:highlight w:val="none"/>
              </w:rPr>
            </w:pPr>
            <w:r>
              <w:rPr>
                <w:color w:val="auto"/>
                <w:spacing w:val="-2"/>
                <w:szCs w:val="22"/>
                <w:highlight w:val="none"/>
              </w:rPr>
              <w:t xml:space="preserve">展</w:t>
            </w:r>
            <w:r>
              <w:rPr>
                <w:rFonts w:hint="eastAsia"/>
                <w:color w:val="auto"/>
                <w:spacing w:val="-2"/>
                <w:szCs w:val="22"/>
                <w:highlight w:val="none"/>
              </w:rPr>
              <w:t xml:space="preserve">陈</w:t>
            </w:r>
            <w:r>
              <w:rPr>
                <w:color w:val="auto"/>
                <w:spacing w:val="-2"/>
                <w:szCs w:val="22"/>
                <w:highlight w:val="none"/>
              </w:rPr>
              <w:t xml:space="preserve">及</w:t>
            </w:r>
            <w:r>
              <w:rPr>
                <w:rFonts w:hint="eastAsia"/>
                <w:color w:val="auto"/>
                <w:spacing w:val="-2"/>
                <w:szCs w:val="22"/>
                <w:highlight w:val="none"/>
              </w:rPr>
              <w:t xml:space="preserve">陈设布置</w:t>
            </w:r>
            <w:r>
              <w:rPr>
                <w:color w:val="auto"/>
                <w:spacing w:val="-2"/>
                <w:szCs w:val="22"/>
                <w:highlight w:val="none"/>
              </w:rPr>
              <w:t xml:space="preserve">【定制产品，具体按设计配置，包括但不限于：</w:t>
            </w:r>
            <w:r>
              <w:rPr>
                <w:rFonts w:hint="eastAsia"/>
                <w:color w:val="auto"/>
                <w:spacing w:val="-2"/>
                <w:szCs w:val="22"/>
                <w:highlight w:val="none"/>
              </w:rPr>
              <w:t xml:space="preserve">休闲椅+茶几组合不少于1套、长桌椅组合（1桌6椅）1套、定制图文展陈】</w:t>
            </w:r>
            <w:r/>
          </w:p>
        </w:tc>
        <w:tc>
          <w:tcPr>
            <w:tcW w:w="876"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c>
          <w:tcPr>
            <w:tcW w:w="734"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7.3</w:t>
            </w:r>
            <w:r/>
          </w:p>
        </w:tc>
        <w:tc>
          <w:tcPr>
            <w:tcW w:w="6355" w:type="dxa"/>
            <w:vAlign w:val="center"/>
            <w:textDirection w:val="lrTb"/>
            <w:noWrap w:val="false"/>
          </w:tcPr>
          <w:p>
            <w:pPr>
              <w:pStyle w:val="1132"/>
              <w:rPr>
                <w:color w:val="auto"/>
                <w:spacing w:val="-2"/>
                <w:szCs w:val="22"/>
                <w:highlight w:val="none"/>
              </w:rPr>
            </w:pPr>
            <w:r>
              <w:rPr>
                <w:color w:val="auto"/>
                <w:spacing w:val="-3"/>
                <w:szCs w:val="22"/>
                <w:highlight w:val="none"/>
              </w:rPr>
              <w:t xml:space="preserve">电气、照明【定制产品，具体按设计配置，包括但不限于：空调</w:t>
            </w:r>
            <w:r>
              <w:rPr>
                <w:color w:val="auto"/>
                <w:spacing w:val="-4"/>
                <w:szCs w:val="22"/>
                <w:highlight w:val="none"/>
              </w:rPr>
              <w:t xml:space="preserve">，不少于1组；主照明（聚光</w:t>
            </w:r>
            <w:r>
              <w:rPr>
                <w:color w:val="auto"/>
                <w:spacing w:val="-5"/>
                <w:szCs w:val="22"/>
                <w:highlight w:val="none"/>
              </w:rPr>
              <w:t xml:space="preserve">筒灯</w:t>
            </w:r>
            <w:r>
              <w:rPr>
                <w:color w:val="auto"/>
                <w:spacing w:val="-2"/>
                <w:szCs w:val="22"/>
                <w:highlight w:val="none"/>
              </w:rPr>
              <w:t xml:space="preserve">）、装饰光源等，各不少于1组】</w:t>
            </w:r>
            <w:r/>
          </w:p>
        </w:tc>
        <w:tc>
          <w:tcPr>
            <w:tcW w:w="876"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c>
          <w:tcPr>
            <w:tcW w:w="734"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r>
      <w:tr>
        <w:trPr>
          <w:jc w:val="center"/>
          <w:trHeight w:val="560"/>
        </w:trPr>
        <w:tc>
          <w:tcPr>
            <w:gridSpan w:val="4"/>
            <w:tcW w:w="8668"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8、多功能厅</w:t>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8.1</w:t>
            </w:r>
            <w:r/>
          </w:p>
        </w:tc>
        <w:tc>
          <w:tcPr>
            <w:tcW w:w="6355" w:type="dxa"/>
            <w:vAlign w:val="center"/>
            <w:textDirection w:val="lrTb"/>
            <w:noWrap w:val="false"/>
          </w:tcPr>
          <w:p>
            <w:pPr>
              <w:pStyle w:val="1132"/>
              <w:rPr>
                <w:color w:val="auto"/>
                <w:spacing w:val="-3"/>
                <w:szCs w:val="22"/>
                <w:highlight w:val="none"/>
              </w:rPr>
            </w:pPr>
            <w:r>
              <w:rPr>
                <w:rFonts w:hint="eastAsia"/>
                <w:color w:val="auto"/>
                <w:spacing w:val="-2"/>
                <w:szCs w:val="22"/>
                <w:highlight w:val="none"/>
              </w:rPr>
              <w:t xml:space="preserve">空间围合</w:t>
            </w:r>
            <w:r>
              <w:rPr>
                <w:color w:val="auto"/>
                <w:spacing w:val="-2"/>
                <w:szCs w:val="22"/>
                <w:highlight w:val="none"/>
              </w:rPr>
              <w:t xml:space="preserve">【定制产品，具体按设计配置，包括但不限于：</w:t>
            </w:r>
            <w:r>
              <w:rPr>
                <w:rFonts w:hint="eastAsia"/>
                <w:color w:val="auto"/>
                <w:spacing w:val="-2"/>
                <w:szCs w:val="22"/>
                <w:highlight w:val="none"/>
              </w:rPr>
              <w:t xml:space="preserve">新建隔断</w:t>
            </w:r>
            <w:r>
              <w:rPr>
                <w:color w:val="auto"/>
                <w:spacing w:val="-1"/>
                <w:szCs w:val="22"/>
                <w:highlight w:val="none"/>
              </w:rPr>
              <w:t xml:space="preserve">、墙面装饰</w:t>
            </w:r>
            <w:r>
              <w:rPr>
                <w:rFonts w:hint="eastAsia"/>
                <w:color w:val="auto"/>
                <w:spacing w:val="-1"/>
                <w:szCs w:val="22"/>
                <w:highlight w:val="none"/>
              </w:rPr>
              <w:t xml:space="preserve">、</w:t>
            </w:r>
            <w:r>
              <w:rPr>
                <w:rFonts w:hint="eastAsia"/>
                <w:color w:val="auto"/>
                <w:highlight w:val="none"/>
              </w:rPr>
              <w:t xml:space="preserve">地砖防尘处理</w:t>
            </w:r>
            <w:r>
              <w:rPr>
                <w:color w:val="auto"/>
                <w:spacing w:val="-1"/>
                <w:szCs w:val="22"/>
                <w:highlight w:val="none"/>
              </w:rPr>
              <w:t xml:space="preserve">等】</w:t>
            </w:r>
            <w:r/>
          </w:p>
        </w:tc>
        <w:tc>
          <w:tcPr>
            <w:tcW w:w="876" w:type="dxa"/>
            <w:vAlign w:val="center"/>
            <w:vMerge w:val="restart"/>
            <w:textDirection w:val="lrTb"/>
            <w:noWrap w:val="false"/>
          </w:tcPr>
          <w:p>
            <w:pPr>
              <w:pStyle w:val="1132"/>
              <w:jc w:val="center"/>
              <w:rPr>
                <w:rFonts w:hint="eastAsia"/>
                <w:color w:val="auto"/>
                <w:highlight w:val="none"/>
              </w:rPr>
            </w:pPr>
            <w:r>
              <w:rPr>
                <w:rFonts w:hint="eastAsia"/>
                <w:color w:val="auto"/>
                <w:highlight w:val="none"/>
              </w:rPr>
              <w:t xml:space="preserve">70</w:t>
            </w:r>
            <w:r/>
          </w:p>
        </w:tc>
        <w:tc>
          <w:tcPr>
            <w:tcW w:w="734" w:type="dxa"/>
            <w:vAlign w:val="center"/>
            <w:vMerge w:val="restart"/>
            <w:textDirection w:val="lrTb"/>
            <w:noWrap w:val="false"/>
          </w:tcPr>
          <w:p>
            <w:pPr>
              <w:pStyle w:val="1132"/>
              <w:jc w:val="center"/>
              <w:rPr>
                <w:rFonts w:hint="eastAsia"/>
                <w:color w:val="auto"/>
                <w:highlight w:val="none"/>
              </w:rPr>
            </w:pPr>
            <w:r>
              <w:rPr>
                <w:color w:val="auto"/>
                <w:szCs w:val="22"/>
                <w:highlight w:val="none"/>
              </w:rPr>
              <w:t xml:space="preserve">㎡</w:t>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8.2</w:t>
            </w:r>
            <w:r/>
          </w:p>
        </w:tc>
        <w:tc>
          <w:tcPr>
            <w:tcW w:w="6355" w:type="dxa"/>
            <w:vAlign w:val="center"/>
            <w:textDirection w:val="lrTb"/>
            <w:noWrap w:val="false"/>
          </w:tcPr>
          <w:p>
            <w:pPr>
              <w:pStyle w:val="1132"/>
              <w:rPr>
                <w:color w:val="auto"/>
                <w:spacing w:val="-2"/>
                <w:szCs w:val="22"/>
                <w:highlight w:val="none"/>
              </w:rPr>
            </w:pPr>
            <w:r>
              <w:rPr>
                <w:color w:val="auto"/>
                <w:spacing w:val="-2"/>
                <w:szCs w:val="22"/>
                <w:highlight w:val="none"/>
              </w:rPr>
              <w:t xml:space="preserve">陈设布置【定制产品，具体按设计配置，包</w:t>
            </w:r>
            <w:r>
              <w:rPr>
                <w:color w:val="auto"/>
                <w:spacing w:val="-3"/>
                <w:szCs w:val="22"/>
                <w:highlight w:val="none"/>
              </w:rPr>
              <w:t xml:space="preserve">括但不限于：</w:t>
            </w:r>
            <w:r>
              <w:rPr>
                <w:rFonts w:hint="eastAsia"/>
                <w:color w:val="auto"/>
                <w:spacing w:val="-3"/>
                <w:szCs w:val="22"/>
                <w:highlight w:val="none"/>
              </w:rPr>
              <w:t xml:space="preserve">组合会议桌3张、会议椅不少于80把、墙面图文展陈等</w:t>
            </w:r>
            <w:r>
              <w:rPr>
                <w:color w:val="auto"/>
                <w:spacing w:val="-5"/>
                <w:szCs w:val="22"/>
                <w:highlight w:val="none"/>
              </w:rPr>
              <w:t xml:space="preserve">】</w:t>
            </w:r>
            <w:r/>
          </w:p>
        </w:tc>
        <w:tc>
          <w:tcPr>
            <w:tcW w:w="876"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c>
          <w:tcPr>
            <w:tcW w:w="734"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8.3</w:t>
            </w:r>
            <w:r/>
          </w:p>
        </w:tc>
        <w:tc>
          <w:tcPr>
            <w:tcW w:w="6355" w:type="dxa"/>
            <w:vAlign w:val="center"/>
            <w:textDirection w:val="lrTb"/>
            <w:noWrap w:val="false"/>
          </w:tcPr>
          <w:p>
            <w:pPr>
              <w:pStyle w:val="1132"/>
              <w:rPr>
                <w:color w:val="auto"/>
                <w:spacing w:val="-2"/>
                <w:szCs w:val="22"/>
                <w:highlight w:val="none"/>
              </w:rPr>
            </w:pPr>
            <w:r>
              <w:rPr>
                <w:color w:val="auto"/>
                <w:spacing w:val="-3"/>
                <w:szCs w:val="22"/>
                <w:highlight w:val="none"/>
              </w:rPr>
              <w:t xml:space="preserve">电气、照明【定制产品，具体按设计配置，包括但不限于：空调</w:t>
            </w:r>
            <w:r>
              <w:rPr>
                <w:rFonts w:hint="eastAsia"/>
                <w:color w:val="auto"/>
                <w:spacing w:val="-4"/>
                <w:szCs w:val="22"/>
                <w:highlight w:val="none"/>
              </w:rPr>
              <w:t xml:space="preserve">、</w:t>
            </w:r>
            <w:r>
              <w:rPr>
                <w:color w:val="auto"/>
                <w:spacing w:val="-4"/>
                <w:szCs w:val="22"/>
                <w:highlight w:val="none"/>
              </w:rPr>
              <w:t xml:space="preserve">主照明（聚光</w:t>
            </w:r>
            <w:r>
              <w:rPr>
                <w:color w:val="auto"/>
                <w:spacing w:val="-5"/>
                <w:szCs w:val="22"/>
                <w:highlight w:val="none"/>
              </w:rPr>
              <w:t xml:space="preserve">筒灯</w:t>
            </w:r>
            <w:r>
              <w:rPr>
                <w:color w:val="auto"/>
                <w:spacing w:val="-2"/>
                <w:szCs w:val="22"/>
                <w:highlight w:val="none"/>
              </w:rPr>
              <w:t xml:space="preserve">）、装饰光源等，各不少于1组】</w:t>
            </w:r>
            <w:r/>
          </w:p>
        </w:tc>
        <w:tc>
          <w:tcPr>
            <w:tcW w:w="876"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c>
          <w:tcPr>
            <w:tcW w:w="734"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r>
      <w:tr>
        <w:trPr>
          <w:jc w:val="center"/>
          <w:trHeight w:val="560"/>
        </w:trPr>
        <w:tc>
          <w:tcPr>
            <w:gridSpan w:val="4"/>
            <w:tcW w:w="8668"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9、退役军人服务站</w:t>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9.1</w:t>
            </w:r>
            <w:r/>
          </w:p>
        </w:tc>
        <w:tc>
          <w:tcPr>
            <w:tcW w:w="6355" w:type="dxa"/>
            <w:vAlign w:val="center"/>
            <w:textDirection w:val="lrTb"/>
            <w:noWrap w:val="false"/>
          </w:tcPr>
          <w:p>
            <w:pPr>
              <w:pStyle w:val="1132"/>
              <w:rPr>
                <w:color w:val="auto"/>
                <w:spacing w:val="-3"/>
                <w:szCs w:val="22"/>
                <w:highlight w:val="none"/>
              </w:rPr>
            </w:pPr>
            <w:r>
              <w:rPr>
                <w:rFonts w:hint="eastAsia"/>
                <w:color w:val="auto"/>
                <w:highlight w:val="none"/>
              </w:rPr>
              <w:t xml:space="preserve">空间围合【</w:t>
            </w:r>
            <w:r>
              <w:rPr>
                <w:color w:val="auto"/>
                <w:spacing w:val="-2"/>
                <w:szCs w:val="22"/>
                <w:highlight w:val="none"/>
              </w:rPr>
              <w:t xml:space="preserve">定制产品，具体按设计配置，包括但不限于：</w:t>
            </w:r>
            <w:r>
              <w:rPr>
                <w:rFonts w:hint="eastAsia"/>
                <w:color w:val="auto"/>
                <w:spacing w:val="-2"/>
                <w:szCs w:val="22"/>
                <w:highlight w:val="none"/>
              </w:rPr>
              <w:t xml:space="preserve">新建隔断墙、</w:t>
            </w:r>
            <w:r>
              <w:rPr>
                <w:rFonts w:hint="eastAsia"/>
                <w:color w:val="auto"/>
                <w:highlight w:val="none"/>
              </w:rPr>
              <w:t xml:space="preserve">天花局部处理，门及门套、墙面处理等】</w:t>
            </w:r>
            <w:r/>
          </w:p>
        </w:tc>
        <w:tc>
          <w:tcPr>
            <w:tcW w:w="876" w:type="dxa"/>
            <w:vAlign w:val="center"/>
            <w:vMerge w:val="restart"/>
            <w:textDirection w:val="lrTb"/>
            <w:noWrap w:val="false"/>
          </w:tcPr>
          <w:p>
            <w:pPr>
              <w:pStyle w:val="1132"/>
              <w:jc w:val="center"/>
              <w:rPr>
                <w:rFonts w:hint="eastAsia"/>
                <w:color w:val="auto"/>
                <w:highlight w:val="none"/>
              </w:rPr>
            </w:pPr>
            <w:r>
              <w:rPr>
                <w:rFonts w:hint="eastAsia"/>
                <w:color w:val="auto"/>
                <w:highlight w:val="none"/>
              </w:rPr>
              <w:t xml:space="preserve">40</w:t>
            </w:r>
            <w:r/>
          </w:p>
        </w:tc>
        <w:tc>
          <w:tcPr>
            <w:tcW w:w="734" w:type="dxa"/>
            <w:vAlign w:val="center"/>
            <w:vMerge w:val="restart"/>
            <w:textDirection w:val="lrTb"/>
            <w:noWrap w:val="false"/>
          </w:tcPr>
          <w:p>
            <w:pPr>
              <w:pStyle w:val="1132"/>
              <w:jc w:val="center"/>
              <w:rPr>
                <w:rFonts w:hint="eastAsia"/>
                <w:color w:val="auto"/>
                <w:highlight w:val="none"/>
              </w:rPr>
            </w:pPr>
            <w:r>
              <w:rPr>
                <w:color w:val="auto"/>
                <w:szCs w:val="22"/>
                <w:highlight w:val="none"/>
              </w:rPr>
              <w:t xml:space="preserve">㎡</w:t>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9.2</w:t>
            </w:r>
            <w:r/>
          </w:p>
        </w:tc>
        <w:tc>
          <w:tcPr>
            <w:tcW w:w="6355" w:type="dxa"/>
            <w:vAlign w:val="center"/>
            <w:textDirection w:val="lrTb"/>
            <w:noWrap w:val="false"/>
          </w:tcPr>
          <w:p>
            <w:pPr>
              <w:pStyle w:val="1132"/>
              <w:rPr>
                <w:rFonts w:hint="eastAsia"/>
                <w:color w:val="auto"/>
                <w:highlight w:val="none"/>
              </w:rPr>
            </w:pPr>
            <w:r>
              <w:rPr>
                <w:color w:val="auto"/>
                <w:spacing w:val="-2"/>
                <w:szCs w:val="22"/>
                <w:highlight w:val="none"/>
              </w:rPr>
              <w:t xml:space="preserve">展</w:t>
            </w:r>
            <w:r>
              <w:rPr>
                <w:rFonts w:hint="eastAsia"/>
                <w:color w:val="auto"/>
                <w:spacing w:val="-2"/>
                <w:szCs w:val="22"/>
                <w:highlight w:val="none"/>
              </w:rPr>
              <w:t xml:space="preserve">陈</w:t>
            </w:r>
            <w:r>
              <w:rPr>
                <w:color w:val="auto"/>
                <w:spacing w:val="-2"/>
                <w:szCs w:val="22"/>
                <w:highlight w:val="none"/>
              </w:rPr>
              <w:t xml:space="preserve">及</w:t>
            </w:r>
            <w:r>
              <w:rPr>
                <w:rFonts w:hint="eastAsia"/>
                <w:color w:val="auto"/>
                <w:spacing w:val="-2"/>
                <w:szCs w:val="22"/>
                <w:highlight w:val="none"/>
              </w:rPr>
              <w:t xml:space="preserve">陈设布置</w:t>
            </w:r>
            <w:r>
              <w:rPr>
                <w:color w:val="auto"/>
                <w:spacing w:val="-2"/>
                <w:szCs w:val="22"/>
                <w:highlight w:val="none"/>
              </w:rPr>
              <w:t xml:space="preserve">【定制产品，具体按设计配置，包括但不限于：</w:t>
            </w:r>
            <w:r>
              <w:rPr>
                <w:rFonts w:hint="eastAsia"/>
                <w:color w:val="auto"/>
                <w:spacing w:val="-2"/>
                <w:szCs w:val="22"/>
                <w:highlight w:val="none"/>
              </w:rPr>
              <w:t xml:space="preserve">办公桌椅组合4套、休闲桌椅组合（1桌4椅）1套、定制图文展陈】</w:t>
            </w:r>
            <w:r/>
          </w:p>
        </w:tc>
        <w:tc>
          <w:tcPr>
            <w:tcW w:w="876"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c>
          <w:tcPr>
            <w:tcW w:w="734"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9.3</w:t>
            </w:r>
            <w:r/>
          </w:p>
        </w:tc>
        <w:tc>
          <w:tcPr>
            <w:tcW w:w="6355" w:type="dxa"/>
            <w:vAlign w:val="center"/>
            <w:textDirection w:val="lrTb"/>
            <w:noWrap w:val="false"/>
          </w:tcPr>
          <w:p>
            <w:pPr>
              <w:pStyle w:val="1132"/>
              <w:rPr>
                <w:color w:val="auto"/>
                <w:spacing w:val="-2"/>
                <w:szCs w:val="22"/>
                <w:highlight w:val="none"/>
              </w:rPr>
            </w:pPr>
            <w:r>
              <w:rPr>
                <w:color w:val="auto"/>
                <w:spacing w:val="-3"/>
                <w:szCs w:val="22"/>
                <w:highlight w:val="none"/>
              </w:rPr>
              <w:t xml:space="preserve">电气、照明【定制产品，具体按设计配置，包括但不限于：空调</w:t>
            </w:r>
            <w:r>
              <w:rPr>
                <w:rFonts w:hint="eastAsia"/>
                <w:color w:val="auto"/>
                <w:spacing w:val="-4"/>
                <w:szCs w:val="22"/>
                <w:highlight w:val="none"/>
              </w:rPr>
              <w:t xml:space="preserve">、</w:t>
            </w:r>
            <w:r>
              <w:rPr>
                <w:color w:val="auto"/>
                <w:spacing w:val="-4"/>
                <w:szCs w:val="22"/>
                <w:highlight w:val="none"/>
              </w:rPr>
              <w:t xml:space="preserve">主照明（聚光</w:t>
            </w:r>
            <w:r>
              <w:rPr>
                <w:color w:val="auto"/>
                <w:spacing w:val="-5"/>
                <w:szCs w:val="22"/>
                <w:highlight w:val="none"/>
              </w:rPr>
              <w:t xml:space="preserve">筒灯</w:t>
            </w:r>
            <w:r>
              <w:rPr>
                <w:color w:val="auto"/>
                <w:spacing w:val="-2"/>
                <w:szCs w:val="22"/>
                <w:highlight w:val="none"/>
              </w:rPr>
              <w:t xml:space="preserve">）、装饰光源等，各不少于1组】</w:t>
            </w:r>
            <w:r/>
          </w:p>
        </w:tc>
        <w:tc>
          <w:tcPr>
            <w:tcW w:w="876"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c>
          <w:tcPr>
            <w:tcW w:w="734" w:type="dxa"/>
            <w:vAlign w:val="center"/>
            <w:vMerge w:val="continue"/>
            <w:textDirection w:val="lrTb"/>
            <w:noWrap w:val="false"/>
          </w:tcPr>
          <w:p>
            <w:pPr>
              <w:pStyle w:val="1132"/>
              <w:jc w:val="center"/>
              <w:rPr>
                <w:rFonts w:hint="eastAsia"/>
                <w:color w:val="auto"/>
                <w:highlight w:val="none"/>
              </w:rPr>
            </w:pPr>
            <w:r>
              <w:rPr>
                <w:rFonts w:hint="eastAsia"/>
                <w:color w:val="auto"/>
                <w:highlight w:val="none"/>
              </w:rPr>
            </w:r>
            <w:r/>
          </w:p>
        </w:tc>
      </w:tr>
      <w:tr>
        <w:trPr>
          <w:jc w:val="center"/>
          <w:trHeight w:val="560"/>
        </w:trPr>
        <w:tc>
          <w:tcPr>
            <w:gridSpan w:val="4"/>
            <w:tcW w:w="8668"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10、整体配套</w:t>
            </w:r>
            <w:r/>
          </w:p>
        </w:tc>
      </w:tr>
      <w:tr>
        <w:trPr>
          <w:jc w:val="center"/>
          <w:trHeight w:val="560"/>
        </w:trPr>
        <w:tc>
          <w:tcPr>
            <w:tcW w:w="703"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10.1</w:t>
            </w:r>
            <w:r/>
          </w:p>
        </w:tc>
        <w:tc>
          <w:tcPr>
            <w:tcW w:w="6355" w:type="dxa"/>
            <w:vAlign w:val="center"/>
            <w:textDirection w:val="lrTb"/>
            <w:noWrap w:val="false"/>
          </w:tcPr>
          <w:p>
            <w:pPr>
              <w:pStyle w:val="1132"/>
              <w:rPr>
                <w:color w:val="auto"/>
                <w:spacing w:val="-3"/>
                <w:szCs w:val="22"/>
                <w:highlight w:val="none"/>
              </w:rPr>
            </w:pPr>
            <w:r>
              <w:rPr>
                <w:color w:val="auto"/>
                <w:spacing w:val="-2"/>
                <w:szCs w:val="22"/>
                <w:highlight w:val="none"/>
              </w:rPr>
              <w:t xml:space="preserve">安保系统、智能管理体系【网络</w:t>
            </w:r>
            <w:r>
              <w:rPr>
                <w:color w:val="auto"/>
                <w:spacing w:val="-1"/>
                <w:szCs w:val="22"/>
                <w:highlight w:val="none"/>
              </w:rPr>
              <w:t xml:space="preserve">、电子屏幕、</w:t>
            </w:r>
            <w:r>
              <w:rPr>
                <w:rFonts w:hint="eastAsia"/>
                <w:color w:val="auto"/>
                <w:spacing w:val="-1"/>
                <w:szCs w:val="22"/>
                <w:highlight w:val="none"/>
              </w:rPr>
              <w:t xml:space="preserve">视频监控</w:t>
            </w:r>
            <w:r>
              <w:rPr>
                <w:color w:val="auto"/>
                <w:spacing w:val="-1"/>
                <w:szCs w:val="22"/>
                <w:highlight w:val="none"/>
              </w:rPr>
              <w:t xml:space="preserve">、</w:t>
            </w:r>
            <w:r>
              <w:rPr>
                <w:rFonts w:hint="eastAsia"/>
                <w:color w:val="auto"/>
                <w:spacing w:val="-1"/>
                <w:szCs w:val="22"/>
                <w:highlight w:val="none"/>
              </w:rPr>
              <w:t xml:space="preserve">门禁系统、灯控系统</w:t>
            </w:r>
            <w:r>
              <w:rPr>
                <w:color w:val="auto"/>
                <w:spacing w:val="-1"/>
                <w:szCs w:val="22"/>
                <w:highlight w:val="none"/>
              </w:rPr>
              <w:t xml:space="preserve">等】及配套</w:t>
            </w:r>
            <w:r>
              <w:rPr>
                <w:rFonts w:hint="eastAsia"/>
                <w:color w:val="auto"/>
                <w:spacing w:val="-1"/>
                <w:szCs w:val="22"/>
                <w:highlight w:val="none"/>
              </w:rPr>
              <w:t xml:space="preserve">布线</w:t>
            </w:r>
            <w:r>
              <w:rPr>
                <w:color w:val="auto"/>
                <w:spacing w:val="-1"/>
                <w:szCs w:val="22"/>
                <w:highlight w:val="none"/>
              </w:rPr>
              <w:t xml:space="preserve">安装</w:t>
            </w:r>
            <w:r/>
          </w:p>
        </w:tc>
        <w:tc>
          <w:tcPr>
            <w:tcW w:w="876"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1</w:t>
            </w:r>
            <w:r/>
          </w:p>
        </w:tc>
        <w:tc>
          <w:tcPr>
            <w:tcW w:w="734" w:type="dxa"/>
            <w:vAlign w:val="center"/>
            <w:textDirection w:val="lrTb"/>
            <w:noWrap w:val="false"/>
          </w:tcPr>
          <w:p>
            <w:pPr>
              <w:pStyle w:val="1132"/>
              <w:jc w:val="center"/>
              <w:rPr>
                <w:rFonts w:hint="eastAsia"/>
                <w:color w:val="auto"/>
                <w:highlight w:val="none"/>
              </w:rPr>
            </w:pPr>
            <w:r>
              <w:rPr>
                <w:rFonts w:hint="eastAsia"/>
                <w:color w:val="auto"/>
                <w:highlight w:val="none"/>
              </w:rPr>
              <w:t xml:space="preserve">项</w:t>
            </w:r>
            <w:r/>
          </w:p>
        </w:tc>
      </w:tr>
    </w:tbl>
    <w:p>
      <w:pPr>
        <w:ind w:firstLine="422"/>
        <w:rPr>
          <w:rFonts w:hint="default" w:ascii="宋体" w:hAnsi="宋体" w:cs="宋体"/>
          <w:b/>
          <w:bCs/>
          <w:color w:val="auto"/>
          <w:szCs w:val="21"/>
          <w:highlight w:val="none"/>
          <w:lang w:val="en-US" w:eastAsia="zh-CN" w:bidi="zh-CN"/>
        </w:rPr>
      </w:pPr>
      <w:r>
        <w:rPr>
          <w:rFonts w:hint="eastAsia" w:ascii="宋体" w:hAnsi="宋体" w:cs="宋体"/>
          <w:b/>
          <w:bCs/>
          <w:color w:val="auto"/>
          <w:szCs w:val="21"/>
          <w:highlight w:val="none"/>
          <w:lang w:val="en-US" w:eastAsia="zh-CN" w:bidi="zh-CN"/>
        </w:rPr>
        <w:t xml:space="preserve">（五）团队成员配置要求</w:t>
      </w:r>
      <w:r/>
    </w:p>
    <w:p>
      <w:pPr>
        <w:ind w:firstLine="420"/>
        <w:spacing w:line="360" w:lineRule="auto"/>
        <w:rPr>
          <w:rFonts w:hint="eastAsia" w:ascii="宋体" w:hAnsi="宋体" w:eastAsia="宋体" w:cs="宋体"/>
          <w:color w:val="auto"/>
          <w:szCs w:val="21"/>
          <w:highlight w:val="none"/>
          <w:u w:val="single"/>
          <w:lang w:val="en-US" w:eastAsia="zh-CN"/>
        </w:rPr>
      </w:pPr>
      <w:r>
        <w:rPr>
          <w:rFonts w:hint="eastAsia" w:ascii="宋体" w:hAnsi="宋体" w:cs="宋体"/>
          <w:b/>
          <w:bCs/>
          <w:color w:val="auto"/>
          <w:highlight w:val="none"/>
          <w:u w:val="single"/>
        </w:rPr>
        <w:t xml:space="preserve">★</w:t>
      </w:r>
      <w:r>
        <w:rPr>
          <w:rFonts w:hint="eastAsia" w:ascii="宋体" w:hAnsi="宋体" w:eastAsia="宋体" w:cs="宋体"/>
          <w:color w:val="auto"/>
          <w:szCs w:val="21"/>
          <w:highlight w:val="none"/>
          <w:u w:val="single"/>
          <w:lang w:val="en-US" w:eastAsia="zh-CN"/>
        </w:rPr>
        <w:t xml:space="preserve">1.投标人的团队应当是一支经验丰富、拥有综合性知识的团队，需在专业从事展陈工作。投标人在投标文件中</w:t>
      </w:r>
      <w:r>
        <w:rPr>
          <w:rFonts w:hint="eastAsia" w:ascii="宋体" w:hAnsi="宋体" w:cs="宋体"/>
          <w:color w:val="auto"/>
          <w:szCs w:val="21"/>
          <w:highlight w:val="none"/>
          <w:u w:val="single"/>
          <w:lang w:val="en-US" w:eastAsia="zh-CN"/>
        </w:rPr>
        <w:t xml:space="preserve">拟派</w:t>
      </w:r>
      <w:r>
        <w:rPr>
          <w:rFonts w:hint="eastAsia" w:ascii="宋体" w:hAnsi="宋体" w:eastAsia="宋体" w:cs="宋体"/>
          <w:color w:val="auto"/>
          <w:szCs w:val="21"/>
          <w:highlight w:val="none"/>
          <w:u w:val="single"/>
          <w:lang w:val="en-US" w:eastAsia="zh-CN"/>
        </w:rPr>
        <w:t xml:space="preserve">的应当包括以下工作人员：项目经理</w:t>
      </w:r>
      <w:r>
        <w:rPr>
          <w:rFonts w:hint="eastAsia" w:ascii="宋体" w:hAnsi="宋体" w:cs="宋体"/>
          <w:color w:val="auto"/>
          <w:szCs w:val="21"/>
          <w:highlight w:val="none"/>
          <w:u w:val="single"/>
          <w:lang w:val="en-US" w:eastAsia="zh-CN"/>
        </w:rPr>
        <w:t xml:space="preserve">、</w:t>
      </w:r>
      <w:r>
        <w:rPr>
          <w:rFonts w:hint="eastAsia" w:ascii="宋体" w:hAnsi="宋体" w:eastAsia="宋体" w:cs="宋体"/>
          <w:color w:val="auto"/>
          <w:szCs w:val="21"/>
          <w:highlight w:val="none"/>
          <w:u w:val="single"/>
          <w:lang w:val="en-US" w:eastAsia="zh-CN"/>
        </w:rPr>
        <w:t xml:space="preserve">设计总监、设计师</w:t>
      </w:r>
      <w:r>
        <w:rPr>
          <w:rFonts w:hint="eastAsia" w:ascii="宋体" w:hAnsi="宋体" w:cs="宋体"/>
          <w:color w:val="auto"/>
          <w:szCs w:val="21"/>
          <w:highlight w:val="none"/>
          <w:u w:val="single"/>
          <w:lang w:val="en-US" w:eastAsia="zh-CN"/>
        </w:rPr>
        <w:t xml:space="preserve">、</w:t>
      </w:r>
      <w:r>
        <w:rPr>
          <w:rFonts w:hint="eastAsia" w:ascii="宋体" w:hAnsi="宋体" w:eastAsia="宋体" w:cs="宋体"/>
          <w:color w:val="auto"/>
          <w:szCs w:val="21"/>
          <w:highlight w:val="none"/>
          <w:u w:val="single"/>
          <w:lang w:val="en-US" w:eastAsia="zh-CN"/>
        </w:rPr>
        <w:t xml:space="preserve">三维设计师</w:t>
      </w:r>
      <w:r>
        <w:rPr>
          <w:rFonts w:hint="eastAsia" w:ascii="宋体" w:hAnsi="宋体" w:cs="宋体"/>
          <w:color w:val="auto"/>
          <w:szCs w:val="21"/>
          <w:highlight w:val="none"/>
          <w:u w:val="single"/>
          <w:lang w:val="en-US" w:eastAsia="zh-CN"/>
        </w:rPr>
        <w:t xml:space="preserve">、</w:t>
      </w:r>
      <w:r>
        <w:rPr>
          <w:rFonts w:hint="eastAsia" w:ascii="宋体" w:hAnsi="宋体" w:eastAsia="宋体" w:cs="宋体"/>
          <w:color w:val="auto"/>
          <w:szCs w:val="21"/>
          <w:highlight w:val="none"/>
          <w:u w:val="single"/>
          <w:lang w:val="en-US" w:eastAsia="zh-CN"/>
        </w:rPr>
        <w:t xml:space="preserve">施工经理</w:t>
      </w:r>
      <w:r>
        <w:rPr>
          <w:rFonts w:hint="eastAsia" w:ascii="宋体" w:hAnsi="宋体" w:cs="宋体"/>
          <w:color w:val="auto"/>
          <w:szCs w:val="21"/>
          <w:highlight w:val="none"/>
          <w:u w:val="single"/>
          <w:lang w:val="en-US" w:eastAsia="zh-CN"/>
        </w:rPr>
        <w:t xml:space="preserve">，</w:t>
      </w:r>
      <w:r>
        <w:rPr>
          <w:rFonts w:hint="eastAsia" w:ascii="宋体" w:hAnsi="宋体" w:eastAsia="宋体" w:cs="宋体"/>
          <w:color w:val="auto"/>
          <w:szCs w:val="21"/>
          <w:highlight w:val="none"/>
          <w:u w:val="single"/>
          <w:lang w:val="en-US" w:eastAsia="zh-CN"/>
        </w:rPr>
        <w:t xml:space="preserve">为实质性响应条款，</w:t>
      </w:r>
      <w:r>
        <w:rPr>
          <w:rFonts w:hint="eastAsia" w:ascii="宋体" w:hAnsi="宋体" w:cs="宋体"/>
          <w:color w:val="auto"/>
          <w:szCs w:val="21"/>
          <w:highlight w:val="none"/>
          <w:u w:val="single"/>
          <w:lang w:val="en-US" w:eastAsia="zh-CN"/>
        </w:rPr>
        <w:t xml:space="preserve">未配备</w:t>
      </w:r>
      <w:r>
        <w:rPr>
          <w:rFonts w:hint="eastAsia" w:ascii="宋体" w:hAnsi="宋体" w:eastAsia="宋体" w:cs="宋体"/>
          <w:color w:val="auto"/>
          <w:szCs w:val="21"/>
          <w:highlight w:val="none"/>
          <w:u w:val="single"/>
          <w:lang w:val="en-US" w:eastAsia="zh-CN"/>
        </w:rPr>
        <w:t xml:space="preserve">的视为无效响应</w:t>
      </w:r>
      <w:r>
        <w:rPr>
          <w:rFonts w:hint="eastAsia" w:ascii="宋体" w:hAnsi="宋体" w:cs="宋体"/>
          <w:color w:val="auto"/>
          <w:szCs w:val="21"/>
          <w:highlight w:val="none"/>
          <w:u w:val="single"/>
          <w:lang w:val="en-US" w:eastAsia="zh-CN"/>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项目人员应具有良好的职业道德和严谨的工作作风并应按照委托时限的要求按期到位开展工作。项目组人员未经采购人同意，中标人不得调换或撤离上述人员。如采购人认为有必要，可要求中标人对上述人员中的部分人员作出更好的调整。</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3.项目经理及主要负责人如有不尽其职或虚名挂靠，采购人有权要求撤换或终止合同。</w:t>
      </w:r>
      <w:r/>
    </w:p>
    <w:p>
      <w:pPr>
        <w:ind w:firstLine="420"/>
        <w:spacing w:line="360" w:lineRule="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（六）</w:t>
      </w:r>
      <w:r>
        <w:rPr>
          <w:rFonts w:hint="eastAsia" w:ascii="宋体" w:hAnsi="宋体" w:eastAsia="宋体" w:cs="宋体"/>
          <w:b/>
          <w:bCs/>
          <w:color w:val="auto"/>
          <w:szCs w:val="21"/>
          <w:highlight w:val="none"/>
          <w:lang w:val="en-US" w:eastAsia="zh-CN"/>
        </w:rPr>
        <w:t xml:space="preserve">安全生产、文明布展、施工与环境保护要求</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在项目实施期间为确保作业区域周围环境的整洁和不影响其他活动正常进行,中标人应严格执行国家与</w:t>
      </w:r>
      <w:r>
        <w:rPr>
          <w:rFonts w:hint="eastAsia" w:ascii="宋体" w:hAnsi="宋体" w:cs="宋体"/>
          <w:color w:val="auto"/>
          <w:szCs w:val="21"/>
          <w:highlight w:val="none"/>
          <w:lang w:val="en-US" w:eastAsia="zh-CN"/>
        </w:rPr>
        <w:t xml:space="preserve">吴江市</w:t>
      </w:r>
      <w:r>
        <w:rPr>
          <w:rFonts w:hint="eastAsia" w:ascii="宋体" w:hAnsi="宋体" w:eastAsia="宋体" w:cs="宋体"/>
          <w:color w:val="auto"/>
          <w:szCs w:val="21"/>
          <w:highlight w:val="none"/>
          <w:lang w:val="en-US" w:eastAsia="zh-CN"/>
        </w:rPr>
        <w:t xml:space="preserve">有关安全文明施工管理的法律、法规和政策,积极主动落实安全文明及环境保护施工的管理和考核等有关工作，加强和做好安全、文明布展与施工的管理工作，并按规定承担相应的费用。</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中标人应根据有关规范标准，严密组织，精心布展与施工，做到：①布展期间不干扰采购人其他活动正常进行，不影响自身和周边交通的需要；②无管线事故、无伤亡事故；③环境影响要最小化；④现场材料堆放整齐，生活设施清洁，周边环境文明；⑤清洁运输；⑥满足市文明工地要求，做到文明布展、安全管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中标人在项目实施期间</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必须建立安全用电制度</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确保施工用电设备的完好</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并设置好漏电保护装置等</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杜绝施工用电事故的发生。</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中标人在项目实施期间必须保护好施工区域内的环境和原有装饰与设施</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保证环境和原有装饰与设施完好。</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中标人在组织项目实施时必须遵守采购人的规章制度并提供布展人员名单。中标人必须按施工计划协调好现场布展工作。</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各投标人在投标文件中要结合本项目的特点和采购人上述的具体要求制定相应的文明布展和安全生产管理措施，</w:t>
      </w:r>
      <w:r>
        <w:rPr>
          <w:rFonts w:hint="eastAsia" w:asciiTheme="minorEastAsia" w:hAnsiTheme="minorEastAsia" w:eastAsiaTheme="minorEastAsia" w:cstheme="minorEastAsia"/>
          <w:color w:val="auto"/>
          <w:sz w:val="21"/>
          <w:szCs w:val="21"/>
          <w:highlight w:val="none"/>
          <w:lang w:val="en-US" w:eastAsia="zh-CN"/>
        </w:rPr>
        <w:t xml:space="preserve">同时应适当考虑购买自己员工的第三方责任保险</w:t>
      </w:r>
      <w:r>
        <w:rPr>
          <w:rFonts w:hint="eastAsia" w:ascii="宋体" w:hAnsi="宋体" w:eastAsia="宋体" w:cs="宋体"/>
          <w:color w:val="auto"/>
          <w:szCs w:val="21"/>
          <w:highlight w:val="none"/>
          <w:lang w:val="en-US" w:eastAsia="zh-CN"/>
        </w:rPr>
        <w:t xml:space="preserve">。</w:t>
      </w:r>
      <w:r/>
    </w:p>
    <w:p>
      <w:pPr>
        <w:ind w:firstLine="420"/>
        <w:spacing w:line="360" w:lineRule="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（七）</w:t>
      </w:r>
      <w:r>
        <w:rPr>
          <w:rFonts w:hint="eastAsia" w:ascii="宋体" w:hAnsi="宋体" w:eastAsia="宋体" w:cs="宋体"/>
          <w:b/>
          <w:bCs/>
          <w:color w:val="auto"/>
          <w:szCs w:val="21"/>
          <w:highlight w:val="none"/>
          <w:lang w:val="en-US" w:eastAsia="zh-CN"/>
        </w:rPr>
        <w:t xml:space="preserve">有关安全生产和防火的约定</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1.中标人在服务期间应严格遵守《中华人民共和国消防条例》、相关安装安全技术及操作规程和其它相关的法规、规范。</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2.采购方确认的图纸或作法说明，如有违反有关安全操作规程、消防条例和防火设计规范，中标人应按国家有关规定提请采购方改进并调整。</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3.由于中标人在作业生产过程中违反有关安全操作规程、消防条例，导致发生安全或火灾事故，中标人应承担由此引发的一切经济损失和法律责任。</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4.服务过程中中标人应采取相关安全措施,承担安全责任。中标人应按有关规定严格落实安全责任制度、安全规章制</w:t>
      </w:r>
      <w:r>
        <w:rPr>
          <w:rFonts w:hint="eastAsia" w:ascii="宋体" w:hAnsi="宋体" w:cs="宋体"/>
          <w:color w:val="auto"/>
          <w:szCs w:val="21"/>
          <w:highlight w:val="none"/>
          <w:lang w:val="en-US" w:eastAsia="zh-CN"/>
        </w:rPr>
        <w:t xml:space="preserve">度和相关操作规程，消除安全事故隐患，及时、如实报告生产安全事故。应对施工人员进行安全教育，提供安全防护用具和安全防护服装，应为施工人员购买人身意外伤害险及工程施工有关的一切保险。应在危险区域设立明显的安全警示标志，进行定期和专项安全检查，并做好安全检查记录，对于发生在施工现场的中标人人员或任何其它人员的意外伤害或事故，或中标人人员给他人的财产或人身造成损害，均由中标人承担全部责任及产生的一切费用，给采购方造成损失的（包括但不限于民事赔偿金、行政处罚金、鉴定费、律师费、诉讼费等），采购方有权向中标人进行追偿。</w:t>
      </w:r>
      <w:r/>
    </w:p>
    <w:p>
      <w:pPr>
        <w:ind w:firstLine="420"/>
        <w:spacing w:line="360" w:lineRule="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（八）</w:t>
      </w:r>
      <w:r>
        <w:rPr>
          <w:rFonts w:hint="eastAsia" w:ascii="宋体" w:hAnsi="宋体" w:eastAsia="宋体" w:cs="宋体"/>
          <w:b/>
          <w:bCs/>
          <w:color w:val="auto"/>
          <w:szCs w:val="21"/>
          <w:highlight w:val="none"/>
          <w:lang w:val="en-US" w:eastAsia="zh-CN"/>
        </w:rPr>
        <w:t xml:space="preserve">售后服务要求</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1.免费质保期：</w:t>
      </w:r>
      <w:r>
        <w:rPr>
          <w:rFonts w:hint="eastAsia" w:ascii="宋体" w:hAnsi="宋体" w:eastAsia="宋体" w:cs="宋体"/>
          <w:color w:val="auto"/>
          <w:szCs w:val="21"/>
          <w:highlight w:val="none"/>
          <w:lang w:val="en-US" w:eastAsia="zh-CN"/>
        </w:rPr>
        <w:t xml:space="preserve">自竣工验收合格之日起</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布展布置制作提供不低于1年的免费维修保养；硬件设备提供原厂不低于2年免费保修（原厂高于2年的以年数高的为准）。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在规定的质量保证期内，供应商应对由于设计制作、工艺或材料的缺陷而发生的任何不足或故障负责。质保期内免费负责修理或更换有缺陷的零部件或整机并相应延长此保修期，否则，采购单位可采取必要的补救措施，但风险和费用将由供应商承担；质保期满后提供有偿服务，投标文件中提供质保期内和质保期满后的质保服务措施方案。质保期过后如采购单位要求需提供上门维修服务，终身维修并标明保修期后的具体维修维护事宜；服务方应在投标文件中提供详细具体的售后服务保证条款及承诺。</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免费保修期内需提供7×24小时响应服务，确保2小时内响应，24小时内提供解决方案，如需更换或送修，在3个工作日内解决，特殊情况甲乙双方协商解决。如遇重大活动，需提供现场技术支持和服务。</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供应商需至少为采购单位提供一周以上时间的现场培训，保证采购单位的操作人员可以熟练操作。</w:t>
      </w:r>
      <w:r/>
    </w:p>
    <w:p>
      <w:pPr>
        <w:ind w:firstLine="422"/>
        <w:rPr>
          <w:rFonts w:hint="default" w:ascii="宋体" w:hAnsi="宋体" w:cs="宋体"/>
          <w:b/>
          <w:bCs/>
          <w:color w:val="auto"/>
          <w:szCs w:val="21"/>
          <w:highlight w:val="none"/>
          <w:lang w:val="en-US" w:eastAsia="zh-CN" w:bidi="zh-CN"/>
        </w:rPr>
      </w:pPr>
      <w:r>
        <w:rPr>
          <w:rFonts w:hint="eastAsia" w:ascii="宋体" w:hAnsi="宋体" w:cs="宋体"/>
          <w:b/>
          <w:bCs/>
          <w:color w:val="auto"/>
          <w:szCs w:val="21"/>
          <w:highlight w:val="none"/>
          <w:lang w:val="en-US" w:eastAsia="zh-CN" w:bidi="zh-CN"/>
        </w:rPr>
        <w:t xml:space="preserve">八、其他说明</w:t>
      </w:r>
      <w:r/>
    </w:p>
    <w:p>
      <w:pPr>
        <w:ind w:firstLine="422"/>
        <w:rPr>
          <w:rFonts w:hint="eastAsia" w:ascii="宋体" w:hAnsi="宋体" w:cs="宋体"/>
          <w:b/>
          <w:bCs/>
          <w:color w:val="auto"/>
          <w:szCs w:val="21"/>
          <w:highlight w:val="none"/>
          <w:lang w:val="zh-CN" w:eastAsia="zh-CN" w:bidi="zh-CN"/>
        </w:rPr>
      </w:pPr>
      <w:r>
        <w:rPr>
          <w:rFonts w:hint="eastAsia" w:ascii="宋体" w:hAnsi="宋体" w:cs="宋体"/>
          <w:b/>
          <w:bCs/>
          <w:color w:val="auto"/>
          <w:szCs w:val="21"/>
          <w:highlight w:val="none"/>
          <w:lang w:val="en-US" w:eastAsia="zh-CN" w:bidi="zh-CN"/>
        </w:rPr>
        <w:t xml:space="preserve">（一）</w:t>
      </w:r>
      <w:r>
        <w:rPr>
          <w:rFonts w:hint="eastAsia" w:ascii="宋体" w:hAnsi="宋体" w:cs="宋体"/>
          <w:b/>
          <w:bCs/>
          <w:color w:val="auto"/>
          <w:szCs w:val="21"/>
          <w:highlight w:val="none"/>
          <w:lang w:val="zh-CN" w:eastAsia="zh-CN" w:bidi="zh-CN"/>
        </w:rPr>
        <w:t xml:space="preserve">报价要求</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TW" w:eastAsia="zh-CN"/>
        </w:rPr>
        <w:t xml:space="preserve">本合同为固定单价合同，数量按实结算。</w:t>
      </w:r>
      <w:r>
        <w:rPr>
          <w:rFonts w:hint="eastAsia" w:ascii="宋体" w:hAnsi="宋体" w:cs="宋体"/>
          <w:color w:val="auto"/>
          <w:highlight w:val="none"/>
          <w:lang w:val="en-US" w:eastAsia="zh-CN"/>
        </w:rPr>
        <w:t xml:space="preserve">投标总报价包括全部布展的设备及其安装所需的辅材、软件、备品、备件、专用工具、包装、运输、吊装、安装、调试、深化设计、验收、试运行、人工、机械、仓储、保险、劳保、各种税费、专利技术、技术支持与培训、质保、售后服务与维护及相关劳务支出等所发生的全部费用以及磋商响应单位企业利润、税金和政策性文件规定及合同包含的所有风险、责任等各项应有费用以及其它投标单位认为应纳入的一切费用，除非合同条款中另有规定，否则，投标单位所报价格在合同实施期间不因市场变化因素而变动。</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2、投标单位应详细列明布展项清单报价。投标人应对招标文件内所要采购的全部内容进行报价，只投其中部分内容者，其标书将被拒绝。</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3、投标人按照采购文件的要求提交响应文件，并对所提供的全部资料的真实性承担法律责任。</w:t>
      </w:r>
      <w:r/>
    </w:p>
    <w:p>
      <w:pPr>
        <w:ind w:firstLine="420"/>
        <w:spacing w:line="360" w:lineRule="auto"/>
        <w:rPr>
          <w:rFonts w:hint="default" w:ascii="宋体" w:hAnsi="宋体" w:cs="宋体"/>
          <w:color w:val="auto"/>
          <w:highlight w:val="none"/>
          <w:lang w:val="en-US" w:eastAsia="zh-CN"/>
        </w:rPr>
      </w:pPr>
      <w:r>
        <w:rPr>
          <w:rFonts w:hint="eastAsia" w:ascii="宋体" w:hAnsi="宋体" w:cs="宋体"/>
          <w:b/>
          <w:bCs/>
          <w:color w:val="auto"/>
          <w:szCs w:val="21"/>
          <w:highlight w:val="none"/>
          <w:lang w:val="en-US" w:eastAsia="zh-CN" w:bidi="zh-CN"/>
        </w:rPr>
        <w:t xml:space="preserve">（二）</w:t>
      </w:r>
      <w:r>
        <w:rPr>
          <w:rFonts w:hint="eastAsia" w:ascii="宋体" w:hAnsi="宋体"/>
          <w:b/>
          <w:bCs/>
          <w:color w:val="auto"/>
          <w:szCs w:val="21"/>
          <w:highlight w:val="none"/>
          <w:lang w:val="en-US" w:eastAsia="zh-CN"/>
        </w:rPr>
        <w:t xml:space="preserve">付款方式：</w:t>
      </w:r>
      <w:bookmarkStart w:id="38" w:name="OLE_LINK2"/>
      <w:r>
        <w:rPr>
          <w:rFonts w:hint="eastAsia" w:ascii="宋体" w:hAnsi="宋体"/>
          <w:color w:val="auto"/>
          <w:szCs w:val="21"/>
          <w:highlight w:val="none"/>
          <w:lang w:val="en-US" w:eastAsia="zh-CN"/>
        </w:rPr>
        <w:t xml:space="preserve">合同签订生效，乙方工作人员进场后十五个工作日内，甲方支付合同总金额的50%；项目设计制作布展布置全部完成并安装调试竣工验收合格后十五个工作日内，甲方再次支付至合同总金额的90%；项目经审计单位审计后，甲方向乙方支付至审计后总金额的95%；剩余款项在免费保修期满后十五个工作日内支付</w:t>
      </w:r>
      <w:bookmarkEnd w:id="38"/>
      <w:r>
        <w:rPr>
          <w:rFonts w:hint="eastAsia" w:ascii="宋体" w:hAnsi="宋体"/>
          <w:color w:val="auto"/>
          <w:szCs w:val="21"/>
          <w:highlight w:val="none"/>
          <w:lang w:val="en-US" w:eastAsia="zh-CN"/>
        </w:rPr>
        <w:t xml:space="preserve">。</w:t>
      </w:r>
      <w:r/>
    </w:p>
    <w:p>
      <w:pPr>
        <w:ind w:firstLine="422"/>
        <w:widowControl/>
        <w:tabs>
          <w:tab w:val="left" w:pos="753" w:leader="none"/>
        </w:tabs>
        <w:rPr>
          <w:rFonts w:ascii="宋体" w:hAnsi="宋体" w:cs="宋体"/>
          <w:b/>
          <w:color w:val="auto"/>
          <w:szCs w:val="21"/>
          <w:highlight w:val="none"/>
        </w:rPr>
      </w:pP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三）</w:t>
      </w:r>
      <w:r>
        <w:rPr>
          <w:rFonts w:hint="eastAsia" w:ascii="宋体" w:hAnsi="宋体" w:cs="宋体"/>
          <w:b/>
          <w:color w:val="auto"/>
          <w:szCs w:val="21"/>
          <w:highlight w:val="none"/>
        </w:rPr>
        <w:t xml:space="preserve">知识产权及安全：</w:t>
      </w:r>
      <w:r/>
    </w:p>
    <w:p>
      <w:pPr>
        <w:ind w:firstLine="420"/>
        <w:widowControl/>
        <w:rPr>
          <w:rFonts w:ascii="宋体" w:hAnsi="宋体" w:cs="宋体"/>
          <w:color w:val="auto"/>
          <w:szCs w:val="21"/>
          <w:highlight w:val="none"/>
        </w:rPr>
      </w:pPr>
      <w:r>
        <w:rPr>
          <w:rFonts w:hint="eastAsia" w:ascii="宋体" w:hAnsi="宋体" w:cs="宋体"/>
          <w:color w:val="auto"/>
          <w:szCs w:val="21"/>
          <w:highlight w:val="none"/>
        </w:rPr>
        <w:t xml:space="preserve">投标单位应保证所提供的服务涉及到的知识产权是合法取得，并享有完整的知识产权，不会因为招标单位的使用而被责令停止使用、追偿或要求赔偿损失，如出现此情况，一切经济和法律责任均由投标单位承担。与本次招标项目相关的所有项目质量安全问题均由投标单位终身负责，如因上述原因造成的一切后果均由投标单位自行承担，与甲方无关。</w:t>
      </w:r>
      <w:r/>
    </w:p>
    <w:p>
      <w:pPr>
        <w:ind w:firstLine="422"/>
        <w:rPr>
          <w:rFonts w:ascii="宋体" w:hAnsi="宋体" w:cs="宋体"/>
          <w:color w:val="auto"/>
          <w:szCs w:val="21"/>
          <w:highlight w:val="none"/>
        </w:rPr>
      </w:pPr>
      <w:r>
        <w:rPr>
          <w:rFonts w:hint="eastAsia" w:ascii="宋体" w:hAnsi="宋体" w:cs="宋体"/>
          <w:b/>
          <w:color w:val="auto"/>
          <w:szCs w:val="21"/>
          <w:highlight w:val="none"/>
          <w:lang w:val="en-US" w:eastAsia="zh-CN"/>
        </w:rPr>
        <w:t xml:space="preserve">九</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凡涉及招标文件的补充说明和修改，均以网上发布的通知为准。</w:t>
      </w:r>
      <w:r>
        <w:rPr>
          <w:rFonts w:hint="eastAsia" w:ascii="宋体" w:hAnsi="宋体" w:cs="宋体"/>
          <w:bCs/>
          <w:color w:val="auto"/>
          <w:szCs w:val="21"/>
          <w:highlight w:val="none"/>
        </w:rPr>
        <w:br w:type="page" w:clear="all"/>
      </w:r>
      <w:r/>
    </w:p>
    <w:p>
      <w:pPr>
        <w:pStyle w:val="850"/>
        <w:rPr>
          <w:color w:val="auto"/>
          <w:highlight w:val="none"/>
        </w:rPr>
      </w:pPr>
      <w:r/>
      <w:bookmarkStart w:id="39" w:name="_Toc14846"/>
      <w:r/>
      <w:bookmarkStart w:id="40" w:name="_Toc7862"/>
      <w:r>
        <w:rPr>
          <w:rFonts w:hint="eastAsia"/>
          <w:color w:val="auto"/>
          <w:highlight w:val="none"/>
        </w:rPr>
        <w:t xml:space="preserve">四、评标办法及评分标准</w:t>
      </w:r>
      <w:bookmarkEnd w:id="39"/>
      <w:r/>
      <w:bookmarkEnd w:id="40"/>
      <w:r/>
      <w:r/>
    </w:p>
    <w:p>
      <w:pPr>
        <w:ind w:firstLine="422"/>
        <w:tabs>
          <w:tab w:val="left" w:pos="2870" w:leader="none"/>
        </w:tabs>
        <w:rPr>
          <w:rFonts w:ascii="宋体" w:hAnsi="宋体" w:cs="宋体"/>
          <w:b/>
          <w:color w:val="auto"/>
          <w:szCs w:val="21"/>
          <w:highlight w:val="none"/>
        </w:rPr>
      </w:pPr>
      <w:r>
        <w:rPr>
          <w:rFonts w:hint="eastAsia" w:ascii="宋体" w:hAnsi="宋体" w:cs="宋体"/>
          <w:b/>
          <w:color w:val="auto"/>
          <w:szCs w:val="21"/>
          <w:highlight w:val="none"/>
        </w:rPr>
        <w:t xml:space="preserve">一、评审方法</w:t>
      </w:r>
      <w:r/>
    </w:p>
    <w:p>
      <w:pPr>
        <w:pStyle w:val="1198"/>
        <w:ind w:firstLine="420"/>
        <w:rPr>
          <w:rFonts w:ascii="宋体" w:hAnsi="宋体" w:cs="宋体"/>
          <w:color w:val="auto"/>
          <w:highlight w:val="none"/>
        </w:rPr>
      </w:pPr>
      <w:r/>
      <w:bookmarkStart w:id="41" w:name="_Toc2682"/>
      <w:r>
        <w:rPr>
          <w:rFonts w:hint="eastAsia" w:ascii="宋体" w:hAnsi="宋体" w:cs="宋体"/>
          <w:color w:val="auto"/>
          <w:highlight w:val="none"/>
        </w:rPr>
        <w:t xml:space="preserve">1.本次磋商评标采用综合评分法，综合评分法是指投标文件满足投标文件全部实质性要求，且按照评审因素的量化指标评审得分最高的投标人为中标人的评标方法。</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2.采用综合评分法的，评标结果按评审后得分由高到低顺序排列。得分相同的，按投标报价由低到高顺序排列，以实际投标报价较低的优先作为中标人；得分且实际投标报价相同的，则由采购人以抽签方式确定中标人。</w:t>
      </w:r>
      <w:r/>
    </w:p>
    <w:p>
      <w:pPr>
        <w:pStyle w:val="1198"/>
        <w:ind w:firstLine="420"/>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w:t>
      </w:r>
      <w:r>
        <w:rPr>
          <w:rFonts w:hint="eastAsia" w:ascii="宋体" w:hAnsi="宋体" w:eastAsia="宋体" w:cs="宋体"/>
          <w:color w:val="auto"/>
          <w:highlight w:val="none"/>
        </w:rPr>
        <w:t xml:space="preserve">为深化采购制度改革，促进采购领域公平竞争，持续优化采购营商环境，实现优质优价采购目标，评审过程中出现下列情形之一的，评审委员会应当启动异常低价投标（响应）审查程序：</w:t>
      </w:r>
      <w:r/>
    </w:p>
    <w:p>
      <w:pPr>
        <w:pStyle w:val="1198"/>
        <w:ind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(1)投标（响应）报价低于全部通过符合性审查供应商投标（响应）报价平均值50%的，即投标（响应）报价&lt;全部通过符合性审查供应商投标（响应）报价平均值×50%； </w:t>
      </w:r>
      <w:r/>
    </w:p>
    <w:p>
      <w:pPr>
        <w:pStyle w:val="1198"/>
        <w:ind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(2)投标（响应）报价低于通过符合性审查的次低报价供应商投标（响应）报价50%的，即投标（响应）报价&lt;通过符合性审查的次低报价供应商投标（响应）报价×50%； </w:t>
      </w:r>
      <w:r/>
    </w:p>
    <w:p>
      <w:pPr>
        <w:pStyle w:val="1198"/>
        <w:ind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(3)投标（响应）报价低于采购项目最高限价45%的，即投标（响应）报价&lt;采购项目最高限价×45%； </w:t>
      </w:r>
      <w:r/>
    </w:p>
    <w:p>
      <w:pPr>
        <w:pStyle w:val="1198"/>
        <w:ind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 磋商小组基于专业判断，认为供应商报价过低，有可能影响产品质量或者不能诚信履约的其他情形。 </w:t>
      </w:r>
      <w:r/>
    </w:p>
    <w:p>
      <w:pPr>
        <w:pStyle w:val="1198"/>
        <w:ind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相关法律法规对供应商报价有规定的，从其规定。</w:t>
      </w:r>
      <w:r/>
    </w:p>
    <w:p>
      <w:pPr>
        <w:pStyle w:val="1198"/>
        <w:ind w:firstLine="420"/>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 </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磋商小组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1198"/>
        <w:ind w:firstLine="420"/>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w:t>
      </w:r>
      <w:r>
        <w:rPr>
          <w:rFonts w:hint="eastAsia" w:ascii="宋体" w:hAnsi="宋体" w:eastAsia="宋体" w:cs="宋体"/>
          <w:color w:val="auto"/>
          <w:highlight w:val="none"/>
        </w:rPr>
        <w:t xml:space="preserve">对报价异常低且经评审委员会启动相关审查机制后仍中标或成交的供应商，采购人要重点关注其履约能力、履约承诺、实际履约情况等。如供应商在中标或成交后无正当理由拒不签订采购合同，采购人将依法追究其法律责任；如供应商在签订采购合同后不严格履行合同，采购人应按照采购合同约定追究供应商违约责任。</w:t>
      </w:r>
      <w:r/>
    </w:p>
    <w:p>
      <w:pPr>
        <w:pStyle w:val="1198"/>
        <w:ind w:firstLine="420"/>
        <w:rPr>
          <w:rFonts w:hint="eastAsia" w:ascii="宋体" w:hAns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r/>
    </w:p>
    <w:p>
      <w:pPr>
        <w:pStyle w:val="1198"/>
        <w:ind w:firstLine="420"/>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7、</w:t>
      </w:r>
      <w:r>
        <w:rPr>
          <w:rFonts w:hint="eastAsia" w:ascii="宋体" w:hAnsi="宋体" w:cs="宋体"/>
          <w:b/>
          <w:bCs/>
          <w:color w:val="auto"/>
          <w:highlight w:val="none"/>
        </w:rPr>
        <w:t xml:space="preserve">政府采购政策功能落实</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本项目专门面向中小微企业，不再享受价格折扣优惠政策。</w:t>
      </w:r>
      <w:r/>
    </w:p>
    <w:p>
      <w:pPr>
        <w:numPr>
          <w:ilvl w:val="0"/>
          <w:numId w:val="5"/>
        </w:numPr>
        <w:ind w:firstLine="422"/>
        <w:rPr>
          <w:rFonts w:ascii="宋体" w:hAnsi="宋体" w:cs="宋体"/>
          <w:b/>
          <w:color w:val="auto"/>
          <w:szCs w:val="21"/>
          <w:highlight w:val="none"/>
        </w:rPr>
      </w:pPr>
      <w:r>
        <w:rPr>
          <w:rFonts w:hint="eastAsia" w:ascii="宋体" w:hAnsi="宋体" w:cs="宋体"/>
          <w:b/>
          <w:color w:val="auto"/>
          <w:szCs w:val="21"/>
          <w:highlight w:val="none"/>
        </w:rPr>
        <w:t xml:space="preserve">评分标准</w:t>
      </w:r>
      <w:bookmarkEnd w:id="41"/>
      <w:r/>
      <w:r/>
    </w:p>
    <w:p>
      <w:pPr>
        <w:pStyle w:val="1198"/>
        <w:ind w:firstLine="420"/>
        <w:rPr>
          <w:rFonts w:ascii="宋体" w:hAnsi="宋体" w:cs="宋体"/>
          <w:color w:val="auto"/>
          <w:highlight w:val="none"/>
        </w:rPr>
      </w:pPr>
      <w:r>
        <w:rPr>
          <w:rFonts w:hint="eastAsia" w:ascii="宋体" w:hAnsi="宋体" w:cs="宋体"/>
          <w:color w:val="auto"/>
          <w:highlight w:val="none"/>
        </w:rPr>
        <w:t xml:space="preserve">总分值均为100分，评审因素及各比重如下：价格分值占总分值的比重为10%（权重），技术与方案及其它占90%（权重）。</w:t>
      </w:r>
      <w:r/>
    </w:p>
    <w:p>
      <w:pPr>
        <w:pStyle w:val="1198"/>
        <w:numPr>
          <w:ilvl w:val="0"/>
          <w:numId w:val="6"/>
        </w:numPr>
        <w:rPr>
          <w:rFonts w:ascii="宋体" w:hAnsi="宋体" w:cs="宋体"/>
          <w:b/>
          <w:bCs/>
          <w:color w:val="auto"/>
          <w:highlight w:val="none"/>
        </w:rPr>
      </w:pPr>
      <w:r/>
      <w:bookmarkStart w:id="42" w:name="_Toc1758"/>
      <w:r>
        <w:rPr>
          <w:rFonts w:hint="eastAsia" w:ascii="宋体" w:hAnsi="宋体" w:cs="宋体"/>
          <w:b/>
          <w:bCs/>
          <w:color w:val="auto"/>
          <w:highlight w:val="none"/>
        </w:rPr>
        <w:t xml:space="preserve">价格分（10分）</w:t>
      </w:r>
      <w:r/>
    </w:p>
    <w:p>
      <w:pPr>
        <w:pStyle w:val="1198"/>
        <w:ind w:firstLine="420"/>
        <w:rPr>
          <w:rFonts w:ascii="宋体" w:hAnsi="宋体" w:cs="宋体"/>
          <w:color w:val="auto"/>
          <w:highlight w:val="none"/>
        </w:rPr>
      </w:pPr>
      <w:r/>
      <w:bookmarkStart w:id="43" w:name="OLE_LINK39"/>
      <w:r/>
      <w:bookmarkStart w:id="44" w:name="OLE_LINK19"/>
      <w:r>
        <w:rPr>
          <w:rFonts w:hint="eastAsia" w:ascii="宋体" w:hAnsi="宋体" w:cs="宋体"/>
          <w:color w:val="auto"/>
          <w:highlight w:val="none"/>
        </w:rPr>
        <w:t xml:space="preserve">1.投标总报价低于或等于财政预算价格的，为有效投标报价。超财政预算的投标报价为无效投标报价。无效投标报价的投标文件不进行评审，也不得标。</w:t>
      </w:r>
      <w:r/>
    </w:p>
    <w:p>
      <w:pPr>
        <w:pStyle w:val="1198"/>
        <w:ind w:firstLine="420"/>
        <w:rPr>
          <w:rFonts w:ascii="宋体" w:hAnsi="宋体" w:cs="宋体"/>
          <w:color w:val="auto"/>
          <w:highlight w:val="none"/>
        </w:rPr>
      </w:pPr>
      <w:r>
        <w:rPr>
          <w:rFonts w:hint="eastAsia" w:ascii="宋体" w:hAnsi="宋体" w:cs="宋体"/>
          <w:color w:val="auto"/>
          <w:highlight w:val="none"/>
        </w:rPr>
        <w:t xml:space="preserve">2.价格分采用低价优先法计算，即满足招标文件要求且投标价格最低的投标报价为评标基准价。其他响应单位的价格分按照下列公式计算（计算结果四舍五入保留两位小数）。</w:t>
      </w:r>
      <w:r/>
    </w:p>
    <w:p>
      <w:pPr>
        <w:pStyle w:val="1198"/>
        <w:ind w:firstLine="420"/>
        <w:rPr>
          <w:rFonts w:ascii="宋体" w:hAnsi="宋体" w:cs="宋体"/>
          <w:color w:val="auto"/>
          <w:highlight w:val="none"/>
        </w:rPr>
      </w:pPr>
      <w:r>
        <w:rPr>
          <w:rFonts w:hint="eastAsia" w:ascii="宋体" w:hAnsi="宋体" w:cs="宋体"/>
          <w:color w:val="auto"/>
          <w:highlight w:val="none"/>
        </w:rPr>
        <w:t xml:space="preserve">投标报价得分=（评标基准价/投标报价）*10%*100，小数点后保留两位。</w:t>
      </w:r>
      <w:bookmarkEnd w:id="43"/>
      <w:r/>
      <w:bookmarkEnd w:id="44"/>
      <w:r/>
      <w:r/>
    </w:p>
    <w:p>
      <w:pPr>
        <w:pStyle w:val="1198"/>
        <w:ind w:firstLine="420"/>
        <w:rPr>
          <w:rFonts w:ascii="宋体" w:hAnsi="宋体" w:cs="宋体"/>
          <w:color w:val="auto"/>
          <w:highlight w:val="none"/>
        </w:rPr>
      </w:pPr>
      <w:r>
        <w:rPr>
          <w:rFonts w:hint="eastAsia" w:ascii="宋体" w:hAnsi="宋体" w:cs="宋体"/>
          <w:color w:val="auto"/>
          <w:highlight w:val="none"/>
        </w:rPr>
        <w:t xml:space="preserve">3.报价修正规则</w:t>
      </w:r>
      <w:r/>
    </w:p>
    <w:p>
      <w:pPr>
        <w:pStyle w:val="1198"/>
        <w:ind w:firstLine="420"/>
        <w:rPr>
          <w:rFonts w:ascii="宋体" w:hAnsi="宋体" w:cs="宋体"/>
          <w:color w:val="auto"/>
          <w:highlight w:val="none"/>
        </w:rPr>
      </w:pPr>
      <w:r>
        <w:rPr>
          <w:rFonts w:hint="eastAsia" w:ascii="宋体" w:hAnsi="宋体" w:cs="宋体"/>
          <w:color w:val="auto"/>
          <w:highlight w:val="none"/>
        </w:rPr>
        <w:t xml:space="preserve">在评审中，对投标报价出现前后不一致的，除招标文件另有规定外，按照下列规定修正：</w:t>
      </w:r>
      <w:r/>
    </w:p>
    <w:p>
      <w:pPr>
        <w:pStyle w:val="1198"/>
        <w:ind w:firstLine="420"/>
        <w:rPr>
          <w:rFonts w:ascii="宋体" w:hAnsi="宋体" w:cs="宋体"/>
          <w:color w:val="auto"/>
          <w:highlight w:val="none"/>
        </w:rPr>
      </w:pPr>
      <w:r>
        <w:rPr>
          <w:rFonts w:hint="eastAsia" w:ascii="宋体" w:hAnsi="宋体" w:cs="宋体"/>
          <w:color w:val="auto"/>
          <w:highlight w:val="none"/>
        </w:rPr>
        <w:t xml:space="preserve">（1）投标文件中磋商响应报价表内容与投标文件中明细表内容不一致的，以磋商响应报价表为准。</w:t>
      </w:r>
      <w:r/>
    </w:p>
    <w:p>
      <w:pPr>
        <w:pStyle w:val="1198"/>
        <w:ind w:firstLine="420"/>
        <w:rPr>
          <w:rFonts w:ascii="宋体" w:hAnsi="宋体" w:cs="宋体"/>
          <w:color w:val="auto"/>
          <w:highlight w:val="none"/>
        </w:rPr>
      </w:pPr>
      <w:r>
        <w:rPr>
          <w:rFonts w:hint="eastAsia" w:ascii="宋体" w:hAnsi="宋体" w:cs="宋体"/>
          <w:color w:val="auto"/>
          <w:highlight w:val="none"/>
        </w:rPr>
        <w:t xml:space="preserve">（2）投标文件的大写金额和小写金额不一致的，以大写金额为准。</w:t>
      </w:r>
      <w:r/>
    </w:p>
    <w:p>
      <w:pPr>
        <w:pStyle w:val="1198"/>
        <w:ind w:firstLine="420"/>
        <w:rPr>
          <w:rFonts w:ascii="宋体" w:hAnsi="宋体" w:cs="宋体"/>
          <w:color w:val="auto"/>
          <w:highlight w:val="none"/>
        </w:rPr>
      </w:pPr>
      <w:r>
        <w:rPr>
          <w:rFonts w:hint="eastAsia" w:ascii="宋体" w:hAnsi="宋体" w:cs="宋体"/>
          <w:color w:val="auto"/>
          <w:highlight w:val="none"/>
        </w:rPr>
        <w:t xml:space="preserve">（3）单价金额小数点或者百分比有明显错位的，以磋商响应报价表的总价为准，并修改单价。</w:t>
      </w:r>
      <w:r/>
    </w:p>
    <w:p>
      <w:pPr>
        <w:pStyle w:val="1198"/>
        <w:ind w:firstLine="420"/>
        <w:rPr>
          <w:rFonts w:ascii="宋体" w:hAnsi="宋体" w:cs="宋体"/>
          <w:color w:val="auto"/>
          <w:highlight w:val="none"/>
        </w:rPr>
      </w:pPr>
      <w:r>
        <w:rPr>
          <w:rFonts w:hint="eastAsia" w:ascii="宋体" w:hAnsi="宋体" w:cs="宋体"/>
          <w:color w:val="auto"/>
          <w:highlight w:val="none"/>
        </w:rPr>
        <w:t xml:space="preserve">（4）总价金额与按单价汇总金额不一致的，以单价金额计算结果为准。</w:t>
      </w:r>
      <w:r/>
    </w:p>
    <w:p>
      <w:pPr>
        <w:pStyle w:val="1198"/>
        <w:ind w:firstLine="420"/>
        <w:rPr>
          <w:rFonts w:ascii="宋体" w:hAnsi="宋体" w:cs="宋体"/>
          <w:color w:val="auto"/>
          <w:highlight w:val="none"/>
        </w:rPr>
      </w:pPr>
      <w:r>
        <w:rPr>
          <w:rFonts w:hint="eastAsia" w:ascii="宋体" w:hAnsi="宋体" w:cs="宋体"/>
          <w:color w:val="auto"/>
          <w:highlight w:val="none"/>
        </w:rPr>
        <w:t xml:space="preserve">同时出现两种以上不一致的，按照前款规定的顺序修正。</w:t>
      </w:r>
      <w:r/>
    </w:p>
    <w:p>
      <w:pPr>
        <w:pStyle w:val="1198"/>
        <w:ind w:firstLine="420"/>
        <w:rPr>
          <w:rFonts w:ascii="宋体" w:hAnsi="宋体" w:cs="宋体"/>
          <w:color w:val="auto"/>
          <w:highlight w:val="none"/>
        </w:rPr>
      </w:pPr>
      <w:r>
        <w:rPr>
          <w:rFonts w:hint="eastAsia" w:ascii="宋体" w:hAnsi="宋体" w:cs="宋体"/>
          <w:color w:val="auto"/>
          <w:highlight w:val="none"/>
        </w:rPr>
        <w:t xml:space="preserve">按上述方法调整后的投标报价经投标人确认后产生约束力，投标人不确认的，其投标无效。</w:t>
      </w:r>
      <w:r/>
    </w:p>
    <w:p>
      <w:pPr>
        <w:pStyle w:val="1198"/>
        <w:numPr>
          <w:ilvl w:val="0"/>
          <w:numId w:val="6"/>
        </w:numPr>
        <w:rPr>
          <w:rFonts w:ascii="宋体" w:hAnsi="宋体" w:cs="宋体"/>
          <w:b/>
          <w:bCs/>
          <w:color w:val="auto"/>
          <w:highlight w:val="none"/>
        </w:rPr>
      </w:pPr>
      <w:r>
        <w:rPr>
          <w:rFonts w:hint="eastAsia" w:ascii="宋体" w:hAnsi="宋体" w:cs="宋体"/>
          <w:b/>
          <w:bCs/>
          <w:color w:val="auto"/>
          <w:highlight w:val="none"/>
        </w:rPr>
        <w:t xml:space="preserve">技术及商务评分（90分）</w:t>
      </w:r>
      <w:r/>
    </w:p>
    <w:p>
      <w:pPr>
        <w:pStyle w:val="1198"/>
        <w:ind w:firstLine="420"/>
        <w:rPr>
          <w:rFonts w:hint="eastAsia" w:ascii="宋体" w:hAnsi="宋体" w:cs="宋体"/>
          <w:b/>
          <w:bCs/>
          <w:color w:val="auto"/>
          <w:highlight w:val="none"/>
        </w:rPr>
      </w:pPr>
      <w:r>
        <w:rPr>
          <w:rFonts w:hint="eastAsia" w:ascii="宋体" w:hAnsi="宋体" w:cs="宋体"/>
          <w:b/>
          <w:bCs/>
          <w:color w:val="auto"/>
          <w:highlight w:val="none"/>
        </w:rPr>
        <w:t xml:space="preserve">1、项目整体服务方案（8分）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根据投标人针对本项目整体服务方案进行评分，方案内容针对至少包括：①设施提供、②配套服务、③布展施工管理组织、④安全文明措施。</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方案内容针对本项目且符合本项目实际需求的，得8分，每缺少一项内容，或内容明显错误，或内容非专门针对本项目，或内容不能满足本项目实际需求的，每一项扣2分。</w:t>
      </w:r>
      <w:r/>
    </w:p>
    <w:p>
      <w:pPr>
        <w:pStyle w:val="1198"/>
        <w:ind w:firstLine="420"/>
        <w:rPr>
          <w:rFonts w:hint="eastAsia" w:ascii="宋体" w:hAnsi="宋体" w:cs="宋体"/>
          <w:b/>
          <w:bCs/>
          <w:color w:val="auto"/>
          <w:highlight w:val="none"/>
        </w:rPr>
      </w:pPr>
      <w:r>
        <w:rPr>
          <w:rFonts w:hint="eastAsia" w:ascii="宋体" w:hAnsi="宋体" w:cs="宋体"/>
          <w:b/>
          <w:bCs/>
          <w:color w:val="auto"/>
          <w:highlight w:val="none"/>
        </w:rPr>
        <w:t xml:space="preserve">2、项目服务保障措施（6分）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根据投标人针对本项目提供的服务保障措施进行评定，内容至少包括①保证服务质量所提供的各项保障措施、②质量保证体系、③服务响应速度的承诺。</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方案内容针对本项目且符合本项目实际需求的，得</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分，每缺少一项内容，或内容明显错误，或内容非专门针对本项目，或内容不能满足本项目实际需求的，每一项扣2分。</w:t>
      </w:r>
      <w:r/>
    </w:p>
    <w:p>
      <w:pPr>
        <w:pStyle w:val="1198"/>
        <w:ind w:firstLine="420"/>
        <w:rPr>
          <w:rFonts w:hint="eastAsia" w:ascii="宋体" w:hAnsi="宋体" w:cs="宋体"/>
          <w:b/>
          <w:bCs/>
          <w:color w:val="auto"/>
          <w:highlight w:val="none"/>
        </w:rPr>
      </w:pPr>
      <w:r>
        <w:rPr>
          <w:rFonts w:hint="eastAsia" w:ascii="宋体" w:hAnsi="宋体" w:cs="宋体"/>
          <w:b/>
          <w:bCs/>
          <w:color w:val="auto"/>
          <w:highlight w:val="none"/>
        </w:rPr>
        <w:t xml:space="preserve">3、售后维保方案及售后技术能力（6分）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根据投标人的售后方案进行评分，方案至少包括：①售后服务方案、②维保方案(含维保服务内容、措施、计划、质量保证保障方案等）、③售后技术能力相关证明。方案详实具体、可行性高、措施及技术保障合理性可靠性强的为6分，每缺少一项内容，或内容明显错误，或内容非专门针对本项目，或内容不能满足本项目实际需求的，每一项扣2分。</w:t>
      </w:r>
      <w:r/>
    </w:p>
    <w:p>
      <w:pPr>
        <w:pStyle w:val="1198"/>
        <w:ind w:firstLine="420"/>
        <w:rPr>
          <w:rFonts w:hint="eastAsia" w:ascii="宋体" w:hAnsi="宋体" w:cs="宋体"/>
          <w:b/>
          <w:bCs/>
          <w:color w:val="auto"/>
          <w:highlight w:val="none"/>
        </w:rPr>
      </w:pPr>
      <w:r>
        <w:rPr>
          <w:rFonts w:hint="eastAsia" w:ascii="宋体" w:hAnsi="宋体" w:cs="宋体"/>
          <w:b/>
          <w:bCs/>
          <w:color w:val="auto"/>
          <w:highlight w:val="none"/>
        </w:rPr>
        <w:t xml:space="preserve">4、项目整体设计方案（</w:t>
      </w:r>
      <w:r>
        <w:rPr>
          <w:rFonts w:hint="eastAsia" w:ascii="宋体" w:hAnsi="宋体" w:cs="宋体"/>
          <w:b/>
          <w:bCs/>
          <w:color w:val="auto"/>
          <w:highlight w:val="none"/>
          <w:lang w:val="en-US" w:eastAsia="zh-CN"/>
        </w:rPr>
        <w:t xml:space="preserve">5</w:t>
      </w:r>
      <w:r>
        <w:rPr>
          <w:rFonts w:hint="eastAsia" w:ascii="宋体" w:hAnsi="宋体" w:cs="宋体"/>
          <w:b/>
          <w:bCs/>
          <w:color w:val="auto"/>
          <w:highlight w:val="none"/>
        </w:rPr>
        <w:t xml:space="preserve">3分）</w:t>
      </w:r>
      <w:r/>
    </w:p>
    <w:p>
      <w:pPr>
        <w:pStyle w:val="1198"/>
        <w:ind w:firstLine="420"/>
        <w:rPr>
          <w:rFonts w:hint="eastAsia" w:ascii="宋体" w:hAnsi="宋体" w:cs="宋体"/>
          <w:b/>
          <w:bCs/>
          <w:color w:val="auto"/>
          <w:highlight w:val="none"/>
        </w:rPr>
      </w:pPr>
      <w:r>
        <w:rPr>
          <w:rFonts w:hint="eastAsia" w:ascii="宋体" w:hAnsi="宋体" w:cs="宋体"/>
          <w:b/>
          <w:bCs/>
          <w:color w:val="auto"/>
          <w:highlight w:val="none"/>
        </w:rPr>
        <w:t xml:space="preserve">4.1、方案整体创意策划布局比较，最高15分。</w:t>
      </w:r>
      <w:r/>
    </w:p>
    <w:p>
      <w:pPr>
        <w:pStyle w:val="1198"/>
        <w:ind w:firstLine="420"/>
        <w:rPr>
          <w:rFonts w:hint="eastAsia" w:ascii="宋体" w:hAnsi="宋体" w:cs="宋体"/>
          <w:b/>
          <w:bCs/>
          <w:color w:val="auto"/>
          <w:highlight w:val="none"/>
        </w:rPr>
      </w:pPr>
      <w:r>
        <w:rPr>
          <w:rFonts w:hint="eastAsia" w:ascii="宋体" w:hAnsi="宋体" w:cs="宋体"/>
          <w:b/>
          <w:bCs/>
          <w:color w:val="auto"/>
          <w:highlight w:val="none"/>
        </w:rPr>
        <w:t xml:space="preserve">（1）项目的定位和主题策划，最高5分。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项目定位清晰准确，主题符合</w:t>
      </w:r>
      <w:r>
        <w:rPr>
          <w:rFonts w:hint="eastAsia" w:ascii="宋体" w:hAnsi="宋体" w:cs="宋体"/>
          <w:color w:val="auto"/>
          <w:highlight w:val="none"/>
          <w:lang w:val="en-US" w:eastAsia="zh-CN"/>
        </w:rPr>
        <w:t xml:space="preserve">兴黎</w:t>
      </w:r>
      <w:r>
        <w:rPr>
          <w:rFonts w:hint="eastAsia" w:ascii="宋体" w:hAnsi="宋体" w:cs="宋体"/>
          <w:color w:val="auto"/>
          <w:highlight w:val="none"/>
        </w:rPr>
        <w:t xml:space="preserve">社区综合服务项目建设理念，突出党建引领、便民服务、邻里共建，充分结合社区本土文化及各功能空间实际需求，内容提炼详实全面，构思新颖，系统性强得5分；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项目定位、文化内容提炼基本到位，满足基础功能，但社区本土特色体现不足，内容把握不够全面得3分；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项目定位不全面，内容提炼缺失、不完整得1分；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不提供不得分。</w:t>
      </w:r>
      <w:r/>
    </w:p>
    <w:p>
      <w:pPr>
        <w:pStyle w:val="1198"/>
        <w:ind w:firstLine="420"/>
        <w:rPr>
          <w:rFonts w:hint="eastAsia" w:ascii="宋体" w:hAnsi="宋体" w:cs="宋体"/>
          <w:b/>
          <w:bCs/>
          <w:color w:val="auto"/>
          <w:highlight w:val="none"/>
        </w:rPr>
      </w:pPr>
      <w:r>
        <w:rPr>
          <w:rFonts w:hint="eastAsia" w:ascii="宋体" w:hAnsi="宋体" w:cs="宋体"/>
          <w:b/>
          <w:bCs/>
          <w:color w:val="auto"/>
          <w:highlight w:val="none"/>
        </w:rPr>
        <w:t xml:space="preserve">（2）功能规划与空间布局，最高5分。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整体规划清晰，空间布局科学合理，人流流线顺畅易识别，方案完整性、科学性、安全性、可实施性强得5分；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项目规划基本清晰，布局一般，功能基本齐全，流线设计普通得3分；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项目规划不清楚、布局混乱、流线错乱，存在功能缺失得1分；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不提供不得分。</w:t>
      </w:r>
      <w:r/>
    </w:p>
    <w:p>
      <w:pPr>
        <w:pStyle w:val="1198"/>
        <w:ind w:firstLine="420"/>
        <w:rPr>
          <w:rFonts w:hint="eastAsia" w:ascii="宋体" w:hAnsi="宋体" w:cs="宋体"/>
          <w:b/>
          <w:bCs/>
          <w:color w:val="auto"/>
          <w:highlight w:val="none"/>
        </w:rPr>
      </w:pPr>
      <w:r>
        <w:rPr>
          <w:rFonts w:hint="eastAsia" w:ascii="宋体" w:hAnsi="宋体" w:cs="宋体"/>
          <w:b/>
          <w:bCs/>
          <w:color w:val="auto"/>
          <w:highlight w:val="none"/>
        </w:rPr>
        <w:t xml:space="preserve">（3）整体风格与展陈立意，最高5分。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整体空间立意明确，风格统一协调，兼顾庄重简约与社区温馨亲民氛围，充分融合党建文化、社区邻里文化，设计形式新颖，符合社区公共阵地定位得5分；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主题立意较好，能够体现党建及社区服务文化，形式较为独特得3分；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主题立意一般，缺少社区文化特色，设计形式普通得1分；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不提供不得分。</w:t>
      </w:r>
      <w:r/>
    </w:p>
    <w:p>
      <w:pPr>
        <w:pStyle w:val="1198"/>
        <w:ind w:firstLine="420"/>
        <w:rPr>
          <w:rFonts w:hint="eastAsia" w:ascii="宋体" w:hAnsi="宋体" w:cs="宋体"/>
          <w:b/>
          <w:bCs/>
          <w:color w:val="auto"/>
          <w:highlight w:val="none"/>
        </w:rPr>
      </w:pPr>
      <w:r>
        <w:rPr>
          <w:rFonts w:hint="eastAsia" w:ascii="宋体" w:hAnsi="宋体" w:cs="宋体"/>
          <w:b/>
          <w:bCs/>
          <w:color w:val="auto"/>
          <w:highlight w:val="none"/>
        </w:rPr>
        <w:t xml:space="preserve">4.2、空间设计方案比较，最高38分。</w:t>
      </w:r>
      <w:r/>
    </w:p>
    <w:p>
      <w:pPr>
        <w:pStyle w:val="1198"/>
        <w:ind w:firstLine="420"/>
        <w:rPr>
          <w:rFonts w:hint="eastAsia" w:ascii="宋体" w:hAnsi="宋体" w:cs="宋体"/>
          <w:b/>
          <w:bCs/>
          <w:color w:val="auto"/>
          <w:highlight w:val="none"/>
        </w:rPr>
      </w:pPr>
      <w:r>
        <w:rPr>
          <w:rFonts w:hint="eastAsia" w:ascii="宋体" w:hAnsi="宋体" w:cs="宋体"/>
          <w:b/>
          <w:bCs/>
          <w:color w:val="auto"/>
          <w:highlight w:val="none"/>
        </w:rPr>
        <w:t xml:space="preserve">（1）一楼公共综合空间（门厅、中庭院子、便民服务大厅）最高15分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依据项目整体策划理念，空间主题鲜明，文化墙、形象立面设计完善；提供彩色平面布置图、点位布置图、空间三维效果图。</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图纸完整齐全，各项图纸均按要求提供，设计完整完善得15分；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图纸提供部分，存在缺失，内容不够全面完整得8分；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缺少三维效果图，图纸严重缺失得3分；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不提供不得分</w:t>
      </w:r>
      <w:r/>
    </w:p>
    <w:p>
      <w:pPr>
        <w:pStyle w:val="1198"/>
        <w:ind w:firstLine="420"/>
        <w:rPr>
          <w:rFonts w:hint="eastAsia" w:ascii="宋体" w:hAnsi="宋体" w:cs="宋体"/>
          <w:b/>
          <w:bCs/>
          <w:color w:val="auto"/>
          <w:highlight w:val="none"/>
        </w:rPr>
      </w:pPr>
      <w:r>
        <w:rPr>
          <w:rFonts w:hint="eastAsia" w:ascii="宋体" w:hAnsi="宋体" w:cs="宋体"/>
          <w:b/>
          <w:bCs/>
          <w:color w:val="auto"/>
          <w:highlight w:val="none"/>
        </w:rPr>
        <w:t xml:space="preserve">（2）一楼专项功能房间（医疗服务、</w:t>
      </w:r>
      <w:r>
        <w:rPr>
          <w:rFonts w:hint="eastAsia" w:ascii="宋体" w:hAnsi="宋体" w:cs="宋体"/>
          <w:b/>
          <w:bCs/>
          <w:color w:val="auto"/>
          <w:highlight w:val="none"/>
          <w:lang w:val="en-US" w:eastAsia="zh-CN"/>
        </w:rPr>
        <w:t xml:space="preserve">邻里中心</w:t>
      </w:r>
      <w:r>
        <w:rPr>
          <w:rFonts w:hint="eastAsia" w:ascii="宋体" w:hAnsi="宋体" w:cs="宋体"/>
          <w:b/>
          <w:bCs/>
          <w:color w:val="auto"/>
          <w:highlight w:val="none"/>
        </w:rPr>
        <w:t xml:space="preserve">、多功能室、会议室）最高15分。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结合各房间功能属性开展专项设计，兼顾使用功能与文化氛围渲染，风格与整体项目统一；出具平面功能布置图、点位布置图、关键视角三维效果图。</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图纸齐全完整，功能适配到位，设计完善得15分；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图纸提供部分，内容不够全面完整得8分；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缺少平面或三维效果图，图纸严重缺失得3分；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不提供不得分。</w:t>
      </w:r>
      <w:r/>
    </w:p>
    <w:p>
      <w:pPr>
        <w:pStyle w:val="1198"/>
        <w:ind w:firstLine="420"/>
        <w:rPr>
          <w:rFonts w:hint="eastAsia" w:ascii="宋体" w:hAnsi="宋体" w:cs="宋体"/>
          <w:b/>
          <w:bCs/>
          <w:color w:val="auto"/>
          <w:highlight w:val="none"/>
        </w:rPr>
      </w:pPr>
      <w:r>
        <w:rPr>
          <w:rFonts w:hint="eastAsia" w:ascii="宋体" w:hAnsi="宋体" w:cs="宋体"/>
          <w:b/>
          <w:bCs/>
          <w:color w:val="auto"/>
          <w:highlight w:val="none"/>
        </w:rPr>
        <w:t xml:space="preserve">（3） 二楼功能空间（妇女儿童之家、退伍军人服务站）最高8分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符合妇女儿童活动、退役军人服务站功能定位，主题氛围贴合阵地属性，文化展示内容适配服务对象；出具彩色平面布置图、点位布置图、空间三维效果图。</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图纸齐全完整，设计完善到位得8分；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图纸提供部分，内容不够全面完整得5分；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缺少三维效果图，图纸严重缺失得1分；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不提供不得分。</w:t>
      </w:r>
      <w:r/>
    </w:p>
    <w:p>
      <w:pPr>
        <w:pStyle w:val="1198"/>
        <w:ind w:firstLine="420"/>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5、团队人员配置（8分）</w:t>
      </w:r>
      <w:r/>
    </w:p>
    <w:p>
      <w:pPr>
        <w:pStyle w:val="1198"/>
        <w:ind w:firstLine="420"/>
        <w:rPr>
          <w:rFonts w:hint="eastAsia" w:ascii="宋体" w:hAnsi="宋体" w:cs="宋体"/>
          <w:b/>
          <w:bCs/>
          <w:color w:val="auto"/>
          <w:highlight w:val="none"/>
        </w:rPr>
      </w:pP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1</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项目经理（3分）</w:t>
      </w:r>
      <w:r/>
    </w:p>
    <w:p>
      <w:pPr>
        <w:pStyle w:val="1198"/>
        <w:ind w:firstLine="420"/>
        <w:rPr>
          <w:rFonts w:hint="eastAsia" w:ascii="宋体" w:hAnsi="宋体" w:eastAsia="宋体" w:cs="宋体"/>
          <w:color w:val="auto"/>
          <w:highlight w:val="none"/>
          <w:lang w:eastAsia="zh-CN"/>
        </w:rPr>
      </w:pPr>
      <w:r>
        <w:rPr>
          <w:rFonts w:hint="eastAsia" w:ascii="宋体" w:hAnsi="宋体" w:cs="宋体"/>
          <w:color w:val="auto"/>
          <w:highlight w:val="none"/>
        </w:rPr>
        <w:t xml:space="preserve">具备工程或环艺设计相关专业本科及以上学历的得3分，响应文件中提供相应的学历证书扫描件，不提供或提供不全不得分</w:t>
      </w:r>
      <w:r>
        <w:rPr>
          <w:rFonts w:hint="eastAsia" w:ascii="宋体" w:hAnsi="宋体" w:cs="宋体"/>
          <w:color w:val="auto"/>
          <w:highlight w:val="none"/>
          <w:lang w:eastAsia="zh-CN"/>
        </w:rPr>
        <w:t xml:space="preserve">。</w:t>
      </w:r>
      <w:r/>
    </w:p>
    <w:p>
      <w:pPr>
        <w:pStyle w:val="1198"/>
        <w:ind w:firstLine="420"/>
        <w:rPr>
          <w:rFonts w:hint="eastAsia" w:ascii="宋体" w:hAnsi="宋体" w:cs="宋体"/>
          <w:b/>
          <w:bCs/>
          <w:color w:val="auto"/>
          <w:highlight w:val="none"/>
        </w:rPr>
      </w:pP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2</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团队人员（项目经理</w:t>
      </w:r>
      <w:r>
        <w:rPr>
          <w:rFonts w:hint="eastAsia" w:ascii="宋体" w:hAnsi="宋体" w:cs="宋体"/>
          <w:b/>
          <w:bCs/>
          <w:color w:val="auto"/>
          <w:highlight w:val="none"/>
          <w:lang w:val="en-US" w:eastAsia="zh-CN"/>
        </w:rPr>
        <w:t xml:space="preserve">除外</w:t>
      </w:r>
      <w:r>
        <w:rPr>
          <w:rFonts w:hint="eastAsia" w:ascii="宋体" w:hAnsi="宋体" w:cs="宋体"/>
          <w:b/>
          <w:bCs/>
          <w:color w:val="auto"/>
          <w:highlight w:val="none"/>
        </w:rPr>
        <w:t xml:space="preserve">）（5分）</w:t>
      </w:r>
      <w:r/>
    </w:p>
    <w:p>
      <w:pPr>
        <w:pStyle w:val="1198"/>
        <w:ind w:firstLine="420"/>
        <w:rPr>
          <w:rFonts w:hint="eastAsia" w:ascii="宋体" w:hAnsi="宋体" w:cs="宋体"/>
          <w:color w:val="auto"/>
          <w:highlight w:val="none"/>
        </w:rPr>
      </w:pPr>
      <w:r>
        <w:rPr>
          <w:rFonts w:hint="eastAsia" w:ascii="宋体" w:hAnsi="宋体" w:cs="宋体"/>
          <w:color w:val="auto"/>
          <w:highlight w:val="none"/>
        </w:rPr>
        <w:t xml:space="preserve">相应单位拟派项目团队中具有本科学历的每1人得1分，具有室内设计或环艺设计相关中级职称的每1人得2分，最高5分。响应文件中提供相关证书扫描件，不提供或提供不全不得分。</w:t>
      </w:r>
      <w:r/>
    </w:p>
    <w:p>
      <w:pPr>
        <w:pStyle w:val="1198"/>
        <w:ind w:firstLine="420"/>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6、类似业绩（9分）</w:t>
      </w:r>
      <w:r/>
    </w:p>
    <w:p>
      <w:pPr>
        <w:pStyle w:val="1198"/>
        <w:ind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投标人提供2023年1月1日以来（以合同签订日期为准）承担过类似项目业绩，有一个得3分，最多9分。投标文件中提供合同扫描件，如合同中不能反映项目内容，须提供其他材料予以佐证，不提供或提供不全不得分。</w:t>
      </w:r>
      <w:r/>
    </w:p>
    <w:p>
      <w:pPr>
        <w:ind w:firstLine="211"/>
        <w:jc w:val="left"/>
        <w:rPr>
          <w:rFonts w:ascii="宋体" w:hAnsi="宋体" w:cs="宋体"/>
          <w:b/>
          <w:bCs/>
          <w:color w:val="auto"/>
          <w:szCs w:val="21"/>
          <w:highlight w:val="none"/>
        </w:rPr>
      </w:pPr>
      <w:r>
        <w:rPr>
          <w:rFonts w:hint="eastAsia" w:ascii="宋体" w:hAnsi="宋体" w:cs="宋体"/>
          <w:b/>
          <w:bCs/>
          <w:color w:val="auto"/>
          <w:szCs w:val="21"/>
          <w:highlight w:val="none"/>
        </w:rPr>
        <w:t xml:space="preserve">备注：</w:t>
      </w:r>
      <w:bookmarkEnd w:id="42"/>
      <w:r/>
      <w:r/>
    </w:p>
    <w:p>
      <w:pPr>
        <w:ind w:firstLine="210"/>
        <w:rPr>
          <w:rFonts w:ascii="宋体" w:hAnsi="宋体" w:cs="宋体"/>
          <w:bCs/>
          <w:color w:val="auto"/>
          <w:szCs w:val="21"/>
          <w:highlight w:val="none"/>
          <w:lang w:val="zh-TW" w:eastAsia="zh-TW"/>
        </w:rPr>
      </w:pPr>
      <w:r/>
      <w:bookmarkStart w:id="45" w:name="_Toc11197"/>
      <w:r>
        <w:rPr>
          <w:rFonts w:hint="eastAsia" w:ascii="宋体" w:hAnsi="宋体" w:cs="宋体"/>
          <w:bCs/>
          <w:color w:val="auto"/>
          <w:szCs w:val="21"/>
          <w:highlight w:val="none"/>
          <w:lang w:val="zh-TW" w:eastAsia="zh-TW"/>
        </w:rPr>
        <w:t xml:space="preserve">1、</w:t>
      </w:r>
      <w:r>
        <w:rPr>
          <w:rFonts w:hint="eastAsia" w:ascii="宋体" w:hAnsi="宋体" w:cs="宋体"/>
          <w:bCs/>
          <w:color w:val="auto"/>
          <w:szCs w:val="21"/>
          <w:highlight w:val="none"/>
        </w:rPr>
        <w:t xml:space="preserve">响应</w:t>
      </w:r>
      <w:r>
        <w:rPr>
          <w:rFonts w:hint="eastAsia" w:ascii="宋体" w:hAnsi="宋体" w:cs="宋体"/>
          <w:bCs/>
          <w:color w:val="auto"/>
          <w:szCs w:val="21"/>
          <w:highlight w:val="none"/>
          <w:lang w:val="zh-TW" w:eastAsia="zh-TW"/>
        </w:rPr>
        <w:t xml:space="preserve">总报价超过采购预算（或最高限价）的将不进入综合评审程序，也不得标。</w:t>
      </w:r>
      <w:bookmarkEnd w:id="45"/>
      <w:r/>
      <w:r/>
    </w:p>
    <w:p>
      <w:pPr>
        <w:ind w:firstLine="210"/>
        <w:rPr>
          <w:rFonts w:ascii="宋体" w:hAnsi="宋体" w:cs="宋体"/>
          <w:bCs/>
          <w:color w:val="auto"/>
          <w:szCs w:val="21"/>
          <w:highlight w:val="none"/>
          <w:lang w:val="zh-TW" w:eastAsia="zh-TW"/>
        </w:rPr>
      </w:pPr>
      <w:r/>
      <w:bookmarkStart w:id="46" w:name="_Toc8909"/>
      <w:r>
        <w:rPr>
          <w:rFonts w:hint="eastAsia" w:ascii="宋体" w:hAnsi="宋体" w:cs="宋体"/>
          <w:bCs/>
          <w:color w:val="auto"/>
          <w:szCs w:val="21"/>
          <w:highlight w:val="none"/>
          <w:lang w:val="zh-TW" w:eastAsia="zh-TW"/>
        </w:rPr>
        <w:t xml:space="preserve">2、服务期、付款步骤如有负偏离的不得标。</w:t>
      </w:r>
      <w:bookmarkEnd w:id="46"/>
      <w:r/>
      <w:r/>
    </w:p>
    <w:p>
      <w:pPr>
        <w:ind w:firstLine="210"/>
        <w:rPr>
          <w:rFonts w:ascii="宋体" w:hAnsi="宋体" w:cs="宋体"/>
          <w:bCs/>
          <w:color w:val="auto"/>
          <w:szCs w:val="21"/>
          <w:highlight w:val="none"/>
          <w:lang w:val="zh-TW" w:eastAsia="zh-TW"/>
        </w:rPr>
      </w:pPr>
      <w:r/>
      <w:bookmarkStart w:id="47" w:name="_Toc22215"/>
      <w:r>
        <w:rPr>
          <w:rFonts w:hint="eastAsia" w:ascii="宋体" w:hAnsi="宋体" w:cs="宋体"/>
          <w:bCs/>
          <w:color w:val="auto"/>
          <w:szCs w:val="21"/>
          <w:highlight w:val="none"/>
          <w:lang w:val="zh-TW" w:eastAsia="zh-TW"/>
        </w:rPr>
        <w:t xml:space="preserve">3、响应文件中如出现前后不一致时,评委有权请</w:t>
      </w:r>
      <w:r>
        <w:rPr>
          <w:rFonts w:hint="eastAsia" w:ascii="宋体" w:hAnsi="宋体" w:cs="宋体"/>
          <w:bCs/>
          <w:color w:val="auto"/>
          <w:szCs w:val="21"/>
          <w:highlight w:val="none"/>
          <w:lang w:val="zh-TW"/>
        </w:rPr>
        <w:t xml:space="preserve">供应商</w:t>
      </w:r>
      <w:r>
        <w:rPr>
          <w:rFonts w:hint="eastAsia" w:ascii="宋体" w:hAnsi="宋体" w:cs="宋体"/>
          <w:bCs/>
          <w:color w:val="auto"/>
          <w:szCs w:val="21"/>
          <w:highlight w:val="none"/>
          <w:lang w:val="zh-TW" w:eastAsia="zh-TW"/>
        </w:rPr>
        <w:t xml:space="preserve">澄清说明,澄清说明事项涉及评分时,评委有权酌情扣分。</w:t>
      </w:r>
      <w:bookmarkEnd w:id="47"/>
      <w:r/>
      <w:r/>
    </w:p>
    <w:p>
      <w:pPr>
        <w:ind w:firstLine="210"/>
        <w:rPr>
          <w:rFonts w:ascii="宋体" w:hAnsi="宋体" w:cs="宋体"/>
          <w:bCs/>
          <w:color w:val="auto"/>
          <w:szCs w:val="21"/>
          <w:highlight w:val="none"/>
        </w:rPr>
      </w:pPr>
      <w:r>
        <w:rPr>
          <w:rFonts w:hint="eastAsia" w:ascii="宋体" w:hAnsi="宋体" w:cs="宋体"/>
          <w:bCs/>
          <w:color w:val="auto"/>
          <w:szCs w:val="21"/>
          <w:highlight w:val="none"/>
        </w:rPr>
        <w:t xml:space="preserve">4、响应人提供资料必须真实有效，成交后采购人可对相应证书扫描件等进行原件核查，响应单位如若提供虚假资料，将承担相应法律责任。以上须要递交的资料投标截止时间之前递交，逾时递交的资料将不作为评审依据。</w:t>
      </w:r>
      <w:r/>
    </w:p>
    <w:p>
      <w:pPr>
        <w:ind w:firstLine="210"/>
        <w:rPr>
          <w:rFonts w:ascii="宋体" w:hAnsi="宋体" w:cs="宋体"/>
          <w:bCs/>
          <w:color w:val="auto"/>
          <w:szCs w:val="21"/>
          <w:highlight w:val="none"/>
        </w:rPr>
      </w:pPr>
      <w:r>
        <w:rPr>
          <w:rFonts w:hint="eastAsia" w:ascii="宋体" w:hAnsi="宋体" w:cs="宋体"/>
          <w:bCs/>
          <w:color w:val="auto"/>
          <w:szCs w:val="21"/>
          <w:highlight w:val="none"/>
        </w:rPr>
        <w:t xml:space="preserve">5、采购文件中要求加盖响应单位公章的，可用电子签章代替。</w:t>
      </w:r>
      <w:r/>
    </w:p>
    <w:p>
      <w:pPr>
        <w:ind w:firstLine="210"/>
        <w:rPr>
          <w:rFonts w:ascii="宋体" w:hAnsi="宋体" w:cs="宋体"/>
          <w:color w:val="auto"/>
          <w:highlight w:val="none"/>
        </w:rPr>
      </w:pPr>
      <w:r>
        <w:rPr>
          <w:rFonts w:hint="eastAsia" w:ascii="宋体" w:hAnsi="宋体" w:cs="宋体"/>
          <w:bCs/>
          <w:color w:val="auto"/>
          <w:szCs w:val="21"/>
          <w:highlight w:val="none"/>
        </w:rPr>
        <w:t xml:space="preserve">6、</w:t>
      </w:r>
      <w:r>
        <w:rPr>
          <w:rFonts w:hint="eastAsia"/>
          <w:color w:val="auto"/>
          <w:highlight w:val="none"/>
        </w:rPr>
        <w:t xml:space="preserve">投标响应文件中扫描件须清晰可辨，如因扫描件模糊，造成无法辨认，该项不得分。</w:t>
      </w:r>
      <w:bookmarkStart w:id="48" w:name="_Toc29409"/>
      <w:r>
        <w:rPr>
          <w:rFonts w:hint="eastAsia" w:ascii="宋体" w:hAnsi="宋体" w:cs="宋体"/>
          <w:color w:val="auto"/>
          <w:highlight w:val="none"/>
        </w:rPr>
        <w:br w:type="page" w:clear="all"/>
      </w:r>
      <w:r/>
    </w:p>
    <w:p>
      <w:pPr>
        <w:pStyle w:val="850"/>
        <w:rPr>
          <w:color w:val="auto"/>
          <w:highlight w:val="none"/>
        </w:rPr>
      </w:pPr>
      <w:r/>
      <w:bookmarkStart w:id="49" w:name="_Toc21982"/>
      <w:r>
        <w:rPr>
          <w:rFonts w:hint="eastAsia"/>
          <w:color w:val="auto"/>
          <w:highlight w:val="none"/>
        </w:rPr>
        <w:t xml:space="preserve">五、合同主要条款</w:t>
      </w:r>
      <w:bookmarkEnd w:id="48"/>
      <w:r/>
      <w:bookmarkEnd w:id="49"/>
      <w:r/>
      <w:r/>
    </w:p>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甲方（采购单位）： </w:t>
      </w:r>
      <w:r/>
    </w:p>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联系人：                 </w:t>
      </w:r>
      <w:r/>
    </w:p>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联系电话：                                </w:t>
      </w:r>
      <w:r/>
    </w:p>
    <w:p>
      <w:pPr>
        <w:ind w:firstLine="422"/>
        <w:rPr>
          <w:rFonts w:ascii="宋体" w:hAnsi="宋体" w:cs="宋体"/>
          <w:b/>
          <w:bCs/>
          <w:color w:val="auto"/>
          <w:szCs w:val="21"/>
          <w:highlight w:val="none"/>
        </w:rPr>
      </w:pPr>
      <w:r>
        <w:rPr>
          <w:rFonts w:ascii="宋体" w:hAnsi="宋体" w:cs="宋体"/>
          <w:b/>
          <w:bCs/>
          <w:color w:val="auto"/>
          <w:szCs w:val="21"/>
          <w:highlight w:val="none"/>
        </w:rPr>
      </w:r>
      <w:r/>
    </w:p>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乙方（成交单位）：   </w:t>
      </w:r>
      <w:r/>
    </w:p>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联系人：                 </w:t>
      </w:r>
      <w:r/>
    </w:p>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联系电话：  </w:t>
      </w:r>
      <w:r/>
    </w:p>
    <w:p>
      <w:pPr>
        <w:pStyle w:val="902"/>
        <w:rPr>
          <w:color w:val="auto"/>
          <w:highlight w:val="none"/>
        </w:rPr>
      </w:pPr>
      <w:r>
        <w:rPr>
          <w:color w:val="auto"/>
          <w:highlight w:val="none"/>
        </w:rPr>
      </w:r>
      <w:r/>
    </w:p>
    <w:p>
      <w:pPr>
        <w:ind w:firstLine="420"/>
        <w:rPr>
          <w:rFonts w:hint="eastAsia" w:asciiTheme="minorEastAsia" w:hAnsiTheme="minorEastAsia" w:eastAsiaTheme="minorEastAsia" w:cstheme="minorEastAsia"/>
          <w:color w:val="auto"/>
          <w:sz w:val="21"/>
          <w:szCs w:val="21"/>
          <w:highlight w:val="none"/>
        </w:rPr>
      </w:pPr>
      <w:r/>
      <w:bookmarkStart w:id="50" w:name="_Toc31533"/>
      <w:r>
        <w:rPr>
          <w:rFonts w:hint="eastAsia" w:asciiTheme="minorEastAsia" w:hAnsiTheme="minorEastAsia" w:eastAsiaTheme="minorEastAsia" w:cstheme="minorEastAsia"/>
          <w:color w:val="auto"/>
          <w:sz w:val="21"/>
          <w:szCs w:val="21"/>
          <w:highlight w:val="none"/>
        </w:rPr>
        <w:t xml:space="preserve">依据甲方委托</w:t>
      </w:r>
      <w:r>
        <w:rPr>
          <w:rFonts w:hint="eastAsia" w:asciiTheme="minorEastAsia" w:hAnsiTheme="minorEastAsia" w:eastAsiaTheme="minorEastAsia" w:cstheme="minorEastAsia"/>
          <w:color w:val="auto"/>
          <w:sz w:val="21"/>
          <w:szCs w:val="21"/>
          <w:highlight w:val="none"/>
          <w:u w:val="single"/>
        </w:rPr>
        <w:t xml:space="preserve">苏州通宜房地产土地评估咨询有限公司</w:t>
      </w:r>
      <w:r>
        <w:rPr>
          <w:rFonts w:hint="eastAsia" w:asciiTheme="minorEastAsia" w:hAnsiTheme="minorEastAsia" w:eastAsiaTheme="minorEastAsia" w:cstheme="minorEastAsia"/>
          <w:color w:val="auto"/>
          <w:sz w:val="21"/>
          <w:szCs w:val="21"/>
          <w:highlight w:val="none"/>
        </w:rPr>
        <w:t xml:space="preserve">进行</w:t>
      </w:r>
      <w:r>
        <w:rPr>
          <w:rFonts w:hint="eastAsia" w:asciiTheme="minorEastAsia" w:hAnsiTheme="minorEastAsia" w:eastAsiaTheme="minorEastAsia" w:cstheme="minorEastAsia"/>
          <w:color w:val="auto"/>
          <w:sz w:val="21"/>
          <w:szCs w:val="21"/>
          <w:highlight w:val="none"/>
          <w:u w:val="single"/>
          <w:lang w:eastAsia="zh-CN"/>
        </w:rPr>
        <w:t xml:space="preserve">兴黎社区综合服务项目</w:t>
      </w:r>
      <w:r>
        <w:rPr>
          <w:rFonts w:hint="eastAsia" w:asciiTheme="minorEastAsia" w:hAnsiTheme="minorEastAsia" w:eastAsiaTheme="minorEastAsia" w:cstheme="minorEastAsia"/>
          <w:color w:val="auto"/>
          <w:sz w:val="21"/>
          <w:szCs w:val="21"/>
          <w:highlight w:val="none"/>
          <w:u w:val="single"/>
        </w:rPr>
        <w:t xml:space="preserve">（</w:t>
      </w:r>
      <w:r>
        <w:rPr>
          <w:rFonts w:hint="eastAsia" w:asciiTheme="minorEastAsia" w:hAnsiTheme="minorEastAsia" w:eastAsiaTheme="minorEastAsia" w:cstheme="minorEastAsia"/>
          <w:color w:val="auto"/>
          <w:sz w:val="21"/>
          <w:szCs w:val="21"/>
          <w:highlight w:val="none"/>
          <w:u w:val="single"/>
          <w:lang w:eastAsia="zh-CN"/>
        </w:rPr>
        <w:t xml:space="preserve">项目编号</w:t>
      </w:r>
      <w:r>
        <w:rPr>
          <w:rFonts w:hint="eastAsia" w:asciiTheme="minorEastAsia" w:hAnsiTheme="minorEastAsia" w:eastAsiaTheme="minorEastAsia" w:cstheme="minorEastAsia"/>
          <w:color w:val="auto"/>
          <w:sz w:val="21"/>
          <w:szCs w:val="21"/>
          <w:highlight w:val="none"/>
          <w:u w:val="single"/>
        </w:rPr>
        <w:t xml:space="preserve">：</w:t>
      </w:r>
      <w:r>
        <w:rPr>
          <w:rFonts w:hint="eastAsia" w:asciiTheme="minorEastAsia" w:hAnsiTheme="minorEastAsia" w:eastAsiaTheme="minorEastAsia" w:cstheme="minorEastAsia"/>
          <w:color w:val="auto"/>
          <w:sz w:val="21"/>
          <w:szCs w:val="21"/>
          <w:highlight w:val="none"/>
          <w:u w:val="single"/>
          <w:lang w:eastAsia="zh-CN"/>
        </w:rPr>
        <w:t xml:space="preserve">JSZC-320509-SZTY-C2026-0007</w:t>
      </w:r>
      <w:r>
        <w:rPr>
          <w:rFonts w:hint="eastAsia" w:asciiTheme="minorEastAsia" w:hAnsiTheme="minorEastAsia" w:eastAsiaTheme="minorEastAsia" w:cstheme="minorEastAsia"/>
          <w:color w:val="auto"/>
          <w:sz w:val="21"/>
          <w:szCs w:val="21"/>
          <w:highlight w:val="none"/>
          <w:u w:val="single"/>
        </w:rPr>
        <w:t xml:space="preserve">）</w:t>
      </w:r>
      <w:r>
        <w:rPr>
          <w:rFonts w:hint="eastAsia" w:asciiTheme="minorEastAsia" w:hAnsiTheme="minorEastAsia" w:eastAsiaTheme="minorEastAsia" w:cstheme="minorEastAsia"/>
          <w:color w:val="auto"/>
          <w:sz w:val="21"/>
          <w:szCs w:val="21"/>
          <w:highlight w:val="none"/>
        </w:rPr>
        <w:t xml:space="preserve">政府采购的成交结果，确定乙方为本次成交单位，现依照采购文件、乙方的响应文件及相关文件的内容，签订本合同书。</w:t>
      </w:r>
      <w:r/>
    </w:p>
    <w:p>
      <w:pPr>
        <w:pStyle w:val="1120"/>
        <w:spacing w:line="460" w:lineRule="exact"/>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一、合同内容：</w:t>
      </w:r>
      <w:r/>
    </w:p>
    <w:p>
      <w:pPr>
        <w:pStyle w:val="1120"/>
        <w:ind w:firstLine="420"/>
        <w:spacing w:line="4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1、乙方负责完成甲方的</w:t>
      </w:r>
      <w:r>
        <w:rPr>
          <w:rFonts w:hint="eastAsia" w:asciiTheme="minorEastAsia" w:hAnsiTheme="minorEastAsia" w:eastAsiaTheme="minorEastAsia" w:cstheme="minorEastAsia"/>
          <w:color w:val="auto"/>
          <w:sz w:val="21"/>
          <w:szCs w:val="21"/>
          <w:highlight w:val="none"/>
          <w:u w:val="single"/>
          <w:lang w:val="en-US" w:eastAsia="zh-CN" w:bidi="ar-SA"/>
        </w:rPr>
        <w:t xml:space="preserve">                        </w:t>
      </w:r>
      <w:r>
        <w:rPr>
          <w:rFonts w:hint="eastAsia" w:asciiTheme="minorEastAsia" w:hAnsiTheme="minorEastAsia" w:eastAsiaTheme="minorEastAsia" w:cstheme="minorEastAsia"/>
          <w:color w:val="auto"/>
          <w:sz w:val="21"/>
          <w:szCs w:val="21"/>
          <w:highlight w:val="none"/>
          <w:lang w:val="en-US" w:eastAsia="zh-CN" w:bidi="ar-SA"/>
        </w:rPr>
        <w:t xml:space="preserve">，详见乙方的响应文件。</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2、下列文件为本合同不可分割部分，与本合同具有同等法律效力，有冲突的，以有利于甲方、标准高的为准：</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①中标通知书；</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②采购文件及其他补充文件（如有）；</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③乙方中标的投标文件；</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④乙方在招投标过程中所作的其它书面承诺、声明、澄清等。</w:t>
      </w:r>
      <w:r/>
    </w:p>
    <w:p>
      <w:pPr>
        <w:pStyle w:val="112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二、项目期限要求：</w:t>
      </w:r>
      <w:r>
        <w:rPr>
          <w:rFonts w:hint="eastAsia" w:asciiTheme="minorEastAsia" w:hAnsiTheme="minorEastAsia" w:eastAsiaTheme="minorEastAsia" w:cstheme="minorEastAsia"/>
          <w:color w:val="auto"/>
          <w:sz w:val="21"/>
          <w:szCs w:val="21"/>
          <w:highlight w:val="none"/>
          <w:lang w:val="zh-CN" w:eastAsia="zh-CN"/>
        </w:rPr>
        <w:t xml:space="preserve">自合同签订之日起</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val="zh-CN" w:eastAsia="zh-CN"/>
        </w:rPr>
        <w:t xml:space="preserve">日。</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项目地点：具体按采购单位指定地点。</w:t>
      </w:r>
      <w:r/>
    </w:p>
    <w:p>
      <w:pPr>
        <w:pStyle w:val="1120"/>
        <w:spacing w:line="460" w:lineRule="exact"/>
        <w:rPr>
          <w:rFonts w:hint="eastAsia" w:asciiTheme="minorEastAsia" w:hAnsiTheme="minorEastAsia" w:eastAsiaTheme="minorEastAsia" w:cstheme="minorEastAsia"/>
          <w:b/>
          <w:bCs/>
          <w:color w:val="auto"/>
          <w:sz w:val="21"/>
          <w:szCs w:val="21"/>
          <w:highlight w:val="none"/>
          <w:lang w:val="zh-TW" w:eastAsia="zh-TW"/>
        </w:rPr>
      </w:pPr>
      <w:r/>
      <w:bookmarkStart w:id="51" w:name="_Toc484509998"/>
      <w:r/>
      <w:bookmarkStart w:id="52" w:name="_Toc484509820"/>
      <w:r>
        <w:rPr>
          <w:rFonts w:hint="eastAsia" w:asciiTheme="minorEastAsia" w:hAnsiTheme="minorEastAsia" w:eastAsiaTheme="minorEastAsia" w:cstheme="minorEastAsia"/>
          <w:b/>
          <w:bCs/>
          <w:color w:val="auto"/>
          <w:sz w:val="21"/>
          <w:szCs w:val="21"/>
          <w:highlight w:val="none"/>
          <w:lang w:val="zh-TW" w:eastAsia="zh-TW"/>
        </w:rPr>
        <w:t xml:space="preserve">三、质量保证要求</w:t>
      </w:r>
      <w:bookmarkEnd w:id="51"/>
      <w:r/>
      <w:bookmarkEnd w:id="52"/>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zh-TW" w:eastAsia="zh-TW"/>
        </w:rPr>
      </w:pPr>
      <w:r>
        <w:rPr>
          <w:rFonts w:hint="eastAsia" w:asciiTheme="minorEastAsia" w:hAnsiTheme="minorEastAsia" w:eastAsiaTheme="minorEastAsia" w:cstheme="minorEastAsia"/>
          <w:color w:val="auto"/>
          <w:sz w:val="21"/>
          <w:szCs w:val="21"/>
          <w:highlight w:val="none"/>
          <w:lang w:val="zh-TW" w:eastAsia="zh-TW"/>
        </w:rPr>
        <w:t xml:space="preserve">本项目的设计、制作和验收均按照设计方案、合同要求及现行国家和行业相关标准规范执行。如规范与设计图纸上的说明有矛盾和分歧或另有说明，乙方必须以两者中甲方确认的较优者为准进行制作。</w:t>
      </w:r>
      <w:r/>
    </w:p>
    <w:p>
      <w:pPr>
        <w:pStyle w:val="1120"/>
        <w:spacing w:line="460" w:lineRule="exact"/>
        <w:rPr>
          <w:rFonts w:hint="eastAsia" w:asciiTheme="minorEastAsia" w:hAnsiTheme="minorEastAsia" w:eastAsiaTheme="minorEastAsia" w:cstheme="minorEastAsia"/>
          <w:color w:val="auto"/>
          <w:sz w:val="21"/>
          <w:szCs w:val="21"/>
          <w:highlight w:val="none"/>
          <w:lang w:val="zh-TW" w:eastAsia="zh-CN"/>
        </w:rPr>
      </w:pPr>
      <w:r>
        <w:rPr>
          <w:rFonts w:hint="eastAsia" w:asciiTheme="minorEastAsia" w:hAnsiTheme="minorEastAsia" w:eastAsiaTheme="minorEastAsia" w:cstheme="minorEastAsia"/>
          <w:b/>
          <w:bCs/>
          <w:color w:val="auto"/>
          <w:sz w:val="21"/>
          <w:szCs w:val="21"/>
          <w:highlight w:val="none"/>
          <w:lang w:val="zh-TW" w:eastAsia="zh-TW"/>
        </w:rPr>
        <w:t xml:space="preserve">四、交付成果要求</w:t>
      </w:r>
      <w:r>
        <w:rPr>
          <w:rFonts w:hint="eastAsia" w:asciiTheme="minorEastAsia" w:hAnsiTheme="minorEastAsia" w:eastAsiaTheme="minorEastAsia" w:cstheme="minorEastAsia"/>
          <w:b/>
          <w:bCs/>
          <w:color w:val="auto"/>
          <w:sz w:val="21"/>
          <w:szCs w:val="21"/>
          <w:highlight w:val="none"/>
          <w:lang w:val="zh-TW" w:eastAsia="zh-CN"/>
        </w:rPr>
        <w:t xml:space="preserve">：</w:t>
      </w:r>
      <w:r>
        <w:rPr>
          <w:rFonts w:hint="eastAsia" w:asciiTheme="minorEastAsia" w:hAnsiTheme="minorEastAsia" w:eastAsiaTheme="minorEastAsia" w:cstheme="minorEastAsia"/>
          <w:color w:val="auto"/>
          <w:sz w:val="21"/>
          <w:szCs w:val="21"/>
          <w:highlight w:val="none"/>
          <w:lang w:val="zh-TW" w:eastAsia="zh-CN"/>
        </w:rPr>
        <w:t xml:space="preserve">按采购文件要求。</w:t>
      </w:r>
      <w:r/>
    </w:p>
    <w:p>
      <w:pPr>
        <w:pStyle w:val="1120"/>
        <w:spacing w:line="460" w:lineRule="exact"/>
        <w:rPr>
          <w:rFonts w:hint="eastAsia" w:asciiTheme="minorEastAsia" w:hAnsiTheme="minorEastAsia" w:eastAsiaTheme="minorEastAsia" w:cstheme="minorEastAsia"/>
          <w:b/>
          <w:bCs/>
          <w:color w:val="auto"/>
          <w:sz w:val="21"/>
          <w:szCs w:val="21"/>
          <w:highlight w:val="none"/>
          <w:lang w:val="zh-TW" w:eastAsia="zh-CN"/>
        </w:rPr>
      </w:pPr>
      <w:r/>
      <w:bookmarkStart w:id="53" w:name="_Toc484509999"/>
      <w:r/>
      <w:bookmarkStart w:id="54" w:name="_Toc484509821"/>
      <w:r>
        <w:rPr>
          <w:rFonts w:hint="eastAsia" w:asciiTheme="minorEastAsia" w:hAnsiTheme="minorEastAsia" w:eastAsiaTheme="minorEastAsia" w:cstheme="minorEastAsia"/>
          <w:b/>
          <w:bCs/>
          <w:color w:val="auto"/>
          <w:sz w:val="21"/>
          <w:szCs w:val="21"/>
          <w:highlight w:val="none"/>
          <w:lang w:val="zh-TW" w:eastAsia="zh-TW"/>
        </w:rPr>
        <w:t xml:space="preserve">五、验收要求</w:t>
      </w:r>
      <w:bookmarkEnd w:id="53"/>
      <w:r/>
      <w:bookmarkEnd w:id="54"/>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zh-TW" w:eastAsia="zh-TW"/>
        </w:rPr>
      </w:pP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TW" w:eastAsia="zh-TW"/>
        </w:rPr>
        <w:t xml:space="preserve">本项目软硬件设备由甲方及有关部门进行验收；</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zh-TW" w:eastAsia="zh-TW"/>
        </w:rPr>
      </w:pP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val="zh-TW" w:eastAsia="zh-TW"/>
        </w:rPr>
        <w:t xml:space="preserve">硬件设备到达甲方指定地点，经甲方及乙方共同验收合格后方能开封实施；</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zh-TW" w:eastAsia="zh-TW"/>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lang w:val="zh-TW" w:eastAsia="zh-TW"/>
        </w:rPr>
        <w:t xml:space="preserve">软硬设备整体的安装调试验收需由甲方及其他有关部门共同组织验收；质保期自出具验收合格报告之日起算；</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zh-TW" w:eastAsia="zh-TW"/>
        </w:rPr>
      </w:pP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lang w:val="zh-TW" w:eastAsia="zh-TW"/>
        </w:rPr>
        <w:t xml:space="preserve">验收合格后乙方须向甲方提供相关技术培训。</w:t>
      </w:r>
      <w:r/>
    </w:p>
    <w:p>
      <w:pPr>
        <w:pStyle w:val="1120"/>
        <w:spacing w:line="460" w:lineRule="exact"/>
        <w:rPr>
          <w:rFonts w:hint="eastAsia" w:asciiTheme="minorEastAsia" w:hAnsiTheme="minorEastAsia" w:eastAsiaTheme="minorEastAsia" w:cstheme="minorEastAsia"/>
          <w:b/>
          <w:bCs/>
          <w:color w:val="auto"/>
          <w:sz w:val="21"/>
          <w:szCs w:val="21"/>
          <w:highlight w:val="none"/>
          <w:lang w:val="zh-TW" w:eastAsia="zh-CN"/>
        </w:rPr>
      </w:pPr>
      <w:r/>
      <w:bookmarkStart w:id="55" w:name="_Toc484509822"/>
      <w:r/>
      <w:bookmarkStart w:id="56" w:name="_Toc484510000"/>
      <w:r>
        <w:rPr>
          <w:rFonts w:hint="eastAsia" w:asciiTheme="minorEastAsia" w:hAnsiTheme="minorEastAsia" w:eastAsiaTheme="minorEastAsia" w:cstheme="minorEastAsia"/>
          <w:b/>
          <w:bCs/>
          <w:color w:val="auto"/>
          <w:sz w:val="21"/>
          <w:szCs w:val="21"/>
          <w:highlight w:val="none"/>
          <w:lang w:val="zh-TW" w:eastAsia="zh-TW"/>
        </w:rPr>
        <w:t xml:space="preserve">六、售后服务要求</w:t>
      </w:r>
      <w:bookmarkEnd w:id="55"/>
      <w:r/>
      <w:bookmarkEnd w:id="56"/>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1、免费质保期：自竣工验收合格之日起，布展布置制作提供不低于1年的免费维修保养；</w:t>
      </w:r>
      <w:r>
        <w:rPr>
          <w:rFonts w:hint="eastAsia" w:asciiTheme="minorEastAsia" w:hAnsiTheme="minorEastAsia" w:eastAsiaTheme="minorEastAsia" w:cstheme="minorEastAsia"/>
          <w:color w:val="auto"/>
          <w:sz w:val="21"/>
          <w:szCs w:val="21"/>
          <w:highlight w:val="none"/>
          <w:lang w:val="en-US" w:eastAsia="zh-CN"/>
        </w:rPr>
        <w:t xml:space="preserve">硬件设备提供原厂不低于2年免费保修（原厂高于2年的以年数高的为准）。</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在规定的质量保证期内，乙方应对由于设计制作、工艺或材料的缺陷而发生的任何不足或故障负责。质保期内免费负责修理或更换有缺陷的零部件或整机并相应延长此保修期，否则，甲方可采取必要的补救措施，但风险和费用将由乙方承担；质保期满后提供有偿服务，投标文件中提供质保期内和质保期满后的质保服务措施方案。质保期过后如甲方要求需提供上门维修服务，终身维修并标明保修期后的具体维修维护事宜；服务方应在投标文件中提供详细具体的售后服务保证条款及承诺。</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3、免费保修期内需提供7×24小时响应服务，确保2小时内响应，24小时内提供解决方案，如需更换或送修，在3个工作日内解决，特殊情况甲乙双方协商解决。如遇重大活动，需提供现场技术支持和服务。</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4、乙方需至少为甲方提供一周以上时间的现场培训，保证甲方的操作人员可以熟练操作。</w:t>
      </w:r>
      <w:r/>
    </w:p>
    <w:p>
      <w:pPr>
        <w:pStyle w:val="1120"/>
        <w:spacing w:line="460" w:lineRule="exact"/>
        <w:rPr>
          <w:rFonts w:hint="eastAsia" w:asciiTheme="minorEastAsia" w:hAnsiTheme="minorEastAsia" w:eastAsiaTheme="minorEastAsia" w:cstheme="minorEastAsia"/>
          <w:b/>
          <w:bCs/>
          <w:color w:val="auto"/>
          <w:sz w:val="21"/>
          <w:szCs w:val="21"/>
          <w:highlight w:val="none"/>
          <w:lang w:val="zh-TW" w:eastAsia="zh-TW"/>
        </w:rPr>
      </w:pPr>
      <w:r/>
      <w:bookmarkStart w:id="57" w:name="_Toc484509823"/>
      <w:r/>
      <w:bookmarkStart w:id="58" w:name="_Toc484510001"/>
      <w:r>
        <w:rPr>
          <w:rFonts w:hint="eastAsia" w:asciiTheme="minorEastAsia" w:hAnsiTheme="minorEastAsia" w:eastAsiaTheme="minorEastAsia" w:cstheme="minorEastAsia"/>
          <w:b/>
          <w:bCs/>
          <w:color w:val="auto"/>
          <w:sz w:val="21"/>
          <w:szCs w:val="21"/>
          <w:highlight w:val="none"/>
          <w:lang w:val="zh-TW" w:eastAsia="zh-TW"/>
        </w:rPr>
        <w:t xml:space="preserve">七、其他要求</w:t>
      </w:r>
      <w:bookmarkEnd w:id="57"/>
      <w:r/>
      <w:bookmarkEnd w:id="58"/>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zh-TW" w:eastAsia="zh-TW"/>
        </w:rPr>
      </w:pP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TW" w:eastAsia="zh-TW"/>
        </w:rPr>
        <w:t xml:space="preserve">设备采购以中标后甲方最终确认的深化设计方案为准。乙方投标文件中列明的设备及元器件品牌、生产地、制造厂商、质量保证等必须符合相关国家标准和规范，且是全新的、未使用过的、原包装未拆封的商品，完全符合采购设备规定的质量、规格和性能的要求，产品配置必须原厂出厂时全部自带，所有设备外包装箱不得自行拆封，包装箱上所有标签等不得涂改或撕毁，除有特殊要求外，其余均为标准配置，否则甲方有权拒绝验收。</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val="zh-TW" w:eastAsia="zh-TW"/>
        </w:rPr>
        <w:t xml:space="preserve">展厅设计成果、展示内容成果等项目相关成果知识产权归甲方所有。</w:t>
      </w:r>
      <w:r>
        <w:rPr>
          <w:rFonts w:hint="eastAsia" w:asciiTheme="minorEastAsia" w:hAnsiTheme="minorEastAsia" w:eastAsiaTheme="minorEastAsia" w:cstheme="minorEastAsia"/>
          <w:color w:val="auto"/>
          <w:sz w:val="21"/>
          <w:szCs w:val="21"/>
          <w:highlight w:val="none"/>
          <w:lang w:val="en-US" w:eastAsia="zh-CN"/>
        </w:rPr>
        <w:t xml:space="preserve">未经甲方同意，乙方不得擅自公开、使用、变相使用或向任何第三方透露该成果。</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对于甲方在标书中所要求的及乙方在投标文件和合同中所承诺提供的功能，乙方应无条件提供，由于设计及其他原因所造成的额外费用由乙方自行承担。由于甲方要求删除的部分及功能，乙方应予以在合同总价中扣除该部分的价格。</w:t>
      </w:r>
      <w:r/>
    </w:p>
    <w:p>
      <w:pPr>
        <w:pStyle w:val="1120"/>
        <w:spacing w:line="460" w:lineRule="exact"/>
        <w:rPr>
          <w:rFonts w:hint="eastAsia" w:asciiTheme="minorEastAsia" w:hAnsiTheme="minorEastAsia" w:eastAsiaTheme="minorEastAsia" w:cstheme="minorEastAsia"/>
          <w:b/>
          <w:bCs/>
          <w:color w:val="auto"/>
          <w:sz w:val="21"/>
          <w:szCs w:val="21"/>
          <w:highlight w:val="none"/>
          <w:lang w:val="en-US" w:eastAsia="zh-CN"/>
        </w:rPr>
      </w:pPr>
      <w:r/>
      <w:bookmarkStart w:id="59" w:name="_Toc484509824"/>
      <w:r/>
      <w:bookmarkStart w:id="60" w:name="_Toc484510002"/>
      <w:r>
        <w:rPr>
          <w:rFonts w:hint="eastAsia" w:asciiTheme="minorEastAsia" w:hAnsiTheme="minorEastAsia" w:eastAsiaTheme="minorEastAsia" w:cstheme="minorEastAsia"/>
          <w:b/>
          <w:bCs/>
          <w:color w:val="auto"/>
          <w:sz w:val="21"/>
          <w:szCs w:val="21"/>
          <w:highlight w:val="none"/>
          <w:lang w:val="zh-TW" w:eastAsia="zh-TW"/>
        </w:rPr>
        <w:t xml:space="preserve">八、</w:t>
      </w:r>
      <w:bookmarkEnd w:id="59"/>
      <w:r/>
      <w:bookmarkEnd w:id="60"/>
      <w:r>
        <w:rPr>
          <w:rFonts w:hint="eastAsia" w:asciiTheme="minorEastAsia" w:hAnsiTheme="minorEastAsia" w:eastAsiaTheme="minorEastAsia" w:cstheme="minorEastAsia"/>
          <w:b/>
          <w:bCs/>
          <w:color w:val="auto"/>
          <w:sz w:val="21"/>
          <w:szCs w:val="21"/>
          <w:highlight w:val="none"/>
          <w:lang w:val="en-US" w:eastAsia="zh-CN"/>
        </w:rPr>
        <w:t xml:space="preserve">安全生产、文明布展、施工与环境保护要求</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bookmarkStart w:id="61" w:name="_Toc484509825"/>
      <w:r/>
      <w:bookmarkStart w:id="62" w:name="_Toc484510003"/>
      <w:r>
        <w:rPr>
          <w:rFonts w:hint="eastAsia" w:asciiTheme="minorEastAsia" w:hAnsiTheme="minorEastAsia" w:eastAsiaTheme="minorEastAsia" w:cstheme="minorEastAsia"/>
          <w:color w:val="auto"/>
          <w:sz w:val="21"/>
          <w:szCs w:val="21"/>
          <w:highlight w:val="none"/>
          <w:lang w:val="en-US" w:eastAsia="zh-CN"/>
        </w:rPr>
        <w:t xml:space="preserve">1、在项目实施期间为确保作业区域周围环境的整洁和不影响其他活动正常进行,乙方应严格执行国家与吴江市有关安全文明施工管理的法律、法规和政策,积极主动落实安全文明及环境保护施工的管理和考核等有关工作，加强和做好安全、文明布展与施工的管理工作，并按规定承担相应的费用。</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乙方应根据有关规范标准，严密组织，精心布展与施工，做到：①布展期间不干扰采购人其他活动正常进行，不影响自身和周边交通的需要；②无管线事故、无伤亡事故；③环境影响要最小化；④现场材料堆放整齐，生活设施清洁，周边环境文明；⑤清洁运输；⑥满足市文明工地要求，做到文明布展、安全管理。</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3、乙方在项目实施期间，必须建立安全用电制度，确保施工用电设备的完好，并设置好漏电保护装置等，杜绝施工用电事故的发生。</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4、乙方在项目实施期间必须保护好施工区域内的环境和原有装饰与设施，保证环境和原有装饰与设施完好。</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5、乙方在组织项目实施时必须遵守采购人的规章制度并提供布展人员名单。乙方必须按施工计划协调好现场布展工作。</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6、各投标人在投标文件中要结合本项目的特点和采购人上述的具体要求制定相应的文明布展和安全生产管理措施，同时应适当考虑购买自己员工的第三方责任保险。</w:t>
      </w:r>
      <w:r/>
    </w:p>
    <w:p>
      <w:pPr>
        <w:pStyle w:val="1120"/>
        <w:spacing w:line="460" w:lineRule="exact"/>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九、有关安全生产和防火的约定</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1、乙方在服务期间应严格遵守《中华人民共和国消防条例》、相关安装安全技术及操作规程和其它相关的法规、规范。</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2、甲方确认的图纸或作法说明，如有违反有关安全操作规程、消防条例和防火设计规范，乙方应按国家有关规定提请甲方改进并调整。</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3、由于乙方在作业生产过程中违反有关安全操作规程、消防条例，导致发生安全或火灾事故，乙方应承担由此引发的一切经济损失和法律责任。</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4、服务过程中乙方应采取相关安全措施,承担安全责任。乙方应按有关规定严格落实安全责任制度</w:t>
      </w:r>
      <w:r>
        <w:rPr>
          <w:rFonts w:hint="eastAsia" w:asciiTheme="minorEastAsia" w:hAnsiTheme="minorEastAsia" w:eastAsiaTheme="minorEastAsia" w:cstheme="minorEastAsia"/>
          <w:color w:val="auto"/>
          <w:sz w:val="21"/>
          <w:szCs w:val="21"/>
          <w:highlight w:val="none"/>
          <w:lang w:val="en-US" w:eastAsia="zh-CN"/>
        </w:rPr>
        <w:t xml:space="preserve">、安全规章制度和相关操作规程，消除安全事故隐患，及时、如实报告生产安全事故。应对施工人员进行安全教育，提供安全防护用具和安全防护服装，应为施工人员购买人身意外伤害险及工程施工有关的一切保险。应在危险区域设立明显的安全警示标志，进行定期和专项安全检查，并做好安全检查记录，对于发生在施工现场的乙方人员或任何其它人员的意外伤害或事故，或乙方人员给他人的财产或人身造成损害，均由乙方承担全部责任及产生的一切费用，给甲方造成损失的（包括但不限于民事赔偿金、行政处罚金、鉴定费、律师费、诉讼费等），甲方有权向乙方进行追偿。</w:t>
      </w:r>
      <w:r/>
    </w:p>
    <w:p>
      <w:pPr>
        <w:pStyle w:val="1120"/>
        <w:spacing w:line="460" w:lineRule="exact"/>
        <w:rPr>
          <w:rFonts w:hint="eastAsia" w:asciiTheme="minorEastAsia" w:hAnsiTheme="minorEastAsia" w:eastAsiaTheme="minorEastAsia" w:cstheme="minorEastAsia"/>
          <w:b/>
          <w:bCs/>
          <w:color w:val="auto"/>
          <w:sz w:val="21"/>
          <w:szCs w:val="21"/>
          <w:highlight w:val="none"/>
          <w:lang w:val="zh-TW" w:eastAsia="zh-TW"/>
        </w:rPr>
      </w:pPr>
      <w:r>
        <w:rPr>
          <w:rFonts w:hint="eastAsia" w:asciiTheme="minorEastAsia" w:hAnsiTheme="minorEastAsia" w:eastAsiaTheme="minorEastAsia" w:cstheme="minorEastAsia"/>
          <w:b/>
          <w:bCs/>
          <w:color w:val="auto"/>
          <w:sz w:val="21"/>
          <w:szCs w:val="21"/>
          <w:highlight w:val="none"/>
          <w:lang w:val="en-US" w:eastAsia="zh-CN"/>
        </w:rPr>
        <w:t xml:space="preserve">十</w:t>
      </w:r>
      <w:r>
        <w:rPr>
          <w:rFonts w:hint="eastAsia" w:asciiTheme="minorEastAsia" w:hAnsiTheme="minorEastAsia" w:eastAsiaTheme="minorEastAsia" w:cstheme="minorEastAsia"/>
          <w:b/>
          <w:bCs/>
          <w:color w:val="auto"/>
          <w:sz w:val="21"/>
          <w:szCs w:val="21"/>
          <w:highlight w:val="none"/>
          <w:lang w:val="zh-TW" w:eastAsia="zh-TW"/>
        </w:rPr>
        <w:t xml:space="preserve">、价格与支付</w:t>
      </w:r>
      <w:bookmarkEnd w:id="61"/>
      <w:r/>
      <w:bookmarkEnd w:id="62"/>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TW" w:eastAsia="zh-CN"/>
        </w:rPr>
        <w:t xml:space="preserve">、本合同为固定单价合同，数量按实结算。</w:t>
      </w:r>
      <w:r>
        <w:rPr>
          <w:rFonts w:hint="eastAsia" w:asciiTheme="minorEastAsia" w:hAnsiTheme="minorEastAsia" w:eastAsiaTheme="minorEastAsia" w:cstheme="minorEastAsia"/>
          <w:color w:val="auto"/>
          <w:sz w:val="21"/>
          <w:szCs w:val="21"/>
          <w:highlight w:val="none"/>
          <w:lang w:val="zh-TW" w:eastAsia="zh-TW"/>
        </w:rPr>
        <w:t xml:space="preserve">合同总金额为人民币</w:t>
      </w:r>
      <w:r>
        <w:rPr>
          <w:rFonts w:hint="eastAsia" w:asciiTheme="minorEastAsia" w:hAnsiTheme="minorEastAsia" w:eastAsiaTheme="minorEastAsia" w:cstheme="minorEastAsia"/>
          <w:color w:val="auto"/>
          <w:sz w:val="21"/>
          <w:szCs w:val="21"/>
          <w:highlight w:val="none"/>
          <w:u w:val="single"/>
          <w:lang w:val="zh-TW" w:eastAsia="zh-TW"/>
        </w:rPr>
        <w:t xml:space="preserve">    </w:t>
      </w:r>
      <w:r>
        <w:rPr>
          <w:rFonts w:hint="eastAsia" w:asciiTheme="minorEastAsia" w:hAnsiTheme="minorEastAsia" w:eastAsiaTheme="minorEastAsia" w:cstheme="minorEastAsia"/>
          <w:color w:val="auto"/>
          <w:sz w:val="21"/>
          <w:szCs w:val="21"/>
          <w:highlight w:val="none"/>
          <w:lang w:val="zh-TW" w:eastAsia="zh-TW"/>
        </w:rPr>
        <w:t xml:space="preserve">（￥</w:t>
      </w:r>
      <w:r>
        <w:rPr>
          <w:rFonts w:hint="eastAsia" w:asciiTheme="minorEastAsia" w:hAnsiTheme="minorEastAsia" w:eastAsiaTheme="minorEastAsia" w:cstheme="minorEastAsia"/>
          <w:color w:val="auto"/>
          <w:sz w:val="21"/>
          <w:szCs w:val="21"/>
          <w:highlight w:val="none"/>
          <w:u w:val="single"/>
          <w:lang w:val="zh-TW" w:eastAsia="zh-TW"/>
        </w:rPr>
        <w:t xml:space="preserve">    </w:t>
      </w:r>
      <w:r>
        <w:rPr>
          <w:rFonts w:hint="eastAsia" w:asciiTheme="minorEastAsia" w:hAnsiTheme="minorEastAsia" w:eastAsiaTheme="minorEastAsia" w:cstheme="minorEastAsia"/>
          <w:color w:val="auto"/>
          <w:sz w:val="21"/>
          <w:szCs w:val="21"/>
          <w:highlight w:val="none"/>
          <w:lang w:val="zh-TW" w:eastAsia="zh-TW"/>
        </w:rPr>
        <w:t xml:space="preserve">元）</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zh-TW" w:eastAsia="zh-TW"/>
        </w:rPr>
        <w:t xml:space="preserve">合同总价</w:t>
      </w:r>
      <w:r>
        <w:rPr>
          <w:rFonts w:hint="eastAsia" w:asciiTheme="minorEastAsia" w:hAnsiTheme="minorEastAsia" w:eastAsiaTheme="minorEastAsia" w:cstheme="minorEastAsia"/>
          <w:color w:val="auto"/>
          <w:sz w:val="21"/>
          <w:szCs w:val="21"/>
          <w:highlight w:val="none"/>
          <w:lang w:val="en-US" w:eastAsia="zh-CN"/>
        </w:rPr>
        <w:t xml:space="preserve">包括完成本次项目全部工作内容所必须的设计以及布展实施制作所需的全部产品、人工、仓储、发货、运输、安装、调试、验收、培训、质保、保险、专利、风险、利润、税金及其他伴随服务等一切必须费用，本项目为交钥匙项目，包括但不限于上述内容，除非因特殊原因并经买卖双方协商同意，乙方不得再要求追加任何费用，同时，除非合同条款中另有规定，否则，乙方所报价格在合同实施期间不因市场变化因素而变动。</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val="zh-TW" w:eastAsia="zh-CN"/>
        </w:rPr>
        <w:t xml:space="preserve">、</w:t>
      </w:r>
      <w:r>
        <w:rPr>
          <w:rFonts w:hint="eastAsia" w:asciiTheme="minorEastAsia" w:hAnsiTheme="minorEastAsia" w:eastAsiaTheme="minorEastAsia" w:cstheme="minorEastAsia"/>
          <w:color w:val="auto"/>
          <w:sz w:val="21"/>
          <w:szCs w:val="21"/>
          <w:highlight w:val="none"/>
          <w:lang w:val="zh-TW" w:eastAsia="zh-TW"/>
        </w:rPr>
        <w:t xml:space="preserve">付款步骤：</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TW" w:eastAsia="zh-CN"/>
        </w:rPr>
        <w:t xml:space="preserve">合同签订生效，乙方工作人员进场后十五个工作日内，甲方支付合同总金额的50%；项目设计制作布展布置全部完成并安装调试竣工验收合格后十五个工作日内，甲方再次支付至合同总金额的90%；项目经审计单位审计后，甲方向乙方支付至审计后总金额的95%；剩余款项在免费保修期满后十五个工作日内支付。</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lang w:val="zh-TW" w:eastAsia="zh-TW"/>
        </w:rPr>
        <w:t xml:space="preserve">．付款方式：银行转帐。</w:t>
      </w:r>
      <w:r/>
    </w:p>
    <w:p>
      <w:pPr>
        <w:pStyle w:val="1120"/>
        <w:spacing w:line="460" w:lineRule="exact"/>
        <w:rPr>
          <w:rFonts w:hint="eastAsia" w:asciiTheme="minorEastAsia" w:hAnsiTheme="minorEastAsia" w:eastAsiaTheme="minorEastAsia" w:cstheme="minorEastAsia"/>
          <w:b/>
          <w:bCs/>
          <w:color w:val="auto"/>
          <w:sz w:val="21"/>
          <w:szCs w:val="21"/>
          <w:highlight w:val="none"/>
          <w:lang w:val="zh-TW" w:eastAsia="zh-TW"/>
        </w:rPr>
      </w:pPr>
      <w:r/>
      <w:bookmarkStart w:id="63" w:name="_Toc484510005"/>
      <w:r>
        <w:rPr>
          <w:rFonts w:hint="eastAsia" w:asciiTheme="minorEastAsia" w:hAnsiTheme="minorEastAsia" w:eastAsiaTheme="minorEastAsia" w:cstheme="minorEastAsia"/>
          <w:b/>
          <w:bCs/>
          <w:color w:val="auto"/>
          <w:sz w:val="21"/>
          <w:szCs w:val="21"/>
          <w:highlight w:val="none"/>
          <w:lang w:val="zh-TW" w:eastAsia="zh-TW"/>
        </w:rPr>
        <w:t xml:space="preserve">十</w:t>
      </w:r>
      <w:r>
        <w:rPr>
          <w:rFonts w:hint="eastAsia" w:asciiTheme="minorEastAsia" w:hAnsiTheme="minorEastAsia" w:eastAsiaTheme="minorEastAsia" w:cstheme="minorEastAsia"/>
          <w:b/>
          <w:bCs/>
          <w:color w:val="auto"/>
          <w:sz w:val="21"/>
          <w:szCs w:val="21"/>
          <w:highlight w:val="none"/>
          <w:lang w:val="en-US" w:eastAsia="zh-CN"/>
        </w:rPr>
        <w:t xml:space="preserve">一</w:t>
      </w:r>
      <w:r>
        <w:rPr>
          <w:rFonts w:hint="eastAsia" w:asciiTheme="minorEastAsia" w:hAnsiTheme="minorEastAsia" w:eastAsiaTheme="minorEastAsia" w:cstheme="minorEastAsia"/>
          <w:b/>
          <w:bCs/>
          <w:color w:val="auto"/>
          <w:sz w:val="21"/>
          <w:szCs w:val="21"/>
          <w:highlight w:val="none"/>
          <w:lang w:val="zh-TW" w:eastAsia="zh-TW"/>
        </w:rPr>
        <w:t xml:space="preserve">、双方的责任及义务</w:t>
      </w:r>
      <w:bookmarkEnd w:id="63"/>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TW" w:eastAsia="zh-TW"/>
        </w:rPr>
        <w:t xml:space="preserve">、甲方的责任与义务</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1.1 </w:t>
      </w:r>
      <w:r>
        <w:rPr>
          <w:rFonts w:hint="eastAsia" w:asciiTheme="minorEastAsia" w:hAnsiTheme="minorEastAsia" w:eastAsiaTheme="minorEastAsia" w:cstheme="minorEastAsia"/>
          <w:color w:val="auto"/>
          <w:sz w:val="21"/>
          <w:szCs w:val="21"/>
          <w:highlight w:val="none"/>
          <w:lang w:val="zh-TW" w:eastAsia="zh-TW"/>
        </w:rPr>
        <w:t xml:space="preserve">按照合同规定拨付项目费用。</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1.2 </w:t>
      </w:r>
      <w:r>
        <w:rPr>
          <w:rFonts w:hint="eastAsia" w:asciiTheme="minorEastAsia" w:hAnsiTheme="minorEastAsia" w:eastAsiaTheme="minorEastAsia" w:cstheme="minorEastAsia"/>
          <w:color w:val="auto"/>
          <w:sz w:val="21"/>
          <w:szCs w:val="21"/>
          <w:highlight w:val="none"/>
          <w:lang w:val="zh-TW" w:eastAsia="zh-TW"/>
        </w:rPr>
        <w:t xml:space="preserve">提供技术要求及规范。</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1.3 </w:t>
      </w:r>
      <w:r>
        <w:rPr>
          <w:rFonts w:hint="eastAsia" w:asciiTheme="minorEastAsia" w:hAnsiTheme="minorEastAsia" w:eastAsiaTheme="minorEastAsia" w:cstheme="minorEastAsia"/>
          <w:color w:val="auto"/>
          <w:sz w:val="21"/>
          <w:szCs w:val="21"/>
          <w:highlight w:val="none"/>
          <w:lang w:val="zh-TW" w:eastAsia="zh-TW"/>
        </w:rPr>
        <w:t xml:space="preserve">审定乙方技术方案及履行合同情况。</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1.4 </w:t>
      </w:r>
      <w:r>
        <w:rPr>
          <w:rFonts w:hint="eastAsia" w:asciiTheme="minorEastAsia" w:hAnsiTheme="minorEastAsia" w:eastAsiaTheme="minorEastAsia" w:cstheme="minorEastAsia"/>
          <w:color w:val="auto"/>
          <w:sz w:val="21"/>
          <w:szCs w:val="21"/>
          <w:highlight w:val="none"/>
          <w:lang w:val="zh-TW" w:eastAsia="zh-TW"/>
        </w:rPr>
        <w:t xml:space="preserve">对乙方承担的项目进行验收。</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1.5 </w:t>
      </w:r>
      <w:r>
        <w:rPr>
          <w:rFonts w:hint="eastAsia" w:asciiTheme="minorEastAsia" w:hAnsiTheme="minorEastAsia" w:eastAsiaTheme="minorEastAsia" w:cstheme="minorEastAsia"/>
          <w:color w:val="auto"/>
          <w:sz w:val="21"/>
          <w:szCs w:val="21"/>
          <w:highlight w:val="none"/>
          <w:lang w:val="zh-TW" w:eastAsia="zh-TW"/>
        </w:rPr>
        <w:t xml:space="preserve">协助处理与各权属单位关系及有关职能部门的关系，以便于服务工作的顺利进行。</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val="zh-TW" w:eastAsia="zh-TW"/>
        </w:rPr>
        <w:t xml:space="preserve">、甲方违约责任</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2.1</w:t>
      </w:r>
      <w:r>
        <w:rPr>
          <w:rFonts w:hint="eastAsia" w:asciiTheme="minorEastAsia" w:hAnsiTheme="minorEastAsia" w:eastAsiaTheme="minorEastAsia" w:cstheme="minorEastAsia"/>
          <w:color w:val="auto"/>
          <w:sz w:val="21"/>
          <w:szCs w:val="21"/>
          <w:highlight w:val="none"/>
          <w:lang w:val="zh-TW" w:eastAsia="zh-TW"/>
        </w:rPr>
        <w:t xml:space="preserve">甲方未按合同的约定支付项目款给乙方或未给乙方提供合同约定的必要工作条件而造成停窝工时，工期顺延。</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lang w:val="zh-TW" w:eastAsia="zh-TW"/>
        </w:rPr>
        <w:t xml:space="preserve">、乙方的责任与义务</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3.1 </w:t>
      </w:r>
      <w:r>
        <w:rPr>
          <w:rFonts w:hint="eastAsia" w:asciiTheme="minorEastAsia" w:hAnsiTheme="minorEastAsia" w:eastAsiaTheme="minorEastAsia" w:cstheme="minorEastAsia"/>
          <w:color w:val="auto"/>
          <w:sz w:val="21"/>
          <w:szCs w:val="21"/>
          <w:highlight w:val="none"/>
          <w:lang w:val="zh-TW" w:eastAsia="zh-TW"/>
        </w:rPr>
        <w:t xml:space="preserve">乙方应自己负责实施合同期间其工作人员的食宿、通讯、差旅、交通、水电、资料收集以及用工器具的搬迁等一切费用。</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3.2 </w:t>
      </w:r>
      <w:r>
        <w:rPr>
          <w:rFonts w:hint="eastAsia" w:asciiTheme="minorEastAsia" w:hAnsiTheme="minorEastAsia" w:eastAsiaTheme="minorEastAsia" w:cstheme="minorEastAsia"/>
          <w:color w:val="auto"/>
          <w:sz w:val="21"/>
          <w:szCs w:val="21"/>
          <w:highlight w:val="none"/>
          <w:lang w:val="zh-TW" w:eastAsia="zh-TW"/>
        </w:rPr>
        <w:t xml:space="preserve">乙方须维护甲方的基础资料及成果，不得转让给第三方重复使用。</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3.3</w:t>
      </w:r>
      <w:r>
        <w:rPr>
          <w:rFonts w:hint="eastAsia" w:asciiTheme="minorEastAsia" w:hAnsiTheme="minorEastAsia" w:eastAsiaTheme="minorEastAsia" w:cstheme="minorEastAsia"/>
          <w:color w:val="auto"/>
          <w:sz w:val="21"/>
          <w:szCs w:val="21"/>
          <w:highlight w:val="none"/>
          <w:lang w:val="zh-TW" w:eastAsia="zh-TW"/>
        </w:rPr>
        <w:t xml:space="preserve">乙方</w:t>
      </w:r>
      <w:r>
        <w:rPr>
          <w:rFonts w:hint="eastAsia" w:asciiTheme="minorEastAsia" w:hAnsiTheme="minorEastAsia" w:eastAsiaTheme="minorEastAsia" w:cstheme="minorEastAsia"/>
          <w:color w:val="auto"/>
          <w:sz w:val="21"/>
          <w:szCs w:val="21"/>
          <w:highlight w:val="none"/>
          <w:lang w:val="zh-TW" w:eastAsia="zh-CN"/>
        </w:rPr>
        <w:t xml:space="preserve">响应文件</w:t>
      </w:r>
      <w:r>
        <w:rPr>
          <w:rFonts w:hint="eastAsia" w:asciiTheme="minorEastAsia" w:hAnsiTheme="minorEastAsia" w:eastAsiaTheme="minorEastAsia" w:cstheme="minorEastAsia"/>
          <w:color w:val="auto"/>
          <w:sz w:val="21"/>
          <w:szCs w:val="21"/>
          <w:highlight w:val="none"/>
          <w:lang w:val="zh-TW" w:eastAsia="zh-TW"/>
        </w:rPr>
        <w:t xml:space="preserve">中明确的项目组人员、设备与进场作业人员、设备应该一致，乙方不得随意更换，如发现未经甲方许可随意更换主要技术人员及设备，按乙方违约处理。</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3.4</w:t>
      </w:r>
      <w:r>
        <w:rPr>
          <w:rFonts w:hint="eastAsia" w:asciiTheme="minorEastAsia" w:hAnsiTheme="minorEastAsia" w:eastAsiaTheme="minorEastAsia" w:cstheme="minorEastAsia"/>
          <w:color w:val="auto"/>
          <w:sz w:val="21"/>
          <w:szCs w:val="21"/>
          <w:highlight w:val="none"/>
          <w:lang w:val="zh-TW" w:eastAsia="zh-TW"/>
        </w:rPr>
        <w:t xml:space="preserve">乙方人员进场，需持有身份证，职称证书复印件，经与标书核对无误，方能上岗工作，人员变动，需法定代表人签字，阐明变动原因，并需经甲方同意。</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3.5</w:t>
      </w:r>
      <w:r>
        <w:rPr>
          <w:rFonts w:hint="eastAsia" w:asciiTheme="minorEastAsia" w:hAnsiTheme="minorEastAsia" w:eastAsiaTheme="minorEastAsia" w:cstheme="minorEastAsia"/>
          <w:color w:val="auto"/>
          <w:sz w:val="21"/>
          <w:szCs w:val="21"/>
          <w:highlight w:val="none"/>
          <w:lang w:val="zh-TW" w:eastAsia="zh-TW"/>
        </w:rPr>
        <w:t xml:space="preserve">乙方应根据甲方的要求，以及规范、规程等进行项目的实施。</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3.6</w:t>
      </w:r>
      <w:r>
        <w:rPr>
          <w:rFonts w:hint="eastAsia" w:asciiTheme="minorEastAsia" w:hAnsiTheme="minorEastAsia" w:eastAsiaTheme="minorEastAsia" w:cstheme="minorEastAsia"/>
          <w:color w:val="auto"/>
          <w:sz w:val="21"/>
          <w:szCs w:val="21"/>
          <w:highlight w:val="none"/>
          <w:lang w:val="zh-TW" w:eastAsia="zh-TW"/>
        </w:rPr>
        <w:t xml:space="preserve">验收费用包含在合同总价之内。</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3.7</w:t>
      </w:r>
      <w:r>
        <w:rPr>
          <w:rFonts w:hint="eastAsia" w:asciiTheme="minorEastAsia" w:hAnsiTheme="minorEastAsia" w:eastAsiaTheme="minorEastAsia" w:cstheme="minorEastAsia"/>
          <w:color w:val="auto"/>
          <w:sz w:val="21"/>
          <w:szCs w:val="21"/>
          <w:highlight w:val="none"/>
          <w:lang w:val="zh-TW" w:eastAsia="zh-TW"/>
        </w:rPr>
        <w:t xml:space="preserve">乙方自行承担合同实施期间其人员的人身安全、仪器设备的使用正常及其一切可能产生的后果。</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lang w:val="zh-TW" w:eastAsia="zh-TW"/>
        </w:rPr>
        <w:t xml:space="preserve">、乙方违约责任</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4.1</w:t>
      </w:r>
      <w:r>
        <w:rPr>
          <w:rFonts w:hint="eastAsia" w:asciiTheme="minorEastAsia" w:hAnsiTheme="minorEastAsia" w:eastAsiaTheme="minorEastAsia" w:cstheme="minorEastAsia"/>
          <w:color w:val="auto"/>
          <w:sz w:val="21"/>
          <w:szCs w:val="21"/>
          <w:highlight w:val="none"/>
          <w:lang w:val="zh-TW" w:eastAsia="zh-TW"/>
        </w:rPr>
        <w:t xml:space="preserve">乙方需保证施工区设备、人员的数量和工作进度，由于乙方自身原因而导致工期延误的，每拖延一天将扣除</w:t>
      </w:r>
      <w:r>
        <w:rPr>
          <w:rFonts w:hint="eastAsia" w:asciiTheme="minorEastAsia" w:hAnsiTheme="minorEastAsia" w:eastAsiaTheme="minorEastAsia" w:cstheme="minorEastAsia"/>
          <w:color w:val="auto"/>
          <w:sz w:val="21"/>
          <w:szCs w:val="21"/>
          <w:highlight w:val="none"/>
          <w:lang w:val="en-US" w:eastAsia="zh-CN"/>
        </w:rPr>
        <w:t xml:space="preserve">0.1%</w:t>
      </w:r>
      <w:r>
        <w:rPr>
          <w:rFonts w:hint="eastAsia" w:asciiTheme="minorEastAsia" w:hAnsiTheme="minorEastAsia" w:eastAsiaTheme="minorEastAsia" w:cstheme="minorEastAsia"/>
          <w:color w:val="auto"/>
          <w:sz w:val="21"/>
          <w:szCs w:val="21"/>
          <w:highlight w:val="none"/>
          <w:lang w:val="zh-TW" w:eastAsia="zh-TW"/>
        </w:rPr>
        <w:t xml:space="preserve">项目款，拖延时间超过</w:t>
      </w:r>
      <w:r>
        <w:rPr>
          <w:rFonts w:hint="eastAsia" w:asciiTheme="minorEastAsia" w:hAnsiTheme="minorEastAsia" w:eastAsiaTheme="minorEastAsia" w:cstheme="minorEastAsia"/>
          <w:color w:val="auto"/>
          <w:sz w:val="21"/>
          <w:szCs w:val="21"/>
          <w:highlight w:val="none"/>
          <w:lang w:val="en-US" w:eastAsia="zh-CN"/>
        </w:rPr>
        <w:t xml:space="preserve">30</w:t>
      </w:r>
      <w:r>
        <w:rPr>
          <w:rFonts w:hint="eastAsia" w:asciiTheme="minorEastAsia" w:hAnsiTheme="minorEastAsia" w:eastAsiaTheme="minorEastAsia" w:cstheme="minorEastAsia"/>
          <w:color w:val="auto"/>
          <w:sz w:val="21"/>
          <w:szCs w:val="21"/>
          <w:highlight w:val="none"/>
          <w:lang w:val="zh-TW" w:eastAsia="zh-TW"/>
        </w:rPr>
        <w:t xml:space="preserve">天的，甲方有权解除合同，并要求乙方赔偿合同总金额</w:t>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lang w:val="zh-TW" w:eastAsia="zh-TW"/>
        </w:rPr>
        <w:t xml:space="preserve">的误工等损失；</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4.2</w:t>
      </w:r>
      <w:r>
        <w:rPr>
          <w:rFonts w:hint="eastAsia" w:asciiTheme="minorEastAsia" w:hAnsiTheme="minorEastAsia" w:eastAsiaTheme="minorEastAsia" w:cstheme="minorEastAsia"/>
          <w:color w:val="auto"/>
          <w:sz w:val="21"/>
          <w:szCs w:val="21"/>
          <w:highlight w:val="none"/>
          <w:lang w:val="zh-TW" w:eastAsia="zh-TW"/>
        </w:rPr>
        <w:t xml:space="preserve">乙方未派任</w:t>
      </w:r>
      <w:r>
        <w:rPr>
          <w:rFonts w:hint="eastAsia" w:asciiTheme="minorEastAsia" w:hAnsiTheme="minorEastAsia" w:eastAsiaTheme="minorEastAsia" w:cstheme="minorEastAsia"/>
          <w:color w:val="auto"/>
          <w:sz w:val="21"/>
          <w:szCs w:val="21"/>
          <w:highlight w:val="none"/>
          <w:lang w:val="zh-TW" w:eastAsia="zh-CN"/>
        </w:rPr>
        <w:t xml:space="preserve">响应文件</w:t>
      </w:r>
      <w:r>
        <w:rPr>
          <w:rFonts w:hint="eastAsia" w:asciiTheme="minorEastAsia" w:hAnsiTheme="minorEastAsia" w:eastAsiaTheme="minorEastAsia" w:cstheme="minorEastAsia"/>
          <w:color w:val="auto"/>
          <w:sz w:val="21"/>
          <w:szCs w:val="21"/>
          <w:highlight w:val="none"/>
          <w:lang w:val="zh-TW" w:eastAsia="zh-TW"/>
        </w:rPr>
        <w:t xml:space="preserve">中提供的主要技术人员进场作业，或主要技术人员相关职称证书及其主持承办的重大项目相关证明为假的，从而造成服务质量无法保证的情况，甲方有权终止合同。 </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4.3</w:t>
      </w:r>
      <w:r>
        <w:rPr>
          <w:rFonts w:hint="eastAsia" w:asciiTheme="minorEastAsia" w:hAnsiTheme="minorEastAsia" w:eastAsiaTheme="minorEastAsia" w:cstheme="minorEastAsia"/>
          <w:color w:val="auto"/>
          <w:sz w:val="21"/>
          <w:szCs w:val="21"/>
          <w:highlight w:val="none"/>
          <w:lang w:val="zh-TW" w:eastAsia="zh-TW"/>
        </w:rPr>
        <w:t xml:space="preserve">乙方必须保证进场作业人员不低于</w:t>
      </w:r>
      <w:r>
        <w:rPr>
          <w:rFonts w:hint="eastAsia" w:asciiTheme="minorEastAsia" w:hAnsiTheme="minorEastAsia" w:eastAsiaTheme="minorEastAsia" w:cstheme="minorEastAsia"/>
          <w:color w:val="auto"/>
          <w:sz w:val="21"/>
          <w:szCs w:val="21"/>
          <w:highlight w:val="none"/>
          <w:lang w:val="zh-TW" w:eastAsia="zh-CN"/>
        </w:rPr>
        <w:t xml:space="preserve">采购文件</w:t>
      </w:r>
      <w:r>
        <w:rPr>
          <w:rFonts w:hint="eastAsia" w:asciiTheme="minorEastAsia" w:hAnsiTheme="minorEastAsia" w:eastAsiaTheme="minorEastAsia" w:cstheme="minorEastAsia"/>
          <w:color w:val="auto"/>
          <w:sz w:val="21"/>
          <w:szCs w:val="21"/>
          <w:highlight w:val="none"/>
          <w:lang w:val="zh-TW" w:eastAsia="zh-TW"/>
        </w:rPr>
        <w:t xml:space="preserve">的要求；投标单位在投标文件中的承诺，经考虑确定的项目负责人不得</w:t>
      </w:r>
      <w:r>
        <w:rPr>
          <w:rFonts w:hint="eastAsia" w:asciiTheme="minorEastAsia" w:hAnsiTheme="minorEastAsia" w:eastAsiaTheme="minorEastAsia" w:cstheme="minorEastAsia"/>
          <w:color w:val="auto"/>
          <w:sz w:val="21"/>
          <w:szCs w:val="21"/>
          <w:highlight w:val="none"/>
          <w:lang w:val="en-US" w:eastAsia="zh-CN"/>
        </w:rPr>
        <w:t xml:space="preserve">随意</w:t>
      </w:r>
      <w:r>
        <w:rPr>
          <w:rFonts w:hint="eastAsia" w:asciiTheme="minorEastAsia" w:hAnsiTheme="minorEastAsia" w:eastAsiaTheme="minorEastAsia" w:cstheme="minorEastAsia"/>
          <w:color w:val="auto"/>
          <w:sz w:val="21"/>
          <w:szCs w:val="21"/>
          <w:highlight w:val="none"/>
          <w:lang w:val="zh-TW" w:eastAsia="zh-TW"/>
        </w:rPr>
        <w:t xml:space="preserve">更换</w:t>
      </w:r>
      <w:r>
        <w:rPr>
          <w:rFonts w:hint="eastAsia" w:asciiTheme="minorEastAsia" w:hAnsiTheme="minorEastAsia" w:eastAsiaTheme="minorEastAsia" w:cstheme="minorEastAsia"/>
          <w:color w:val="auto"/>
          <w:sz w:val="21"/>
          <w:szCs w:val="21"/>
          <w:highlight w:val="none"/>
          <w:lang w:val="zh-TW" w:eastAsia="zh-CN"/>
        </w:rPr>
        <w:t xml:space="preserve">，</w:t>
      </w:r>
      <w:r>
        <w:rPr>
          <w:rFonts w:hint="eastAsia" w:asciiTheme="minorEastAsia" w:hAnsiTheme="minorEastAsia" w:eastAsiaTheme="minorEastAsia" w:cstheme="minorEastAsia"/>
          <w:color w:val="auto"/>
          <w:sz w:val="21"/>
          <w:szCs w:val="21"/>
          <w:highlight w:val="none"/>
          <w:lang w:val="zh-TW" w:eastAsia="zh-TW"/>
        </w:rPr>
        <w:t xml:space="preserve">如果遇到特殊情况需要更换项目负责人，必须得到</w:t>
      </w:r>
      <w:r>
        <w:rPr>
          <w:rFonts w:hint="eastAsia" w:asciiTheme="minorEastAsia" w:hAnsiTheme="minorEastAsia" w:eastAsiaTheme="minorEastAsia" w:cstheme="minorEastAsia"/>
          <w:color w:val="auto"/>
          <w:sz w:val="21"/>
          <w:szCs w:val="21"/>
          <w:highlight w:val="none"/>
          <w:lang w:val="en-US" w:eastAsia="zh-CN"/>
        </w:rPr>
        <w:t xml:space="preserve">甲方</w:t>
      </w:r>
      <w:r>
        <w:rPr>
          <w:rFonts w:hint="eastAsia" w:asciiTheme="minorEastAsia" w:hAnsiTheme="minorEastAsia" w:eastAsiaTheme="minorEastAsia" w:cstheme="minorEastAsia"/>
          <w:color w:val="auto"/>
          <w:sz w:val="21"/>
          <w:szCs w:val="21"/>
          <w:highlight w:val="none"/>
          <w:lang w:val="zh-TW" w:eastAsia="zh-TW"/>
        </w:rPr>
        <w:t xml:space="preserve">同意。</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zh-TW" w:eastAsia="zh-CN"/>
        </w:rPr>
      </w:pPr>
      <w:r>
        <w:rPr>
          <w:rFonts w:hint="eastAsia" w:asciiTheme="minorEastAsia" w:hAnsiTheme="minorEastAsia" w:eastAsiaTheme="minorEastAsia" w:cstheme="minorEastAsia"/>
          <w:color w:val="auto"/>
          <w:sz w:val="21"/>
          <w:szCs w:val="21"/>
          <w:highlight w:val="none"/>
          <w:lang w:val="en-US" w:eastAsia="zh-CN"/>
        </w:rPr>
        <w:t xml:space="preserve">4.4</w:t>
      </w:r>
      <w:r>
        <w:rPr>
          <w:rFonts w:hint="eastAsia" w:asciiTheme="minorEastAsia" w:hAnsiTheme="minorEastAsia" w:eastAsiaTheme="minorEastAsia" w:cstheme="minorEastAsia"/>
          <w:color w:val="auto"/>
          <w:sz w:val="21"/>
          <w:szCs w:val="21"/>
          <w:highlight w:val="none"/>
          <w:lang w:val="zh-TW" w:eastAsia="zh-TW"/>
        </w:rPr>
        <w:t xml:space="preserve">由于乙方原因，未按合同时间提供成果文件和图纸资料时，每逾期一天，乙方应按项目总额的</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TW" w:eastAsia="zh-TW"/>
        </w:rPr>
        <w:t xml:space="preserve">偿付给甲方逾期违约金</w:t>
      </w:r>
      <w:r>
        <w:rPr>
          <w:rFonts w:hint="eastAsia" w:asciiTheme="minorEastAsia" w:hAnsiTheme="minorEastAsia" w:eastAsiaTheme="minorEastAsia" w:cstheme="minorEastAsia"/>
          <w:color w:val="auto"/>
          <w:sz w:val="21"/>
          <w:szCs w:val="21"/>
          <w:highlight w:val="none"/>
          <w:lang w:val="zh-TW" w:eastAsia="zh-CN"/>
        </w:rPr>
        <w:t xml:space="preserve">。</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4.5</w:t>
      </w:r>
      <w:r>
        <w:rPr>
          <w:rFonts w:hint="eastAsia" w:asciiTheme="minorEastAsia" w:hAnsiTheme="minorEastAsia" w:eastAsiaTheme="minorEastAsia" w:cstheme="minorEastAsia"/>
          <w:color w:val="auto"/>
          <w:sz w:val="21"/>
          <w:szCs w:val="21"/>
          <w:highlight w:val="none"/>
          <w:lang w:val="zh-TW" w:eastAsia="zh-TW"/>
        </w:rPr>
        <w:t xml:space="preserve">乙方所供</w:t>
      </w:r>
      <w:r>
        <w:rPr>
          <w:rFonts w:hint="eastAsia" w:asciiTheme="minorEastAsia" w:hAnsiTheme="minorEastAsia" w:eastAsiaTheme="minorEastAsia" w:cstheme="minorEastAsia"/>
          <w:color w:val="auto"/>
          <w:sz w:val="21"/>
          <w:szCs w:val="21"/>
          <w:highlight w:val="none"/>
          <w:lang w:val="en-US" w:eastAsia="zh-CN"/>
        </w:rPr>
        <w:t xml:space="preserve">设备等产品</w:t>
      </w:r>
      <w:r>
        <w:rPr>
          <w:rFonts w:hint="eastAsia" w:asciiTheme="minorEastAsia" w:hAnsiTheme="minorEastAsia" w:eastAsiaTheme="minorEastAsia" w:cstheme="minorEastAsia"/>
          <w:color w:val="auto"/>
          <w:sz w:val="21"/>
          <w:szCs w:val="21"/>
          <w:highlight w:val="none"/>
          <w:lang w:val="zh-TW" w:eastAsia="zh-TW"/>
        </w:rPr>
        <w:t xml:space="preserve">不符合合同要求、国家规范或为假冒伪劣产品的，甲方有权拒收、退货，并可选择要求更换合格货物或直接解除合同，甲方要求更换合格货物的，乙方除应按要求更换外，还应按本合同总金额的</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lang w:val="zh-TW" w:eastAsia="zh-TW"/>
        </w:rPr>
        <w:t xml:space="preserve">%支付违约金，甲方解除合同的，乙方应按本合同总金额的</w:t>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lang w:val="zh-TW" w:eastAsia="zh-TW"/>
        </w:rPr>
        <w:t xml:space="preserve">%支付违约金</w:t>
      </w:r>
      <w:r>
        <w:rPr>
          <w:rFonts w:hint="eastAsia" w:asciiTheme="minorEastAsia" w:hAnsiTheme="minorEastAsia" w:eastAsiaTheme="minorEastAsia" w:cstheme="minorEastAsia"/>
          <w:color w:val="auto"/>
          <w:sz w:val="21"/>
          <w:szCs w:val="21"/>
          <w:highlight w:val="none"/>
          <w:lang w:val="en-US" w:eastAsia="zh-CN"/>
        </w:rPr>
        <w:t xml:space="preserve">。</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4.6未经甲方允许，乙方不得以任何方式将本项目分包、转包、委托、挂靠给第三方实施，否则视为乙方严重违约，甲方有权解除本合同。</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4.7乙方未履行、未充分履行合同约定的其他乙方义务的，每发生一次应按合同总价款的5%支付违约金，在甲方书面催告的期限内仍不纠正的，甲方有权解除本合同。</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4.8乙方无合同或法律依据单方面解除合同或甲方因乙方违约而解除合同的，乙方除应退还甲方已付款项外，还应向甲方支付合同总金额10％的违约金。违约金不足以弥补甲方损失的，乙方应予以补足。</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4.9乙方应赔偿甲方的损失、支付给甲方的违约金以及其它根据本合同应支付给甲方的费用，甲方有权直接从未支付款项中予以扣除，不足部分有权要求乙方补足。</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4.10甲方因乙方违约产生的损失（包括但不限于律师费、诉讼费、鉴定费、保全费、保全担保费、已付款利息等一切甲方因此额外支出的费用）等，均由乙方承担</w:t>
      </w:r>
      <w:r>
        <w:rPr>
          <w:rFonts w:hint="eastAsia" w:asciiTheme="minorEastAsia" w:hAnsiTheme="minorEastAsia" w:eastAsiaTheme="minorEastAsia" w:cstheme="minorEastAsia"/>
          <w:color w:val="auto"/>
          <w:sz w:val="21"/>
          <w:szCs w:val="21"/>
          <w:highlight w:val="none"/>
          <w:lang w:val="zh-TW" w:eastAsia="zh-TW"/>
        </w:rPr>
        <w:t xml:space="preserve">。</w:t>
      </w:r>
      <w:r/>
    </w:p>
    <w:p>
      <w:pPr>
        <w:pStyle w:val="1120"/>
        <w:spacing w:line="460" w:lineRule="exact"/>
        <w:rPr>
          <w:rFonts w:hint="eastAsia" w:asciiTheme="minorEastAsia" w:hAnsiTheme="minorEastAsia" w:eastAsiaTheme="minorEastAsia" w:cstheme="minorEastAsia"/>
          <w:b/>
          <w:bCs/>
          <w:color w:val="auto"/>
          <w:sz w:val="21"/>
          <w:szCs w:val="21"/>
          <w:highlight w:val="none"/>
          <w:lang w:val="zh-TW" w:eastAsia="zh-TW"/>
        </w:rPr>
      </w:pPr>
      <w:r/>
      <w:bookmarkStart w:id="64" w:name="_Toc484510006"/>
      <w:r>
        <w:rPr>
          <w:rFonts w:hint="eastAsia" w:asciiTheme="minorEastAsia" w:hAnsiTheme="minorEastAsia" w:eastAsiaTheme="minorEastAsia" w:cstheme="minorEastAsia"/>
          <w:b/>
          <w:bCs/>
          <w:color w:val="auto"/>
          <w:sz w:val="21"/>
          <w:szCs w:val="21"/>
          <w:highlight w:val="none"/>
          <w:lang w:val="zh-TW" w:eastAsia="zh-TW"/>
        </w:rPr>
        <w:t xml:space="preserve">十</w:t>
      </w:r>
      <w:r>
        <w:rPr>
          <w:rFonts w:hint="eastAsia" w:asciiTheme="minorEastAsia" w:hAnsiTheme="minorEastAsia" w:eastAsiaTheme="minorEastAsia" w:cstheme="minorEastAsia"/>
          <w:b/>
          <w:bCs/>
          <w:color w:val="auto"/>
          <w:sz w:val="21"/>
          <w:szCs w:val="21"/>
          <w:highlight w:val="none"/>
          <w:lang w:val="en-US" w:eastAsia="zh-CN"/>
        </w:rPr>
        <w:t xml:space="preserve">二</w:t>
      </w:r>
      <w:r>
        <w:rPr>
          <w:rFonts w:hint="eastAsia" w:asciiTheme="minorEastAsia" w:hAnsiTheme="minorEastAsia" w:eastAsiaTheme="minorEastAsia" w:cstheme="minorEastAsia"/>
          <w:b/>
          <w:bCs/>
          <w:color w:val="auto"/>
          <w:sz w:val="21"/>
          <w:szCs w:val="21"/>
          <w:highlight w:val="none"/>
          <w:lang w:val="zh-TW" w:eastAsia="zh-TW"/>
        </w:rPr>
        <w:t xml:space="preserve">、</w:t>
      </w:r>
      <w:bookmarkEnd w:id="64"/>
      <w:r/>
      <w:bookmarkStart w:id="65" w:name="_Toc484510007"/>
      <w:r>
        <w:rPr>
          <w:rFonts w:hint="eastAsia" w:asciiTheme="minorEastAsia" w:hAnsiTheme="minorEastAsia" w:eastAsiaTheme="minorEastAsia" w:cstheme="minorEastAsia"/>
          <w:b/>
          <w:bCs/>
          <w:color w:val="auto"/>
          <w:sz w:val="21"/>
          <w:szCs w:val="21"/>
          <w:highlight w:val="none"/>
          <w:lang w:val="zh-TW" w:eastAsia="zh-TW"/>
        </w:rPr>
        <w:t xml:space="preserve">索赔</w:t>
      </w:r>
      <w:bookmarkEnd w:id="65"/>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TW" w:eastAsia="zh-CN"/>
        </w:rPr>
        <w:t xml:space="preserve">、</w:t>
      </w:r>
      <w:r>
        <w:rPr>
          <w:rFonts w:hint="eastAsia" w:asciiTheme="minorEastAsia" w:hAnsiTheme="minorEastAsia" w:eastAsiaTheme="minorEastAsia" w:cstheme="minorEastAsia"/>
          <w:color w:val="auto"/>
          <w:sz w:val="21"/>
          <w:szCs w:val="21"/>
          <w:highlight w:val="none"/>
          <w:lang w:val="zh-TW" w:eastAsia="zh-TW"/>
        </w:rPr>
        <w:t xml:space="preserve">在本合同规定的检验期和质量保证期内，如果乙方对甲方提出的索赔或差异有责任，则乙方应按甲方同意的方式解决索赔事宜；</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val="zh-TW" w:eastAsia="zh-CN"/>
        </w:rPr>
        <w:t xml:space="preserve">、</w:t>
      </w:r>
      <w:r>
        <w:rPr>
          <w:rFonts w:hint="eastAsia" w:asciiTheme="minorEastAsia" w:hAnsiTheme="minorEastAsia" w:eastAsiaTheme="minorEastAsia" w:cstheme="minorEastAsia"/>
          <w:color w:val="auto"/>
          <w:sz w:val="21"/>
          <w:szCs w:val="21"/>
          <w:highlight w:val="none"/>
          <w:lang w:val="zh-TW" w:eastAsia="zh-TW"/>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pStyle w:val="1120"/>
        <w:spacing w:line="460" w:lineRule="exact"/>
        <w:rPr>
          <w:rFonts w:hint="eastAsia" w:asciiTheme="minorEastAsia" w:hAnsiTheme="minorEastAsia" w:eastAsiaTheme="minorEastAsia" w:cstheme="minorEastAsia"/>
          <w:b/>
          <w:bCs/>
          <w:color w:val="auto"/>
          <w:sz w:val="21"/>
          <w:szCs w:val="21"/>
          <w:highlight w:val="none"/>
          <w:lang w:val="zh-TW" w:eastAsia="zh-TW"/>
        </w:rPr>
      </w:pPr>
      <w:r/>
      <w:bookmarkStart w:id="66" w:name="_Toc484510008"/>
      <w:r>
        <w:rPr>
          <w:rFonts w:hint="eastAsia" w:asciiTheme="minorEastAsia" w:hAnsiTheme="minorEastAsia" w:eastAsiaTheme="minorEastAsia" w:cstheme="minorEastAsia"/>
          <w:b/>
          <w:bCs/>
          <w:color w:val="auto"/>
          <w:sz w:val="21"/>
          <w:szCs w:val="21"/>
          <w:highlight w:val="none"/>
          <w:lang w:val="zh-TW" w:eastAsia="zh-TW"/>
        </w:rPr>
        <w:t xml:space="preserve">十</w:t>
      </w:r>
      <w:r>
        <w:rPr>
          <w:rFonts w:hint="eastAsia" w:asciiTheme="minorEastAsia" w:hAnsiTheme="minorEastAsia" w:eastAsiaTheme="minorEastAsia" w:cstheme="minorEastAsia"/>
          <w:b/>
          <w:bCs/>
          <w:color w:val="auto"/>
          <w:sz w:val="21"/>
          <w:szCs w:val="21"/>
          <w:highlight w:val="none"/>
          <w:lang w:val="en-US" w:eastAsia="zh-CN"/>
        </w:rPr>
        <w:t xml:space="preserve">三</w:t>
      </w:r>
      <w:r>
        <w:rPr>
          <w:rFonts w:hint="eastAsia" w:asciiTheme="minorEastAsia" w:hAnsiTheme="minorEastAsia" w:eastAsiaTheme="minorEastAsia" w:cstheme="minorEastAsia"/>
          <w:b/>
          <w:bCs/>
          <w:color w:val="auto"/>
          <w:sz w:val="21"/>
          <w:szCs w:val="21"/>
          <w:highlight w:val="none"/>
          <w:lang w:val="zh-TW" w:eastAsia="zh-TW"/>
        </w:rPr>
        <w:t xml:space="preserve">、不可抗力</w:t>
      </w:r>
      <w:bookmarkEnd w:id="66"/>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TW" w:eastAsia="zh-TW"/>
        </w:rPr>
        <w:t xml:space="preserve">签约双方任一方由于受诸如战争、严重火灾、洪水、台风、地震等不可抗力事故的影响而不能执行合同时，履行合同的期限应予以延长，延长的期限应相当于事故所影响的时间。不可抗力事故系指买卖双方在缔结合同时所不能预见的，并且它的发生及其后果是无法避免和无法克服的事故。</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2、合同一方因不可抗力不能履行合同的，应当及时书面通知对方，以减轻可能给对方造成的损失，并应当在合理期限内提供证明。</w:t>
      </w:r>
      <w:r>
        <w:rPr>
          <w:rFonts w:hint="eastAsia" w:asciiTheme="minorEastAsia" w:hAnsiTheme="minorEastAsia" w:eastAsiaTheme="minorEastAsia" w:cstheme="minorEastAsia"/>
          <w:color w:val="auto"/>
          <w:sz w:val="21"/>
          <w:szCs w:val="21"/>
          <w:highlight w:val="none"/>
          <w:lang w:val="zh-TW" w:eastAsia="zh-TW"/>
        </w:rPr>
        <w:t xml:space="preserve">一旦不可抗力事故的影响持续</w:t>
      </w:r>
      <w:r>
        <w:rPr>
          <w:rFonts w:hint="eastAsia" w:asciiTheme="minorEastAsia" w:hAnsiTheme="minorEastAsia" w:eastAsiaTheme="minorEastAsia" w:cstheme="minorEastAsia"/>
          <w:color w:val="auto"/>
          <w:sz w:val="21"/>
          <w:szCs w:val="21"/>
          <w:highlight w:val="none"/>
          <w:lang w:val="en-US" w:eastAsia="zh-CN"/>
        </w:rPr>
        <w:t xml:space="preserve">30</w:t>
      </w:r>
      <w:r>
        <w:rPr>
          <w:rFonts w:hint="eastAsia" w:asciiTheme="minorEastAsia" w:hAnsiTheme="minorEastAsia" w:eastAsiaTheme="minorEastAsia" w:cstheme="minorEastAsia"/>
          <w:color w:val="auto"/>
          <w:sz w:val="21"/>
          <w:szCs w:val="21"/>
          <w:highlight w:val="none"/>
          <w:lang w:val="zh-TW" w:eastAsia="zh-TW"/>
        </w:rPr>
        <w:t xml:space="preserve">天以上，双方应通过友好协商在合理的时间内达成进一步履行合同的协议。</w:t>
      </w:r>
      <w:r/>
    </w:p>
    <w:p>
      <w:pPr>
        <w:pStyle w:val="1120"/>
        <w:spacing w:line="460" w:lineRule="exact"/>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十四、</w:t>
      </w:r>
      <w:r>
        <w:rPr>
          <w:rFonts w:hint="eastAsia" w:asciiTheme="minorEastAsia" w:hAnsiTheme="minorEastAsia" w:eastAsiaTheme="minorEastAsia" w:cstheme="minorEastAsia"/>
          <w:b/>
          <w:bCs/>
          <w:color w:val="auto"/>
          <w:sz w:val="21"/>
          <w:szCs w:val="21"/>
          <w:highlight w:val="none"/>
          <w:lang w:val="zh-CN" w:eastAsia="zh-CN"/>
        </w:rPr>
        <w:t xml:space="preserve">合同的解除和转让</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 xml:space="preserve">（一）合同的解除</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 xml:space="preserve">1、甲方和乙方协商一致，可以解除合同；</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 xml:space="preserve">2、有下列情形之一，合同一方可以解除合同：</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 xml:space="preserve">2.1 因不可抗力致使不能实现合同目的，未受不可抗力影响的一方有权解除合同；</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 xml:space="preserve">2.2 因合同一方违约导致合同不能履行，另一方有权解除合同；</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 xml:space="preserve">3、有权解除合同的一方，应当在违约事实或不可抗力发生之后三十天内书面通知对方以主张解除合同，合同在书面通知到达对方时解除。合同首部当事人联系方式和联系信息适用于双方往来联系、书面文件送达及争议解决时法律文书送达。因首部联系方式和联系信息错误、变更后没有及时告知或当事人拒收等原因导致无法送达的，自交邮后第3日视为送达。</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 xml:space="preserve">（二）合同的转让</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 xml:space="preserve"> 合同的部分和全部都不得转让。</w:t>
      </w:r>
      <w:r/>
    </w:p>
    <w:p>
      <w:pPr>
        <w:pStyle w:val="1120"/>
        <w:spacing w:line="460" w:lineRule="exact"/>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zh-CN" w:eastAsia="zh-CN"/>
        </w:rPr>
        <w:t xml:space="preserve">十</w:t>
      </w:r>
      <w:r>
        <w:rPr>
          <w:rFonts w:hint="eastAsia" w:asciiTheme="minorEastAsia" w:hAnsiTheme="minorEastAsia" w:eastAsiaTheme="minorEastAsia" w:cstheme="minorEastAsia"/>
          <w:b/>
          <w:bCs/>
          <w:color w:val="auto"/>
          <w:sz w:val="21"/>
          <w:szCs w:val="21"/>
          <w:highlight w:val="none"/>
          <w:lang w:val="en-US" w:eastAsia="zh-CN"/>
        </w:rPr>
        <w:t xml:space="preserve">五</w:t>
      </w:r>
      <w:r>
        <w:rPr>
          <w:rFonts w:hint="eastAsia" w:asciiTheme="minorEastAsia" w:hAnsiTheme="minorEastAsia" w:eastAsiaTheme="minorEastAsia" w:cstheme="minorEastAsia"/>
          <w:b/>
          <w:bCs/>
          <w:color w:val="auto"/>
          <w:sz w:val="21"/>
          <w:szCs w:val="21"/>
          <w:highlight w:val="none"/>
          <w:lang w:val="zh-CN"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合同生效及其它：</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（一）合同经甲乙双方签字并加盖公章后生效。</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二）合同签订后甲乙双方即直接产生权利与义务的关系，合同执行过程中出现的问题应按照《中华人民共和国民法典》的规定办理，在合同履行过程中，双方如有争议，经协商无效，任何一方可向甲方所在地人民法院提起诉讼。</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（三）合同在执行过程中出现的未尽事宜，双方在不违背本合同和采购文件的原则下协商解决，协商结果以书面形式盖章记录在案，作为本合同的附件，与本合同具有同等效力，但需提交招标代理机构一份备存。</w:t>
      </w:r>
      <w:r/>
    </w:p>
    <w:p>
      <w:pPr>
        <w:pStyle w:val="1120"/>
        <w:ind w:firstLine="400"/>
        <w:spacing w:line="4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（四）合同的份数：</w:t>
      </w:r>
      <w:r>
        <w:rPr>
          <w:rFonts w:hint="eastAsia" w:asciiTheme="minorEastAsia" w:hAnsiTheme="minorEastAsia" w:eastAsiaTheme="minorEastAsia" w:cstheme="minorEastAsia"/>
          <w:color w:val="auto"/>
          <w:sz w:val="21"/>
          <w:szCs w:val="21"/>
          <w:highlight w:val="none"/>
          <w:lang w:val="zh-CN" w:eastAsia="zh-CN"/>
        </w:rPr>
        <w:t xml:space="preserve">甲乙双方各执</w:t>
      </w:r>
      <w:r>
        <w:rPr>
          <w:rFonts w:hint="eastAsia" w:asciiTheme="minorEastAsia" w:hAnsiTheme="minorEastAsia" w:eastAsiaTheme="minorEastAsia" w:cstheme="minorEastAsia"/>
          <w:color w:val="auto"/>
          <w:sz w:val="21"/>
          <w:szCs w:val="21"/>
          <w:highlight w:val="none"/>
          <w:lang w:val="en-US" w:eastAsia="zh-CN"/>
        </w:rPr>
        <w:t xml:space="preserve">两</w:t>
      </w:r>
      <w:r>
        <w:rPr>
          <w:rFonts w:hint="eastAsia" w:asciiTheme="minorEastAsia" w:hAnsiTheme="minorEastAsia" w:eastAsiaTheme="minorEastAsia" w:cstheme="minorEastAsia"/>
          <w:color w:val="auto"/>
          <w:sz w:val="21"/>
          <w:szCs w:val="21"/>
          <w:highlight w:val="none"/>
          <w:lang w:val="zh-CN" w:eastAsia="zh-CN"/>
        </w:rPr>
        <w:t xml:space="preserve">份，代理机构一份，</w:t>
      </w:r>
      <w:r>
        <w:rPr>
          <w:rFonts w:hint="eastAsia" w:asciiTheme="minorEastAsia" w:hAnsiTheme="minorEastAsia" w:eastAsiaTheme="minorEastAsia" w:cstheme="minorEastAsia"/>
          <w:color w:val="auto"/>
          <w:sz w:val="21"/>
          <w:szCs w:val="21"/>
          <w:highlight w:val="none"/>
          <w:lang w:val="en-US" w:eastAsia="zh-CN"/>
        </w:rPr>
        <w:t xml:space="preserve">具备同等法律效力。</w:t>
      </w:r>
      <w:r/>
    </w:p>
    <w:tbl>
      <w:tblPr>
        <w:tblStyle w:val="89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26"/>
        <w:gridCol w:w="4460"/>
      </w:tblGrid>
      <w:tr>
        <w:trPr/>
        <w:tc>
          <w:tcPr>
            <w:tcW w:w="2598" w:type="pct"/>
            <w:textDirection w:val="lrTb"/>
            <w:noWrap w:val="false"/>
          </w:tcPr>
          <w:p>
            <w:pPr>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甲方（签章）：</w:t>
            </w:r>
            <w:r/>
          </w:p>
          <w:p>
            <w:pPr>
              <w:pStyle w:val="901"/>
              <w:rPr>
                <w:rFonts w:hAnsi="宋体" w:cs="宋体"/>
                <w:color w:val="auto"/>
                <w:highlight w:val="none"/>
              </w:rPr>
            </w:pPr>
            <w:r>
              <w:rPr>
                <w:rFonts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法人代表                </w:t>
            </w:r>
            <w:r/>
          </w:p>
          <w:p>
            <w:pPr>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或其授权代理人（签章）：</w:t>
            </w:r>
            <w:r/>
          </w:p>
          <w:p>
            <w:pPr>
              <w:spacing w:line="400" w:lineRule="exact"/>
              <w:tabs>
                <w:tab w:val="left" w:pos="0" w:leader="none"/>
              </w:tabs>
              <w:rPr>
                <w:rFonts w:ascii="宋体" w:hAnsi="宋体" w:cs="宋体"/>
                <w:color w:val="auto"/>
                <w:szCs w:val="21"/>
                <w:highlight w:val="none"/>
              </w:rPr>
            </w:pPr>
            <w:r>
              <w:rPr>
                <w:rFonts w:ascii="宋体" w:hAnsi="宋体" w:cs="宋体"/>
                <w:color w:val="auto"/>
                <w:szCs w:val="21"/>
                <w:highlight w:val="none"/>
              </w:rPr>
            </w:r>
            <w:r/>
          </w:p>
          <w:p>
            <w:pPr>
              <w:spacing w:line="400" w:lineRule="exact"/>
              <w:tabs>
                <w:tab w:val="left" w:pos="0" w:leader="none"/>
              </w:tabs>
              <w:rPr>
                <w:rFonts w:ascii="宋体" w:hAnsi="宋体" w:cs="宋体"/>
                <w:color w:val="auto"/>
                <w:szCs w:val="21"/>
                <w:highlight w:val="none"/>
              </w:rPr>
            </w:pPr>
            <w:r>
              <w:rPr>
                <w:rFonts w:ascii="宋体" w:hAnsi="宋体" w:cs="宋体"/>
                <w:color w:val="auto"/>
                <w:szCs w:val="21"/>
                <w:highlight w:val="none"/>
              </w:rPr>
            </w:r>
            <w:r/>
          </w:p>
          <w:p>
            <w:pPr>
              <w:ind w:firstLine="189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年   月   日    </w:t>
            </w:r>
            <w:r/>
          </w:p>
        </w:tc>
        <w:tc>
          <w:tcPr>
            <w:tcW w:w="2401" w:type="pct"/>
            <w:textDirection w:val="lrTb"/>
            <w:noWrap w:val="false"/>
          </w:tcPr>
          <w:p>
            <w:pPr>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乙方（签章）：</w:t>
            </w:r>
            <w:r/>
          </w:p>
          <w:p>
            <w:pPr>
              <w:pStyle w:val="901"/>
              <w:rPr>
                <w:rFonts w:hAnsi="宋体" w:cs="宋体"/>
                <w:color w:val="auto"/>
                <w:szCs w:val="21"/>
                <w:highlight w:val="none"/>
              </w:rPr>
            </w:pPr>
            <w:r>
              <w:rPr>
                <w:rFonts w:hAnsi="宋体" w:cs="宋体"/>
                <w:color w:val="auto"/>
                <w:szCs w:val="21"/>
                <w:highlight w:val="none"/>
              </w:rPr>
            </w:r>
            <w:r/>
          </w:p>
          <w:p>
            <w:pPr>
              <w:rPr>
                <w:rFonts w:ascii="宋体" w:hAnsi="宋体" w:cs="宋体"/>
                <w:color w:val="auto"/>
                <w:highlight w:val="none"/>
              </w:rPr>
            </w:pPr>
            <w:r>
              <w:rPr>
                <w:rFonts w:ascii="宋体" w:hAnsi="宋体" w:cs="宋体"/>
                <w:color w:val="auto"/>
                <w:highlight w:val="none"/>
              </w:rPr>
            </w:r>
            <w:r/>
          </w:p>
          <w:p>
            <w:pPr>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法人代表</w:t>
            </w:r>
            <w:r/>
          </w:p>
          <w:p>
            <w:pPr>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或其授权代理人（签章）：</w:t>
            </w:r>
            <w:r/>
          </w:p>
          <w:p>
            <w:pPr>
              <w:spacing w:line="400" w:lineRule="exact"/>
              <w:tabs>
                <w:tab w:val="left" w:pos="0" w:leader="none"/>
              </w:tabs>
              <w:rPr>
                <w:rFonts w:ascii="宋体" w:hAnsi="宋体" w:cs="宋体"/>
                <w:color w:val="auto"/>
                <w:szCs w:val="21"/>
                <w:highlight w:val="none"/>
              </w:rPr>
            </w:pPr>
            <w:r>
              <w:rPr>
                <w:rFonts w:ascii="宋体" w:hAnsi="宋体" w:cs="宋体"/>
                <w:color w:val="auto"/>
                <w:szCs w:val="21"/>
                <w:highlight w:val="none"/>
              </w:rPr>
            </w:r>
            <w:r/>
          </w:p>
          <w:p>
            <w:pPr>
              <w:spacing w:line="400" w:lineRule="exact"/>
              <w:tabs>
                <w:tab w:val="left" w:pos="0" w:leader="none"/>
              </w:tabs>
              <w:rPr>
                <w:rFonts w:ascii="宋体" w:hAnsi="宋体" w:cs="宋体"/>
                <w:color w:val="auto"/>
                <w:szCs w:val="21"/>
                <w:highlight w:val="none"/>
              </w:rPr>
            </w:pPr>
            <w:r>
              <w:rPr>
                <w:rFonts w:ascii="宋体" w:hAnsi="宋体" w:cs="宋体"/>
                <w:color w:val="auto"/>
                <w:szCs w:val="21"/>
                <w:highlight w:val="none"/>
              </w:rPr>
            </w:r>
            <w:r/>
          </w:p>
          <w:p>
            <w:pPr>
              <w:ind w:firstLine="147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年   月     日</w:t>
            </w:r>
            <w:r/>
          </w:p>
        </w:tc>
      </w:tr>
    </w:tbl>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865"/>
        <w:jc w:val="lef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附件</w:t>
      </w:r>
      <w:r>
        <w:rPr>
          <w:rFonts w:hint="eastAsia" w:ascii="宋体" w:hAnsi="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rPr>
        <w:t xml:space="preserve">：履约验收方案</w:t>
      </w:r>
      <w:r/>
    </w:p>
    <w:p>
      <w:pPr>
        <w:jc w:val="center"/>
        <w:spacing w:line="480" w:lineRule="auto"/>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履约验收方案</w:t>
      </w:r>
      <w:r/>
    </w:p>
    <w:p>
      <w:pPr>
        <w:spacing w:line="480" w:lineRule="auto"/>
        <w:tabs>
          <w:tab w:val="left" w:pos="540" w:leader="none"/>
          <w:tab w:val="left" w:pos="567" w:leader="none"/>
        </w:tabs>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1、履约验收标准：采购合同中相关服务内容的完成质量，验收组意见为“合格”的视为通过验收。</w:t>
      </w:r>
      <w:r/>
    </w:p>
    <w:p>
      <w:pPr>
        <w:spacing w:line="480" w:lineRule="auto"/>
        <w:tabs>
          <w:tab w:val="left" w:pos="540" w:leader="none"/>
          <w:tab w:val="left" w:pos="567" w:leader="none"/>
        </w:tabs>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2、履约验收主体：由甲方组织验收。</w:t>
      </w:r>
      <w:r/>
    </w:p>
    <w:p>
      <w:pPr>
        <w:spacing w:line="480" w:lineRule="auto"/>
        <w:tabs>
          <w:tab w:val="left" w:pos="540" w:leader="none"/>
          <w:tab w:val="left" w:pos="567" w:leader="none"/>
        </w:tabs>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3、履约验收方式：项目完成后一次性整体验收。</w:t>
      </w:r>
      <w:r/>
    </w:p>
    <w:p>
      <w:pPr>
        <w:spacing w:line="480" w:lineRule="auto"/>
        <w:tabs>
          <w:tab w:val="left" w:pos="540" w:leader="none"/>
          <w:tab w:val="left" w:pos="567" w:leader="none"/>
        </w:tabs>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4、验收程序：</w:t>
      </w:r>
      <w:r/>
    </w:p>
    <w:p>
      <w:pPr>
        <w:spacing w:line="480" w:lineRule="auto"/>
        <w:tabs>
          <w:tab w:val="left" w:pos="540" w:leader="none"/>
          <w:tab w:val="left" w:pos="567" w:leader="none"/>
        </w:tabs>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4.1乙方按照政府采购合同的约定完成工作后，向甲方提交书面总结报告和相关佐证资料，详细说明工作完成情况；</w:t>
      </w:r>
      <w:r/>
    </w:p>
    <w:p>
      <w:pPr>
        <w:spacing w:line="480" w:lineRule="auto"/>
        <w:tabs>
          <w:tab w:val="left" w:pos="540" w:leader="none"/>
          <w:tab w:val="left" w:pos="567" w:leader="none"/>
        </w:tabs>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4.2甲方成立验收组；</w:t>
      </w:r>
      <w:r/>
    </w:p>
    <w:p>
      <w:pPr>
        <w:spacing w:line="480" w:lineRule="auto"/>
        <w:tabs>
          <w:tab w:val="left" w:pos="540" w:leader="none"/>
          <w:tab w:val="left" w:pos="567" w:leader="none"/>
        </w:tabs>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4.3 验收组召开项目验收会，乙方对服务情况进行现场汇报，验收组对乙方服务内容进行验收评价，并填写《政府采购履约验收书》。</w:t>
      </w:r>
      <w:r/>
    </w:p>
    <w:p>
      <w:pPr>
        <w:spacing w:line="480" w:lineRule="auto"/>
        <w:tabs>
          <w:tab w:val="left" w:pos="540" w:leader="none"/>
          <w:tab w:val="left" w:pos="567" w:leader="none"/>
        </w:tabs>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5、项目履约验收合格的，甲方根据政府采购合同约定及时向乙方支付款项。经甲方验收，乙方服务内容不合格的，将按规定扣除相应合同金额的10%。</w:t>
      </w:r>
      <w:r/>
    </w:p>
    <w:p>
      <w:pPr>
        <w:spacing w:line="480" w:lineRule="auto"/>
        <w:tabs>
          <w:tab w:val="left" w:pos="540" w:leader="none"/>
          <w:tab w:val="left" w:pos="567" w:leader="none"/>
        </w:tabs>
        <w:rPr>
          <w:rFonts w:hint="eastAsia" w:ascii="宋体" w:hAnsi="宋体" w:cs="宋体"/>
          <w:b/>
          <w:color w:val="auto"/>
          <w:szCs w:val="21"/>
          <w:highlight w:val="none"/>
        </w:rPr>
      </w:pPr>
      <w:r>
        <w:rPr>
          <w:rFonts w:hint="eastAsia" w:ascii="宋体" w:hAnsi="宋体" w:cs="宋体"/>
          <w:b w:val="0"/>
          <w:bCs/>
          <w:color w:val="auto"/>
          <w:szCs w:val="21"/>
          <w:highlight w:val="none"/>
          <w:lang w:eastAsia="zh-CN"/>
        </w:rPr>
        <w:t xml:space="preserve">6、其他验收要求按照江苏省财政厅《关于印发&lt;江苏省政府采购履约验收管理办法&gt;的通知》（苏财规〔2024〕7号）规定执行。</w:t>
      </w:r>
      <w:r/>
    </w:p>
    <w:p>
      <w:pPr>
        <w:rPr>
          <w:rFonts w:ascii="宋体" w:hAnsi="宋体" w:cs="宋体"/>
          <w:b/>
          <w:bCs/>
          <w:color w:val="auto"/>
          <w:szCs w:val="21"/>
          <w:highlight w:val="none"/>
        </w:rPr>
      </w:pPr>
      <w:r>
        <w:rPr>
          <w:rFonts w:hint="eastAsia" w:ascii="宋体" w:hAnsi="宋体" w:cs="宋体"/>
          <w:b/>
          <w:color w:val="auto"/>
          <w:szCs w:val="21"/>
          <w:highlight w:val="none"/>
          <w:shd w:val="clear" w:color="auto" w:fill="ffffff"/>
        </w:rPr>
        <w:br/>
      </w:r>
      <w:r/>
    </w:p>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865"/>
        <w:jc w:val="lef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附件3：政府采购履约验收通知单</w:t>
      </w:r>
      <w:r/>
    </w:p>
    <w:p>
      <w:pPr>
        <w:jc w:val="center"/>
        <w:spacing w:before="263" w:line="223" w:lineRule="auto"/>
        <w:rPr>
          <w:rFonts w:ascii="宋体" w:hAnsi="宋体" w:cs="宋体"/>
          <w:color w:val="auto"/>
          <w:sz w:val="36"/>
          <w:szCs w:val="36"/>
          <w:highlight w:val="none"/>
        </w:rPr>
        <w:outlineLvl w:val="0"/>
      </w:pPr>
      <w:r/>
      <w:bookmarkStart w:id="67" w:name="_Toc23715"/>
      <w:r>
        <w:rPr>
          <w:rFonts w:hint="eastAsia" w:ascii="宋体" w:hAnsi="宋体" w:cs="宋体"/>
          <w:color w:val="auto"/>
          <w:spacing w:val="17"/>
          <w:sz w:val="36"/>
          <w:szCs w:val="36"/>
          <w:highlight w:val="none"/>
        </w:rPr>
        <w:t xml:space="preserve">政府采购履约验收通知单</w:t>
      </w:r>
      <w:bookmarkEnd w:id="67"/>
      <w:r/>
      <w:r/>
    </w:p>
    <w:p>
      <w:pPr>
        <w:ind w:left="85"/>
        <w:spacing w:before="216" w:line="214" w:lineRule="auto"/>
        <w:rPr>
          <w:rFonts w:ascii="宋体" w:hAnsi="宋体" w:cs="宋体"/>
          <w:color w:val="auto"/>
          <w:sz w:val="23"/>
          <w:szCs w:val="23"/>
          <w:highlight w:val="none"/>
        </w:rPr>
      </w:pPr>
      <w:r>
        <w:rPr>
          <w:rFonts w:hint="eastAsia" w:ascii="宋体" w:hAnsi="宋体" w:cs="宋体"/>
          <w:color w:val="auto"/>
          <w:spacing w:val="9"/>
          <w:sz w:val="23"/>
          <w:szCs w:val="23"/>
          <w:highlight w:val="none"/>
        </w:rPr>
        <w:t xml:space="preserve">供应商：</w:t>
      </w:r>
      <w:r/>
    </w:p>
    <w:p>
      <w:pPr>
        <w:spacing w:line="44" w:lineRule="exact"/>
        <w:rPr>
          <w:rFonts w:ascii="宋体" w:hAnsi="宋体" w:cs="宋体"/>
          <w:color w:val="auto"/>
          <w:highlight w:val="none"/>
        </w:rPr>
      </w:pPr>
      <w:r>
        <w:rPr>
          <w:rFonts w:ascii="宋体" w:hAnsi="宋体" w:cs="宋体"/>
          <w:color w:val="auto"/>
          <w:highlight w:val="none"/>
        </w:rPr>
      </w:r>
      <w:r/>
    </w:p>
    <w:tbl>
      <w:tblPr>
        <w:tblStyle w:val="1203"/>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textDirection w:val="lrTb"/>
            <w:noWrap w:val="false"/>
          </w:tcPr>
          <w:p>
            <w:pPr>
              <w:ind w:left="961"/>
              <w:spacing w:before="249" w:line="212" w:lineRule="auto"/>
              <w:rPr>
                <w:rFonts w:ascii="宋体" w:hAnsi="宋体" w:cs="宋体"/>
                <w:color w:val="auto"/>
                <w:sz w:val="23"/>
                <w:szCs w:val="23"/>
                <w:highlight w:val="none"/>
              </w:rPr>
            </w:pPr>
            <w:r>
              <w:rPr>
                <w:rFonts w:hint="eastAsia" w:ascii="宋体" w:hAnsi="宋体" w:cs="宋体"/>
                <w:color w:val="auto"/>
                <w:spacing w:val="2"/>
                <w:sz w:val="23"/>
                <w:szCs w:val="23"/>
                <w:highlight w:val="none"/>
              </w:rPr>
              <w:t xml:space="preserve">采购人</w:t>
            </w:r>
            <w:r/>
          </w:p>
        </w:tc>
        <w:tc>
          <w:tcPr>
            <w:gridSpan w:val="3"/>
            <w:tcW w:w="6708"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r>
      <w:tr>
        <w:trPr>
          <w:trHeight w:val="560"/>
        </w:trPr>
        <w:tc>
          <w:tcPr>
            <w:tcW w:w="2610" w:type="dxa"/>
            <w:textDirection w:val="lrTb"/>
            <w:noWrap w:val="false"/>
          </w:tcPr>
          <w:p>
            <w:pPr>
              <w:ind w:left="841"/>
              <w:spacing w:before="249" w:line="211" w:lineRule="auto"/>
              <w:rPr>
                <w:rFonts w:ascii="宋体" w:hAnsi="宋体" w:cs="宋体"/>
                <w:color w:val="auto"/>
                <w:sz w:val="23"/>
                <w:szCs w:val="23"/>
                <w:highlight w:val="none"/>
              </w:rPr>
            </w:pPr>
            <w:r>
              <w:rPr>
                <w:rFonts w:hint="eastAsia" w:ascii="宋体" w:hAnsi="宋体" w:cs="宋体"/>
                <w:color w:val="auto"/>
                <w:spacing w:val="2"/>
                <w:sz w:val="23"/>
                <w:szCs w:val="23"/>
                <w:highlight w:val="none"/>
              </w:rPr>
              <w:t xml:space="preserve">项目名称</w:t>
            </w:r>
            <w:r/>
          </w:p>
        </w:tc>
        <w:tc>
          <w:tcPr>
            <w:gridSpan w:val="3"/>
            <w:tcW w:w="6708"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r>
      <w:tr>
        <w:trPr>
          <w:trHeight w:val="559"/>
        </w:trPr>
        <w:tc>
          <w:tcPr>
            <w:tcW w:w="2610" w:type="dxa"/>
            <w:textDirection w:val="lrTb"/>
            <w:noWrap w:val="false"/>
          </w:tcPr>
          <w:p>
            <w:pPr>
              <w:ind w:left="841"/>
              <w:spacing w:before="247" w:line="213" w:lineRule="auto"/>
              <w:rPr>
                <w:rFonts w:ascii="宋体" w:hAnsi="宋体" w:cs="宋体"/>
                <w:color w:val="auto"/>
                <w:sz w:val="23"/>
                <w:szCs w:val="23"/>
                <w:highlight w:val="none"/>
              </w:rPr>
            </w:pPr>
            <w:r>
              <w:rPr>
                <w:rFonts w:hint="eastAsia" w:ascii="宋体" w:hAnsi="宋体" w:cs="宋体"/>
                <w:color w:val="auto"/>
                <w:spacing w:val="2"/>
                <w:sz w:val="23"/>
                <w:szCs w:val="23"/>
                <w:highlight w:val="none"/>
              </w:rPr>
              <w:t xml:space="preserve">合同名称</w:t>
            </w:r>
            <w:r/>
          </w:p>
        </w:tc>
        <w:tc>
          <w:tcPr>
            <w:gridSpan w:val="3"/>
            <w:tcW w:w="6708"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r>
      <w:tr>
        <w:trPr>
          <w:trHeight w:val="560"/>
        </w:trPr>
        <w:tc>
          <w:tcPr>
            <w:tcW w:w="2610" w:type="dxa"/>
            <w:textDirection w:val="lrTb"/>
            <w:noWrap w:val="false"/>
          </w:tcPr>
          <w:p>
            <w:pPr>
              <w:ind w:left="841"/>
              <w:spacing w:before="247" w:line="212" w:lineRule="auto"/>
              <w:rPr>
                <w:rFonts w:ascii="宋体" w:hAnsi="宋体" w:cs="宋体"/>
                <w:color w:val="auto"/>
                <w:sz w:val="23"/>
                <w:szCs w:val="23"/>
                <w:highlight w:val="none"/>
              </w:rPr>
            </w:pPr>
            <w:r>
              <w:rPr>
                <w:rFonts w:hint="eastAsia" w:ascii="宋体" w:hAnsi="宋体" w:cs="宋体"/>
                <w:color w:val="auto"/>
                <w:spacing w:val="2"/>
                <w:sz w:val="23"/>
                <w:szCs w:val="23"/>
                <w:highlight w:val="none"/>
              </w:rPr>
              <w:t xml:space="preserve">合同编号</w:t>
            </w:r>
            <w:r/>
          </w:p>
        </w:tc>
        <w:tc>
          <w:tcPr>
            <w:tcW w:w="1961"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c>
          <w:tcPr>
            <w:tcW w:w="2139" w:type="dxa"/>
            <w:textDirection w:val="lrTb"/>
            <w:noWrap w:val="false"/>
          </w:tcPr>
          <w:p>
            <w:pPr>
              <w:ind w:left="607"/>
              <w:spacing w:before="247" w:line="213" w:lineRule="auto"/>
              <w:rPr>
                <w:rFonts w:ascii="宋体" w:hAnsi="宋体" w:cs="宋体"/>
                <w:color w:val="auto"/>
                <w:sz w:val="23"/>
                <w:szCs w:val="23"/>
                <w:highlight w:val="none"/>
              </w:rPr>
            </w:pPr>
            <w:r>
              <w:rPr>
                <w:rFonts w:hint="eastAsia" w:ascii="宋体" w:hAnsi="宋体" w:cs="宋体"/>
                <w:color w:val="auto"/>
                <w:spacing w:val="2"/>
                <w:sz w:val="23"/>
                <w:szCs w:val="23"/>
                <w:highlight w:val="none"/>
              </w:rPr>
              <w:t xml:space="preserve">合同金额</w:t>
            </w:r>
            <w:r/>
          </w:p>
        </w:tc>
        <w:tc>
          <w:tcPr>
            <w:tcW w:w="2608"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r>
      <w:tr>
        <w:trPr>
          <w:trHeight w:val="559"/>
        </w:trPr>
        <w:tc>
          <w:tcPr>
            <w:tcW w:w="2610" w:type="dxa"/>
            <w:textDirection w:val="lrTb"/>
            <w:noWrap w:val="false"/>
          </w:tcPr>
          <w:p>
            <w:pPr>
              <w:ind w:left="841"/>
              <w:spacing w:before="248" w:line="212" w:lineRule="auto"/>
              <w:rPr>
                <w:rFonts w:ascii="宋体" w:hAnsi="宋体" w:cs="宋体"/>
                <w:color w:val="auto"/>
                <w:sz w:val="23"/>
                <w:szCs w:val="23"/>
                <w:highlight w:val="none"/>
              </w:rPr>
            </w:pPr>
            <w:r>
              <w:rPr>
                <w:rFonts w:hint="eastAsia" w:ascii="宋体" w:hAnsi="宋体" w:cs="宋体"/>
                <w:color w:val="auto"/>
                <w:spacing w:val="4"/>
                <w:sz w:val="23"/>
                <w:szCs w:val="23"/>
                <w:highlight w:val="none"/>
              </w:rPr>
              <w:t xml:space="preserve">验收时间</w:t>
            </w:r>
            <w:r/>
          </w:p>
        </w:tc>
        <w:tc>
          <w:tcPr>
            <w:tcW w:w="1961"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c>
          <w:tcPr>
            <w:tcW w:w="2139" w:type="dxa"/>
            <w:textDirection w:val="lrTb"/>
            <w:noWrap w:val="false"/>
          </w:tcPr>
          <w:p>
            <w:pPr>
              <w:ind w:left="607"/>
              <w:spacing w:before="248" w:line="213" w:lineRule="auto"/>
              <w:rPr>
                <w:rFonts w:ascii="宋体" w:hAnsi="宋体" w:cs="宋体"/>
                <w:color w:val="auto"/>
                <w:sz w:val="23"/>
                <w:szCs w:val="23"/>
                <w:highlight w:val="none"/>
              </w:rPr>
            </w:pPr>
            <w:r>
              <w:rPr>
                <w:rFonts w:hint="eastAsia" w:ascii="宋体" w:hAnsi="宋体" w:cs="宋体"/>
                <w:color w:val="auto"/>
                <w:spacing w:val="4"/>
                <w:sz w:val="23"/>
                <w:szCs w:val="23"/>
                <w:highlight w:val="none"/>
              </w:rPr>
              <w:t xml:space="preserve">验收地点</w:t>
            </w:r>
            <w:r/>
          </w:p>
        </w:tc>
        <w:tc>
          <w:tcPr>
            <w:tcW w:w="2608"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r>
      <w:tr>
        <w:trPr>
          <w:trHeight w:val="560"/>
        </w:trPr>
        <w:tc>
          <w:tcPr>
            <w:tcW w:w="2610" w:type="dxa"/>
            <w:textDirection w:val="lrTb"/>
            <w:noWrap w:val="false"/>
          </w:tcPr>
          <w:p>
            <w:pPr>
              <w:ind w:left="960"/>
              <w:spacing w:before="248" w:line="213" w:lineRule="auto"/>
              <w:rPr>
                <w:rFonts w:ascii="宋体" w:hAnsi="宋体" w:cs="宋体"/>
                <w:color w:val="auto"/>
                <w:sz w:val="23"/>
                <w:szCs w:val="23"/>
                <w:highlight w:val="none"/>
              </w:rPr>
            </w:pPr>
            <w:r>
              <w:rPr>
                <w:rFonts w:hint="eastAsia" w:ascii="宋体" w:hAnsi="宋体" w:cs="宋体"/>
                <w:color w:val="auto"/>
                <w:spacing w:val="1"/>
                <w:sz w:val="23"/>
                <w:szCs w:val="23"/>
                <w:highlight w:val="none"/>
              </w:rPr>
              <w:t xml:space="preserve">联系人</w:t>
            </w:r>
            <w:r/>
          </w:p>
        </w:tc>
        <w:tc>
          <w:tcPr>
            <w:tcW w:w="1961"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c>
          <w:tcPr>
            <w:tcW w:w="2139" w:type="dxa"/>
            <w:textDirection w:val="lrTb"/>
            <w:noWrap w:val="false"/>
          </w:tcPr>
          <w:p>
            <w:pPr>
              <w:ind w:left="605"/>
              <w:spacing w:before="248" w:line="213" w:lineRule="auto"/>
              <w:rPr>
                <w:rFonts w:ascii="宋体" w:hAnsi="宋体" w:cs="宋体"/>
                <w:color w:val="auto"/>
                <w:sz w:val="23"/>
                <w:szCs w:val="23"/>
                <w:highlight w:val="none"/>
              </w:rPr>
            </w:pPr>
            <w:r>
              <w:rPr>
                <w:rFonts w:hint="eastAsia" w:ascii="宋体" w:hAnsi="宋体" w:cs="宋体"/>
                <w:color w:val="auto"/>
                <w:spacing w:val="3"/>
                <w:sz w:val="23"/>
                <w:szCs w:val="23"/>
                <w:highlight w:val="none"/>
              </w:rPr>
              <w:t xml:space="preserve">联系电话</w:t>
            </w:r>
            <w:r/>
          </w:p>
        </w:tc>
        <w:tc>
          <w:tcPr>
            <w:tcW w:w="2608"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r>
      <w:tr>
        <w:trPr>
          <w:trHeight w:val="560"/>
        </w:trPr>
        <w:tc>
          <w:tcPr>
            <w:gridSpan w:val="4"/>
            <w:tcW w:w="9318" w:type="dxa"/>
            <w:textDirection w:val="lrTb"/>
            <w:noWrap w:val="false"/>
          </w:tcPr>
          <w:p>
            <w:pPr>
              <w:ind w:left="3353"/>
              <w:spacing w:before="250" w:line="212" w:lineRule="auto"/>
              <w:rPr>
                <w:rFonts w:ascii="宋体" w:hAnsi="宋体" w:cs="宋体"/>
                <w:color w:val="auto"/>
                <w:sz w:val="23"/>
                <w:szCs w:val="23"/>
                <w:highlight w:val="none"/>
              </w:rPr>
            </w:pPr>
            <w:r>
              <w:rPr>
                <w:rFonts w:hint="eastAsia" w:ascii="宋体" w:hAnsi="宋体" w:cs="宋体"/>
                <w:color w:val="auto"/>
                <w:spacing w:val="7"/>
                <w:sz w:val="23"/>
                <w:szCs w:val="23"/>
                <w:highlight w:val="none"/>
              </w:rPr>
              <w:t xml:space="preserve">履约验收方案及工作要求</w:t>
            </w:r>
            <w:r/>
          </w:p>
        </w:tc>
      </w:tr>
      <w:tr>
        <w:trPr>
          <w:trHeight w:val="7569"/>
        </w:trPr>
        <w:tc>
          <w:tcPr>
            <w:gridSpan w:val="4"/>
            <w:tcW w:w="9318" w:type="dxa"/>
            <w:textDirection w:val="lrTb"/>
            <w:noWrap w:val="false"/>
          </w:tcPr>
          <w:p>
            <w:pPr>
              <w:pStyle w:val="1204"/>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42"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42"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left="5128" w:right="2893" w:firstLine="183"/>
              <w:spacing w:before="75" w:line="507" w:lineRule="auto"/>
              <w:rPr>
                <w:rFonts w:ascii="宋体" w:hAnsi="宋体" w:cs="宋体"/>
                <w:color w:val="auto"/>
                <w:sz w:val="23"/>
                <w:szCs w:val="23"/>
                <w:highlight w:val="none"/>
              </w:rPr>
            </w:pPr>
            <w:r>
              <w:rPr>
                <w:rFonts w:hint="eastAsia" w:ascii="宋体" w:hAnsi="宋体" w:cs="宋体"/>
                <w:color w:val="auto"/>
                <w:spacing w:val="3"/>
                <w:sz w:val="23"/>
                <w:szCs w:val="23"/>
                <w:highlight w:val="none"/>
              </w:rPr>
              <w:t xml:space="preserve">单位公章</w:t>
            </w:r>
            <w:r>
              <w:rPr>
                <w:rFonts w:hint="eastAsia" w:ascii="宋体" w:hAnsi="宋体" w:cs="宋体"/>
                <w:color w:val="auto"/>
                <w:sz w:val="23"/>
                <w:szCs w:val="23"/>
                <w:highlight w:val="none"/>
              </w:rPr>
              <w:t xml:space="preserve">  </w:t>
            </w:r>
            <w:r>
              <w:rPr>
                <w:rFonts w:hint="eastAsia" w:ascii="宋体" w:hAnsi="宋体" w:cs="宋体"/>
                <w:color w:val="auto"/>
                <w:spacing w:val="-16"/>
                <w:sz w:val="23"/>
                <w:szCs w:val="23"/>
                <w:highlight w:val="none"/>
              </w:rPr>
              <w:t xml:space="preserve">年</w:t>
            </w:r>
            <w:r>
              <w:rPr>
                <w:rFonts w:hint="eastAsia" w:ascii="宋体" w:hAnsi="宋体" w:cs="宋体"/>
                <w:color w:val="auto"/>
                <w:spacing w:val="18"/>
                <w:sz w:val="23"/>
                <w:szCs w:val="23"/>
                <w:highlight w:val="none"/>
              </w:rPr>
              <w:t xml:space="preserve">  </w:t>
            </w:r>
            <w:r>
              <w:rPr>
                <w:rFonts w:hint="eastAsia" w:ascii="宋体" w:hAnsi="宋体" w:cs="宋体"/>
                <w:color w:val="auto"/>
                <w:spacing w:val="-16"/>
                <w:sz w:val="23"/>
                <w:szCs w:val="23"/>
                <w:highlight w:val="none"/>
              </w:rPr>
              <w:t xml:space="preserve">月</w:t>
            </w:r>
            <w:r>
              <w:rPr>
                <w:rFonts w:hint="eastAsia" w:ascii="宋体" w:hAnsi="宋体" w:cs="宋体"/>
                <w:color w:val="auto"/>
                <w:spacing w:val="12"/>
                <w:sz w:val="23"/>
                <w:szCs w:val="23"/>
                <w:highlight w:val="none"/>
              </w:rPr>
              <w:t xml:space="preserve">   </w:t>
            </w:r>
            <w:r>
              <w:rPr>
                <w:rFonts w:hint="eastAsia" w:ascii="宋体" w:hAnsi="宋体" w:cs="宋体"/>
                <w:color w:val="auto"/>
                <w:spacing w:val="-16"/>
                <w:sz w:val="23"/>
                <w:szCs w:val="23"/>
                <w:highlight w:val="none"/>
              </w:rPr>
              <w:t xml:space="preserve">日</w:t>
            </w:r>
            <w:r/>
          </w:p>
        </w:tc>
      </w:tr>
    </w:tbl>
    <w:p>
      <w:pPr>
        <w:pStyle w:val="865"/>
        <w:ind w:left="513"/>
        <w:spacing w:before="284" w:line="219" w:lineRule="auto"/>
        <w:rPr>
          <w:rFonts w:ascii="宋体" w:hAnsi="宋体" w:cs="宋体"/>
          <w:b/>
          <w:bCs/>
          <w:color w:val="auto"/>
          <w:spacing w:val="-5"/>
          <w:sz w:val="21"/>
          <w:szCs w:val="21"/>
          <w:highlight w:val="none"/>
        </w:rPr>
        <w:sectPr>
          <w:headerReference w:type="default" r:id="rId10"/>
          <w:footerReference w:type="default" r:id="rId14"/>
          <w:footnotePr/>
          <w:endnotePr/>
          <w:type w:val="nextPage"/>
          <w:pgSz w:w="11906" w:h="16838" w:orient="portrait"/>
          <w:pgMar w:top="1440" w:right="1417" w:bottom="1134" w:left="1417" w:header="851" w:footer="850" w:gutter="0"/>
          <w:pgNumType w:start="1"/>
          <w:cols w:num="1" w:sep="0" w:space="1701" w:equalWidth="1"/>
          <w:docGrid w:linePitch="360"/>
        </w:sectPr>
        <w:outlineLvl w:val="0"/>
      </w:pPr>
      <w:r>
        <w:rPr>
          <w:rFonts w:ascii="宋体" w:hAnsi="宋体" w:cs="宋体"/>
          <w:b/>
          <w:bCs/>
          <w:color w:val="auto"/>
          <w:spacing w:val="-5"/>
          <w:sz w:val="21"/>
          <w:szCs w:val="21"/>
          <w:highlight w:val="none"/>
        </w:rPr>
      </w:r>
      <w:r/>
    </w:p>
    <w:p>
      <w:pPr>
        <w:pStyle w:val="865"/>
        <w:jc w:val="lef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附件4：政府采购履约验收书</w:t>
      </w:r>
      <w:r/>
    </w:p>
    <w:p>
      <w:pPr>
        <w:ind w:left="3812"/>
        <w:spacing w:before="104" w:line="185" w:lineRule="auto"/>
        <w:rPr>
          <w:rFonts w:ascii="宋体" w:hAnsi="宋体" w:cs="宋体"/>
          <w:color w:val="auto"/>
          <w:sz w:val="36"/>
          <w:szCs w:val="36"/>
          <w:highlight w:val="none"/>
        </w:rPr>
      </w:pPr>
      <w:r>
        <w:rPr>
          <w:rFonts w:hint="eastAsia" w:ascii="宋体" w:hAnsi="宋体" w:cs="宋体"/>
          <w:color w:val="auto"/>
          <w:spacing w:val="19"/>
          <w:sz w:val="36"/>
          <w:szCs w:val="36"/>
          <w:highlight w:val="none"/>
        </w:rPr>
        <w:t xml:space="preserve">政府采购履约验收书(服务类)</w:t>
      </w:r>
      <w:r/>
    </w:p>
    <w:tbl>
      <w:tblPr>
        <w:tblStyle w:val="1203"/>
        <w:tblW w:w="14174"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562"/>
        </w:trPr>
        <w:tc>
          <w:tcPr>
            <w:tcW w:w="1625" w:type="dxa"/>
            <w:textDirection w:val="lrTb"/>
            <w:noWrap w:val="false"/>
          </w:tcPr>
          <w:p>
            <w:pPr>
              <w:ind w:left="543"/>
              <w:spacing w:before="298" w:line="207" w:lineRule="auto"/>
              <w:rPr>
                <w:rFonts w:ascii="宋体" w:hAnsi="宋体" w:cs="宋体"/>
                <w:color w:val="auto"/>
                <w:sz w:val="18"/>
                <w:szCs w:val="18"/>
                <w:highlight w:val="none"/>
              </w:rPr>
            </w:pPr>
            <w:r>
              <w:rPr>
                <w:rFonts w:hint="eastAsia" w:ascii="宋体" w:hAnsi="宋体" w:cs="宋体"/>
                <w:color w:val="auto"/>
                <w:spacing w:val="-3"/>
                <w:sz w:val="18"/>
                <w:szCs w:val="18"/>
                <w:highlight w:val="none"/>
              </w:rPr>
              <w:t xml:space="preserve">采购人</w:t>
            </w:r>
            <w:r/>
          </w:p>
        </w:tc>
        <w:tc>
          <w:tcPr>
            <w:tcW w:w="1714"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c>
          <w:tcPr>
            <w:tcW w:w="1816" w:type="dxa"/>
            <w:textDirection w:val="lrTb"/>
            <w:noWrap w:val="false"/>
          </w:tcPr>
          <w:p>
            <w:pPr>
              <w:ind w:left="553"/>
              <w:spacing w:before="298" w:line="208" w:lineRule="auto"/>
              <w:rPr>
                <w:rFonts w:ascii="宋体" w:hAnsi="宋体" w:cs="宋体"/>
                <w:color w:val="auto"/>
                <w:sz w:val="18"/>
                <w:szCs w:val="18"/>
                <w:highlight w:val="none"/>
              </w:rPr>
            </w:pPr>
            <w:r>
              <w:rPr>
                <w:rFonts w:hint="eastAsia" w:ascii="宋体" w:hAnsi="宋体" w:cs="宋体"/>
                <w:color w:val="auto"/>
                <w:spacing w:val="-3"/>
                <w:sz w:val="18"/>
                <w:szCs w:val="18"/>
                <w:highlight w:val="none"/>
              </w:rPr>
              <w:t xml:space="preserve">项目名称</w:t>
            </w:r>
            <w:r/>
          </w:p>
        </w:tc>
        <w:tc>
          <w:tcPr>
            <w:tcW w:w="2476"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c>
          <w:tcPr>
            <w:gridSpan w:val="2"/>
            <w:tcW w:w="3987" w:type="dxa"/>
            <w:textDirection w:val="lrTb"/>
            <w:noWrap w:val="false"/>
          </w:tcPr>
          <w:p>
            <w:pPr>
              <w:ind w:left="1640"/>
              <w:spacing w:before="298" w:line="207"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合同名称</w:t>
            </w:r>
            <w:r/>
          </w:p>
        </w:tc>
        <w:tc>
          <w:tcPr>
            <w:tcW w:w="2556"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r>
      <w:tr>
        <w:trPr>
          <w:trHeight w:val="564"/>
        </w:trPr>
        <w:tc>
          <w:tcPr>
            <w:tcW w:w="1625" w:type="dxa"/>
            <w:textDirection w:val="lrTb"/>
            <w:noWrap w:val="false"/>
          </w:tcPr>
          <w:p>
            <w:pPr>
              <w:ind w:left="544"/>
              <w:spacing w:before="298" w:line="207" w:lineRule="auto"/>
              <w:rPr>
                <w:rFonts w:ascii="宋体" w:hAnsi="宋体" w:cs="宋体"/>
                <w:color w:val="auto"/>
                <w:sz w:val="18"/>
                <w:szCs w:val="18"/>
                <w:highlight w:val="none"/>
              </w:rPr>
            </w:pPr>
            <w:r>
              <w:rPr>
                <w:rFonts w:hint="eastAsia" w:ascii="宋体" w:hAnsi="宋体" w:cs="宋体"/>
                <w:color w:val="auto"/>
                <w:spacing w:val="-3"/>
                <w:sz w:val="18"/>
                <w:szCs w:val="18"/>
                <w:highlight w:val="none"/>
              </w:rPr>
              <w:t xml:space="preserve">供应商</w:t>
            </w:r>
            <w:r/>
          </w:p>
        </w:tc>
        <w:tc>
          <w:tcPr>
            <w:tcW w:w="1714"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c>
          <w:tcPr>
            <w:tcW w:w="1816" w:type="dxa"/>
            <w:textDirection w:val="lrTb"/>
            <w:noWrap w:val="false"/>
          </w:tcPr>
          <w:p>
            <w:pPr>
              <w:ind w:left="285"/>
              <w:spacing w:before="298" w:line="207"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项目及合同编号</w:t>
            </w:r>
            <w:r/>
          </w:p>
        </w:tc>
        <w:tc>
          <w:tcPr>
            <w:tcW w:w="2476"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c>
          <w:tcPr>
            <w:gridSpan w:val="2"/>
            <w:tcW w:w="3987" w:type="dxa"/>
            <w:textDirection w:val="lrTb"/>
            <w:noWrap w:val="false"/>
          </w:tcPr>
          <w:p>
            <w:pPr>
              <w:ind w:left="1640"/>
              <w:spacing w:before="298"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合同金额</w:t>
            </w:r>
            <w:r/>
          </w:p>
        </w:tc>
        <w:tc>
          <w:tcPr>
            <w:tcW w:w="2556"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r>
      <w:tr>
        <w:trPr>
          <w:trHeight w:val="559"/>
        </w:trPr>
        <w:tc>
          <w:tcPr>
            <w:tcW w:w="1625" w:type="dxa"/>
            <w:textDirection w:val="lrTb"/>
            <w:noWrap w:val="false"/>
          </w:tcPr>
          <w:p>
            <w:pPr>
              <w:ind w:left="186"/>
              <w:spacing w:before="267" w:line="240" w:lineRule="exact"/>
              <w:rPr>
                <w:rFonts w:ascii="宋体" w:hAnsi="宋体" w:cs="宋体"/>
                <w:color w:val="auto"/>
                <w:sz w:val="18"/>
                <w:szCs w:val="18"/>
                <w:highlight w:val="none"/>
              </w:rPr>
            </w:pPr>
            <w:r>
              <w:rPr>
                <w:rFonts w:hint="eastAsia" w:ascii="宋体" w:hAnsi="宋体" w:cs="宋体"/>
                <w:color w:val="auto"/>
                <w:spacing w:val="-2"/>
                <w:position w:val="1"/>
                <w:sz w:val="18"/>
                <w:szCs w:val="18"/>
                <w:highlight w:val="none"/>
              </w:rPr>
              <w:t xml:space="preserve">分期（段）验收</w:t>
            </w:r>
            <w:r/>
          </w:p>
        </w:tc>
        <w:tc>
          <w:tcPr>
            <w:tcW w:w="1714" w:type="dxa"/>
            <w:textDirection w:val="lrTb"/>
            <w:noWrap w:val="false"/>
          </w:tcPr>
          <w:p>
            <w:pPr>
              <w:ind w:left="367"/>
              <w:spacing w:before="267" w:line="240" w:lineRule="exact"/>
              <w:rPr>
                <w:rFonts w:ascii="宋体" w:hAnsi="宋体" w:cs="宋体"/>
                <w:color w:val="auto"/>
                <w:sz w:val="18"/>
                <w:szCs w:val="18"/>
                <w:highlight w:val="none"/>
              </w:rPr>
            </w:pPr>
            <w:r>
              <w:rPr>
                <w:rFonts w:hint="eastAsia" w:ascii="宋体" w:hAnsi="宋体" w:cs="宋体"/>
                <w:color w:val="auto"/>
                <w:spacing w:val="-6"/>
                <w:position w:val="1"/>
                <w:sz w:val="18"/>
                <w:szCs w:val="18"/>
                <w:highlight w:val="none"/>
              </w:rPr>
              <w:t xml:space="preserve">是□</w:t>
            </w:r>
            <w:r>
              <w:rPr>
                <w:rFonts w:hint="eastAsia" w:ascii="宋体" w:hAnsi="宋体" w:cs="宋体"/>
                <w:color w:val="auto"/>
                <w:spacing w:val="4"/>
                <w:position w:val="1"/>
                <w:sz w:val="18"/>
                <w:szCs w:val="18"/>
                <w:highlight w:val="none"/>
              </w:rPr>
              <w:t xml:space="preserve">   </w:t>
            </w:r>
            <w:r>
              <w:rPr>
                <w:rFonts w:hint="eastAsia" w:ascii="宋体" w:hAnsi="宋体" w:cs="宋体"/>
                <w:color w:val="auto"/>
                <w:spacing w:val="-6"/>
                <w:position w:val="1"/>
                <w:sz w:val="18"/>
                <w:szCs w:val="18"/>
                <w:highlight w:val="none"/>
              </w:rPr>
              <w:t xml:space="preserve">否□</w:t>
            </w:r>
            <w:r/>
          </w:p>
        </w:tc>
        <w:tc>
          <w:tcPr>
            <w:tcW w:w="1816" w:type="dxa"/>
            <w:textDirection w:val="lrTb"/>
            <w:noWrap w:val="false"/>
          </w:tcPr>
          <w:p>
            <w:pPr>
              <w:ind w:left="284"/>
              <w:spacing w:before="267" w:line="240" w:lineRule="exact"/>
              <w:rPr>
                <w:rFonts w:ascii="宋体" w:hAnsi="宋体" w:cs="宋体"/>
                <w:color w:val="auto"/>
                <w:sz w:val="18"/>
                <w:szCs w:val="18"/>
                <w:highlight w:val="none"/>
              </w:rPr>
            </w:pPr>
            <w:r>
              <w:rPr>
                <w:rFonts w:hint="eastAsia" w:ascii="宋体" w:hAnsi="宋体" w:cs="宋体"/>
                <w:color w:val="auto"/>
                <w:spacing w:val="-2"/>
                <w:position w:val="1"/>
                <w:sz w:val="18"/>
                <w:szCs w:val="18"/>
                <w:highlight w:val="none"/>
              </w:rPr>
              <w:t xml:space="preserve">分期（段）情况</w:t>
            </w:r>
            <w:r/>
          </w:p>
        </w:tc>
        <w:tc>
          <w:tcPr>
            <w:gridSpan w:val="4"/>
            <w:tcW w:w="9019" w:type="dxa"/>
            <w:textDirection w:val="lrTb"/>
            <w:noWrap w:val="false"/>
          </w:tcPr>
          <w:p>
            <w:pPr>
              <w:ind w:left="2804"/>
              <w:spacing w:before="267" w:line="240" w:lineRule="exact"/>
              <w:rPr>
                <w:rFonts w:ascii="宋体" w:hAnsi="宋体" w:cs="宋体"/>
                <w:color w:val="auto"/>
                <w:sz w:val="18"/>
                <w:szCs w:val="18"/>
                <w:highlight w:val="none"/>
              </w:rPr>
            </w:pPr>
            <w:r>
              <w:rPr>
                <w:rFonts w:hint="eastAsia" w:ascii="宋体" w:hAnsi="宋体" w:cs="宋体"/>
                <w:color w:val="auto"/>
                <w:spacing w:val="-1"/>
                <w:position w:val="1"/>
                <w:sz w:val="18"/>
                <w:szCs w:val="18"/>
                <w:highlight w:val="none"/>
              </w:rPr>
              <w:t xml:space="preserve">共分   期（段</w:t>
            </w:r>
            <w:r>
              <w:rPr>
                <w:rFonts w:hint="eastAsia" w:ascii="宋体" w:hAnsi="宋体" w:cs="宋体"/>
                <w:color w:val="auto"/>
                <w:spacing w:val="6"/>
                <w:position w:val="1"/>
                <w:sz w:val="18"/>
                <w:szCs w:val="18"/>
                <w:highlight w:val="none"/>
              </w:rPr>
              <w:t xml:space="preserve">），</w:t>
            </w:r>
            <w:r>
              <w:rPr>
                <w:rFonts w:hint="eastAsia" w:ascii="宋体" w:hAnsi="宋体" w:cs="宋体"/>
                <w:color w:val="auto"/>
                <w:spacing w:val="-1"/>
                <w:position w:val="1"/>
                <w:sz w:val="18"/>
                <w:szCs w:val="18"/>
                <w:highlight w:val="none"/>
              </w:rPr>
              <w:t xml:space="preserve">此为第   期（段）验收</w:t>
            </w:r>
            <w:r/>
          </w:p>
        </w:tc>
      </w:tr>
      <w:tr>
        <w:trPr>
          <w:trHeight w:val="1679"/>
        </w:trPr>
        <w:tc>
          <w:tcPr>
            <w:tcW w:w="1625" w:type="dxa"/>
            <w:textDirection w:val="lrTb"/>
            <w:noWrap w:val="false"/>
          </w:tcPr>
          <w:p>
            <w:pPr>
              <w:pStyle w:val="1204"/>
              <w:spacing w:line="264"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64"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6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left="454"/>
              <w:spacing w:before="58"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验收时间</w:t>
            </w:r>
            <w:r/>
          </w:p>
        </w:tc>
        <w:tc>
          <w:tcPr>
            <w:tcW w:w="1714"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c>
          <w:tcPr>
            <w:tcW w:w="1816" w:type="dxa"/>
            <w:textDirection w:val="lrTb"/>
            <w:noWrap w:val="false"/>
          </w:tcPr>
          <w:p>
            <w:pPr>
              <w:pStyle w:val="1204"/>
              <w:spacing w:line="264" w:lineRule="auto"/>
              <w:rPr>
                <w:rFonts w:ascii="宋体" w:hAnsi="宋体" w:eastAsia="宋体" w:cs="宋体"/>
                <w:color w:val="auto"/>
                <w:highlight w:val="none"/>
              </w:rPr>
            </w:pPr>
            <w:r>
              <w:rPr>
                <w:rFonts w:ascii="宋体" w:hAnsi="宋体" w:eastAsia="宋体" w:cs="宋体"/>
                <w:color w:val="auto"/>
                <w:highlight w:val="none"/>
              </w:rPr>
            </w:r>
            <w:r/>
          </w:p>
          <w:p>
            <w:pPr>
              <w:pStyle w:val="1204"/>
              <w:spacing w:line="264" w:lineRule="auto"/>
              <w:rPr>
                <w:rFonts w:ascii="宋体" w:hAnsi="宋体" w:eastAsia="宋体" w:cs="宋体"/>
                <w:color w:val="auto"/>
                <w:highlight w:val="none"/>
              </w:rPr>
            </w:pPr>
            <w:r>
              <w:rPr>
                <w:rFonts w:ascii="宋体" w:hAnsi="宋体" w:eastAsia="宋体" w:cs="宋体"/>
                <w:color w:val="auto"/>
                <w:highlight w:val="none"/>
              </w:rPr>
            </w:r>
            <w:r/>
          </w:p>
          <w:p>
            <w:pPr>
              <w:pStyle w:val="1204"/>
              <w:spacing w:line="265" w:lineRule="auto"/>
              <w:rPr>
                <w:rFonts w:ascii="宋体" w:hAnsi="宋体" w:eastAsia="宋体" w:cs="宋体"/>
                <w:color w:val="auto"/>
                <w:highlight w:val="none"/>
              </w:rPr>
            </w:pPr>
            <w:r>
              <w:rPr>
                <w:rFonts w:ascii="宋体" w:hAnsi="宋体" w:eastAsia="宋体" w:cs="宋体"/>
                <w:color w:val="auto"/>
                <w:highlight w:val="none"/>
              </w:rPr>
            </w:r>
            <w:r/>
          </w:p>
          <w:p>
            <w:pPr>
              <w:ind w:left="550"/>
              <w:spacing w:before="58"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验收地点</w:t>
            </w:r>
            <w:r/>
          </w:p>
        </w:tc>
        <w:tc>
          <w:tcPr>
            <w:tcW w:w="2476"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c>
          <w:tcPr>
            <w:gridSpan w:val="2"/>
            <w:tcW w:w="3987" w:type="dxa"/>
            <w:textDirection w:val="lrTb"/>
            <w:noWrap w:val="false"/>
          </w:tcPr>
          <w:p>
            <w:pPr>
              <w:pStyle w:val="1204"/>
              <w:spacing w:line="264" w:lineRule="auto"/>
              <w:rPr>
                <w:rFonts w:ascii="宋体" w:hAnsi="宋体" w:eastAsia="宋体" w:cs="宋体"/>
                <w:color w:val="auto"/>
                <w:highlight w:val="none"/>
              </w:rPr>
            </w:pPr>
            <w:r>
              <w:rPr>
                <w:rFonts w:ascii="宋体" w:hAnsi="宋体" w:eastAsia="宋体" w:cs="宋体"/>
                <w:color w:val="auto"/>
                <w:highlight w:val="none"/>
              </w:rPr>
            </w:r>
            <w:r/>
          </w:p>
          <w:p>
            <w:pPr>
              <w:pStyle w:val="1204"/>
              <w:spacing w:line="264" w:lineRule="auto"/>
              <w:rPr>
                <w:rFonts w:ascii="宋体" w:hAnsi="宋体" w:eastAsia="宋体" w:cs="宋体"/>
                <w:color w:val="auto"/>
                <w:highlight w:val="none"/>
              </w:rPr>
            </w:pPr>
            <w:r>
              <w:rPr>
                <w:rFonts w:ascii="宋体" w:hAnsi="宋体" w:eastAsia="宋体" w:cs="宋体"/>
                <w:color w:val="auto"/>
                <w:highlight w:val="none"/>
              </w:rPr>
            </w:r>
            <w:r/>
          </w:p>
          <w:p>
            <w:pPr>
              <w:pStyle w:val="1204"/>
              <w:spacing w:line="265" w:lineRule="auto"/>
              <w:rPr>
                <w:rFonts w:ascii="宋体" w:hAnsi="宋体" w:eastAsia="宋体" w:cs="宋体"/>
                <w:color w:val="auto"/>
                <w:highlight w:val="none"/>
              </w:rPr>
            </w:pPr>
            <w:r>
              <w:rPr>
                <w:rFonts w:ascii="宋体" w:hAnsi="宋体" w:eastAsia="宋体" w:cs="宋体"/>
                <w:color w:val="auto"/>
                <w:highlight w:val="none"/>
              </w:rPr>
            </w:r>
            <w:r/>
          </w:p>
          <w:p>
            <w:pPr>
              <w:ind w:left="1459"/>
              <w:spacing w:before="59"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验收组织形式</w:t>
            </w:r>
            <w:r/>
          </w:p>
        </w:tc>
        <w:tc>
          <w:tcPr>
            <w:tcW w:w="2556" w:type="dxa"/>
            <w:textDirection w:val="lrTb"/>
            <w:noWrap w:val="false"/>
          </w:tcPr>
          <w:p>
            <w:pPr>
              <w:ind w:left="673"/>
              <w:spacing w:before="267" w:line="239" w:lineRule="exact"/>
              <w:rPr>
                <w:rFonts w:ascii="宋体" w:hAnsi="宋体" w:cs="宋体"/>
                <w:color w:val="auto"/>
                <w:sz w:val="18"/>
                <w:szCs w:val="18"/>
                <w:highlight w:val="none"/>
              </w:rPr>
            </w:pPr>
            <w:r>
              <w:rPr>
                <w:rFonts w:hint="eastAsia" w:ascii="宋体" w:hAnsi="宋体" w:cs="宋体"/>
                <w:color w:val="auto"/>
                <w:spacing w:val="-4"/>
                <w:position w:val="1"/>
                <w:sz w:val="18"/>
                <w:szCs w:val="18"/>
                <w:highlight w:val="none"/>
              </w:rPr>
              <w:t xml:space="preserve">□自行简易验收</w:t>
            </w:r>
            <w:r/>
          </w:p>
          <w:p>
            <w:pPr>
              <w:pStyle w:val="1204"/>
              <w:spacing w:line="260"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left="673"/>
              <w:spacing w:before="58" w:line="240" w:lineRule="exact"/>
              <w:rPr>
                <w:rFonts w:ascii="宋体" w:hAnsi="宋体" w:cs="宋体"/>
                <w:color w:val="auto"/>
                <w:sz w:val="18"/>
                <w:szCs w:val="18"/>
                <w:highlight w:val="none"/>
              </w:rPr>
            </w:pPr>
            <w:r>
              <w:rPr>
                <w:rFonts w:hint="eastAsia" w:ascii="宋体" w:hAnsi="宋体" w:cs="宋体"/>
                <w:color w:val="auto"/>
                <w:spacing w:val="-4"/>
                <w:position w:val="1"/>
                <w:sz w:val="18"/>
                <w:szCs w:val="18"/>
                <w:highlight w:val="none"/>
              </w:rPr>
              <w:t xml:space="preserve">□验收小组验收</w:t>
            </w:r>
            <w:r/>
          </w:p>
          <w:p>
            <w:pPr>
              <w:pStyle w:val="1204"/>
              <w:spacing w:line="262"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left="582"/>
              <w:spacing w:before="58" w:line="239" w:lineRule="exact"/>
              <w:rPr>
                <w:rFonts w:ascii="宋体" w:hAnsi="宋体" w:cs="宋体"/>
                <w:color w:val="auto"/>
                <w:sz w:val="18"/>
                <w:szCs w:val="18"/>
                <w:highlight w:val="none"/>
              </w:rPr>
            </w:pPr>
            <w:r>
              <w:rPr>
                <w:rFonts w:hint="eastAsia" w:ascii="宋体" w:hAnsi="宋体" w:cs="宋体"/>
                <w:color w:val="auto"/>
                <w:spacing w:val="-3"/>
                <w:position w:val="1"/>
                <w:sz w:val="18"/>
                <w:szCs w:val="18"/>
                <w:highlight w:val="none"/>
              </w:rPr>
              <w:t xml:space="preserve">□采购代理机构验收</w:t>
            </w:r>
            <w:r/>
          </w:p>
        </w:tc>
      </w:tr>
      <w:tr>
        <w:trPr>
          <w:trHeight w:val="560"/>
        </w:trPr>
        <w:tc>
          <w:tcPr>
            <w:tcBorders>
              <w:bottom w:val="none" w:color="000000" w:sz="4" w:space="0"/>
            </w:tcBorders>
            <w:tcW w:w="1625" w:type="dxa"/>
            <w:vMerge w:val="restart"/>
            <w:textDirection w:val="lrTb"/>
            <w:noWrap w:val="false"/>
          </w:tcPr>
          <w:p>
            <w:pPr>
              <w:pStyle w:val="1204"/>
              <w:spacing w:line="265" w:lineRule="auto"/>
              <w:rPr>
                <w:rFonts w:ascii="宋体" w:hAnsi="宋体" w:eastAsia="宋体" w:cs="宋体"/>
                <w:color w:val="auto"/>
                <w:highlight w:val="none"/>
              </w:rPr>
            </w:pPr>
            <w:r>
              <w:rPr>
                <w:rFonts w:ascii="宋体" w:hAnsi="宋体" w:eastAsia="宋体" w:cs="宋体"/>
                <w:color w:val="auto"/>
                <w:highlight w:val="none"/>
              </w:rPr>
            </w:r>
            <w:r/>
          </w:p>
          <w:p>
            <w:pPr>
              <w:pStyle w:val="1204"/>
              <w:spacing w:line="265" w:lineRule="auto"/>
              <w:rPr>
                <w:rFonts w:ascii="宋体" w:hAnsi="宋体" w:eastAsia="宋体" w:cs="宋体"/>
                <w:color w:val="auto"/>
                <w:highlight w:val="none"/>
              </w:rPr>
            </w:pPr>
            <w:r>
              <w:rPr>
                <w:rFonts w:ascii="宋体" w:hAnsi="宋体" w:eastAsia="宋体" w:cs="宋体"/>
                <w:color w:val="auto"/>
                <w:highlight w:val="none"/>
              </w:rPr>
            </w:r>
            <w:r/>
          </w:p>
          <w:p>
            <w:pPr>
              <w:pStyle w:val="1204"/>
              <w:spacing w:line="266" w:lineRule="auto"/>
              <w:rPr>
                <w:rFonts w:ascii="宋体" w:hAnsi="宋体" w:eastAsia="宋体" w:cs="宋体"/>
                <w:color w:val="auto"/>
                <w:highlight w:val="none"/>
              </w:rPr>
            </w:pPr>
            <w:r>
              <w:rPr>
                <w:rFonts w:ascii="宋体" w:hAnsi="宋体" w:eastAsia="宋体" w:cs="宋体"/>
                <w:color w:val="auto"/>
                <w:highlight w:val="none"/>
              </w:rPr>
            </w:r>
            <w:r/>
          </w:p>
          <w:p>
            <w:pPr>
              <w:ind w:left="454"/>
              <w:spacing w:before="58"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验收内容</w:t>
            </w:r>
            <w:r/>
          </w:p>
        </w:tc>
        <w:tc>
          <w:tcPr>
            <w:tcW w:w="1714" w:type="dxa"/>
            <w:textDirection w:val="lrTb"/>
            <w:noWrap w:val="false"/>
          </w:tcPr>
          <w:p>
            <w:pPr>
              <w:ind w:left="498"/>
              <w:spacing w:before="298"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服务质量</w:t>
            </w:r>
            <w:r/>
          </w:p>
        </w:tc>
        <w:tc>
          <w:tcPr>
            <w:tcW w:w="1816" w:type="dxa"/>
            <w:textDirection w:val="lrTb"/>
            <w:noWrap w:val="false"/>
          </w:tcPr>
          <w:p>
            <w:pPr>
              <w:ind w:left="551"/>
              <w:spacing w:before="298"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服务进度</w:t>
            </w:r>
            <w:r/>
          </w:p>
        </w:tc>
        <w:tc>
          <w:tcPr>
            <w:tcW w:w="2476" w:type="dxa"/>
            <w:textDirection w:val="lrTb"/>
            <w:noWrap w:val="false"/>
          </w:tcPr>
          <w:p>
            <w:pPr>
              <w:ind w:left="387"/>
              <w:spacing w:before="298" w:line="207" w:lineRule="auto"/>
              <w:rPr>
                <w:rFonts w:ascii="宋体" w:hAnsi="宋体" w:cs="宋体"/>
                <w:color w:val="auto"/>
                <w:sz w:val="18"/>
                <w:szCs w:val="18"/>
                <w:highlight w:val="none"/>
              </w:rPr>
            </w:pPr>
            <w:r>
              <w:rPr>
                <w:rFonts w:hint="eastAsia" w:ascii="宋体" w:hAnsi="宋体" w:cs="宋体"/>
                <w:color w:val="auto"/>
                <w:spacing w:val="-1"/>
                <w:sz w:val="18"/>
                <w:szCs w:val="18"/>
                <w:highlight w:val="none"/>
              </w:rPr>
              <w:t xml:space="preserve">人员、设备 配备情况</w:t>
            </w:r>
            <w:r/>
          </w:p>
        </w:tc>
        <w:tc>
          <w:tcPr>
            <w:tcW w:w="1705" w:type="dxa"/>
            <w:textDirection w:val="lrTb"/>
            <w:noWrap w:val="false"/>
          </w:tcPr>
          <w:p>
            <w:pPr>
              <w:ind w:left="231"/>
              <w:spacing w:before="297" w:line="209"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行业、安全标准</w:t>
            </w:r>
            <w:r/>
          </w:p>
        </w:tc>
        <w:tc>
          <w:tcPr>
            <w:tcW w:w="2282" w:type="dxa"/>
            <w:textDirection w:val="lrTb"/>
            <w:noWrap w:val="false"/>
          </w:tcPr>
          <w:p>
            <w:pPr>
              <w:ind w:left="340"/>
              <w:spacing w:before="298"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项目需求、服务承诺</w:t>
            </w:r>
            <w:r/>
          </w:p>
        </w:tc>
        <w:tc>
          <w:tcPr>
            <w:tcW w:w="2556" w:type="dxa"/>
            <w:textDirection w:val="lrTb"/>
            <w:noWrap w:val="false"/>
          </w:tcPr>
          <w:p>
            <w:pPr>
              <w:ind w:left="159"/>
              <w:spacing w:before="299" w:line="208" w:lineRule="auto"/>
              <w:rPr>
                <w:rFonts w:ascii="宋体" w:hAnsi="宋体" w:cs="宋体"/>
                <w:color w:val="auto"/>
                <w:sz w:val="18"/>
                <w:szCs w:val="18"/>
                <w:highlight w:val="none"/>
              </w:rPr>
            </w:pPr>
            <w:r>
              <w:rPr>
                <w:rFonts w:hint="eastAsia" w:ascii="宋体" w:hAnsi="宋体" w:cs="宋体"/>
                <w:color w:val="auto"/>
                <w:spacing w:val="-1"/>
                <w:sz w:val="18"/>
                <w:szCs w:val="18"/>
                <w:highlight w:val="none"/>
              </w:rPr>
              <w:t xml:space="preserve">合同履约时间、 地点、方式</w:t>
            </w:r>
            <w:r/>
          </w:p>
        </w:tc>
      </w:tr>
      <w:tr>
        <w:trPr>
          <w:trHeight w:val="1119"/>
        </w:trPr>
        <w:tc>
          <w:tcPr>
            <w:tcBorders>
              <w:top w:val="none" w:color="000000" w:sz="4" w:space="0"/>
            </w:tcBorders>
            <w:tcW w:w="1625" w:type="dxa"/>
            <w:vMerge w:val="continue"/>
            <w:textDirection w:val="lrTb"/>
            <w:noWrap w:val="false"/>
          </w:tcPr>
          <w:p>
            <w:pPr>
              <w:pStyle w:val="1204"/>
              <w:rPr>
                <w:rFonts w:ascii="宋体" w:hAnsi="宋体" w:eastAsia="宋体" w:cs="宋体"/>
                <w:color w:val="auto"/>
                <w:highlight w:val="none"/>
                <w:lang w:eastAsia="zh-CN"/>
              </w:rPr>
            </w:pPr>
            <w:r>
              <w:rPr>
                <w:rFonts w:ascii="宋体" w:hAnsi="宋体" w:eastAsia="宋体" w:cs="宋体"/>
                <w:color w:val="auto"/>
                <w:highlight w:val="none"/>
                <w:lang w:eastAsia="zh-CN"/>
              </w:rPr>
            </w:r>
            <w:r/>
          </w:p>
        </w:tc>
        <w:tc>
          <w:tcPr>
            <w:tcW w:w="1714" w:type="dxa"/>
            <w:textDirection w:val="lrTb"/>
            <w:noWrap w:val="false"/>
          </w:tcPr>
          <w:p>
            <w:pPr>
              <w:ind w:left="501" w:right="497" w:hanging="2"/>
              <w:spacing w:before="270" w:line="430" w:lineRule="auto"/>
              <w:rPr>
                <w:rFonts w:ascii="宋体" w:hAnsi="宋体" w:cs="宋体"/>
                <w:color w:val="auto"/>
                <w:sz w:val="18"/>
                <w:szCs w:val="18"/>
                <w:highlight w:val="none"/>
              </w:rPr>
            </w:pPr>
            <w:r>
              <w:rPr>
                <w:rFonts w:hint="eastAsia" w:ascii="宋体" w:hAnsi="宋体" w:cs="宋体"/>
                <w:color w:val="auto"/>
                <w:spacing w:val="-5"/>
                <w:sz w:val="18"/>
                <w:szCs w:val="18"/>
                <w:highlight w:val="none"/>
              </w:rPr>
              <w:t xml:space="preserve">合</w:t>
            </w:r>
            <w:r>
              <w:rPr>
                <w:rFonts w:hint="eastAsia" w:ascii="宋体" w:hAnsi="宋体" w:cs="宋体"/>
                <w:color w:val="auto"/>
                <w:spacing w:val="3"/>
                <w:sz w:val="18"/>
                <w:szCs w:val="18"/>
                <w:highlight w:val="none"/>
              </w:rPr>
              <w:t xml:space="preserve">  </w:t>
            </w:r>
            <w:r>
              <w:rPr>
                <w:rFonts w:hint="eastAsia" w:ascii="宋体" w:hAnsi="宋体" w:cs="宋体"/>
                <w:color w:val="auto"/>
                <w:spacing w:val="-5"/>
                <w:sz w:val="18"/>
                <w:szCs w:val="18"/>
                <w:highlight w:val="none"/>
              </w:rPr>
              <w:t xml:space="preserve">格□</w:t>
            </w:r>
            <w:r>
              <w:rPr>
                <w:rFonts w:hint="eastAsia" w:ascii="宋体" w:hAnsi="宋体" w:cs="宋体"/>
                <w:color w:val="auto"/>
                <w:sz w:val="18"/>
                <w:szCs w:val="18"/>
                <w:highlight w:val="none"/>
              </w:rPr>
              <w:t xml:space="preserve"> </w:t>
            </w:r>
            <w:r>
              <w:rPr>
                <w:rFonts w:hint="eastAsia" w:ascii="宋体" w:hAnsi="宋体" w:cs="宋体"/>
                <w:color w:val="auto"/>
                <w:spacing w:val="-3"/>
                <w:sz w:val="18"/>
                <w:szCs w:val="18"/>
                <w:highlight w:val="none"/>
              </w:rPr>
              <w:t xml:space="preserve">不合格□</w:t>
            </w:r>
            <w:r/>
          </w:p>
        </w:tc>
        <w:tc>
          <w:tcPr>
            <w:tcW w:w="1816" w:type="dxa"/>
            <w:textDirection w:val="lrTb"/>
            <w:noWrap w:val="false"/>
          </w:tcPr>
          <w:p>
            <w:pPr>
              <w:ind w:left="553" w:right="547" w:hanging="1"/>
              <w:spacing w:before="270" w:line="430" w:lineRule="auto"/>
              <w:rPr>
                <w:rFonts w:ascii="宋体" w:hAnsi="宋体" w:cs="宋体"/>
                <w:color w:val="auto"/>
                <w:sz w:val="18"/>
                <w:szCs w:val="18"/>
                <w:highlight w:val="none"/>
              </w:rPr>
            </w:pPr>
            <w:r>
              <w:rPr>
                <w:rFonts w:hint="eastAsia" w:ascii="宋体" w:hAnsi="宋体" w:cs="宋体"/>
                <w:color w:val="auto"/>
                <w:spacing w:val="-8"/>
                <w:sz w:val="18"/>
                <w:szCs w:val="18"/>
                <w:highlight w:val="none"/>
              </w:rPr>
              <w:t xml:space="preserve">按</w:t>
            </w:r>
            <w:r>
              <w:rPr>
                <w:rFonts w:hint="eastAsia" w:ascii="宋体" w:hAnsi="宋体" w:cs="宋体"/>
                <w:color w:val="auto"/>
                <w:spacing w:val="7"/>
                <w:sz w:val="18"/>
                <w:szCs w:val="18"/>
                <w:highlight w:val="none"/>
              </w:rPr>
              <w:t xml:space="preserve">  </w:t>
            </w:r>
            <w:r>
              <w:rPr>
                <w:rFonts w:hint="eastAsia" w:ascii="宋体" w:hAnsi="宋体" w:cs="宋体"/>
                <w:color w:val="auto"/>
                <w:spacing w:val="-8"/>
                <w:sz w:val="18"/>
                <w:szCs w:val="18"/>
                <w:highlight w:val="none"/>
              </w:rPr>
              <w:t xml:space="preserve">时□</w:t>
            </w:r>
            <w:r>
              <w:rPr>
                <w:rFonts w:hint="eastAsia" w:ascii="宋体" w:hAnsi="宋体" w:cs="宋体"/>
                <w:color w:val="auto"/>
                <w:sz w:val="18"/>
                <w:szCs w:val="18"/>
                <w:highlight w:val="none"/>
              </w:rPr>
              <w:t xml:space="preserve"> </w:t>
            </w:r>
            <w:r>
              <w:rPr>
                <w:rFonts w:hint="eastAsia" w:ascii="宋体" w:hAnsi="宋体" w:cs="宋体"/>
                <w:color w:val="auto"/>
                <w:spacing w:val="-3"/>
                <w:sz w:val="18"/>
                <w:szCs w:val="18"/>
                <w:highlight w:val="none"/>
              </w:rPr>
              <w:t xml:space="preserve">不按时□</w:t>
            </w:r>
            <w:r/>
          </w:p>
        </w:tc>
        <w:tc>
          <w:tcPr>
            <w:tcW w:w="2476" w:type="dxa"/>
            <w:textDirection w:val="lrTb"/>
            <w:noWrap w:val="false"/>
          </w:tcPr>
          <w:p>
            <w:pPr>
              <w:ind w:left="885" w:right="875" w:hanging="2"/>
              <w:spacing w:before="270" w:line="430" w:lineRule="auto"/>
              <w:rPr>
                <w:rFonts w:ascii="宋体" w:hAnsi="宋体" w:cs="宋体"/>
                <w:color w:val="auto"/>
                <w:sz w:val="18"/>
                <w:szCs w:val="18"/>
                <w:highlight w:val="none"/>
              </w:rPr>
            </w:pPr>
            <w:r>
              <w:rPr>
                <w:rFonts w:hint="eastAsia" w:ascii="宋体" w:hAnsi="宋体" w:cs="宋体"/>
                <w:color w:val="auto"/>
                <w:spacing w:val="-5"/>
                <w:sz w:val="18"/>
                <w:szCs w:val="18"/>
                <w:highlight w:val="none"/>
              </w:rPr>
              <w:t xml:space="preserve">合</w:t>
            </w:r>
            <w:r>
              <w:rPr>
                <w:rFonts w:hint="eastAsia" w:ascii="宋体" w:hAnsi="宋体" w:cs="宋体"/>
                <w:color w:val="auto"/>
                <w:spacing w:val="3"/>
                <w:sz w:val="18"/>
                <w:szCs w:val="18"/>
                <w:highlight w:val="none"/>
              </w:rPr>
              <w:t xml:space="preserve">  </w:t>
            </w:r>
            <w:r>
              <w:rPr>
                <w:rFonts w:hint="eastAsia" w:ascii="宋体" w:hAnsi="宋体" w:cs="宋体"/>
                <w:color w:val="auto"/>
                <w:spacing w:val="-5"/>
                <w:sz w:val="18"/>
                <w:szCs w:val="18"/>
                <w:highlight w:val="none"/>
              </w:rPr>
              <w:t xml:space="preserve">格□</w:t>
            </w:r>
            <w:r>
              <w:rPr>
                <w:rFonts w:hint="eastAsia" w:ascii="宋体" w:hAnsi="宋体" w:cs="宋体"/>
                <w:color w:val="auto"/>
                <w:sz w:val="18"/>
                <w:szCs w:val="18"/>
                <w:highlight w:val="none"/>
              </w:rPr>
              <w:t xml:space="preserve"> </w:t>
            </w:r>
            <w:r>
              <w:rPr>
                <w:rFonts w:hint="eastAsia" w:ascii="宋体" w:hAnsi="宋体" w:cs="宋体"/>
                <w:color w:val="auto"/>
                <w:spacing w:val="-3"/>
                <w:sz w:val="18"/>
                <w:szCs w:val="18"/>
                <w:highlight w:val="none"/>
              </w:rPr>
              <w:t xml:space="preserve">不合格□</w:t>
            </w:r>
            <w:r/>
          </w:p>
        </w:tc>
        <w:tc>
          <w:tcPr>
            <w:tcW w:w="1705" w:type="dxa"/>
            <w:textDirection w:val="lrTb"/>
            <w:noWrap w:val="false"/>
          </w:tcPr>
          <w:p>
            <w:pPr>
              <w:ind w:left="500" w:right="489" w:hanging="2"/>
              <w:spacing w:before="270" w:line="430" w:lineRule="auto"/>
              <w:rPr>
                <w:rFonts w:ascii="宋体" w:hAnsi="宋体" w:cs="宋体"/>
                <w:color w:val="auto"/>
                <w:sz w:val="18"/>
                <w:szCs w:val="18"/>
                <w:highlight w:val="none"/>
              </w:rPr>
            </w:pPr>
            <w:r>
              <w:rPr>
                <w:rFonts w:hint="eastAsia" w:ascii="宋体" w:hAnsi="宋体" w:cs="宋体"/>
                <w:color w:val="auto"/>
                <w:spacing w:val="-5"/>
                <w:sz w:val="18"/>
                <w:szCs w:val="18"/>
                <w:highlight w:val="none"/>
              </w:rPr>
              <w:t xml:space="preserve">合</w:t>
            </w:r>
            <w:r>
              <w:rPr>
                <w:rFonts w:hint="eastAsia" w:ascii="宋体" w:hAnsi="宋体" w:cs="宋体"/>
                <w:color w:val="auto"/>
                <w:spacing w:val="3"/>
                <w:sz w:val="18"/>
                <w:szCs w:val="18"/>
                <w:highlight w:val="none"/>
              </w:rPr>
              <w:t xml:space="preserve">  </w:t>
            </w:r>
            <w:r>
              <w:rPr>
                <w:rFonts w:hint="eastAsia" w:ascii="宋体" w:hAnsi="宋体" w:cs="宋体"/>
                <w:color w:val="auto"/>
                <w:spacing w:val="-5"/>
                <w:sz w:val="18"/>
                <w:szCs w:val="18"/>
                <w:highlight w:val="none"/>
              </w:rPr>
              <w:t xml:space="preserve">格□</w:t>
            </w:r>
            <w:r>
              <w:rPr>
                <w:rFonts w:hint="eastAsia" w:ascii="宋体" w:hAnsi="宋体" w:cs="宋体"/>
                <w:color w:val="auto"/>
                <w:sz w:val="18"/>
                <w:szCs w:val="18"/>
                <w:highlight w:val="none"/>
              </w:rPr>
              <w:t xml:space="preserve"> </w:t>
            </w:r>
            <w:r>
              <w:rPr>
                <w:rFonts w:hint="eastAsia" w:ascii="宋体" w:hAnsi="宋体" w:cs="宋体"/>
                <w:color w:val="auto"/>
                <w:spacing w:val="-3"/>
                <w:sz w:val="18"/>
                <w:szCs w:val="18"/>
                <w:highlight w:val="none"/>
              </w:rPr>
              <w:t xml:space="preserve">不合格□</w:t>
            </w:r>
            <w:r/>
          </w:p>
        </w:tc>
        <w:tc>
          <w:tcPr>
            <w:tcW w:w="2282" w:type="dxa"/>
            <w:textDirection w:val="lrTb"/>
            <w:noWrap w:val="false"/>
          </w:tcPr>
          <w:p>
            <w:pPr>
              <w:ind w:left="789" w:right="777" w:hanging="2"/>
              <w:spacing w:before="270" w:line="430" w:lineRule="auto"/>
              <w:rPr>
                <w:rFonts w:ascii="宋体" w:hAnsi="宋体" w:cs="宋体"/>
                <w:color w:val="auto"/>
                <w:sz w:val="18"/>
                <w:szCs w:val="18"/>
                <w:highlight w:val="none"/>
              </w:rPr>
            </w:pPr>
            <w:r>
              <w:rPr>
                <w:rFonts w:hint="eastAsia" w:ascii="宋体" w:hAnsi="宋体" w:cs="宋体"/>
                <w:color w:val="auto"/>
                <w:spacing w:val="-5"/>
                <w:sz w:val="18"/>
                <w:szCs w:val="18"/>
                <w:highlight w:val="none"/>
              </w:rPr>
              <w:t xml:space="preserve">合</w:t>
            </w:r>
            <w:r>
              <w:rPr>
                <w:rFonts w:hint="eastAsia" w:ascii="宋体" w:hAnsi="宋体" w:cs="宋体"/>
                <w:color w:val="auto"/>
                <w:spacing w:val="3"/>
                <w:sz w:val="18"/>
                <w:szCs w:val="18"/>
                <w:highlight w:val="none"/>
              </w:rPr>
              <w:t xml:space="preserve">  </w:t>
            </w:r>
            <w:r>
              <w:rPr>
                <w:rFonts w:hint="eastAsia" w:ascii="宋体" w:hAnsi="宋体" w:cs="宋体"/>
                <w:color w:val="auto"/>
                <w:spacing w:val="-5"/>
                <w:sz w:val="18"/>
                <w:szCs w:val="18"/>
                <w:highlight w:val="none"/>
              </w:rPr>
              <w:t xml:space="preserve">格□</w:t>
            </w:r>
            <w:r>
              <w:rPr>
                <w:rFonts w:hint="eastAsia" w:ascii="宋体" w:hAnsi="宋体" w:cs="宋体"/>
                <w:color w:val="auto"/>
                <w:sz w:val="18"/>
                <w:szCs w:val="18"/>
                <w:highlight w:val="none"/>
              </w:rPr>
              <w:t xml:space="preserve"> </w:t>
            </w:r>
            <w:r>
              <w:rPr>
                <w:rFonts w:hint="eastAsia" w:ascii="宋体" w:hAnsi="宋体" w:cs="宋体"/>
                <w:color w:val="auto"/>
                <w:spacing w:val="-3"/>
                <w:sz w:val="18"/>
                <w:szCs w:val="18"/>
                <w:highlight w:val="none"/>
              </w:rPr>
              <w:t xml:space="preserve">不合格□</w:t>
            </w:r>
            <w:r/>
          </w:p>
        </w:tc>
        <w:tc>
          <w:tcPr>
            <w:tcW w:w="2556" w:type="dxa"/>
            <w:textDirection w:val="lrTb"/>
            <w:noWrap w:val="false"/>
          </w:tcPr>
          <w:p>
            <w:pPr>
              <w:ind w:left="926" w:right="914" w:hanging="2"/>
              <w:spacing w:before="270" w:line="430" w:lineRule="auto"/>
              <w:rPr>
                <w:rFonts w:ascii="宋体" w:hAnsi="宋体" w:cs="宋体"/>
                <w:color w:val="auto"/>
                <w:sz w:val="18"/>
                <w:szCs w:val="18"/>
                <w:highlight w:val="none"/>
              </w:rPr>
            </w:pPr>
            <w:r>
              <w:rPr>
                <w:rFonts w:hint="eastAsia" w:ascii="宋体" w:hAnsi="宋体" w:cs="宋体"/>
                <w:color w:val="auto"/>
                <w:spacing w:val="-5"/>
                <w:sz w:val="18"/>
                <w:szCs w:val="18"/>
                <w:highlight w:val="none"/>
              </w:rPr>
              <w:t xml:space="preserve">合</w:t>
            </w:r>
            <w:r>
              <w:rPr>
                <w:rFonts w:hint="eastAsia" w:ascii="宋体" w:hAnsi="宋体" w:cs="宋体"/>
                <w:color w:val="auto"/>
                <w:spacing w:val="3"/>
                <w:sz w:val="18"/>
                <w:szCs w:val="18"/>
                <w:highlight w:val="none"/>
              </w:rPr>
              <w:t xml:space="preserve">  </w:t>
            </w:r>
            <w:r>
              <w:rPr>
                <w:rFonts w:hint="eastAsia" w:ascii="宋体" w:hAnsi="宋体" w:cs="宋体"/>
                <w:color w:val="auto"/>
                <w:spacing w:val="-5"/>
                <w:sz w:val="18"/>
                <w:szCs w:val="18"/>
                <w:highlight w:val="none"/>
              </w:rPr>
              <w:t xml:space="preserve">格□</w:t>
            </w:r>
            <w:r>
              <w:rPr>
                <w:rFonts w:hint="eastAsia" w:ascii="宋体" w:hAnsi="宋体" w:cs="宋体"/>
                <w:color w:val="auto"/>
                <w:sz w:val="18"/>
                <w:szCs w:val="18"/>
                <w:highlight w:val="none"/>
              </w:rPr>
              <w:t xml:space="preserve"> </w:t>
            </w:r>
            <w:r>
              <w:rPr>
                <w:rFonts w:hint="eastAsia" w:ascii="宋体" w:hAnsi="宋体" w:cs="宋体"/>
                <w:color w:val="auto"/>
                <w:spacing w:val="-3"/>
                <w:sz w:val="18"/>
                <w:szCs w:val="18"/>
                <w:highlight w:val="none"/>
              </w:rPr>
              <w:t xml:space="preserve">不合格□</w:t>
            </w:r>
            <w:r/>
          </w:p>
        </w:tc>
      </w:tr>
      <w:tr>
        <w:trPr>
          <w:trHeight w:val="1119"/>
        </w:trPr>
        <w:tc>
          <w:tcPr>
            <w:tcW w:w="1625" w:type="dxa"/>
            <w:textDirection w:val="lrTb"/>
            <w:noWrap w:val="false"/>
          </w:tcPr>
          <w:p>
            <w:pPr>
              <w:ind w:left="185"/>
              <w:spacing w:before="299"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专业检测机构情</w:t>
            </w:r>
            <w:r/>
          </w:p>
          <w:p>
            <w:pPr>
              <w:pStyle w:val="1204"/>
              <w:spacing w:line="298"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left="545"/>
              <w:spacing w:before="59" w:line="207" w:lineRule="auto"/>
              <w:rPr>
                <w:rFonts w:ascii="宋体" w:hAnsi="宋体" w:cs="宋体"/>
                <w:color w:val="auto"/>
                <w:sz w:val="18"/>
                <w:szCs w:val="18"/>
                <w:highlight w:val="none"/>
              </w:rPr>
            </w:pPr>
            <w:r>
              <w:rPr>
                <w:rFonts w:hint="eastAsia" w:ascii="宋体" w:hAnsi="宋体" w:cs="宋体"/>
                <w:color w:val="auto"/>
                <w:spacing w:val="-3"/>
                <w:sz w:val="18"/>
                <w:szCs w:val="18"/>
                <w:highlight w:val="none"/>
              </w:rPr>
              <w:t xml:space="preserve">况说明</w:t>
            </w:r>
            <w:r/>
          </w:p>
        </w:tc>
        <w:tc>
          <w:tcPr>
            <w:gridSpan w:val="6"/>
            <w:tcW w:w="12549" w:type="dxa"/>
            <w:textDirection w:val="lrTb"/>
            <w:noWrap w:val="false"/>
          </w:tcPr>
          <w:p>
            <w:pPr>
              <w:pStyle w:val="1204"/>
              <w:rPr>
                <w:rFonts w:ascii="宋体" w:hAnsi="宋体" w:eastAsia="宋体" w:cs="宋体"/>
                <w:color w:val="auto"/>
                <w:highlight w:val="none"/>
                <w:lang w:eastAsia="zh-CN"/>
              </w:rPr>
            </w:pPr>
            <w:r>
              <w:rPr>
                <w:rFonts w:ascii="宋体" w:hAnsi="宋体" w:eastAsia="宋体" w:cs="宋体"/>
                <w:color w:val="auto"/>
                <w:highlight w:val="none"/>
                <w:lang w:eastAsia="zh-CN"/>
              </w:rPr>
            </w:r>
            <w:r/>
          </w:p>
        </w:tc>
      </w:tr>
      <w:tr>
        <w:trPr>
          <w:trHeight w:val="1120"/>
        </w:trPr>
        <w:tc>
          <w:tcPr>
            <w:tcW w:w="1625" w:type="dxa"/>
            <w:textDirection w:val="lrTb"/>
            <w:noWrap w:val="false"/>
          </w:tcPr>
          <w:p>
            <w:pPr>
              <w:pStyle w:val="1204"/>
              <w:spacing w:line="241"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left="454"/>
              <w:spacing w:before="58" w:line="207"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存在问题</w:t>
            </w:r>
            <w:r/>
          </w:p>
          <w:p>
            <w:pPr>
              <w:pStyle w:val="1204"/>
              <w:spacing w:line="297" w:lineRule="auto"/>
              <w:rPr>
                <w:rFonts w:ascii="宋体" w:hAnsi="宋体" w:eastAsia="宋体" w:cs="宋体"/>
                <w:color w:val="auto"/>
                <w:highlight w:val="none"/>
              </w:rPr>
            </w:pPr>
            <w:r>
              <w:rPr>
                <w:rFonts w:ascii="宋体" w:hAnsi="宋体" w:eastAsia="宋体" w:cs="宋体"/>
                <w:color w:val="auto"/>
                <w:highlight w:val="none"/>
              </w:rPr>
            </w:r>
            <w:r/>
          </w:p>
          <w:p>
            <w:pPr>
              <w:ind w:left="365"/>
              <w:spacing w:before="58" w:line="207"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和改进意见</w:t>
            </w:r>
            <w:r/>
          </w:p>
        </w:tc>
        <w:tc>
          <w:tcPr>
            <w:gridSpan w:val="6"/>
            <w:tcW w:w="12549"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r>
    </w:tbl>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szCs w:val="21"/>
          <w:highlight w:val="none"/>
        </w:rPr>
        <w:sectPr>
          <w:footerReference w:type="default" r:id="rId15"/>
          <w:footnotePr/>
          <w:endnotePr/>
          <w:type w:val="nextPage"/>
          <w:pgSz w:w="16838" w:h="11906" w:orient="landscape"/>
          <w:pgMar w:top="1011" w:right="956" w:bottom="1380" w:left="1459" w:header="0" w:footer="1162" w:gutter="0"/>
          <w:cols w:num="1" w:sep="0" w:space="720" w:equalWidth="1"/>
          <w:docGrid w:linePitch="360"/>
        </w:sectPr>
      </w:pPr>
      <w:r>
        <w:rPr>
          <w:rFonts w:ascii="宋体" w:hAnsi="宋体" w:cs="宋体"/>
          <w:color w:val="auto"/>
          <w:szCs w:val="21"/>
          <w:highlight w:val="none"/>
        </w:rPr>
      </w:r>
      <w:r/>
    </w:p>
    <w:p>
      <w:pPr>
        <w:spacing w:before="164"/>
        <w:rPr>
          <w:rFonts w:ascii="宋体" w:hAnsi="宋体" w:cs="宋体"/>
          <w:color w:val="auto"/>
          <w:highlight w:val="none"/>
        </w:rPr>
      </w:pPr>
      <w:r>
        <w:rPr>
          <w:rFonts w:ascii="宋体" w:hAnsi="宋体" w:cs="宋体"/>
          <w:color w:val="auto"/>
          <w:highlight w:val="none"/>
        </w:rPr>
      </w:r>
      <w:r/>
    </w:p>
    <w:tbl>
      <w:tblPr>
        <w:tblStyle w:val="1203"/>
        <w:tblW w:w="141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4"/>
        <w:gridCol w:w="5435"/>
        <w:gridCol w:w="7115"/>
      </w:tblGrid>
      <w:tr>
        <w:trPr>
          <w:trHeight w:val="687"/>
        </w:trPr>
        <w:tc>
          <w:tcPr>
            <w:tcW w:w="1624" w:type="dxa"/>
            <w:textDirection w:val="lrTb"/>
            <w:noWrap w:val="false"/>
          </w:tcPr>
          <w:p>
            <w:pPr>
              <w:pStyle w:val="1204"/>
              <w:spacing w:line="301" w:lineRule="auto"/>
              <w:rPr>
                <w:rFonts w:ascii="宋体" w:hAnsi="宋体" w:eastAsia="宋体" w:cs="宋体"/>
                <w:color w:val="auto"/>
                <w:highlight w:val="none"/>
              </w:rPr>
            </w:pPr>
            <w:r>
              <w:rPr>
                <w:rFonts w:ascii="宋体" w:hAnsi="宋体" w:eastAsia="宋体" w:cs="宋体"/>
                <w:color w:val="auto"/>
                <w:highlight w:val="none"/>
              </w:rPr>
            </w:r>
            <w:r/>
          </w:p>
          <w:p>
            <w:pPr>
              <w:ind w:left="457"/>
              <w:spacing w:before="58" w:line="207" w:lineRule="auto"/>
              <w:rPr>
                <w:rFonts w:ascii="宋体" w:hAnsi="宋体" w:cs="宋体"/>
                <w:color w:val="auto"/>
                <w:sz w:val="18"/>
                <w:szCs w:val="18"/>
                <w:highlight w:val="none"/>
              </w:rPr>
            </w:pPr>
            <w:r>
              <w:rPr>
                <w:rFonts w:hint="eastAsia" w:ascii="宋体" w:hAnsi="宋体" w:cs="宋体"/>
                <w:color w:val="auto"/>
                <w:spacing w:val="-3"/>
                <w:sz w:val="18"/>
                <w:szCs w:val="18"/>
                <w:highlight w:val="none"/>
              </w:rPr>
              <w:t xml:space="preserve">最终结论</w:t>
            </w:r>
            <w:r/>
          </w:p>
        </w:tc>
        <w:tc>
          <w:tcPr>
            <w:gridSpan w:val="2"/>
            <w:tcW w:w="12550" w:type="dxa"/>
            <w:textDirection w:val="lrTb"/>
            <w:noWrap w:val="false"/>
          </w:tcPr>
          <w:p>
            <w:pPr>
              <w:pStyle w:val="1204"/>
              <w:spacing w:line="271" w:lineRule="auto"/>
              <w:rPr>
                <w:rFonts w:ascii="宋体" w:hAnsi="宋体" w:eastAsia="宋体" w:cs="宋体"/>
                <w:color w:val="auto"/>
                <w:highlight w:val="none"/>
              </w:rPr>
            </w:pPr>
            <w:r>
              <w:rPr>
                <w:rFonts w:ascii="宋体" w:hAnsi="宋体" w:eastAsia="宋体" w:cs="宋体"/>
                <w:color w:val="auto"/>
                <w:highlight w:val="none"/>
              </w:rPr>
            </w:r>
            <w:r/>
          </w:p>
          <w:p>
            <w:pPr>
              <w:ind w:left="4210"/>
              <w:spacing w:before="58" w:line="240" w:lineRule="exact"/>
              <w:rPr>
                <w:rFonts w:ascii="宋体" w:hAnsi="宋体" w:cs="宋体"/>
                <w:color w:val="auto"/>
                <w:sz w:val="18"/>
                <w:szCs w:val="18"/>
                <w:highlight w:val="none"/>
              </w:rPr>
            </w:pPr>
            <w:r>
              <w:rPr>
                <w:rFonts w:hint="eastAsia" w:ascii="宋体" w:hAnsi="宋体" w:cs="宋体"/>
                <w:color w:val="auto"/>
                <w:spacing w:val="-2"/>
                <w:position w:val="1"/>
                <w:sz w:val="18"/>
                <w:szCs w:val="18"/>
                <w:highlight w:val="none"/>
              </w:rPr>
              <w:t xml:space="preserve">合  格□</w:t>
            </w:r>
            <w:r>
              <w:rPr>
                <w:rFonts w:hint="eastAsia" w:ascii="宋体" w:hAnsi="宋体" w:cs="宋体"/>
                <w:color w:val="auto"/>
                <w:position w:val="1"/>
                <w:sz w:val="18"/>
                <w:szCs w:val="18"/>
                <w:highlight w:val="none"/>
              </w:rPr>
              <w:t xml:space="preserve">                              </w:t>
            </w:r>
            <w:r>
              <w:rPr>
                <w:rFonts w:hint="eastAsia" w:ascii="宋体" w:hAnsi="宋体" w:cs="宋体"/>
                <w:color w:val="auto"/>
                <w:spacing w:val="-2"/>
                <w:position w:val="1"/>
                <w:sz w:val="18"/>
                <w:szCs w:val="18"/>
                <w:highlight w:val="none"/>
              </w:rPr>
              <w:t xml:space="preserve">不合格□</w:t>
            </w:r>
            <w:r/>
          </w:p>
        </w:tc>
      </w:tr>
      <w:tr>
        <w:trPr>
          <w:trHeight w:val="1119"/>
        </w:trPr>
        <w:tc>
          <w:tcPr>
            <w:tcW w:w="1624" w:type="dxa"/>
            <w:textDirection w:val="lrTb"/>
            <w:noWrap w:val="false"/>
          </w:tcPr>
          <w:p>
            <w:pPr>
              <w:ind w:left="274"/>
              <w:spacing w:before="295" w:line="208"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验收小组成员</w:t>
            </w:r>
            <w:r/>
          </w:p>
          <w:p>
            <w:pPr>
              <w:pStyle w:val="1204"/>
              <w:spacing w:line="298" w:lineRule="auto"/>
              <w:rPr>
                <w:rFonts w:ascii="宋体" w:hAnsi="宋体" w:eastAsia="宋体" w:cs="宋体"/>
                <w:color w:val="auto"/>
                <w:highlight w:val="none"/>
              </w:rPr>
            </w:pPr>
            <w:r>
              <w:rPr>
                <w:rFonts w:ascii="宋体" w:hAnsi="宋体" w:eastAsia="宋体" w:cs="宋体"/>
                <w:color w:val="auto"/>
                <w:highlight w:val="none"/>
              </w:rPr>
            </w:r>
            <w:r/>
          </w:p>
          <w:p>
            <w:pPr>
              <w:ind w:left="635"/>
              <w:spacing w:before="58" w:line="208" w:lineRule="auto"/>
              <w:rPr>
                <w:rFonts w:ascii="宋体" w:hAnsi="宋体" w:cs="宋体"/>
                <w:color w:val="auto"/>
                <w:sz w:val="18"/>
                <w:szCs w:val="18"/>
                <w:highlight w:val="none"/>
              </w:rPr>
            </w:pPr>
            <w:r>
              <w:rPr>
                <w:rFonts w:hint="eastAsia" w:ascii="宋体" w:hAnsi="宋体" w:cs="宋体"/>
                <w:color w:val="auto"/>
                <w:spacing w:val="-4"/>
                <w:sz w:val="18"/>
                <w:szCs w:val="18"/>
                <w:highlight w:val="none"/>
              </w:rPr>
              <w:t xml:space="preserve">签字</w:t>
            </w:r>
            <w:r/>
          </w:p>
        </w:tc>
        <w:tc>
          <w:tcPr>
            <w:gridSpan w:val="2"/>
            <w:tcW w:w="12550" w:type="dxa"/>
            <w:textDirection w:val="lrTb"/>
            <w:noWrap w:val="false"/>
          </w:tcPr>
          <w:p>
            <w:pPr>
              <w:pStyle w:val="1204"/>
              <w:rPr>
                <w:rFonts w:ascii="宋体" w:hAnsi="宋体" w:eastAsia="宋体" w:cs="宋体"/>
                <w:color w:val="auto"/>
                <w:highlight w:val="none"/>
              </w:rPr>
            </w:pPr>
            <w:r>
              <w:rPr>
                <w:rFonts w:ascii="宋体" w:hAnsi="宋体" w:eastAsia="宋体" w:cs="宋体"/>
                <w:color w:val="auto"/>
                <w:highlight w:val="none"/>
              </w:rPr>
            </w:r>
            <w:r/>
          </w:p>
        </w:tc>
      </w:tr>
      <w:tr>
        <w:trPr>
          <w:trHeight w:val="559"/>
        </w:trPr>
        <w:tc>
          <w:tcPr>
            <w:gridSpan w:val="2"/>
            <w:tcW w:w="7059" w:type="dxa"/>
            <w:textDirection w:val="lrTb"/>
            <w:noWrap w:val="false"/>
          </w:tcPr>
          <w:p>
            <w:pPr>
              <w:ind w:left="2814"/>
              <w:spacing w:before="297" w:line="208" w:lineRule="auto"/>
              <w:rPr>
                <w:rFonts w:ascii="宋体" w:hAnsi="宋体" w:cs="宋体"/>
                <w:color w:val="auto"/>
                <w:sz w:val="18"/>
                <w:szCs w:val="18"/>
                <w:highlight w:val="none"/>
              </w:rPr>
            </w:pPr>
            <w:r>
              <w:rPr>
                <w:rFonts w:hint="eastAsia" w:ascii="宋体" w:hAnsi="宋体" w:cs="宋体"/>
                <w:color w:val="auto"/>
                <w:spacing w:val="-1"/>
                <w:sz w:val="18"/>
                <w:szCs w:val="18"/>
                <w:highlight w:val="none"/>
              </w:rPr>
              <w:t xml:space="preserve">采购代理机构意见</w:t>
            </w:r>
            <w:r/>
          </w:p>
        </w:tc>
        <w:tc>
          <w:tcPr>
            <w:tcW w:w="7115" w:type="dxa"/>
            <w:textDirection w:val="lrTb"/>
            <w:noWrap w:val="false"/>
          </w:tcPr>
          <w:p>
            <w:pPr>
              <w:ind w:left="3111"/>
              <w:spacing w:before="297" w:line="207"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采购人意见</w:t>
            </w:r>
            <w:r/>
          </w:p>
        </w:tc>
      </w:tr>
      <w:tr>
        <w:trPr>
          <w:trHeight w:val="1119"/>
        </w:trPr>
        <w:tc>
          <w:tcPr>
            <w:gridSpan w:val="2"/>
            <w:tcW w:w="7059" w:type="dxa"/>
            <w:textDirection w:val="lrTb"/>
            <w:noWrap w:val="false"/>
          </w:tcPr>
          <w:p>
            <w:pPr>
              <w:pStyle w:val="1204"/>
              <w:spacing w:line="25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5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5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left="113"/>
              <w:spacing w:before="59" w:line="238" w:lineRule="exact"/>
              <w:rPr>
                <w:rFonts w:ascii="宋体" w:hAnsi="宋体" w:cs="宋体"/>
                <w:color w:val="auto"/>
                <w:sz w:val="18"/>
                <w:szCs w:val="18"/>
                <w:highlight w:val="none"/>
              </w:rPr>
            </w:pPr>
            <w:r>
              <w:rPr>
                <w:rFonts w:hint="eastAsia" w:ascii="宋体" w:hAnsi="宋体" w:cs="宋体"/>
                <w:color w:val="auto"/>
                <w:spacing w:val="1"/>
                <w:position w:val="1"/>
                <w:sz w:val="18"/>
                <w:szCs w:val="18"/>
                <w:highlight w:val="none"/>
              </w:rPr>
              <w:t xml:space="preserve">经办人：         负责人</w:t>
            </w:r>
            <w:r>
              <w:rPr>
                <w:rFonts w:hint="eastAsia" w:ascii="宋体" w:hAnsi="宋体" w:cs="宋体"/>
                <w:color w:val="auto"/>
                <w:spacing w:val="-18"/>
                <w:position w:val="1"/>
                <w:sz w:val="18"/>
                <w:szCs w:val="18"/>
                <w:highlight w:val="none"/>
              </w:rPr>
              <w:t xml:space="preserve">：</w:t>
            </w:r>
            <w:r>
              <w:rPr>
                <w:rFonts w:hint="eastAsia" w:ascii="宋体" w:hAnsi="宋体" w:cs="宋体"/>
                <w:color w:val="auto"/>
                <w:position w:val="1"/>
                <w:sz w:val="18"/>
                <w:szCs w:val="18"/>
                <w:highlight w:val="none"/>
              </w:rPr>
              <w:t xml:space="preserve">           </w:t>
            </w:r>
            <w:r>
              <w:rPr>
                <w:rFonts w:hint="eastAsia" w:ascii="宋体" w:hAnsi="宋体" w:cs="宋体"/>
                <w:color w:val="auto"/>
                <w:spacing w:val="-18"/>
                <w:position w:val="1"/>
                <w:sz w:val="18"/>
                <w:szCs w:val="18"/>
                <w:highlight w:val="none"/>
              </w:rPr>
              <w:t xml:space="preserve">（</w:t>
            </w:r>
            <w:r>
              <w:rPr>
                <w:rFonts w:hint="eastAsia" w:ascii="宋体" w:hAnsi="宋体" w:cs="宋体"/>
                <w:color w:val="auto"/>
                <w:spacing w:val="1"/>
                <w:position w:val="1"/>
                <w:sz w:val="18"/>
                <w:szCs w:val="18"/>
                <w:highlight w:val="none"/>
              </w:rPr>
              <w:t xml:space="preserve">采购代理机构公章）</w:t>
            </w:r>
            <w:r/>
          </w:p>
        </w:tc>
        <w:tc>
          <w:tcPr>
            <w:tcW w:w="7115" w:type="dxa"/>
            <w:textDirection w:val="lrTb"/>
            <w:noWrap w:val="false"/>
          </w:tcPr>
          <w:p>
            <w:pPr>
              <w:pStyle w:val="1204"/>
              <w:spacing w:line="25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5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5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left="115"/>
              <w:spacing w:before="59" w:line="238" w:lineRule="exact"/>
              <w:rPr>
                <w:rFonts w:ascii="宋体" w:hAnsi="宋体" w:cs="宋体"/>
                <w:color w:val="auto"/>
                <w:sz w:val="18"/>
                <w:szCs w:val="18"/>
                <w:highlight w:val="none"/>
              </w:rPr>
            </w:pPr>
            <w:r>
              <w:rPr>
                <w:rFonts w:hint="eastAsia" w:ascii="宋体" w:hAnsi="宋体" w:cs="宋体"/>
                <w:color w:val="auto"/>
                <w:spacing w:val="1"/>
                <w:position w:val="1"/>
                <w:sz w:val="18"/>
                <w:szCs w:val="18"/>
                <w:highlight w:val="none"/>
              </w:rPr>
              <w:t xml:space="preserve">经办人：         负责人</w:t>
            </w:r>
            <w:r>
              <w:rPr>
                <w:rFonts w:hint="eastAsia" w:ascii="宋体" w:hAnsi="宋体" w:cs="宋体"/>
                <w:color w:val="auto"/>
                <w:spacing w:val="-17"/>
                <w:position w:val="1"/>
                <w:sz w:val="18"/>
                <w:szCs w:val="18"/>
                <w:highlight w:val="none"/>
              </w:rPr>
              <w:t xml:space="preserve">：</w:t>
            </w:r>
            <w:r>
              <w:rPr>
                <w:rFonts w:hint="eastAsia" w:ascii="宋体" w:hAnsi="宋体" w:cs="宋体"/>
                <w:color w:val="auto"/>
                <w:position w:val="1"/>
                <w:sz w:val="18"/>
                <w:szCs w:val="18"/>
                <w:highlight w:val="none"/>
              </w:rPr>
              <w:t xml:space="preserve">               </w:t>
            </w:r>
            <w:r>
              <w:rPr>
                <w:rFonts w:hint="eastAsia" w:ascii="宋体" w:hAnsi="宋体" w:cs="宋体"/>
                <w:color w:val="auto"/>
                <w:spacing w:val="-17"/>
                <w:position w:val="1"/>
                <w:sz w:val="18"/>
                <w:szCs w:val="18"/>
                <w:highlight w:val="none"/>
              </w:rPr>
              <w:t xml:space="preserve">（</w:t>
            </w:r>
            <w:r>
              <w:rPr>
                <w:rFonts w:hint="eastAsia" w:ascii="宋体" w:hAnsi="宋体" w:cs="宋体"/>
                <w:color w:val="auto"/>
                <w:spacing w:val="1"/>
                <w:position w:val="1"/>
                <w:sz w:val="18"/>
                <w:szCs w:val="18"/>
                <w:highlight w:val="none"/>
              </w:rPr>
              <w:t xml:space="preserve">采购人公章）</w:t>
            </w:r>
            <w:r/>
          </w:p>
        </w:tc>
      </w:tr>
      <w:tr>
        <w:trPr>
          <w:trHeight w:val="1681"/>
        </w:trPr>
        <w:tc>
          <w:tcPr>
            <w:gridSpan w:val="3"/>
            <w:tcW w:w="14174" w:type="dxa"/>
            <w:textDirection w:val="lrTb"/>
            <w:noWrap w:val="false"/>
          </w:tcPr>
          <w:p>
            <w:pPr>
              <w:ind w:left="112"/>
              <w:spacing w:before="299" w:line="207" w:lineRule="auto"/>
              <w:rPr>
                <w:rFonts w:ascii="宋体" w:hAnsi="宋体" w:cs="宋体"/>
                <w:color w:val="auto"/>
                <w:sz w:val="18"/>
                <w:szCs w:val="18"/>
                <w:highlight w:val="none"/>
              </w:rPr>
            </w:pPr>
            <w:r>
              <w:rPr>
                <w:rFonts w:hint="eastAsia" w:ascii="宋体" w:hAnsi="宋体" w:cs="宋体"/>
                <w:color w:val="auto"/>
                <w:spacing w:val="-2"/>
                <w:sz w:val="18"/>
                <w:szCs w:val="18"/>
                <w:highlight w:val="none"/>
              </w:rPr>
              <w:t xml:space="preserve">供应商确认：</w:t>
            </w:r>
            <w:r/>
          </w:p>
          <w:p>
            <w:pPr>
              <w:pStyle w:val="1204"/>
              <w:spacing w:line="27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7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pStyle w:val="1204"/>
              <w:spacing w:line="275"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left="117"/>
              <w:spacing w:before="58" w:line="239" w:lineRule="exact"/>
              <w:rPr>
                <w:rFonts w:ascii="宋体" w:hAnsi="宋体" w:cs="宋体"/>
                <w:color w:val="auto"/>
                <w:sz w:val="18"/>
                <w:szCs w:val="18"/>
                <w:highlight w:val="none"/>
              </w:rPr>
            </w:pPr>
            <w:r>
              <w:rPr>
                <w:rFonts w:hint="eastAsia" w:ascii="宋体" w:hAnsi="宋体" w:cs="宋体"/>
                <w:color w:val="auto"/>
                <w:spacing w:val="-1"/>
                <w:position w:val="1"/>
                <w:sz w:val="18"/>
                <w:szCs w:val="18"/>
                <w:highlight w:val="none"/>
              </w:rPr>
              <w:t xml:space="preserve">（单位公章或授权代表签字）</w:t>
            </w:r>
            <w:r/>
          </w:p>
        </w:tc>
      </w:tr>
    </w:tbl>
    <w:p>
      <w:pPr>
        <w:ind w:left="85"/>
        <w:spacing w:before="296" w:line="211" w:lineRule="auto"/>
        <w:rPr>
          <w:rFonts w:ascii="宋体" w:hAnsi="宋体" w:cs="宋体"/>
          <w:color w:val="auto"/>
          <w:sz w:val="18"/>
          <w:szCs w:val="18"/>
          <w:highlight w:val="none"/>
        </w:rPr>
      </w:pPr>
      <w:r>
        <w:rPr>
          <w:rFonts w:hint="eastAsia" w:ascii="宋体" w:hAnsi="宋体" w:cs="宋体"/>
          <w:color w:val="auto"/>
          <w:sz w:val="18"/>
          <w:szCs w:val="18"/>
          <w:highlight w:val="none"/>
        </w:rPr>
        <w:t xml:space="preserve">说明：1.该表为服务类项目履约验收的参考样表，采购人或采购代理机构可以</w:t>
      </w:r>
      <w:r>
        <w:rPr>
          <w:rFonts w:hint="eastAsia" w:ascii="宋体" w:hAnsi="宋体" w:cs="宋体"/>
          <w:color w:val="auto"/>
          <w:spacing w:val="-1"/>
          <w:sz w:val="18"/>
          <w:szCs w:val="18"/>
          <w:highlight w:val="none"/>
        </w:rPr>
        <w:t xml:space="preserve">根据工作实际进行调整。</w:t>
      </w:r>
      <w:r/>
    </w:p>
    <w:p>
      <w:pPr>
        <w:spacing w:line="295" w:lineRule="auto"/>
        <w:rPr>
          <w:rFonts w:ascii="宋体" w:hAnsi="宋体" w:cs="宋体"/>
          <w:color w:val="auto"/>
          <w:highlight w:val="none"/>
        </w:rPr>
      </w:pPr>
      <w:r>
        <w:rPr>
          <w:rFonts w:ascii="宋体" w:hAnsi="宋体" w:cs="宋体"/>
          <w:color w:val="auto"/>
          <w:highlight w:val="none"/>
        </w:rPr>
      </w:r>
      <w:r/>
    </w:p>
    <w:p>
      <w:pPr>
        <w:ind w:left="625"/>
        <w:spacing w:before="59" w:line="211" w:lineRule="auto"/>
        <w:rPr>
          <w:rFonts w:ascii="宋体" w:hAnsi="宋体" w:cs="宋体"/>
          <w:color w:val="auto"/>
          <w:sz w:val="18"/>
          <w:szCs w:val="18"/>
          <w:highlight w:val="none"/>
        </w:rPr>
      </w:pPr>
      <w:r>
        <w:rPr>
          <w:rFonts w:hint="eastAsia" w:ascii="宋体" w:hAnsi="宋体" w:cs="宋体"/>
          <w:color w:val="auto"/>
          <w:sz w:val="18"/>
          <w:szCs w:val="18"/>
          <w:highlight w:val="none"/>
        </w:rPr>
        <w:t xml:space="preserve">2.未委托采购代理机构开展履约验收工作的，无需填写“</w:t>
      </w:r>
      <w:r>
        <w:rPr>
          <w:rFonts w:hint="eastAsia" w:ascii="宋体" w:hAnsi="宋体" w:cs="宋体"/>
          <w:color w:val="auto"/>
          <w:spacing w:val="-1"/>
          <w:sz w:val="18"/>
          <w:szCs w:val="18"/>
          <w:highlight w:val="none"/>
        </w:rPr>
        <w:t xml:space="preserve">采购代理机构意见</w:t>
      </w:r>
      <w:r>
        <w:rPr>
          <w:rFonts w:hint="eastAsia" w:ascii="宋体" w:hAnsi="宋体" w:cs="宋体"/>
          <w:color w:val="auto"/>
          <w:spacing w:val="-66"/>
          <w:sz w:val="18"/>
          <w:szCs w:val="18"/>
          <w:highlight w:val="none"/>
        </w:rPr>
        <w:t xml:space="preserve"> </w:t>
      </w:r>
      <w:r>
        <w:rPr>
          <w:rFonts w:hint="eastAsia" w:ascii="宋体" w:hAnsi="宋体" w:cs="宋体"/>
          <w:color w:val="auto"/>
          <w:spacing w:val="-1"/>
          <w:sz w:val="18"/>
          <w:szCs w:val="18"/>
          <w:highlight w:val="none"/>
        </w:rPr>
        <w:t xml:space="preserve">”。</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sectPr>
          <w:footerReference w:type="default" r:id="rId16"/>
          <w:footnotePr/>
          <w:endnotePr/>
          <w:type w:val="nextPage"/>
          <w:pgSz w:w="16838" w:h="11906" w:orient="landscape"/>
          <w:pgMar w:top="1417" w:right="1440" w:bottom="1417" w:left="1134" w:header="851" w:footer="850" w:gutter="0"/>
          <w:cols w:num="1" w:sep="0" w:space="0" w:equalWidth="1"/>
          <w:docGrid w:linePitch="360"/>
        </w:sectPr>
      </w:pPr>
      <w:r>
        <w:rPr>
          <w:rFonts w:hint="eastAsia" w:ascii="宋体" w:hAnsi="宋体" w:cs="宋体"/>
          <w:color w:val="auto"/>
          <w:highlight w:val="none"/>
        </w:rPr>
        <w:br w:type="page" w:clear="all"/>
      </w:r>
      <w:r/>
    </w:p>
    <w:p>
      <w:pPr>
        <w:pStyle w:val="850"/>
        <w:rPr>
          <w:color w:val="auto"/>
          <w:highlight w:val="none"/>
        </w:rPr>
      </w:pPr>
      <w:r/>
      <w:bookmarkStart w:id="68" w:name="_Toc30803"/>
      <w:r>
        <w:rPr>
          <w:rFonts w:hint="eastAsia"/>
          <w:color w:val="auto"/>
          <w:highlight w:val="none"/>
        </w:rPr>
        <w:t xml:space="preserve">六、响应文件格式</w:t>
      </w:r>
      <w:bookmarkEnd w:id="50"/>
      <w:r/>
      <w:bookmarkEnd w:id="68"/>
      <w:r/>
      <w:r/>
    </w:p>
    <w:p>
      <w:pPr>
        <w:pStyle w:val="908"/>
        <w:ind w:firstLine="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说明：</w:t>
      </w:r>
      <w:r/>
    </w:p>
    <w:p>
      <w:pPr>
        <w:pStyle w:val="908"/>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对本章所有的格式 ，供应商可根据自身情况进行补充和修改，但补充和修改不得造成与本格式内容有实质性的违背。</w:t>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宋体"/>
          <w:b/>
          <w:color w:val="auto"/>
          <w:sz w:val="32"/>
          <w:szCs w:val="32"/>
          <w:highlight w:val="none"/>
        </w:rPr>
      </w:pPr>
      <w:r>
        <w:rPr>
          <w:rFonts w:ascii="宋体" w:hAnsi="宋体" w:cs="宋体"/>
          <w:b/>
          <w:color w:val="auto"/>
          <w:sz w:val="32"/>
          <w:szCs w:val="32"/>
          <w:highlight w:val="none"/>
        </w:rPr>
      </w:r>
      <w:r/>
    </w:p>
    <w:p>
      <w:pPr>
        <w:rPr>
          <w:rFonts w:ascii="宋体" w:hAnsi="宋体" w:cs="宋体"/>
          <w:b/>
          <w:color w:val="auto"/>
          <w:szCs w:val="21"/>
          <w:highlight w:val="none"/>
        </w:rPr>
      </w:pPr>
      <w:r/>
      <w:bookmarkStart w:id="69" w:name="_Toc29544"/>
      <w:r/>
      <w:bookmarkStart w:id="70" w:name="_Toc21635"/>
      <w:r/>
      <w:bookmarkStart w:id="71" w:name="_Toc20200"/>
      <w:r/>
      <w:bookmarkStart w:id="72" w:name="_Toc20788"/>
      <w:r/>
      <w:bookmarkStart w:id="73" w:name="_Toc1865"/>
      <w:r>
        <w:rPr>
          <w:rFonts w:hint="eastAsia" w:ascii="宋体" w:hAnsi="宋体" w:cs="宋体"/>
          <w:b/>
          <w:color w:val="auto"/>
          <w:sz w:val="32"/>
          <w:szCs w:val="32"/>
          <w:highlight w:val="none"/>
        </w:rPr>
        <w:br w:type="page" w:clear="all"/>
      </w:r>
      <w:r>
        <w:rPr>
          <w:rFonts w:hint="eastAsia" w:ascii="宋体" w:hAnsi="宋体" w:cs="宋体"/>
          <w:b/>
          <w:color w:val="auto"/>
          <w:szCs w:val="21"/>
          <w:highlight w:val="none"/>
        </w:rPr>
        <w:t xml:space="preserve">附件1：磋商响应函</w:t>
      </w:r>
      <w:r/>
    </w:p>
    <w:p>
      <w:pPr>
        <w:pStyle w:val="1180"/>
        <w:jc w:val="center"/>
        <w:spacing w:after="100" w:line="400" w:lineRule="exact"/>
        <w:rPr>
          <w:rFonts w:hAnsi="宋体" w:cs="宋体"/>
          <w:color w:val="auto"/>
          <w:szCs w:val="21"/>
          <w:highlight w:val="none"/>
        </w:rPr>
      </w:pPr>
      <w:r>
        <w:rPr>
          <w:rFonts w:hint="eastAsia" w:hAnsi="宋体" w:cs="宋体"/>
          <w:b/>
          <w:color w:val="auto"/>
          <w:szCs w:val="21"/>
          <w:highlight w:val="none"/>
        </w:rPr>
        <w:t xml:space="preserve">磋商响应函</w:t>
      </w:r>
      <w:r/>
    </w:p>
    <w:p>
      <w:pPr>
        <w:pStyle w:val="1180"/>
        <w:spacing w:after="100" w:line="400" w:lineRule="exact"/>
        <w:rPr>
          <w:rFonts w:hAnsi="宋体" w:cs="宋体"/>
          <w:color w:val="auto"/>
          <w:szCs w:val="21"/>
          <w:highlight w:val="none"/>
        </w:rPr>
      </w:pPr>
      <w:r>
        <w:rPr>
          <w:rFonts w:hint="eastAsia" w:hAnsi="宋体" w:cs="宋体"/>
          <w:color w:val="auto"/>
          <w:szCs w:val="21"/>
          <w:highlight w:val="none"/>
          <w:u w:val="single"/>
        </w:rPr>
        <w:t xml:space="preserve">苏州通宜房地产土地评估咨询有限公司</w:t>
      </w:r>
      <w:r>
        <w:rPr>
          <w:rFonts w:hint="eastAsia" w:hAnsi="宋体" w:cs="宋体"/>
          <w:color w:val="auto"/>
          <w:szCs w:val="21"/>
          <w:highlight w:val="none"/>
        </w:rPr>
        <w:t xml:space="preserve">： </w:t>
      </w:r>
      <w:r/>
    </w:p>
    <w:p>
      <w:pPr>
        <w:pStyle w:val="921"/>
        <w:ind w:firstLine="42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我们收到贵公司</w:t>
      </w:r>
      <w:r>
        <w:rPr>
          <w:rFonts w:hint="eastAsia" w:hAnsi="宋体" w:eastAsia="宋体" w:cs="宋体"/>
          <w:color w:val="auto"/>
          <w:sz w:val="21"/>
          <w:szCs w:val="21"/>
          <w:highlight w:val="none"/>
          <w:u w:val="single"/>
          <w:lang w:eastAsia="zh-CN"/>
        </w:rPr>
        <w:t xml:space="preserve">JSZC-320509-SZTY-C2026-0007</w:t>
      </w:r>
      <w:r>
        <w:rPr>
          <w:rFonts w:hint="eastAsia" w:hAnsi="宋体" w:eastAsia="宋体" w:cs="宋体"/>
          <w:color w:val="auto"/>
          <w:sz w:val="21"/>
          <w:szCs w:val="21"/>
          <w:highlight w:val="none"/>
        </w:rPr>
        <w:t xml:space="preserve">号磋商采购文件，经仔细阅读和研究，我们决定参加磋商活动。</w:t>
      </w:r>
      <w:r/>
    </w:p>
    <w:p>
      <w:pPr>
        <w:pStyle w:val="921"/>
        <w:ind w:firstLine="420"/>
        <w:spacing w:after="100" w:line="400" w:lineRule="exact"/>
        <w:rPr>
          <w:rFonts w:hAnsi="宋体" w:eastAsia="宋体" w:cs="宋体"/>
          <w:b/>
          <w:color w:val="auto"/>
          <w:sz w:val="21"/>
          <w:szCs w:val="21"/>
          <w:highlight w:val="none"/>
        </w:rPr>
      </w:pPr>
      <w:r>
        <w:rPr>
          <w:rFonts w:hint="eastAsia" w:hAnsi="宋体" w:eastAsia="宋体" w:cs="宋体"/>
          <w:color w:val="auto"/>
          <w:sz w:val="21"/>
          <w:szCs w:val="21"/>
          <w:highlight w:val="none"/>
        </w:rPr>
        <w:t xml:space="preserve">1、我们愿意按照磋商采购文件的一切要求，完成该项目的全部内容。</w:t>
      </w:r>
      <w:r/>
    </w:p>
    <w:p>
      <w:pPr>
        <w:pStyle w:val="921"/>
        <w:ind w:firstLine="42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2、如果我们的磋商响应文件被接受，我们将严格履行磋商采购文件中规定的每一项要求，按期、按质、按量履行合同的义务。</w:t>
      </w:r>
      <w:r/>
    </w:p>
    <w:p>
      <w:pPr>
        <w:pStyle w:val="921"/>
        <w:ind w:firstLine="42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3、我们已详细阅读全部磋商采购文件，包括更正公告(如有)，对磋商采购文件及更正公告(如有)无任何异议。我们完全理解并同意放弃对这方面有不明及误解的权利。</w:t>
      </w:r>
      <w:r/>
    </w:p>
    <w:p>
      <w:pPr>
        <w:pStyle w:val="921"/>
        <w:ind w:firstLine="42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4、我们同意按磋商采购文件中的规定，本响应文件的有效期限自提交响应文件截止时间之日起</w:t>
      </w:r>
      <w:r>
        <w:rPr>
          <w:rFonts w:hint="eastAsia" w:hAnsi="宋体" w:eastAsia="宋体" w:cs="宋体"/>
          <w:color w:val="auto"/>
          <w:sz w:val="21"/>
          <w:szCs w:val="21"/>
          <w:highlight w:val="none"/>
          <w:u w:val="single"/>
        </w:rPr>
        <w:t xml:space="preserve">   </w:t>
      </w:r>
      <w:r>
        <w:rPr>
          <w:rFonts w:hint="eastAsia" w:hAnsi="宋体" w:eastAsia="宋体" w:cs="宋体"/>
          <w:color w:val="auto"/>
          <w:sz w:val="21"/>
          <w:szCs w:val="21"/>
          <w:highlight w:val="none"/>
        </w:rPr>
        <w:t xml:space="preserve">天。</w:t>
      </w:r>
      <w:r/>
    </w:p>
    <w:p>
      <w:pPr>
        <w:pStyle w:val="921"/>
        <w:ind w:firstLine="42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5、我们愿意提供采购单位在磋商采购文件中要求的所有资料。</w:t>
      </w:r>
      <w:r/>
    </w:p>
    <w:p>
      <w:pPr>
        <w:pStyle w:val="921"/>
        <w:ind w:firstLine="42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6、我们愿意遵守磋商采购文件中所列的收费标准。</w:t>
      </w:r>
      <w:r/>
    </w:p>
    <w:p>
      <w:pPr>
        <w:pStyle w:val="921"/>
        <w:ind w:firstLine="42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7、我们承诺该响应文件在磋商开始后的全过程中保持有效，不作任何更改和变动。</w:t>
      </w:r>
      <w:r/>
    </w:p>
    <w:p>
      <w:pPr>
        <w:pStyle w:val="921"/>
        <w:ind w:firstLine="42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8、我们承诺我公司符合磋商采购文件供应商须知中“合格供应商资格条件”的要求，若与真实情况不符，本公司愿意承担由此而产生的一切后果。</w:t>
      </w:r>
      <w:r/>
    </w:p>
    <w:p>
      <w:pPr>
        <w:pStyle w:val="921"/>
        <w:ind w:firstLine="42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所有有关磋商采购文件的函电，请按下列地址联系：</w:t>
      </w:r>
      <w:r/>
    </w:p>
    <w:p>
      <w:pPr>
        <w:pStyle w:val="921"/>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单位：                             联系人：</w:t>
      </w:r>
      <w:r/>
    </w:p>
    <w:p>
      <w:pPr>
        <w:pStyle w:val="921"/>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地址：                             邮政编码：</w:t>
      </w:r>
      <w:r/>
    </w:p>
    <w:p>
      <w:pPr>
        <w:pStyle w:val="921"/>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联系电话：                         传真：</w:t>
      </w:r>
      <w:r/>
    </w:p>
    <w:p>
      <w:pPr>
        <w:pStyle w:val="921"/>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磋商响应单位：（公章）</w:t>
      </w:r>
      <w:r/>
    </w:p>
    <w:p>
      <w:pPr>
        <w:pStyle w:val="921"/>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法定代表人或代理人：（签字或盖章）</w:t>
      </w:r>
      <w:r/>
    </w:p>
    <w:p>
      <w:pPr>
        <w:pStyle w:val="921"/>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日期：        年     月     日</w:t>
      </w:r>
      <w:r/>
    </w:p>
    <w:p>
      <w:pPr>
        <w:pStyle w:val="1191"/>
        <w:ind w:firstLine="0"/>
        <w:rPr>
          <w:rFonts w:ascii="宋体" w:hAnsi="宋体" w:cs="宋体"/>
          <w:b/>
          <w:color w:val="auto"/>
          <w:sz w:val="21"/>
          <w:szCs w:val="21"/>
          <w:highlight w:val="none"/>
        </w:rPr>
      </w:pPr>
      <w:r>
        <w:rPr>
          <w:rFonts w:ascii="宋体" w:hAnsi="宋体" w:cs="宋体"/>
          <w:b/>
          <w:color w:val="auto"/>
          <w:sz w:val="21"/>
          <w:szCs w:val="21"/>
          <w:highlight w:val="none"/>
        </w:rPr>
      </w:r>
      <w:r/>
    </w:p>
    <w:p>
      <w:pPr>
        <w:pStyle w:val="1191"/>
        <w:ind w:firstLine="0"/>
        <w:rPr>
          <w:rFonts w:ascii="宋体" w:hAnsi="宋体" w:cs="宋体"/>
          <w:b/>
          <w:color w:val="auto"/>
          <w:sz w:val="21"/>
          <w:szCs w:val="21"/>
          <w:highlight w:val="none"/>
        </w:rPr>
      </w:pPr>
      <w:r>
        <w:rPr>
          <w:rFonts w:ascii="宋体" w:hAnsi="宋体" w:cs="宋体"/>
          <w:b/>
          <w:color w:val="auto"/>
          <w:sz w:val="21"/>
          <w:szCs w:val="21"/>
          <w:highlight w:val="none"/>
        </w:rPr>
      </w:r>
      <w:r/>
    </w:p>
    <w:p>
      <w:pPr>
        <w:pStyle w:val="1191"/>
        <w:ind w:firstLine="0"/>
        <w:rPr>
          <w:rFonts w:ascii="宋体" w:hAnsi="宋体" w:cs="宋体"/>
          <w:b/>
          <w:color w:val="auto"/>
          <w:sz w:val="21"/>
          <w:szCs w:val="21"/>
          <w:highlight w:val="none"/>
        </w:rPr>
      </w:pPr>
      <w:r>
        <w:rPr>
          <w:rFonts w:ascii="宋体" w:hAnsi="宋体" w:cs="宋体"/>
          <w:b/>
          <w:color w:val="auto"/>
          <w:sz w:val="21"/>
          <w:szCs w:val="21"/>
          <w:highlight w:val="none"/>
        </w:rPr>
      </w:r>
      <w:r/>
    </w:p>
    <w:p>
      <w:pPr>
        <w:pStyle w:val="1191"/>
        <w:ind w:firstLine="0"/>
        <w:pageBreakBefore/>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附件2：（磋商响应单位）法定代表人授权委托书</w:t>
      </w:r>
      <w:r/>
    </w:p>
    <w:p>
      <w:pPr>
        <w:pStyle w:val="1191"/>
        <w:jc w:val="center"/>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1191"/>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法定代表人授权委托书</w:t>
      </w:r>
      <w:r/>
    </w:p>
    <w:p>
      <w:pPr>
        <w:pStyle w:val="1191"/>
        <w:rPr>
          <w:rFonts w:ascii="宋体" w:hAnsi="宋体" w:cs="宋体"/>
          <w:color w:val="auto"/>
          <w:sz w:val="21"/>
          <w:szCs w:val="21"/>
          <w:highlight w:val="none"/>
        </w:rPr>
      </w:pPr>
      <w:r>
        <w:rPr>
          <w:rFonts w:ascii="宋体" w:hAnsi="宋体" w:cs="宋体"/>
          <w:color w:val="auto"/>
          <w:sz w:val="21"/>
          <w:szCs w:val="21"/>
          <w:highlight w:val="none"/>
        </w:rPr>
      </w:r>
      <w:r/>
    </w:p>
    <w:p>
      <w:pPr>
        <w:pStyle w:val="1191"/>
        <w:rPr>
          <w:rFonts w:ascii="宋体" w:hAnsi="宋体" w:cs="宋体"/>
          <w:color w:val="auto"/>
          <w:sz w:val="21"/>
          <w:szCs w:val="21"/>
          <w:highlight w:val="none"/>
        </w:rPr>
      </w:pPr>
      <w:r>
        <w:rPr>
          <w:rFonts w:ascii="宋体" w:hAnsi="宋体" w:cs="宋体"/>
          <w:color w:val="auto"/>
          <w:sz w:val="21"/>
          <w:szCs w:val="21"/>
          <w:highlight w:val="none"/>
        </w:rPr>
      </w:r>
      <w:r/>
    </w:p>
    <w:p>
      <w:pPr>
        <w:pStyle w:val="1191"/>
        <w:rPr>
          <w:rFonts w:ascii="宋体" w:hAnsi="宋体" w:cs="宋体"/>
          <w:color w:val="auto"/>
          <w:sz w:val="21"/>
          <w:szCs w:val="21"/>
          <w:highlight w:val="none"/>
        </w:rPr>
      </w:pPr>
      <w:r>
        <w:rPr>
          <w:rFonts w:hint="eastAsia" w:ascii="宋体" w:hAnsi="宋体" w:cs="宋体"/>
          <w:color w:val="auto"/>
          <w:sz w:val="21"/>
          <w:szCs w:val="21"/>
          <w:highlight w:val="none"/>
        </w:rPr>
        <w:t xml:space="preserve">本授权委托书声明：  我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（姓名）系</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（磋商响应单位名称）的法定代表人，现授权委托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（姓名）为我公司委托代理人，以本公司的名义参加苏州通宜房地产土地评估咨询有限公司组织实施的编号为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号的磋商采购活动。委托代理人在报名、制作磋商响应文件、磋商、评标、合同磋商过程中所签署的一切文件和处理与这有关的一切事务，我均予以承认。</w:t>
      </w:r>
      <w:r/>
    </w:p>
    <w:p>
      <w:pPr>
        <w:pStyle w:val="1191"/>
        <w:rPr>
          <w:rFonts w:ascii="宋体" w:hAnsi="宋体" w:cs="宋体"/>
          <w:color w:val="auto"/>
          <w:sz w:val="21"/>
          <w:szCs w:val="21"/>
          <w:highlight w:val="none"/>
        </w:rPr>
      </w:pPr>
      <w:r>
        <w:rPr>
          <w:rFonts w:hint="eastAsia" w:ascii="宋体" w:hAnsi="宋体" w:cs="宋体"/>
          <w:color w:val="auto"/>
          <w:sz w:val="21"/>
          <w:szCs w:val="21"/>
          <w:highlight w:val="none"/>
        </w:rPr>
        <w:t xml:space="preserve">委托代理人在授权委托书有效期内签署的所有文件不因授权委托的撤销而失效，除非有撤销授权委托的书面通知，本授权委托书自签署之时起至合同履行完毕止。</w:t>
      </w:r>
      <w:r/>
    </w:p>
    <w:p>
      <w:pPr>
        <w:pStyle w:val="1191"/>
        <w:ind w:firstLine="510"/>
        <w:rPr>
          <w:rFonts w:ascii="宋体" w:hAnsi="宋体" w:cs="宋体"/>
          <w:color w:val="auto"/>
          <w:sz w:val="21"/>
          <w:szCs w:val="21"/>
          <w:highlight w:val="none"/>
        </w:rPr>
      </w:pPr>
      <w:r>
        <w:rPr>
          <w:rFonts w:hint="eastAsia" w:ascii="宋体" w:hAnsi="宋体" w:cs="宋体"/>
          <w:color w:val="auto"/>
          <w:sz w:val="21"/>
          <w:szCs w:val="21"/>
          <w:highlight w:val="none"/>
        </w:rPr>
        <w:t xml:space="preserve">委托代理人无转委托权。特此委托。</w:t>
      </w:r>
      <w:r/>
    </w:p>
    <w:p>
      <w:pPr>
        <w:pStyle w:val="1191"/>
        <w:ind w:firstLine="200"/>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1191"/>
        <w:ind w:firstLine="200"/>
        <w:rPr>
          <w:rFonts w:ascii="宋体" w:hAnsi="宋体" w:cs="宋体"/>
          <w:color w:val="auto"/>
          <w:sz w:val="21"/>
          <w:szCs w:val="21"/>
          <w:highlight w:val="none"/>
        </w:rPr>
      </w:pPr>
      <w:r>
        <w:rPr>
          <w:rFonts w:hint="eastAsia" w:ascii="宋体" w:hAnsi="宋体" w:cs="宋体"/>
          <w:color w:val="auto"/>
          <w:sz w:val="21"/>
          <w:szCs w:val="21"/>
          <w:highlight w:val="none"/>
        </w:rPr>
        <w:t xml:space="preserve">磋商响应单位：（公章）</w:t>
      </w:r>
      <w:r/>
    </w:p>
    <w:p>
      <w:pPr>
        <w:pStyle w:val="1191"/>
        <w:ind w:firstLine="200"/>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法定代表人：（签字或盖章）</w:t>
      </w:r>
      <w:r/>
    </w:p>
    <w:p>
      <w:pPr>
        <w:pStyle w:val="1191"/>
        <w:ind w:firstLine="200"/>
        <w:rPr>
          <w:rFonts w:ascii="宋体" w:hAnsi="宋体" w:cs="宋体"/>
          <w:color w:val="auto"/>
          <w:sz w:val="21"/>
          <w:szCs w:val="21"/>
          <w:highlight w:val="none"/>
        </w:rPr>
      </w:pPr>
      <w:r>
        <w:rPr>
          <w:rFonts w:hint="eastAsia" w:ascii="宋体" w:hAnsi="宋体" w:cs="宋体"/>
          <w:color w:val="auto"/>
          <w:sz w:val="21"/>
          <w:szCs w:val="21"/>
          <w:highlight w:val="none"/>
        </w:rPr>
        <w:t xml:space="preserve">委托代理人：（签字或盖章）</w:t>
      </w:r>
      <w:r/>
    </w:p>
    <w:p>
      <w:pPr>
        <w:pStyle w:val="1191"/>
        <w:ind w:firstLine="200"/>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ind w:right="480"/>
        <w:rPr>
          <w:rFonts w:ascii="宋体" w:hAnsi="宋体" w:cs="宋体"/>
          <w:color w:val="auto"/>
          <w:highlight w:val="none"/>
        </w:rPr>
      </w:pPr>
      <w:r>
        <w:rPr>
          <w:rFonts w:ascii="宋体" w:hAnsi="宋体" w:cs="宋体"/>
          <w:color w:val="auto"/>
          <w:highlight w:val="none"/>
        </w:rPr>
      </w:r>
      <w:r/>
    </w:p>
    <w:p>
      <w:pPr>
        <w:jc w:val="left"/>
        <w:rPr>
          <w:rFonts w:ascii="宋体" w:hAnsi="宋体" w:cs="宋体"/>
          <w:b/>
          <w:bCs/>
          <w:color w:val="auto"/>
          <w:sz w:val="24"/>
          <w:highlight w:val="none"/>
        </w:rPr>
      </w:pPr>
      <w:r>
        <w:rPr>
          <w:rFonts w:ascii="宋体" w:hAnsi="宋体" w:cs="宋体"/>
          <w:b/>
          <w:bCs/>
          <w:color w:val="auto"/>
          <w:sz w:val="24"/>
          <w:highlight w:val="none"/>
        </w:rPr>
      </w:r>
      <w:r/>
    </w:p>
    <w:p>
      <w:pPr>
        <w:pStyle w:val="1191"/>
        <w:ind w:firstLine="0"/>
        <w:rPr>
          <w:rFonts w:ascii="宋体" w:hAnsi="宋体" w:cs="宋体"/>
          <w:b/>
          <w:bCs/>
          <w:color w:val="auto"/>
          <w:highlight w:val="none"/>
        </w:rPr>
      </w:pPr>
      <w:r>
        <w:rPr>
          <w:rFonts w:hint="eastAsia" w:ascii="宋体" w:hAnsi="宋体" w:cs="宋体"/>
          <w:b/>
          <w:bCs/>
          <w:color w:val="auto"/>
          <w:sz w:val="21"/>
          <w:szCs w:val="21"/>
          <w:highlight w:val="none"/>
        </w:rPr>
        <w:t xml:space="preserve">注：须单位签章、法定代表人签字或盖章、代理人签字或盖章三者齐全，否则该授权委托书无效。</w:t>
      </w:r>
      <w:r/>
    </w:p>
    <w:p>
      <w:pPr>
        <w:pStyle w:val="1191"/>
        <w:ind w:firstLine="0"/>
        <w:pageBreakBefore/>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rPr>
        <w:t xml:space="preserve">附件3：</w:t>
      </w:r>
      <w:r>
        <w:rPr>
          <w:rFonts w:hint="eastAsia" w:ascii="宋体" w:hAnsi="宋体" w:cs="宋体"/>
          <w:b/>
          <w:bCs/>
          <w:color w:val="auto"/>
          <w:sz w:val="21"/>
          <w:szCs w:val="21"/>
          <w:highlight w:val="none"/>
          <w:lang w:val="en-US" w:eastAsia="zh-CN"/>
        </w:rPr>
        <w:t xml:space="preserve">开标一览表（</w:t>
      </w:r>
      <w:r>
        <w:rPr>
          <w:rFonts w:hint="eastAsia" w:ascii="宋体" w:hAnsi="宋体" w:cs="宋体"/>
          <w:b/>
          <w:bCs/>
          <w:color w:val="auto"/>
          <w:sz w:val="21"/>
          <w:szCs w:val="21"/>
          <w:highlight w:val="none"/>
        </w:rPr>
        <w:t xml:space="preserve">具体按照“苏采云”系统格式填报投标总报价并签章</w:t>
      </w:r>
      <w:r>
        <w:rPr>
          <w:rFonts w:hint="eastAsia" w:ascii="宋体" w:hAnsi="宋体" w:cs="宋体"/>
          <w:b/>
          <w:bCs/>
          <w:color w:val="auto"/>
          <w:sz w:val="21"/>
          <w:szCs w:val="21"/>
          <w:highlight w:val="none"/>
          <w:lang w:eastAsia="zh-CN"/>
        </w:rPr>
        <w:t xml:space="preserve">）</w:t>
      </w:r>
      <w:r/>
    </w:p>
    <w:p>
      <w:pPr>
        <w:pStyle w:val="1180"/>
        <w:spacing w:line="380" w:lineRule="exact"/>
        <w:rPr>
          <w:rFonts w:hAnsi="宋体" w:cs="宋体"/>
          <w:b/>
          <w:color w:val="auto"/>
          <w:szCs w:val="21"/>
          <w:highlight w:val="none"/>
        </w:rPr>
      </w:pPr>
      <w:r>
        <w:rPr>
          <w:rFonts w:hAnsi="宋体" w:cs="宋体"/>
          <w:b/>
          <w:color w:val="auto"/>
          <w:szCs w:val="21"/>
          <w:highlight w:val="none"/>
        </w:rPr>
      </w:r>
      <w:r/>
    </w:p>
    <w:p>
      <w:pPr>
        <w:pStyle w:val="921"/>
        <w:jc w:val="center"/>
        <w:spacing w:after="100" w:line="400" w:lineRule="exact"/>
        <w:rPr>
          <w:rFonts w:hAnsi="宋体" w:eastAsia="宋体" w:cs="宋体"/>
          <w:color w:val="auto"/>
          <w:sz w:val="21"/>
          <w:szCs w:val="21"/>
          <w:highlight w:val="none"/>
        </w:rPr>
      </w:pPr>
      <w:r>
        <w:rPr>
          <w:rFonts w:hint="eastAsia" w:hAnsi="宋体" w:eastAsia="宋体" w:cs="宋体"/>
          <w:b/>
          <w:color w:val="auto"/>
          <w:sz w:val="21"/>
          <w:szCs w:val="21"/>
          <w:highlight w:val="none"/>
        </w:rPr>
        <w:t xml:space="preserve">磋商响应报价表</w:t>
      </w:r>
      <w:r>
        <w:rPr>
          <w:rStyle w:val="1192"/>
          <w:rFonts w:hint="eastAsia" w:ascii="宋体" w:hAnsi="宋体" w:cs="宋体"/>
          <w:b/>
          <w:color w:val="auto"/>
          <w:highlight w:val="none"/>
        </w:rPr>
        <w:t xml:space="preserve">（第一次报价）</w:t>
      </w:r>
      <w:r>
        <w:rPr>
          <w:rFonts w:hint="eastAsia" w:hAnsi="宋体" w:eastAsia="宋体" w:cs="宋体"/>
          <w:b/>
          <w:color w:val="auto"/>
          <w:sz w:val="21"/>
          <w:szCs w:val="21"/>
          <w:highlight w:val="none"/>
        </w:rPr>
        <w:t xml:space="preserve"> </w:t>
      </w:r>
      <w:r>
        <w:rPr>
          <w:rFonts w:hint="eastAsia" w:hAnsi="宋体" w:eastAsia="宋体" w:cs="宋体"/>
          <w:color w:val="auto"/>
          <w:spacing w:val="20"/>
          <w:sz w:val="21"/>
          <w:szCs w:val="21"/>
          <w:highlight w:val="none"/>
        </w:rPr>
        <w:t xml:space="preserve">               </w:t>
      </w:r>
      <w:r/>
    </w:p>
    <w:p>
      <w:pPr>
        <w:pStyle w:val="921"/>
        <w:spacing w:after="100" w:line="400" w:lineRule="exact"/>
        <w:rPr>
          <w:rFonts w:hAnsi="宋体" w:eastAsia="宋体" w:cs="宋体"/>
          <w:color w:val="auto"/>
          <w:sz w:val="21"/>
          <w:szCs w:val="21"/>
          <w:highlight w:val="none"/>
        </w:rPr>
      </w:pPr>
      <w:r>
        <w:rPr>
          <w:rFonts w:hAnsi="宋体" w:eastAsia="宋体" w:cs="宋体"/>
          <w:color w:val="auto"/>
          <w:sz w:val="21"/>
          <w:szCs w:val="21"/>
          <w:highlight w:val="none"/>
        </w:rPr>
      </w:r>
      <w:r/>
    </w:p>
    <w:p>
      <w:pPr>
        <w:pStyle w:val="921"/>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项目编号：                                                 </w:t>
      </w:r>
      <w:r/>
    </w:p>
    <w:tbl>
      <w:tblPr>
        <w:tblStyle w:val="860"/>
        <w:tblW w:w="923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2485"/>
        <w:gridCol w:w="2387"/>
        <w:gridCol w:w="2529"/>
        <w:gridCol w:w="983"/>
      </w:tblGrid>
      <w:tr>
        <w:trPr>
          <w:trHeight w:val="791"/>
        </w:trPr>
        <w:tc>
          <w:tcPr>
            <w:tcW w:w="853" w:type="dxa"/>
            <w:textDirection w:val="lrTb"/>
            <w:noWrap w:val="false"/>
          </w:tcPr>
          <w:p>
            <w:pPr>
              <w:pStyle w:val="921"/>
              <w:jc w:val="center"/>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序号</w:t>
            </w:r>
            <w:r/>
          </w:p>
        </w:tc>
        <w:tc>
          <w:tcPr>
            <w:tcW w:w="2485" w:type="dxa"/>
            <w:textDirection w:val="lrTb"/>
            <w:noWrap w:val="false"/>
          </w:tcPr>
          <w:p>
            <w:pPr>
              <w:pStyle w:val="921"/>
              <w:jc w:val="center"/>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项   目</w:t>
            </w:r>
            <w:r/>
          </w:p>
        </w:tc>
        <w:tc>
          <w:tcPr>
            <w:tcW w:w="2387" w:type="dxa"/>
            <w:textDirection w:val="lrTb"/>
            <w:noWrap w:val="false"/>
          </w:tcPr>
          <w:p>
            <w:pPr>
              <w:pStyle w:val="921"/>
              <w:jc w:val="center"/>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投标报价（元）</w:t>
            </w:r>
            <w:r/>
          </w:p>
        </w:tc>
        <w:tc>
          <w:tcPr>
            <w:tcW w:w="2529" w:type="dxa"/>
            <w:textDirection w:val="lrTb"/>
            <w:noWrap w:val="false"/>
          </w:tcPr>
          <w:p>
            <w:pPr>
              <w:pStyle w:val="921"/>
              <w:jc w:val="center"/>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服务期限</w:t>
            </w:r>
            <w:r/>
          </w:p>
        </w:tc>
        <w:tc>
          <w:tcPr>
            <w:tcW w:w="983" w:type="dxa"/>
            <w:textDirection w:val="lrTb"/>
            <w:noWrap w:val="false"/>
          </w:tcPr>
          <w:p>
            <w:pPr>
              <w:pStyle w:val="921"/>
              <w:jc w:val="center"/>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备注</w:t>
            </w:r>
            <w:r/>
          </w:p>
        </w:tc>
      </w:tr>
      <w:tr>
        <w:trPr>
          <w:trHeight w:val="923"/>
        </w:trPr>
        <w:tc>
          <w:tcPr>
            <w:tcW w:w="853" w:type="dxa"/>
            <w:vAlign w:val="center"/>
            <w:textDirection w:val="lrTb"/>
            <w:noWrap w:val="false"/>
          </w:tcPr>
          <w:p>
            <w:pPr>
              <w:pStyle w:val="921"/>
              <w:jc w:val="center"/>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1</w:t>
            </w:r>
            <w:r/>
          </w:p>
        </w:tc>
        <w:tc>
          <w:tcPr>
            <w:tcW w:w="2485" w:type="dxa"/>
            <w:textDirection w:val="lrTb"/>
            <w:noWrap w:val="false"/>
          </w:tcPr>
          <w:p>
            <w:pPr>
              <w:pStyle w:val="921"/>
              <w:jc w:val="center"/>
              <w:spacing w:after="100"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兴黎社区综合服务项目</w:t>
            </w:r>
            <w:r/>
          </w:p>
        </w:tc>
        <w:tc>
          <w:tcPr>
            <w:tcW w:w="2387" w:type="dxa"/>
            <w:vAlign w:val="center"/>
            <w:textDirection w:val="lrTb"/>
            <w:noWrap w:val="false"/>
          </w:tcPr>
          <w:p>
            <w:pPr>
              <w:pStyle w:val="921"/>
              <w:jc w:val="center"/>
              <w:spacing w:after="100" w:line="400" w:lineRule="exact"/>
              <w:rPr>
                <w:rFonts w:hAnsi="宋体" w:eastAsia="宋体" w:cs="宋体"/>
                <w:color w:val="auto"/>
                <w:sz w:val="21"/>
                <w:szCs w:val="21"/>
                <w:highlight w:val="none"/>
              </w:rPr>
            </w:pPr>
            <w:r>
              <w:rPr>
                <w:rFonts w:hAnsi="宋体" w:eastAsia="宋体" w:cs="宋体"/>
                <w:color w:val="auto"/>
                <w:sz w:val="21"/>
                <w:szCs w:val="21"/>
                <w:highlight w:val="none"/>
              </w:rPr>
            </w:r>
            <w:r/>
          </w:p>
        </w:tc>
        <w:tc>
          <w:tcPr>
            <w:tcW w:w="2529" w:type="dxa"/>
            <w:vAlign w:val="center"/>
            <w:textDirection w:val="lrTb"/>
            <w:noWrap w:val="false"/>
          </w:tcPr>
          <w:p>
            <w:pPr>
              <w:pStyle w:val="921"/>
              <w:jc w:val="center"/>
              <w:spacing w:after="100" w:line="400" w:lineRule="exact"/>
              <w:rPr>
                <w:rFonts w:hAnsi="宋体" w:eastAsia="宋体" w:cs="宋体"/>
                <w:color w:val="auto"/>
                <w:sz w:val="21"/>
                <w:szCs w:val="21"/>
                <w:highlight w:val="none"/>
              </w:rPr>
            </w:pPr>
            <w:r>
              <w:rPr>
                <w:rFonts w:hAnsi="宋体" w:eastAsia="宋体" w:cs="宋体"/>
                <w:color w:val="auto"/>
                <w:sz w:val="21"/>
                <w:szCs w:val="21"/>
                <w:highlight w:val="none"/>
              </w:rPr>
            </w:r>
            <w:r/>
          </w:p>
        </w:tc>
        <w:tc>
          <w:tcPr>
            <w:tcW w:w="983" w:type="dxa"/>
            <w:vAlign w:val="center"/>
            <w:textDirection w:val="lrTb"/>
            <w:noWrap w:val="false"/>
          </w:tcPr>
          <w:p>
            <w:pPr>
              <w:pStyle w:val="921"/>
              <w:jc w:val="center"/>
              <w:spacing w:after="100" w:line="400" w:lineRule="exact"/>
              <w:rPr>
                <w:rFonts w:hAnsi="宋体" w:eastAsia="宋体" w:cs="宋体"/>
                <w:color w:val="auto"/>
                <w:sz w:val="21"/>
                <w:szCs w:val="21"/>
                <w:highlight w:val="none"/>
              </w:rPr>
            </w:pPr>
            <w:r>
              <w:rPr>
                <w:rFonts w:hAnsi="宋体" w:eastAsia="宋体" w:cs="宋体"/>
                <w:color w:val="auto"/>
                <w:sz w:val="21"/>
                <w:szCs w:val="21"/>
                <w:highlight w:val="none"/>
              </w:rPr>
            </w:r>
            <w:r/>
          </w:p>
        </w:tc>
      </w:tr>
      <w:tr>
        <w:trPr>
          <w:trHeight w:val="899"/>
        </w:trPr>
        <w:tc>
          <w:tcPr>
            <w:gridSpan w:val="5"/>
            <w:tcW w:w="9237" w:type="dxa"/>
            <w:vAlign w:val="center"/>
            <w:textDirection w:val="lrTb"/>
            <w:noWrap w:val="false"/>
          </w:tcPr>
          <w:p>
            <w:pPr>
              <w:pStyle w:val="921"/>
              <w:jc w:val="center"/>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合计（人民币）大写金额：                       小写金额：（</w:t>
            </w:r>
            <w:r>
              <w:rPr>
                <w:rFonts w:hint="eastAsia" w:hAnsi="宋体" w:eastAsia="宋体" w:cs="宋体"/>
                <w:color w:val="auto"/>
                <w:spacing w:val="20"/>
                <w:sz w:val="21"/>
                <w:szCs w:val="21"/>
                <w:highlight w:val="none"/>
              </w:rPr>
              <w:t xml:space="preserve">￥：    ）</w:t>
            </w:r>
            <w:r/>
          </w:p>
        </w:tc>
      </w:tr>
    </w:tbl>
    <w:p>
      <w:pPr>
        <w:pStyle w:val="921"/>
        <w:spacing w:after="100" w:line="400" w:lineRule="exact"/>
        <w:rPr>
          <w:rFonts w:hAnsi="宋体" w:eastAsia="宋体" w:cs="宋体"/>
          <w:color w:val="auto"/>
          <w:sz w:val="21"/>
          <w:szCs w:val="21"/>
          <w:highlight w:val="none"/>
        </w:rPr>
      </w:pPr>
      <w:r>
        <w:rPr>
          <w:rFonts w:hAnsi="宋体" w:eastAsia="宋体" w:cs="宋体"/>
          <w:color w:val="auto"/>
          <w:sz w:val="21"/>
          <w:szCs w:val="21"/>
          <w:highlight w:val="none"/>
        </w:rPr>
      </w:r>
      <w:r/>
    </w:p>
    <w:p>
      <w:pPr>
        <w:pStyle w:val="921"/>
        <w:ind w:firstLine="21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磋商响应单位：（公章）</w:t>
      </w:r>
      <w:r/>
    </w:p>
    <w:p>
      <w:pPr>
        <w:pStyle w:val="921"/>
        <w:ind w:firstLine="21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法定代表人或代理人：（签字或盖章）</w:t>
      </w:r>
      <w:r/>
    </w:p>
    <w:p>
      <w:pPr>
        <w:pStyle w:val="921"/>
        <w:ind w:firstLine="210"/>
        <w:spacing w:after="100"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日期：         年     月   日</w:t>
      </w:r>
      <w:r/>
    </w:p>
    <w:p>
      <w:pPr>
        <w:pStyle w:val="921"/>
        <w:ind w:firstLine="210"/>
        <w:spacing w:after="100" w:line="400" w:lineRule="exact"/>
        <w:rPr>
          <w:rFonts w:hAnsi="宋体" w:eastAsia="宋体" w:cs="宋体"/>
          <w:color w:val="auto"/>
          <w:sz w:val="21"/>
          <w:szCs w:val="21"/>
          <w:highlight w:val="none"/>
        </w:rPr>
      </w:pPr>
      <w:r>
        <w:rPr>
          <w:rFonts w:hAnsi="宋体" w:eastAsia="宋体" w:cs="宋体"/>
          <w:color w:val="auto"/>
          <w:sz w:val="21"/>
          <w:szCs w:val="21"/>
          <w:highlight w:val="none"/>
        </w:rPr>
      </w:r>
      <w:r/>
    </w:p>
    <w:p>
      <w:pPr>
        <w:ind w:firstLine="420"/>
        <w:spacing w:after="100" w:line="400" w:lineRule="exact"/>
        <w:rPr>
          <w:rFonts w:ascii="宋体" w:hAnsi="宋体" w:cs="宋体"/>
          <w:color w:val="auto"/>
          <w:szCs w:val="21"/>
          <w:highlight w:val="none"/>
        </w:rPr>
      </w:pPr>
      <w:r>
        <w:rPr>
          <w:rFonts w:hint="eastAsia" w:ascii="宋体" w:hAnsi="宋体" w:cs="宋体"/>
          <w:color w:val="auto"/>
          <w:szCs w:val="21"/>
          <w:highlight w:val="none"/>
        </w:rPr>
        <w:t xml:space="preserve">注：本表中的报价为综合报价，包括完成本次项目全部工作内容所必须的设计以及布展实施制作所需的全部产品、人工、仓储、发货、运输、安装、调试、验收、培训、质保、保险、专利、风险、利润、税金及其他伴随服务等一切必须费用，本项目为交钥匙项目，包括但不限于上述内容，除非因特殊原因并经买卖双方协商同意，乙方不得再要求追加任何费用，同时，除非合同条款中另有规定，否则，乙方所报价格在合同实施期间不因市场变化因素而变动。 </w:t>
      </w:r>
      <w:r/>
    </w:p>
    <w:p>
      <w:pPr>
        <w:ind w:firstLine="420"/>
        <w:spacing w:after="100" w:line="400" w:lineRule="exact"/>
        <w:rPr>
          <w:rFonts w:ascii="宋体" w:hAnsi="宋体" w:cs="宋体"/>
          <w:color w:val="auto"/>
          <w:szCs w:val="21"/>
          <w:highlight w:val="none"/>
        </w:rPr>
      </w:pPr>
      <w:r>
        <w:rPr>
          <w:rFonts w:ascii="宋体" w:hAnsi="宋体" w:cs="宋体"/>
          <w:color w:val="auto"/>
          <w:szCs w:val="21"/>
          <w:highlight w:val="none"/>
        </w:rPr>
      </w:r>
      <w:r/>
    </w:p>
    <w:p>
      <w:pPr>
        <w:pStyle w:val="1191"/>
        <w:ind w:firstLine="0"/>
        <w:pageBreakBefore/>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附件4：磋商响应报价分项报价表</w:t>
      </w:r>
      <w:r/>
    </w:p>
    <w:p>
      <w:pPr>
        <w:pStyle w:val="921"/>
        <w:jc w:val="center"/>
        <w:spacing w:after="100" w:line="400" w:lineRule="exact"/>
        <w:rPr>
          <w:rFonts w:hAnsi="宋体" w:eastAsia="宋体" w:cs="宋体"/>
          <w:b/>
          <w:color w:val="auto"/>
          <w:sz w:val="21"/>
          <w:szCs w:val="21"/>
          <w:highlight w:val="none"/>
        </w:rPr>
      </w:pPr>
      <w:r>
        <w:rPr>
          <w:rFonts w:hAnsi="宋体" w:eastAsia="宋体" w:cs="宋体"/>
          <w:b/>
          <w:color w:val="auto"/>
          <w:sz w:val="21"/>
          <w:szCs w:val="21"/>
          <w:highlight w:val="none"/>
        </w:rPr>
      </w:r>
      <w:r/>
    </w:p>
    <w:p>
      <w:pPr>
        <w:pStyle w:val="921"/>
        <w:jc w:val="center"/>
        <w:spacing w:after="100" w:line="400" w:lineRule="exact"/>
        <w:rPr>
          <w:rFonts w:hAnsi="宋体" w:eastAsia="宋体" w:cs="宋体"/>
          <w:color w:val="auto"/>
          <w:sz w:val="21"/>
          <w:szCs w:val="21"/>
          <w:highlight w:val="none"/>
        </w:rPr>
      </w:pPr>
      <w:r>
        <w:rPr>
          <w:rFonts w:hint="eastAsia" w:hAnsi="宋体" w:eastAsia="宋体" w:cs="宋体"/>
          <w:b/>
          <w:color w:val="auto"/>
          <w:sz w:val="21"/>
          <w:szCs w:val="21"/>
          <w:highlight w:val="none"/>
        </w:rPr>
        <w:t xml:space="preserve">磋商报价分析表</w:t>
      </w:r>
      <w:r/>
    </w:p>
    <w:p>
      <w:pPr>
        <w:pStyle w:val="870"/>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项目编号</w:t>
      </w:r>
      <w:r>
        <w:rPr>
          <w:rFonts w:hint="eastAsia" w:hAnsi="宋体" w:eastAsia="宋体" w:cs="宋体"/>
          <w:color w:val="auto"/>
          <w:sz w:val="21"/>
          <w:szCs w:val="21"/>
          <w:highlight w:val="none"/>
        </w:rPr>
        <w:t xml:space="preserve">：            </w:t>
      </w:r>
      <w:r/>
    </w:p>
    <w:tbl>
      <w:tblPr>
        <w:tblStyle w:val="860"/>
        <w:tblW w:w="10015" w:type="dxa"/>
        <w:jc w:val="center"/>
        <w:tblLayout w:type="fixed"/>
        <w:tblCellMar>
          <w:left w:w="108" w:type="dxa"/>
          <w:top w:w="0" w:type="dxa"/>
          <w:right w:w="108" w:type="dxa"/>
          <w:bottom w:w="0" w:type="dxa"/>
        </w:tblCellMar>
        <w:tblLook w:val="04A0" w:firstRow="1" w:lastRow="0" w:firstColumn="1" w:lastColumn="0" w:noHBand="0" w:noVBand="1"/>
      </w:tblPr>
      <w:tblGrid>
        <w:gridCol w:w="786"/>
        <w:gridCol w:w="2735"/>
        <w:gridCol w:w="1619"/>
        <w:gridCol w:w="840"/>
        <w:gridCol w:w="1968"/>
        <w:gridCol w:w="2067"/>
      </w:tblGrid>
      <w:tr>
        <w:trPr>
          <w:jc w:val="center"/>
          <w:trHeight w:val="567"/>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7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w:t>
            </w:r>
            <w:r/>
          </w:p>
        </w:tc>
        <w:tc>
          <w:tcPr>
            <w:tcBorders>
              <w:top w:val="single" w:color="auto" w:sz="4" w:space="0"/>
              <w:left w:val="none" w:color="000000" w:sz="4" w:space="0"/>
              <w:bottom w:val="single" w:color="auto" w:sz="4" w:space="0"/>
              <w:right w:val="single" w:color="auto" w:sz="4" w:space="0"/>
            </w:tcBorders>
            <w:tcW w:w="161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内容</w:t>
            </w:r>
            <w:r/>
          </w:p>
        </w:tc>
        <w:tc>
          <w:tcPr>
            <w:tcBorders>
              <w:top w:val="single" w:color="auto" w:sz="4" w:space="0"/>
              <w:left w:val="none" w:color="000000" w:sz="4" w:space="0"/>
              <w:bottom w:val="single" w:color="auto" w:sz="4" w:space="0"/>
              <w:right w:val="single" w:color="auto" w:sz="4" w:space="0"/>
            </w:tcBorders>
            <w:tcW w:w="84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196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单价</w:t>
            </w:r>
            <w:r/>
          </w:p>
        </w:tc>
        <w:tc>
          <w:tcPr>
            <w:tcBorders>
              <w:top w:val="single" w:color="auto" w:sz="4" w:space="0"/>
              <w:left w:val="none" w:color="000000" w:sz="4" w:space="0"/>
              <w:bottom w:val="single" w:color="auto" w:sz="4" w:space="0"/>
              <w:right w:val="single" w:color="auto" w:sz="4" w:space="0"/>
            </w:tcBorders>
            <w:tcW w:w="206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合价</w:t>
            </w:r>
            <w:r/>
          </w:p>
        </w:tc>
      </w:tr>
      <w:tr>
        <w:trPr>
          <w:cantSplit/>
          <w:jc w:val="center"/>
          <w:trHeight w:val="567"/>
        </w:trPr>
        <w:tc>
          <w:tcPr>
            <w:tcBorders>
              <w:top w:val="none" w:color="000000"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73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61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96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206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67"/>
        </w:trPr>
        <w:tc>
          <w:tcPr>
            <w:tcBorders>
              <w:top w:val="none" w:color="000000"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73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61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96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206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67"/>
        </w:trPr>
        <w:tc>
          <w:tcPr>
            <w:tcBorders>
              <w:top w:val="none" w:color="000000"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273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61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96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206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67"/>
        </w:trPr>
        <w:tc>
          <w:tcPr>
            <w:tcBorders>
              <w:top w:val="none" w:color="000000"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none" w:color="000000" w:sz="4" w:space="0"/>
              <w:left w:val="none" w:color="000000" w:sz="4" w:space="0"/>
              <w:bottom w:val="single" w:color="auto" w:sz="4" w:space="0"/>
              <w:right w:val="single" w:color="auto" w:sz="4" w:space="0"/>
            </w:tcBorders>
            <w:tcW w:w="273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61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96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206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67"/>
        </w:trPr>
        <w:tc>
          <w:tcPr>
            <w:gridSpan w:val="6"/>
            <w:tcBorders>
              <w:top w:val="none" w:color="000000" w:sz="4" w:space="0"/>
              <w:left w:val="single" w:color="auto" w:sz="4" w:space="0"/>
              <w:bottom w:val="single" w:color="auto" w:sz="4" w:space="0"/>
              <w:right w:val="single" w:color="auto" w:sz="4" w:space="0"/>
            </w:tcBorders>
            <w:tcW w:w="10015"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总计</w:t>
            </w:r>
            <w:r>
              <w:rPr>
                <w:rFonts w:hint="eastAsia" w:ascii="宋体" w:hAnsi="宋体" w:eastAsia="宋体" w:cs="宋体"/>
                <w:color w:val="auto"/>
                <w:szCs w:val="21"/>
                <w:highlight w:val="none"/>
              </w:rPr>
              <w:t xml:space="preserve">：                 元（大写：          ）</w:t>
            </w:r>
            <w:r/>
          </w:p>
        </w:tc>
      </w:tr>
    </w:tbl>
    <w:p>
      <w:pPr>
        <w:ind w:firstLine="210"/>
        <w:spacing w:after="100" w:line="400" w:lineRule="exact"/>
        <w:rPr>
          <w:rFonts w:ascii="宋体" w:hAnsi="宋体" w:cs="宋体"/>
          <w:color w:val="auto"/>
          <w:szCs w:val="21"/>
          <w:highlight w:val="none"/>
        </w:rPr>
      </w:pPr>
      <w:r>
        <w:rPr>
          <w:rFonts w:ascii="宋体" w:hAnsi="宋体" w:cs="宋体"/>
          <w:color w:val="auto"/>
          <w:szCs w:val="21"/>
          <w:highlight w:val="none"/>
        </w:rPr>
      </w:r>
      <w:r/>
    </w:p>
    <w:p>
      <w:pPr>
        <w:ind w:firstLine="210"/>
        <w:spacing w:after="100" w:line="400" w:lineRule="exact"/>
        <w:rPr>
          <w:rFonts w:ascii="宋体" w:hAnsi="宋体" w:cs="宋体"/>
          <w:color w:val="auto"/>
          <w:szCs w:val="21"/>
          <w:highlight w:val="none"/>
        </w:rPr>
      </w:pPr>
      <w:r>
        <w:rPr>
          <w:rFonts w:hint="eastAsia" w:ascii="宋体" w:hAnsi="宋体" w:cs="宋体"/>
          <w:color w:val="auto"/>
          <w:szCs w:val="21"/>
          <w:highlight w:val="none"/>
        </w:rPr>
        <w:t xml:space="preserve">磋商响应单位：（公章）</w:t>
      </w:r>
      <w:r/>
    </w:p>
    <w:p>
      <w:pPr>
        <w:ind w:firstLine="210"/>
        <w:spacing w:after="100" w:line="40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法定代表人或授权代表：（签字或盖章）                 </w:t>
      </w:r>
      <w:r/>
    </w:p>
    <w:p>
      <w:pPr>
        <w:ind w:firstLine="210"/>
        <w:spacing w:after="100" w:line="400" w:lineRule="exact"/>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rPr>
          <w:rFonts w:ascii="宋体" w:hAnsi="宋体" w:cs="宋体"/>
          <w:color w:val="auto"/>
          <w:szCs w:val="21"/>
          <w:highlight w:val="none"/>
        </w:rPr>
      </w:pPr>
      <w:r>
        <w:rPr>
          <w:rFonts w:ascii="宋体" w:hAnsi="宋体" w:cs="宋体"/>
          <w:color w:val="auto"/>
          <w:szCs w:val="21"/>
          <w:highlight w:val="none"/>
        </w:rPr>
      </w:r>
      <w:r/>
    </w:p>
    <w:p>
      <w:pPr>
        <w:pStyle w:val="1143"/>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注：</w:t>
      </w:r>
      <w:r/>
    </w:p>
    <w:p>
      <w:pPr>
        <w:pStyle w:val="1143"/>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1.本表合计金额应与磋商响应报价表</w:t>
      </w:r>
      <w:r>
        <w:rPr>
          <w:rFonts w:hint="eastAsia" w:hAnsi="宋体" w:eastAsia="宋体" w:cs="宋体"/>
          <w:color w:val="auto"/>
          <w:sz w:val="21"/>
          <w:szCs w:val="21"/>
          <w:highlight w:val="none"/>
        </w:rPr>
        <w:t xml:space="preserve">中磋商总价</w:t>
      </w:r>
      <w:r>
        <w:rPr>
          <w:rFonts w:hint="eastAsia" w:hAnsi="宋体" w:eastAsia="宋体" w:cs="宋体"/>
          <w:color w:val="auto"/>
          <w:sz w:val="21"/>
          <w:szCs w:val="21"/>
          <w:highlight w:val="none"/>
          <w:lang w:val="zh-CN"/>
        </w:rPr>
        <w:t xml:space="preserve">一致，否则磋商总报价将以磋商响应报价表为准。</w:t>
      </w:r>
      <w:r>
        <w:rPr>
          <w:rFonts w:hAnsi="宋体" w:eastAsia="宋体" w:cs="宋体"/>
          <w:color w:val="auto"/>
          <w:sz w:val="21"/>
          <w:szCs w:val="21"/>
          <w:highlight w:val="none"/>
          <w:lang w:val="zh-CN"/>
        </w:rPr>
      </w:r>
      <w:r/>
    </w:p>
    <w:p>
      <w:pPr>
        <w:pStyle w:val="1143"/>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r>
      <w:r>
        <w:rPr>
          <w:rFonts w:ascii="SimSun" w:hAnsi="SimSun" w:eastAsia="SimSun" w:cs="SimSun"/>
          <w:color w:val="000000"/>
          <w:sz w:val="22"/>
        </w:rPr>
        <w:t xml:space="preserve">2、投标单位应详细列明布展项清单报价。投标人应对招标文件内所要采购的全部内容进行报价，只投其中部分内容者，其标书将被拒绝。</w:t>
      </w:r>
      <w:r>
        <w:rPr>
          <w:rFonts w:hAnsi="宋体" w:eastAsia="宋体" w:cs="宋体"/>
          <w:color w:val="auto"/>
          <w:sz w:val="21"/>
          <w:szCs w:val="21"/>
          <w:highlight w:val="none"/>
          <w:lang w:val="zh-CN"/>
        </w:rPr>
      </w:r>
      <w:r/>
    </w:p>
    <w:p>
      <w:pPr>
        <w:ind w:firstLine="420"/>
        <w:rPr>
          <w:rFonts w:ascii="宋体" w:hAnsi="宋体" w:cs="宋体"/>
          <w:b/>
          <w:bCs/>
          <w:color w:val="auto"/>
          <w:szCs w:val="21"/>
          <w:highlight w:val="none"/>
          <w:lang w:val="zh-CN"/>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lang w:val="zh-CN"/>
        </w:rPr>
        <w:t xml:space="preserve">附件</w:t>
      </w:r>
      <w:r>
        <w:rPr>
          <w:rFonts w:hint="eastAsia" w:ascii="宋体" w:hAnsi="宋体" w:cs="宋体"/>
          <w:b/>
          <w:bCs/>
          <w:color w:val="auto"/>
          <w:szCs w:val="21"/>
          <w:highlight w:val="none"/>
        </w:rPr>
        <w:t xml:space="preserve">5</w:t>
      </w:r>
      <w:r>
        <w:rPr>
          <w:rFonts w:hint="eastAsia" w:ascii="宋体" w:hAnsi="宋体" w:cs="宋体"/>
          <w:b/>
          <w:bCs/>
          <w:color w:val="auto"/>
          <w:szCs w:val="21"/>
          <w:highlight w:val="none"/>
          <w:lang w:val="zh-CN"/>
        </w:rPr>
        <w:t xml:space="preserve">：资格证明文件（格式为参考，响应单位可参照下述格式自制表格投标，但至少应包括下述格式中的内容，没有参考格式的则可根据情况自行编制）</w:t>
      </w:r>
      <w:r/>
    </w:p>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left"/>
        <w:rPr>
          <w:rFonts w:ascii="宋体" w:hAnsi="宋体" w:cs="宋体"/>
          <w:b/>
          <w:bCs/>
          <w:color w:val="auto"/>
          <w:szCs w:val="21"/>
          <w:highlight w:val="none"/>
          <w:lang w:val="zh-CN"/>
        </w:rPr>
      </w:pPr>
      <w:r>
        <w:rPr>
          <w:rFonts w:hint="eastAsia" w:ascii="宋体" w:hAnsi="宋体" w:cs="宋体"/>
          <w:b/>
          <w:bCs/>
          <w:color w:val="auto"/>
          <w:szCs w:val="21"/>
          <w:highlight w:val="none"/>
        </w:rPr>
        <w:t xml:space="preserve">5.1</w:t>
      </w:r>
      <w:r>
        <w:rPr>
          <w:rFonts w:hint="eastAsia" w:ascii="宋体" w:hAnsi="宋体" w:cs="宋体"/>
          <w:b/>
          <w:bCs/>
          <w:color w:val="auto"/>
          <w:szCs w:val="21"/>
          <w:highlight w:val="none"/>
          <w:lang w:val="zh-CN"/>
        </w:rPr>
        <w:t xml:space="preserve">关于资格文件的声明函</w:t>
      </w:r>
      <w:r/>
    </w:p>
    <w:p>
      <w:pPr>
        <w:ind w:firstLine="420"/>
        <w:jc w:val="center"/>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关于资格文件的声明函</w:t>
      </w:r>
      <w:r/>
    </w:p>
    <w:p>
      <w:pPr>
        <w:ind w:firstLine="420"/>
        <w:jc w:val="center"/>
        <w:rPr>
          <w:rFonts w:ascii="宋体" w:hAnsi="宋体" w:cs="宋体"/>
          <w:color w:val="auto"/>
          <w:szCs w:val="21"/>
          <w:highlight w:val="none"/>
          <w:lang w:val="zh-CN"/>
        </w:rPr>
      </w:pPr>
      <w:r>
        <w:rPr>
          <w:rFonts w:ascii="宋体" w:hAnsi="宋体" w:cs="宋体"/>
          <w:color w:val="auto"/>
          <w:szCs w:val="21"/>
          <w:highlight w:val="none"/>
          <w:lang w:val="zh-CN"/>
        </w:rPr>
      </w:r>
      <w:r/>
    </w:p>
    <w:p>
      <w:pPr>
        <w:jc w:val="left"/>
        <w:rPr>
          <w:rFonts w:ascii="宋体" w:hAnsi="宋体" w:cs="宋体"/>
          <w:color w:val="auto"/>
          <w:szCs w:val="21"/>
          <w:highlight w:val="none"/>
          <w:lang w:val="zh-CN"/>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w:t>
      </w:r>
      <w:r/>
    </w:p>
    <w:p>
      <w:pPr>
        <w:pStyle w:val="1191"/>
        <w:ind w:firstLine="660"/>
        <w:rPr>
          <w:rFonts w:ascii="宋体" w:hAnsi="宋体" w:cs="宋体"/>
          <w:color w:val="auto"/>
          <w:sz w:val="21"/>
          <w:szCs w:val="21"/>
          <w:highlight w:val="none"/>
        </w:rPr>
      </w:pPr>
      <w:r>
        <w:rPr>
          <w:rFonts w:hint="eastAsia" w:ascii="宋体" w:hAnsi="宋体" w:cs="宋体"/>
          <w:color w:val="auto"/>
          <w:sz w:val="21"/>
          <w:szCs w:val="21"/>
          <w:highlight w:val="none"/>
        </w:rPr>
        <w:t xml:space="preserve">本公司愿就由贵公司组织实施的编号为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的招标活动进行投标。本公司所提交的响应文件中所有关于投标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p>
    <w:p>
      <w:pPr>
        <w:pStyle w:val="1191"/>
        <w:tabs>
          <w:tab w:val="left" w:pos="3240" w:leader="none"/>
        </w:tabs>
        <w:rPr>
          <w:rFonts w:ascii="宋体" w:hAnsi="宋体" w:cs="宋体"/>
          <w:color w:val="auto"/>
          <w:sz w:val="21"/>
          <w:szCs w:val="21"/>
          <w:highlight w:val="none"/>
        </w:rPr>
      </w:pPr>
      <w:r>
        <w:rPr>
          <w:rFonts w:ascii="宋体" w:hAnsi="宋体" w:cs="宋体"/>
          <w:color w:val="auto"/>
          <w:sz w:val="21"/>
          <w:szCs w:val="21"/>
          <w:highlight w:val="none"/>
        </w:rPr>
      </w:r>
      <w:r/>
    </w:p>
    <w:p>
      <w:pPr>
        <w:pStyle w:val="1191"/>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 xml:space="preserve">        响应单位法定代表人或委托代理人：（签字或盖章）</w:t>
      </w:r>
      <w:r/>
    </w:p>
    <w:p>
      <w:pPr>
        <w:pStyle w:val="1191"/>
        <w:ind w:left="1700" w:firstLine="425"/>
        <w:rPr>
          <w:rFonts w:ascii="宋体" w:hAnsi="宋体" w:cs="宋体"/>
          <w:color w:val="auto"/>
          <w:sz w:val="21"/>
          <w:szCs w:val="21"/>
          <w:highlight w:val="none"/>
        </w:rPr>
      </w:pPr>
      <w:r>
        <w:rPr>
          <w:rFonts w:hint="eastAsia" w:ascii="宋体" w:hAnsi="宋体" w:cs="宋体"/>
          <w:color w:val="auto"/>
          <w:sz w:val="21"/>
          <w:szCs w:val="21"/>
          <w:highlight w:val="none"/>
        </w:rPr>
        <w:t xml:space="preserve">        磋商响应单位：（公章）</w:t>
      </w:r>
      <w:r/>
    </w:p>
    <w:p>
      <w:pPr>
        <w:pStyle w:val="1191"/>
        <w:ind w:left="4675" w:firstLine="425"/>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1191"/>
        <w:ind w:left="2940"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w:t>
      </w:r>
      <w:r>
        <w:rPr>
          <w:rFonts w:hint="eastAsia" w:ascii="宋体" w:hAnsi="宋体" w:cs="宋体"/>
          <w:color w:val="auto"/>
          <w:sz w:val="21"/>
          <w:szCs w:val="21"/>
          <w:highlight w:val="none"/>
        </w:rPr>
        <w:tab/>
      </w:r>
      <w:r>
        <w:rPr>
          <w:rFonts w:hint="eastAsia" w:ascii="宋体" w:hAnsi="宋体" w:cs="宋体"/>
          <w:color w:val="auto"/>
          <w:sz w:val="21"/>
          <w:szCs w:val="21"/>
          <w:highlight w:val="none"/>
        </w:rPr>
        <w:t xml:space="preserve"> 月 </w:t>
      </w:r>
      <w:r>
        <w:rPr>
          <w:rFonts w:hint="eastAsia" w:ascii="宋体" w:hAnsi="宋体" w:cs="宋体"/>
          <w:color w:val="auto"/>
          <w:sz w:val="21"/>
          <w:szCs w:val="21"/>
          <w:highlight w:val="none"/>
        </w:rPr>
        <w:tab/>
      </w:r>
      <w:r>
        <w:rPr>
          <w:rFonts w:hint="eastAsia" w:ascii="宋体" w:hAnsi="宋体" w:cs="宋体"/>
          <w:color w:val="auto"/>
          <w:sz w:val="21"/>
          <w:szCs w:val="21"/>
          <w:highlight w:val="none"/>
        </w:rPr>
        <w:t xml:space="preserve"> 日</w:t>
      </w:r>
      <w:r/>
    </w:p>
    <w:p>
      <w:pPr>
        <w:spacing w:line="440" w:lineRule="exact"/>
        <w:rPr>
          <w:rFonts w:ascii="宋体" w:hAnsi="宋体" w:cs="宋体"/>
          <w:b/>
          <w:bCs/>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Cs w:val="21"/>
          <w:highlight w:val="none"/>
        </w:rPr>
        <w:t xml:space="preserve">5.2具备履行合同所必需的设备和专业技术能力的书面声明</w:t>
      </w:r>
      <w:r/>
    </w:p>
    <w:p>
      <w:pPr>
        <w:jc w:val="center"/>
        <w:spacing w:line="44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44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声    明</w:t>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我单位郑重声明：</w:t>
      </w:r>
      <w:r/>
    </w:p>
    <w:p>
      <w:pPr>
        <w:ind w:firstLine="44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我单位具备履行本项采购合同所必需的设备和专业技术能力。</w:t>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磋商响应单位（加盖公章）：</w:t>
      </w:r>
      <w:r/>
    </w:p>
    <w:p>
      <w:pPr>
        <w:rPr>
          <w:rFonts w:ascii="宋体" w:hAnsi="宋体" w:cs="宋体"/>
          <w:color w:val="auto"/>
          <w:szCs w:val="21"/>
          <w:highlight w:val="none"/>
        </w:rPr>
      </w:pPr>
      <w:r>
        <w:rPr>
          <w:rFonts w:hint="eastAsia" w:ascii="宋体" w:hAnsi="宋体" w:cs="宋体"/>
          <w:color w:val="auto"/>
          <w:szCs w:val="21"/>
          <w:highlight w:val="none"/>
        </w:rPr>
        <w:t xml:space="preserve">                                    年  月  日</w:t>
      </w:r>
      <w:r/>
    </w:p>
    <w:p>
      <w:pPr>
        <w:pStyle w:val="1191"/>
        <w:ind w:left="2940" w:firstLine="0"/>
        <w:rPr>
          <w:rFonts w:ascii="宋体" w:hAnsi="宋体" w:cs="宋体"/>
          <w:color w:val="auto"/>
          <w:sz w:val="21"/>
          <w:szCs w:val="21"/>
          <w:highlight w:val="none"/>
        </w:rPr>
      </w:pPr>
      <w:r>
        <w:rPr>
          <w:rFonts w:ascii="宋体" w:hAnsi="宋体" w:cs="宋体"/>
          <w:color w:val="auto"/>
          <w:sz w:val="21"/>
          <w:szCs w:val="21"/>
          <w:highlight w:val="none"/>
        </w:rPr>
      </w:r>
      <w:r/>
    </w:p>
    <w:p>
      <w:pPr>
        <w:spacing w:line="440" w:lineRule="exact"/>
        <w:rPr>
          <w:rFonts w:ascii="宋体" w:hAnsi="宋体" w:cs="宋体"/>
          <w:b/>
          <w:bCs/>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Cs w:val="21"/>
          <w:highlight w:val="none"/>
        </w:rPr>
        <w:t xml:space="preserve">5.3参</w:t>
      </w:r>
      <w:r>
        <w:rPr>
          <w:rFonts w:hint="eastAsia" w:ascii="宋体" w:hAnsi="宋体" w:cs="宋体"/>
          <w:b/>
          <w:color w:val="auto"/>
          <w:szCs w:val="21"/>
          <w:highlight w:val="none"/>
        </w:rPr>
        <w:t xml:space="preserve">加采购活动前3年内在经营活动中没有重大违法记录的书面声明</w:t>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jc w:val="cente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声    明</w:t>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我单位郑重声明：参加本次采购活动前3年内，我单位在经营活动中没有因违法经营受到刑事处罚或者责令停产停业、吊销许可证或者执照、较大数额罚款等行政处罚。</w:t>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44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磋商响应单位（加盖公章）：</w:t>
      </w:r>
      <w:r/>
    </w:p>
    <w:p>
      <w:pPr>
        <w:pStyle w:val="1191"/>
        <w:ind w:left="2940"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                                      年  月  日</w:t>
      </w:r>
      <w:r/>
    </w:p>
    <w:p>
      <w:pPr>
        <w:rPr>
          <w:rFonts w:ascii="宋体" w:hAnsi="宋体" w:cs="宋体"/>
          <w:color w:val="auto"/>
          <w:szCs w:val="21"/>
          <w:highlight w:val="none"/>
          <w:lang w:val="zh-CN"/>
        </w:rPr>
      </w:pPr>
      <w:r>
        <w:rPr>
          <w:rFonts w:ascii="宋体" w:hAnsi="宋体" w:cs="宋体"/>
          <w:color w:val="auto"/>
          <w:szCs w:val="21"/>
          <w:highlight w:val="none"/>
          <w:lang w:val="zh-CN"/>
        </w:rPr>
      </w:r>
      <w:r/>
    </w:p>
    <w:p>
      <w:pPr>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left"/>
        <w:rPr>
          <w:rFonts w:ascii="宋体" w:hAnsi="宋体" w:cs="宋体"/>
          <w:b/>
          <w:bCs/>
          <w:color w:val="auto"/>
          <w:szCs w:val="21"/>
          <w:highlight w:val="none"/>
          <w:lang w:val="zh-CN"/>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5.4</w:t>
      </w:r>
      <w:r>
        <w:rPr>
          <w:rFonts w:hint="eastAsia" w:ascii="宋体" w:hAnsi="宋体" w:cs="宋体"/>
          <w:b/>
          <w:bCs/>
          <w:color w:val="auto"/>
          <w:szCs w:val="21"/>
          <w:highlight w:val="none"/>
          <w:lang w:val="zh-CN"/>
        </w:rPr>
        <w:t xml:space="preserve">响应单位情况表</w:t>
      </w:r>
      <w:r/>
    </w:p>
    <w:p>
      <w:pPr>
        <w:jc w:val="center"/>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响应单位基本情况表</w:t>
      </w:r>
      <w:r/>
    </w:p>
    <w:p>
      <w:pPr>
        <w:rPr>
          <w:rFonts w:ascii="宋体" w:hAnsi="宋体" w:cs="宋体"/>
          <w:color w:val="auto"/>
          <w:szCs w:val="21"/>
          <w:highlight w:val="none"/>
          <w:lang w:val="zh-CN"/>
        </w:rPr>
      </w:pPr>
      <w:r>
        <w:rPr>
          <w:rFonts w:hint="eastAsia" w:ascii="宋体" w:hAnsi="宋体" w:cs="宋体"/>
          <w:color w:val="auto"/>
          <w:szCs w:val="21"/>
          <w:highlight w:val="none"/>
          <w:lang w:val="zh-CN"/>
        </w:rPr>
        <w:t xml:space="preserve">磋商响应单位：（公章）</w:t>
      </w:r>
      <w:r/>
    </w:p>
    <w:tbl>
      <w:tblPr>
        <w:tblStyle w:val="860"/>
        <w:tblW w:w="4996"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805"/>
        <w:gridCol w:w="1995"/>
        <w:gridCol w:w="2145"/>
        <w:gridCol w:w="2336"/>
      </w:tblGrid>
      <w:tr>
        <w:trPr>
          <w:cantSplit/>
        </w:trPr>
        <w:tc>
          <w:tcPr>
            <w:tcW w:w="280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法定代表人/负责人</w:t>
            </w:r>
            <w:r/>
          </w:p>
        </w:tc>
        <w:tc>
          <w:tcPr>
            <w:tcW w:w="1995"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214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成立日期</w:t>
            </w:r>
            <w:r/>
          </w:p>
        </w:tc>
        <w:tc>
          <w:tcPr>
            <w:tcW w:w="233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80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企业地址</w:t>
            </w:r>
            <w:r/>
          </w:p>
        </w:tc>
        <w:tc>
          <w:tcPr>
            <w:tcW w:w="1995"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214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注册资本</w:t>
            </w:r>
            <w:r/>
          </w:p>
        </w:tc>
        <w:tc>
          <w:tcPr>
            <w:tcW w:w="2336"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万元</w:t>
            </w:r>
            <w:r/>
          </w:p>
        </w:tc>
      </w:tr>
      <w:tr>
        <w:trPr>
          <w:cantSplit/>
        </w:trPr>
        <w:tc>
          <w:tcPr>
            <w:tcW w:w="2805"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生产范围</w:t>
            </w:r>
            <w:r/>
          </w:p>
        </w:tc>
        <w:tc>
          <w:tcPr>
            <w:gridSpan w:val="3"/>
            <w:tcW w:w="647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805"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职工人数</w:t>
            </w:r>
            <w:r/>
          </w:p>
        </w:tc>
        <w:tc>
          <w:tcPr>
            <w:tcW w:w="1995" w:type="dxa"/>
            <w:vAlign w:val="center"/>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214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其中：有中高级以上职称的人数</w:t>
            </w:r>
            <w:r/>
          </w:p>
        </w:tc>
        <w:tc>
          <w:tcPr>
            <w:tcW w:w="233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805"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资产总计</w:t>
            </w:r>
            <w:r/>
          </w:p>
        </w:tc>
        <w:tc>
          <w:tcPr>
            <w:tcW w:w="199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万元</w:t>
            </w:r>
            <w:r/>
          </w:p>
        </w:tc>
        <w:tc>
          <w:tcPr>
            <w:tcW w:w="2145"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净资产</w:t>
            </w:r>
            <w:r/>
          </w:p>
        </w:tc>
        <w:tc>
          <w:tcPr>
            <w:tcW w:w="2336"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万元</w:t>
            </w:r>
            <w:r/>
          </w:p>
        </w:tc>
      </w:tr>
      <w:tr>
        <w:trPr>
          <w:cantSplit/>
        </w:trPr>
        <w:tc>
          <w:tcPr>
            <w:tcW w:w="2805"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股东权益</w:t>
            </w:r>
            <w:r/>
          </w:p>
        </w:tc>
        <w:tc>
          <w:tcPr>
            <w:tcW w:w="199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万元</w:t>
            </w:r>
            <w:r/>
          </w:p>
        </w:tc>
        <w:tc>
          <w:tcPr>
            <w:tcW w:w="2145"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销售收入</w:t>
            </w:r>
            <w:r/>
          </w:p>
        </w:tc>
        <w:tc>
          <w:tcPr>
            <w:tcW w:w="2336"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lang w:val="en-US" w:eastAsia="zh-CN"/>
              </w:rPr>
              <w:t xml:space="preserve">2025</w:t>
            </w:r>
            <w:r>
              <w:rPr>
                <w:rFonts w:hint="eastAsia" w:ascii="宋体" w:hAnsi="宋体" w:cs="宋体"/>
                <w:color w:val="auto"/>
                <w:szCs w:val="21"/>
                <w:highlight w:val="none"/>
              </w:rPr>
              <w:t xml:space="preserve">年      万元</w:t>
            </w:r>
            <w:r/>
          </w:p>
        </w:tc>
      </w:tr>
      <w:tr>
        <w:trPr>
          <w:cantSplit/>
        </w:trPr>
        <w:tc>
          <w:tcPr>
            <w:tcW w:w="2805"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实现利润</w:t>
            </w:r>
            <w:r/>
          </w:p>
        </w:tc>
        <w:tc>
          <w:tcPr>
            <w:tcW w:w="199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2025</w:t>
            </w:r>
            <w:r>
              <w:rPr>
                <w:rFonts w:hint="eastAsia" w:ascii="宋体" w:hAnsi="宋体" w:cs="宋体"/>
                <w:color w:val="auto"/>
                <w:szCs w:val="21"/>
                <w:highlight w:val="none"/>
              </w:rPr>
              <w:t xml:space="preserve">年    万元</w:t>
            </w:r>
            <w:r/>
          </w:p>
        </w:tc>
        <w:tc>
          <w:tcPr>
            <w:tcW w:w="2145"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233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805"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营业面积</w:t>
            </w:r>
            <w:r/>
          </w:p>
        </w:tc>
        <w:tc>
          <w:tcPr>
            <w:tcW w:w="1995"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平方米</w:t>
            </w:r>
            <w:r/>
          </w:p>
        </w:tc>
        <w:tc>
          <w:tcPr>
            <w:tcW w:w="2145"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其中：</w:t>
            </w:r>
            <w:r/>
          </w:p>
        </w:tc>
        <w:tc>
          <w:tcPr>
            <w:tcW w:w="2336"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自有面积     平方米</w:t>
            </w: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承租面积     平方米</w:t>
            </w:r>
            <w:r/>
          </w:p>
        </w:tc>
      </w:tr>
      <w:tr>
        <w:trPr>
          <w:cantSplit/>
          <w:trHeight w:val="356"/>
        </w:trPr>
        <w:tc>
          <w:tcPr>
            <w:tcW w:w="2805"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单位简历及内设机构情况</w:t>
            </w:r>
            <w:r/>
          </w:p>
        </w:tc>
        <w:tc>
          <w:tcPr>
            <w:gridSpan w:val="3"/>
            <w:tcW w:w="647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431"/>
        </w:trPr>
        <w:tc>
          <w:tcPr>
            <w:tcW w:w="2805"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单位优势及特长</w:t>
            </w:r>
            <w:r/>
          </w:p>
        </w:tc>
        <w:tc>
          <w:tcPr>
            <w:gridSpan w:val="3"/>
            <w:tcW w:w="647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760"/>
        </w:trPr>
        <w:tc>
          <w:tcPr>
            <w:tcW w:w="280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近两年来完成或正在履行的重大合同情况</w:t>
            </w:r>
            <w:r/>
          </w:p>
        </w:tc>
        <w:tc>
          <w:tcPr>
            <w:gridSpan w:val="3"/>
            <w:tcW w:w="647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80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最近2年内在经营过程中受到何种奖励或处分</w:t>
            </w:r>
            <w:r/>
          </w:p>
        </w:tc>
        <w:tc>
          <w:tcPr>
            <w:gridSpan w:val="3"/>
            <w:tcW w:w="6476"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（包括财政、工商、税务、物价、技监部门稽查情况和结果）</w:t>
            </w:r>
            <w:r/>
          </w:p>
        </w:tc>
      </w:tr>
      <w:tr>
        <w:trPr>
          <w:cantSplit/>
          <w:trHeight w:val="1245"/>
        </w:trPr>
        <w:tc>
          <w:tcPr>
            <w:tcW w:w="280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最近3年内有无因售假、售劣或是其他原因被消费者投诉或起诉的情况及说明</w:t>
            </w:r>
            <w:r/>
          </w:p>
        </w:tc>
        <w:tc>
          <w:tcPr>
            <w:gridSpan w:val="3"/>
            <w:tcW w:w="6476"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（包括解决方式和结果）</w:t>
            </w:r>
            <w:r/>
          </w:p>
        </w:tc>
      </w:tr>
      <w:tr>
        <w:trPr>
          <w:cantSplit/>
          <w:trHeight w:val="1161"/>
        </w:trPr>
        <w:tc>
          <w:tcPr>
            <w:tcW w:w="280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最近3年内主要负责人有无因经济犯罪被司法机关追究的情况及说明</w:t>
            </w:r>
            <w:r/>
          </w:p>
        </w:tc>
        <w:tc>
          <w:tcPr>
            <w:gridSpan w:val="3"/>
            <w:tcW w:w="647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Pr>
        <w:tc>
          <w:tcPr>
            <w:tcW w:w="280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获得技术认证的工程师及简介</w:t>
            </w:r>
            <w:r/>
          </w:p>
        </w:tc>
        <w:tc>
          <w:tcPr>
            <w:gridSpan w:val="3"/>
            <w:tcW w:w="647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618"/>
        </w:trPr>
        <w:tc>
          <w:tcPr>
            <w:tcW w:w="2805" w:type="dxa"/>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3"/>
            <w:tcW w:w="6476" w:type="dxa"/>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s="宋体"/>
          <w:color w:val="auto"/>
          <w:szCs w:val="21"/>
          <w:highlight w:val="none"/>
          <w:lang w:val="zh-CN"/>
        </w:rPr>
      </w:pPr>
      <w:r>
        <w:rPr>
          <w:rFonts w:ascii="宋体" w:hAnsi="宋体" w:cs="宋体"/>
          <w:color w:val="auto"/>
          <w:szCs w:val="21"/>
          <w:highlight w:val="none"/>
          <w:lang w:val="zh-CN"/>
        </w:rPr>
      </w:r>
      <w:r/>
    </w:p>
    <w:p>
      <w:pPr>
        <w:rPr>
          <w:rFonts w:ascii="宋体" w:hAnsi="宋体" w:cs="宋体"/>
          <w:color w:val="auto"/>
          <w:szCs w:val="21"/>
          <w:highlight w:val="none"/>
          <w:u w:val="single"/>
          <w:lang w:val="zh-CN"/>
        </w:rPr>
      </w:pPr>
      <w:r>
        <w:rPr>
          <w:rFonts w:hint="eastAsia" w:ascii="宋体" w:hAnsi="宋体" w:cs="宋体"/>
          <w:color w:val="auto"/>
          <w:szCs w:val="21"/>
          <w:highlight w:val="none"/>
          <w:lang w:val="zh-CN"/>
        </w:rPr>
        <w:t xml:space="preserve">法定代表人或其授权代表：（签字或盖章）</w:t>
      </w:r>
      <w:r/>
    </w:p>
    <w:p>
      <w:pPr>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   期：</w:t>
      </w:r>
      <w:r/>
    </w:p>
    <w:p>
      <w:pPr>
        <w:rPr>
          <w:rFonts w:ascii="宋体" w:hAnsi="宋体" w:cs="宋体"/>
          <w:b/>
          <w:bCs/>
          <w:color w:val="auto"/>
          <w:szCs w:val="21"/>
          <w:highlight w:val="none"/>
        </w:rPr>
      </w:pPr>
      <w:r>
        <w:rPr>
          <w:rFonts w:ascii="宋体" w:hAnsi="宋体" w:cs="宋体"/>
          <w:b/>
          <w:bCs/>
          <w:color w:val="auto"/>
          <w:szCs w:val="21"/>
          <w:highlight w:val="none"/>
        </w:rPr>
      </w:r>
      <w:r/>
    </w:p>
    <w:p>
      <w:pPr>
        <w:rPr>
          <w:rFonts w:ascii="宋体" w:hAnsi="宋体" w:cs="宋体"/>
          <w:b/>
          <w:color w:val="auto"/>
          <w:szCs w:val="21"/>
          <w:highlight w:val="none"/>
          <w:lang w:val="zh-CN"/>
        </w:rPr>
      </w:pPr>
      <w:r>
        <w:rPr>
          <w:rFonts w:hint="eastAsia" w:ascii="宋体" w:hAnsi="宋体" w:cs="宋体"/>
          <w:b/>
          <w:bCs/>
          <w:color w:val="auto"/>
          <w:szCs w:val="21"/>
          <w:highlight w:val="none"/>
        </w:rPr>
        <w:t xml:space="preserve">5</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5</w:t>
      </w:r>
      <w:r>
        <w:rPr>
          <w:rFonts w:hint="eastAsia" w:ascii="宋体" w:hAnsi="宋体" w:cs="宋体"/>
          <w:b/>
          <w:color w:val="auto"/>
          <w:szCs w:val="21"/>
          <w:highlight w:val="none"/>
          <w:lang w:val="zh-CN"/>
        </w:rPr>
        <w:t xml:space="preserve">响应单位资格承诺书</w:t>
      </w:r>
      <w:r/>
    </w:p>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响应单位资格承诺书</w:t>
      </w:r>
      <w:r/>
    </w:p>
    <w:p>
      <w:pPr>
        <w:ind w:firstLine="315"/>
        <w:rPr>
          <w:rFonts w:ascii="宋体" w:hAnsi="宋体" w:cs="宋体"/>
          <w:color w:val="auto"/>
          <w:szCs w:val="21"/>
          <w:highlight w:val="none"/>
          <w:lang w:val="zh-CN"/>
        </w:rPr>
      </w:pPr>
      <w:r>
        <w:rPr>
          <w:rFonts w:hint="eastAsia" w:ascii="宋体" w:hAnsi="宋体" w:cs="宋体"/>
          <w:color w:val="auto"/>
          <w:szCs w:val="21"/>
          <w:highlight w:val="none"/>
        </w:rPr>
        <w:t xml:space="preserve">响应单位：（公章）                             </w:t>
      </w:r>
      <w:r>
        <w:rPr>
          <w:rFonts w:hint="eastAsia" w:ascii="宋体" w:hAnsi="宋体" w:cs="宋体"/>
          <w:color w:val="auto"/>
          <w:szCs w:val="21"/>
          <w:highlight w:val="none"/>
          <w:lang w:eastAsia="zh-CN"/>
        </w:rPr>
        <w:t xml:space="preserve">项目编号</w:t>
      </w:r>
      <w:r>
        <w:rPr>
          <w:rFonts w:hint="eastAsia" w:ascii="宋体" w:hAnsi="宋体" w:cs="宋体"/>
          <w:color w:val="auto"/>
          <w:szCs w:val="21"/>
          <w:highlight w:val="none"/>
        </w:rPr>
        <w:t xml:space="preserve">：             号</w:t>
      </w:r>
      <w:r/>
    </w:p>
    <w:tbl>
      <w:tblPr>
        <w:tblStyle w:val="860"/>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3012"/>
        <w:gridCol w:w="1756"/>
        <w:gridCol w:w="3555"/>
      </w:tblGrid>
      <w:tr>
        <w:trPr>
          <w:jc w:val="center"/>
          <w:trHeight w:val="696"/>
        </w:trPr>
        <w:tc>
          <w:tcPr>
            <w:tcW w:w="959"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3012"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响应单位部分资格要求</w:t>
            </w:r>
            <w:r/>
          </w:p>
        </w:tc>
        <w:tc>
          <w:tcPr>
            <w:tcW w:w="1756"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是否完全满足</w:t>
            </w:r>
            <w:r/>
          </w:p>
        </w:tc>
        <w:tc>
          <w:tcPr>
            <w:tcW w:w="3555"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jc w:val="center"/>
          <w:trHeight w:val="660"/>
        </w:trPr>
        <w:tc>
          <w:tcPr>
            <w:tcW w:w="95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01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具有独立承担民事责任的能力；</w:t>
            </w:r>
            <w:r/>
          </w:p>
        </w:tc>
        <w:tc>
          <w:tcPr>
            <w:tcW w:w="175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55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提供包括法人或者其他组织的营业执照等证明文件，自然人的身份证明</w:t>
            </w:r>
            <w:r/>
          </w:p>
        </w:tc>
      </w:tr>
      <w:tr>
        <w:trPr>
          <w:jc w:val="center"/>
          <w:trHeight w:val="660"/>
        </w:trPr>
        <w:tc>
          <w:tcPr>
            <w:tcW w:w="95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01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具有良好的商业信誉和健全的财务会计制度；</w:t>
            </w:r>
            <w:r/>
          </w:p>
        </w:tc>
        <w:tc>
          <w:tcPr>
            <w:tcW w:w="175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55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提供包括但不限于最近一期经审计的财务报告或最近一期财务报表，其他组织、自然人及成立未满一年的法人应提供银行出具的资信证明</w:t>
            </w:r>
            <w:r/>
          </w:p>
        </w:tc>
      </w:tr>
      <w:tr>
        <w:trPr>
          <w:jc w:val="center"/>
          <w:trHeight w:val="660"/>
        </w:trPr>
        <w:tc>
          <w:tcPr>
            <w:tcW w:w="95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01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具有履行合同所必需的设备和专业技术能力；</w:t>
            </w:r>
            <w:r/>
          </w:p>
        </w:tc>
        <w:tc>
          <w:tcPr>
            <w:tcW w:w="175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55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提供承诺或相关证明材料</w:t>
            </w:r>
            <w:r/>
          </w:p>
        </w:tc>
      </w:tr>
      <w:tr>
        <w:trPr>
          <w:jc w:val="center"/>
          <w:trHeight w:val="660"/>
        </w:trPr>
        <w:tc>
          <w:tcPr>
            <w:tcW w:w="95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01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有依法缴纳税收和社会保障资金的良好记录；</w:t>
            </w:r>
            <w:r/>
          </w:p>
        </w:tc>
        <w:tc>
          <w:tcPr>
            <w:tcW w:w="175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55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提供税务登记证（如有）和最近期的依法缴纳税收的凭据，最近期的依法缴纳社会保险的凭据（专用收据或社会保险缴纳清单），依法免税或不需要缴纳社会保障资金的供应商，应提供对应证明文件</w:t>
            </w:r>
            <w:r/>
          </w:p>
        </w:tc>
      </w:tr>
      <w:tr>
        <w:trPr>
          <w:jc w:val="center"/>
          <w:trHeight w:val="660"/>
        </w:trPr>
        <w:tc>
          <w:tcPr>
            <w:tcW w:w="95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301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参加政府采购活动前三年内，在经营活动中没有重大违法记录。</w:t>
            </w:r>
            <w:r/>
          </w:p>
        </w:tc>
        <w:tc>
          <w:tcPr>
            <w:tcW w:w="175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55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提供书面声明函</w:t>
            </w:r>
            <w:r/>
          </w:p>
        </w:tc>
      </w:tr>
    </w:tbl>
    <w:p>
      <w:pPr>
        <w:pStyle w:val="1189"/>
        <w:ind w:firstLine="630"/>
        <w:spacing w:before="0" w:beforeAutospacing="0" w:after="0" w:afterAutospacing="0"/>
        <w:rPr>
          <w:color w:val="auto"/>
          <w:sz w:val="21"/>
          <w:szCs w:val="21"/>
          <w:highlight w:val="none"/>
        </w:rPr>
      </w:pPr>
      <w:r>
        <w:rPr>
          <w:rFonts w:hint="eastAsia"/>
          <w:color w:val="auto"/>
          <w:sz w:val="21"/>
          <w:szCs w:val="21"/>
          <w:highlight w:val="none"/>
        </w:rPr>
        <w:t xml:space="preserve">磋商响应单位（公章）：</w:t>
      </w:r>
      <w:r/>
    </w:p>
    <w:p>
      <w:pPr>
        <w:pStyle w:val="1189"/>
        <w:ind w:firstLine="630"/>
        <w:spacing w:before="0" w:beforeAutospacing="0" w:after="0" w:afterAutospacing="0"/>
        <w:rPr>
          <w:color w:val="auto"/>
          <w:sz w:val="21"/>
          <w:szCs w:val="21"/>
          <w:highlight w:val="none"/>
        </w:rPr>
      </w:pPr>
      <w:r>
        <w:rPr>
          <w:rFonts w:hint="eastAsia"/>
          <w:color w:val="auto"/>
          <w:sz w:val="21"/>
          <w:szCs w:val="21"/>
          <w:highlight w:val="none"/>
        </w:rPr>
        <w:t xml:space="preserve">法定代表人或委托代理人：（签字或盖章）</w:t>
      </w:r>
      <w:r/>
    </w:p>
    <w:p>
      <w:pPr>
        <w:ind w:firstLine="630"/>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1191"/>
        <w:ind w:firstLine="0"/>
        <w:rPr>
          <w:rFonts w:ascii="宋体" w:hAnsi="宋体" w:cs="宋体"/>
          <w:color w:val="auto"/>
          <w:sz w:val="21"/>
          <w:szCs w:val="21"/>
          <w:highlight w:val="none"/>
        </w:rPr>
      </w:pPr>
      <w:r>
        <w:rPr>
          <w:rFonts w:ascii="宋体" w:hAnsi="宋体" w:cs="宋体"/>
          <w:color w:val="auto"/>
          <w:sz w:val="21"/>
          <w:szCs w:val="21"/>
          <w:highlight w:val="none"/>
        </w:rPr>
      </w:r>
      <w:r/>
    </w:p>
    <w:p>
      <w:pPr>
        <w:pageBreakBefore/>
        <w:rPr>
          <w:rFonts w:ascii="宋体" w:hAnsi="宋体" w:cs="宋体"/>
          <w:b/>
          <w:bCs/>
          <w:color w:val="auto"/>
          <w:szCs w:val="21"/>
          <w:highlight w:val="none"/>
          <w:lang w:val="zh-CN"/>
        </w:rPr>
      </w:pPr>
      <w:r>
        <w:rPr>
          <w:rFonts w:hint="eastAsia" w:ascii="宋体" w:hAnsi="宋体" w:cs="宋体"/>
          <w:b/>
          <w:color w:val="auto"/>
          <w:szCs w:val="21"/>
          <w:highlight w:val="none"/>
        </w:rPr>
        <w:t xml:space="preserve">5.6</w:t>
      </w:r>
      <w:r>
        <w:rPr>
          <w:rFonts w:hint="eastAsia" w:ascii="宋体" w:hAnsi="宋体" w:cs="宋体"/>
          <w:b/>
          <w:bCs/>
          <w:color w:val="auto"/>
          <w:szCs w:val="21"/>
          <w:highlight w:val="none"/>
          <w:lang w:val="zh-CN"/>
        </w:rPr>
        <w:t xml:space="preserve">中小企业声明资料</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中小企业声明函（服务） </w:t>
      </w:r>
      <w:r/>
    </w:p>
    <w:p>
      <w:pPr>
        <w:ind w:firstLine="424"/>
        <w:jc w:val="left"/>
        <w:rPr>
          <w:rFonts w:ascii="宋体" w:hAnsi="宋体" w:cs="宋体"/>
          <w:color w:val="auto"/>
          <w:szCs w:val="21"/>
          <w:highlight w:val="none"/>
        </w:rPr>
      </w:pPr>
      <w:r>
        <w:rPr>
          <w:rFonts w:hint="eastAsia" w:ascii="宋体" w:hAnsi="宋体" w:cs="宋体"/>
          <w:color w:val="auto"/>
          <w:szCs w:val="21"/>
          <w:highlight w:val="none"/>
        </w:rPr>
        <w:t xml:space="preserve">本公司（或联合体）郑重声明，根据《政府采购促进中小企业发展管理办法》（财库﹝2020﹞46 号）的规定，本公司 （或联合体）参加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采购活动，服务全部由符合政策要求的中小企业承接。相关企业（含联合体中的中小企业、签订分包意向协议的中小企业）的具体情况如下： </w:t>
      </w:r>
      <w:r/>
    </w:p>
    <w:p>
      <w:pPr>
        <w:ind w:firstLine="424"/>
        <w:jc w:val="left"/>
        <w:rPr>
          <w:rFonts w:ascii="宋体" w:hAnsi="宋体" w:cs="宋体"/>
          <w:color w:val="auto"/>
          <w:szCs w:val="21"/>
          <w:highlight w:val="none"/>
        </w:rPr>
      </w:pPr>
      <w:r>
        <w:rPr>
          <w:rFonts w:hint="eastAsia" w:ascii="宋体" w:hAnsi="宋体" w:cs="宋体"/>
          <w:color w:val="auto"/>
          <w:szCs w:val="21"/>
          <w:highlight w:val="none"/>
        </w:rPr>
        <w:t xml:space="preserve">1.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（其他未列明行业）</w:t>
      </w:r>
      <w:r>
        <w:rPr>
          <w:rFonts w:hint="eastAsia" w:ascii="宋体" w:hAnsi="宋体" w:cs="宋体"/>
          <w:color w:val="auto"/>
          <w:szCs w:val="21"/>
          <w:highlight w:val="none"/>
        </w:rPr>
        <w:t xml:space="preserve">； 承建（承接）企业为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rFonts w:hint="eastAsia" w:ascii="宋体" w:hAnsi="宋体" w:cs="宋体"/>
          <w:color w:val="auto"/>
          <w:szCs w:val="21"/>
          <w:highlight w:val="none"/>
          <w:vertAlign w:val="superscript"/>
        </w:rPr>
        <w:t xml:space="preserve">1</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 小型企业、微型企业）</w:t>
      </w:r>
      <w:r>
        <w:rPr>
          <w:rFonts w:hint="eastAsia" w:ascii="宋体" w:hAnsi="宋体" w:cs="宋体"/>
          <w:color w:val="auto"/>
          <w:szCs w:val="21"/>
          <w:highlight w:val="none"/>
        </w:rPr>
        <w:t xml:space="preserve">； </w:t>
      </w:r>
      <w:r/>
    </w:p>
    <w:p>
      <w:pPr>
        <w:ind w:firstLine="424"/>
        <w:jc w:val="left"/>
        <w:rPr>
          <w:rFonts w:ascii="宋体" w:hAnsi="宋体" w:cs="宋体"/>
          <w:color w:val="auto"/>
          <w:szCs w:val="21"/>
          <w:highlight w:val="none"/>
        </w:rPr>
      </w:pPr>
      <w:r>
        <w:rPr>
          <w:rFonts w:hint="eastAsia" w:ascii="宋体" w:hAnsi="宋体" w:cs="宋体"/>
          <w:color w:val="auto"/>
          <w:szCs w:val="21"/>
          <w:highlight w:val="none"/>
        </w:rPr>
        <w:t xml:space="preserve">2.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（其他未列明行业）</w:t>
      </w:r>
      <w:r>
        <w:rPr>
          <w:rFonts w:hint="eastAsia" w:ascii="宋体" w:hAnsi="宋体" w:cs="宋体"/>
          <w:color w:val="auto"/>
          <w:szCs w:val="21"/>
          <w:highlight w:val="none"/>
        </w:rPr>
        <w:t xml:space="preserve">； 承建（承接）企业为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rFonts w:hint="eastAsia" w:ascii="宋体" w:hAnsi="宋体" w:cs="宋体"/>
          <w:color w:val="auto"/>
          <w:szCs w:val="21"/>
          <w:highlight w:val="none"/>
          <w:vertAlign w:val="superscript"/>
        </w:rPr>
        <w:t xml:space="preserve">1</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 小型企业、微型企业）</w:t>
      </w:r>
      <w:r>
        <w:rPr>
          <w:rFonts w:hint="eastAsia" w:ascii="宋体" w:hAnsi="宋体" w:cs="宋体"/>
          <w:color w:val="auto"/>
          <w:szCs w:val="21"/>
          <w:highlight w:val="none"/>
        </w:rPr>
        <w:t xml:space="preserve">； …… </w:t>
      </w:r>
      <w:r/>
    </w:p>
    <w:p>
      <w:pPr>
        <w:ind w:firstLine="424"/>
        <w:jc w:val="left"/>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24"/>
        <w:jc w:val="center"/>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4095"/>
        <w:rPr>
          <w:rFonts w:ascii="宋体" w:hAnsi="宋体" w:cs="宋体"/>
          <w:color w:val="auto"/>
          <w:szCs w:val="21"/>
          <w:highlight w:val="none"/>
          <w:lang w:val="zh-CN"/>
        </w:rPr>
      </w:pPr>
      <w:r>
        <w:rPr>
          <w:rFonts w:hint="eastAsia" w:ascii="宋体" w:hAnsi="宋体" w:cs="宋体"/>
          <w:color w:val="auto"/>
          <w:szCs w:val="21"/>
          <w:highlight w:val="none"/>
        </w:rPr>
        <w:t xml:space="preserve">日 期：</w:t>
      </w:r>
      <w:r/>
    </w:p>
    <w:p>
      <w:pPr>
        <w:ind w:firstLine="424"/>
        <w:jc w:val="left"/>
        <w:rPr>
          <w:rFonts w:ascii="宋体" w:hAnsi="宋体" w:cs="宋体"/>
          <w:color w:val="auto"/>
          <w:szCs w:val="21"/>
          <w:highlight w:val="none"/>
        </w:rPr>
      </w:pPr>
      <w:r>
        <w:rPr>
          <w:rFonts w:hint="eastAsia" w:ascii="宋体" w:hAnsi="宋体" w:cs="宋体"/>
          <w:color w:val="auto"/>
          <w:szCs w:val="21"/>
          <w:highlight w:val="none"/>
        </w:rPr>
        <w:t xml:space="preserve">注：供应商对照《关于印发中小企业划型标准规定的通知》（工信部联企业【2011】300号）中的标准，明确标的承接企业所属企业类型。</w:t>
      </w:r>
      <w:r/>
    </w:p>
    <w:p>
      <w:pPr>
        <w:ind w:firstLine="424"/>
        <w:jc w:val="left"/>
        <w:rPr>
          <w:rFonts w:ascii="宋体" w:hAnsi="宋体" w:cs="宋体"/>
          <w:color w:val="auto"/>
          <w:szCs w:val="21"/>
          <w:highlight w:val="none"/>
        </w:rPr>
      </w:pPr>
      <w:r>
        <w:rPr>
          <w:rFonts w:hint="eastAsia" w:ascii="宋体" w:hAnsi="宋体" w:cs="宋体"/>
          <w:color w:val="auto"/>
          <w:szCs w:val="21"/>
          <w:highlight w:val="none"/>
        </w:rPr>
        <w:t xml:space="preserve">备注：1.从业人员、营业收入、资产总额填报上一年度数据，无上一年度数据的新成立企业可不填报。</w:t>
      </w:r>
      <w:r/>
    </w:p>
    <w:p>
      <w:pPr>
        <w:ind w:firstLine="424"/>
        <w:jc w:val="left"/>
        <w:rPr>
          <w:rFonts w:ascii="宋体" w:hAnsi="宋体" w:cs="宋体"/>
          <w:color w:val="auto"/>
          <w:szCs w:val="21"/>
          <w:highlight w:val="none"/>
        </w:rPr>
      </w:pPr>
      <w:r>
        <w:rPr>
          <w:rFonts w:hint="eastAsia" w:ascii="宋体" w:hAnsi="宋体" w:cs="宋体"/>
          <w:color w:val="auto"/>
          <w:szCs w:val="21"/>
          <w:highlight w:val="none"/>
        </w:rPr>
        <w:t xml:space="preserve">2.在服务采购项目中，服务由中小企业承接，即提供服务的人员为中小企业依照《中华人民共和国劳动合同法》订立劳动合同的从业人员。</w:t>
      </w:r>
      <w:r>
        <w:rPr>
          <w:rFonts w:hint="eastAsia" w:ascii="宋体" w:hAnsi="宋体" w:cs="宋体"/>
          <w:b/>
          <w:bCs/>
          <w:color w:val="auto"/>
          <w:szCs w:val="21"/>
          <w:highlight w:val="none"/>
        </w:rPr>
        <w:t xml:space="preserve">服务类项目中供应商若使用退休人员，将不享受相应扶持政策。具体见《政府采购促进中小企业发展管理办法》第四条第（三）点的规定。</w:t>
      </w:r>
      <w:r/>
    </w:p>
    <w:p>
      <w:pPr>
        <w:pStyle w:val="1114"/>
        <w:ind w:firstLine="428"/>
        <w:rPr>
          <w:rFonts w:ascii="宋体" w:hAnsi="宋体" w:cs="宋体"/>
          <w:b/>
          <w:bCs/>
          <w:color w:val="auto"/>
          <w:szCs w:val="21"/>
          <w:highlight w:val="none"/>
        </w:rPr>
      </w:pPr>
      <w:r>
        <w:rPr>
          <w:rFonts w:ascii="宋体" w:hAnsi="宋体" w:cs="宋体"/>
          <w:b/>
          <w:bCs/>
          <w:color w:val="auto"/>
          <w:szCs w:val="21"/>
          <w:highlight w:val="none"/>
        </w:rPr>
      </w:r>
      <w:r/>
    </w:p>
    <w:p>
      <w:pPr>
        <w:pStyle w:val="1114"/>
        <w:ind w:firstLine="428"/>
        <w:rPr>
          <w:rFonts w:ascii="宋体" w:hAnsi="宋体" w:cs="宋体"/>
          <w:color w:val="auto"/>
          <w:szCs w:val="21"/>
          <w:highlight w:val="none"/>
        </w:rPr>
      </w:pPr>
      <w:r>
        <w:rPr>
          <w:rFonts w:hint="eastAsia" w:ascii="宋体" w:hAnsi="宋体" w:cs="宋体"/>
          <w:b/>
          <w:bCs/>
          <w:color w:val="auto"/>
          <w:szCs w:val="21"/>
          <w:highlight w:val="none"/>
        </w:rPr>
        <w:t xml:space="preserve">备注：从业人员、营业收入、资产总额填报上一年度数据，无上一年度数据的新成立企业可不填报，如未对（中型企业、小型企业、微型企业）进行勾选，视同非小微企业，不可享受相应优惠</w:t>
      </w:r>
      <w:r>
        <w:rPr>
          <w:rFonts w:hint="eastAsia" w:ascii="宋体" w:hAnsi="宋体" w:cs="宋体"/>
          <w:color w:val="auto"/>
          <w:szCs w:val="21"/>
          <w:highlight w:val="none"/>
        </w:rPr>
        <w:t xml:space="preserve">。</w:t>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附：中小企业划型标准规定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（一）农、林、牧、渔业。</w:t>
      </w:r>
      <w:r>
        <w:rPr>
          <w:rFonts w:hint="eastAsia" w:ascii="宋体" w:hAnsi="宋体" w:cs="宋体"/>
          <w:color w:val="auto"/>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（二）工业。</w:t>
      </w:r>
      <w:r>
        <w:rPr>
          <w:rFonts w:hint="eastAsia" w:ascii="宋体" w:hAnsi="宋体" w:cs="宋体"/>
          <w:color w:val="auto"/>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（三）建筑业。</w:t>
      </w:r>
      <w:r>
        <w:rPr>
          <w:rFonts w:hint="eastAsia" w:ascii="宋体" w:hAnsi="宋体" w:cs="宋体"/>
          <w:color w:val="auto"/>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（四）批发业。</w:t>
      </w:r>
      <w:r>
        <w:rPr>
          <w:rFonts w:hint="eastAsia" w:ascii="宋体" w:hAnsi="宋体" w:cs="宋体"/>
          <w:color w:val="auto"/>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（五）零售业。</w:t>
      </w:r>
      <w:r>
        <w:rPr>
          <w:rFonts w:hint="eastAsia" w:ascii="宋体" w:hAnsi="宋体" w:cs="宋体"/>
          <w:color w:val="auto"/>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（六）交通运输业。</w:t>
      </w:r>
      <w:r>
        <w:rPr>
          <w:rFonts w:hint="eastAsia" w:ascii="宋体" w:hAnsi="宋体" w:cs="宋体"/>
          <w:color w:val="auto"/>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（七）仓储业。</w:t>
      </w:r>
      <w:r>
        <w:rPr>
          <w:rFonts w:hint="eastAsia" w:ascii="宋体" w:hAnsi="宋体" w:cs="宋体"/>
          <w:color w:val="auto"/>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（八）邮政业。</w:t>
      </w:r>
      <w:r>
        <w:rPr>
          <w:rFonts w:hint="eastAsia" w:ascii="宋体" w:hAnsi="宋体" w:cs="宋体"/>
          <w:color w:val="auto"/>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（九）住宿业。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（十）餐饮业。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（十一）信息传输业。</w:t>
      </w:r>
      <w:r>
        <w:rPr>
          <w:rFonts w:hint="eastAsia" w:ascii="宋体" w:hAnsi="宋体" w:cs="宋体"/>
          <w:color w:val="auto"/>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（十二）软件和信息技术服务业。</w:t>
      </w:r>
      <w:r>
        <w:rPr>
          <w:rFonts w:hint="eastAsia" w:ascii="宋体" w:hAnsi="宋体" w:cs="宋体"/>
          <w:color w:val="auto"/>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（十三）房地产开发经营。</w:t>
      </w:r>
      <w:r>
        <w:rPr>
          <w:rFonts w:hint="eastAsia" w:ascii="宋体" w:hAnsi="宋体" w:cs="宋体"/>
          <w:color w:val="auto"/>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（十四）物业管理。</w:t>
      </w:r>
      <w:r>
        <w:rPr>
          <w:rFonts w:hint="eastAsia" w:ascii="宋体" w:hAnsi="宋体" w:cs="宋体"/>
          <w:color w:val="auto"/>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（十五）租赁和商务服务业。</w:t>
      </w:r>
      <w:r>
        <w:rPr>
          <w:rFonts w:hint="eastAsia" w:ascii="宋体" w:hAnsi="宋体" w:cs="宋体"/>
          <w:color w:val="auto"/>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（十六）其他未列明行业。</w:t>
      </w:r>
      <w:r>
        <w:rPr>
          <w:rFonts w:hint="eastAsia" w:ascii="宋体" w:hAnsi="宋体" w:cs="宋体"/>
          <w:color w:val="auto"/>
          <w:szCs w:val="21"/>
          <w:highlight w:val="none"/>
        </w:rPr>
        <w:t xml:space="preserve">从业人员300人以下的为中小微型企业。其中，从业人员100人及以上的为中型企业；从业人员10人及以上的为小型企业；从业人员10人以下的为微型企业。</w:t>
      </w:r>
      <w:r/>
    </w:p>
    <w:p>
      <w:pPr>
        <w:jc w:val="left"/>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cs="宋体"/>
          <w:color w:val="auto"/>
          <w:szCs w:val="21"/>
          <w:highlight w:val="none"/>
          <w:lang w:val="zh-CN"/>
        </w:rPr>
      </w:pPr>
      <w:r>
        <w:rPr>
          <w:rFonts w:ascii="宋体" w:hAnsi="宋体" w:cs="宋体"/>
          <w:color w:val="auto"/>
          <w:szCs w:val="21"/>
          <w:highlight w:val="none"/>
          <w:lang w:val="zh-CN"/>
        </w:rPr>
      </w:r>
      <w:r/>
    </w:p>
    <w:p>
      <w:pPr>
        <w:jc w:val="right"/>
        <w:rPr>
          <w:rFonts w:ascii="宋体" w:hAnsi="宋体" w:cs="宋体"/>
          <w:color w:val="auto"/>
          <w:szCs w:val="21"/>
          <w:highlight w:val="none"/>
        </w:rPr>
      </w:pPr>
      <w:r>
        <w:rPr>
          <w:rFonts w:ascii="宋体" w:hAnsi="宋体" w:cs="宋体"/>
          <w:color w:val="auto"/>
          <w:szCs w:val="21"/>
          <w:highlight w:val="none"/>
        </w:rPr>
      </w:r>
      <w:r/>
    </w:p>
    <w:p>
      <w:pPr>
        <w:pStyle w:val="1193"/>
        <w:spacing w:line="360" w:lineRule="auto"/>
        <w:tabs>
          <w:tab w:val="left" w:pos="5250" w:leader="none"/>
        </w:tabs>
        <w:rPr>
          <w:rFonts w:ascii="宋体" w:hAnsi="宋体" w:cs="宋体"/>
          <w:color w:val="auto"/>
          <w:sz w:val="21"/>
          <w:szCs w:val="21"/>
          <w:highlight w:val="none"/>
        </w:rPr>
      </w:pPr>
      <w:r>
        <w:rPr>
          <w:rFonts w:ascii="宋体" w:hAnsi="宋体" w:cs="宋体"/>
          <w:color w:val="auto"/>
          <w:sz w:val="21"/>
          <w:szCs w:val="21"/>
          <w:highlight w:val="none"/>
        </w:rPr>
      </w:r>
      <w:r/>
    </w:p>
    <w:p>
      <w:pPr>
        <w:pStyle w:val="1193"/>
        <w:spacing w:line="360" w:lineRule="auto"/>
        <w:tabs>
          <w:tab w:val="left" w:pos="5250" w:leader="none"/>
        </w:tabs>
        <w:rPr>
          <w:rFonts w:ascii="宋体" w:hAnsi="宋体" w:cs="宋体"/>
          <w:color w:val="auto"/>
          <w:sz w:val="21"/>
          <w:szCs w:val="21"/>
          <w:highlight w:val="none"/>
        </w:rPr>
      </w:pPr>
      <w:r>
        <w:rPr>
          <w:rFonts w:ascii="宋体" w:hAnsi="宋体" w:cs="宋体"/>
          <w:color w:val="auto"/>
          <w:sz w:val="21"/>
          <w:szCs w:val="21"/>
          <w:highlight w:val="none"/>
        </w:rPr>
      </w:r>
      <w:r/>
    </w:p>
    <w:p>
      <w:pPr>
        <w:pStyle w:val="1193"/>
        <w:spacing w:line="360" w:lineRule="auto"/>
        <w:tabs>
          <w:tab w:val="left" w:pos="5250" w:leader="none"/>
        </w:tabs>
        <w:rPr>
          <w:rFonts w:ascii="宋体" w:hAnsi="宋体" w:cs="宋体"/>
          <w:color w:val="auto"/>
          <w:sz w:val="21"/>
          <w:szCs w:val="21"/>
          <w:highlight w:val="none"/>
        </w:rPr>
      </w:pPr>
      <w:r>
        <w:rPr>
          <w:rFonts w:ascii="宋体" w:hAnsi="宋体" w:cs="宋体"/>
          <w:color w:val="auto"/>
          <w:sz w:val="21"/>
          <w:szCs w:val="21"/>
          <w:highlight w:val="none"/>
        </w:rPr>
      </w:r>
      <w:r/>
    </w:p>
    <w:p>
      <w:pPr>
        <w:ind w:right="-5"/>
        <w:pageBreakBefore/>
        <w:rPr>
          <w:rFonts w:ascii="宋体" w:hAnsi="宋体" w:cs="宋体"/>
          <w:b/>
          <w:color w:val="auto"/>
          <w:szCs w:val="21"/>
          <w:highlight w:val="none"/>
        </w:rPr>
      </w:pPr>
      <w:r/>
      <w:bookmarkStart w:id="74" w:name="OLE_LINK13"/>
      <w:r/>
      <w:bookmarkStart w:id="75" w:name="OLE_LINK14"/>
      <w:r>
        <w:rPr>
          <w:rFonts w:hint="eastAsia" w:ascii="宋体" w:hAnsi="宋体" w:cs="宋体"/>
          <w:b/>
          <w:color w:val="auto"/>
          <w:szCs w:val="21"/>
          <w:highlight w:val="none"/>
        </w:rPr>
        <w:t xml:space="preserve">5.7 残疾人福利性单位声明函</w:t>
      </w:r>
      <w:r/>
    </w:p>
    <w:p>
      <w:pPr>
        <w:jc w:val="center"/>
        <w:rPr>
          <w:rFonts w:ascii="宋体" w:hAnsi="宋体" w:cs="宋体"/>
          <w:b/>
          <w:color w:val="auto"/>
          <w:spacing w:val="6"/>
          <w:szCs w:val="21"/>
          <w:highlight w:val="none"/>
        </w:rPr>
      </w:pPr>
      <w:r>
        <w:rPr>
          <w:rFonts w:hint="eastAsia" w:ascii="宋体" w:hAnsi="宋体" w:cs="宋体"/>
          <w:b/>
          <w:color w:val="auto"/>
          <w:spacing w:val="6"/>
          <w:szCs w:val="21"/>
          <w:highlight w:val="none"/>
        </w:rPr>
        <w:t xml:space="preserve">残疾人福利性单位声明函</w:t>
      </w:r>
      <w:bookmarkEnd w:id="74"/>
      <w:r/>
      <w:bookmarkEnd w:id="75"/>
      <w:r/>
      <w:r/>
    </w:p>
    <w:p>
      <w:pPr>
        <w:rPr>
          <w:rFonts w:ascii="宋体" w:hAnsi="宋体" w:cs="宋体"/>
          <w:b/>
          <w:color w:val="auto"/>
          <w:spacing w:val="6"/>
          <w:szCs w:val="21"/>
          <w:highlight w:val="none"/>
        </w:rPr>
      </w:pPr>
      <w:r>
        <w:rPr>
          <w:rFonts w:ascii="宋体" w:hAnsi="宋体" w:cs="宋体"/>
          <w:b/>
          <w:color w:val="auto"/>
          <w:spacing w:val="6"/>
          <w:szCs w:val="21"/>
          <w:highlight w:val="none"/>
        </w:rPr>
      </w:r>
      <w:r/>
    </w:p>
    <w:p>
      <w:pPr>
        <w:ind w:firstLine="444"/>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本单位郑重声明，根据《财政部民政部中国残疾人联合会关于促进残疾人就业政府采购政策的通知》（财库</w:t>
      </w:r>
      <w:r>
        <w:rPr>
          <w:rFonts w:hint="eastAsia" w:ascii="宋体" w:hAnsi="宋体" w:cs="宋体"/>
          <w:color w:val="auto"/>
          <w:szCs w:val="21"/>
          <w:highlight w:val="none"/>
        </w:rPr>
        <w:t xml:space="preserve">〔2017〕141</w:t>
      </w:r>
      <w:r>
        <w:rPr>
          <w:rFonts w:hint="eastAsia" w:ascii="宋体" w:hAnsi="宋体" w:cs="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p>
    <w:p>
      <w:pPr>
        <w:ind w:firstLine="444"/>
        <w:rPr>
          <w:rFonts w:ascii="宋体" w:hAnsi="宋体" w:cs="宋体"/>
          <w:color w:val="auto"/>
          <w:spacing w:val="6"/>
          <w:szCs w:val="21"/>
          <w:highlight w:val="none"/>
        </w:rPr>
      </w:pPr>
      <w:r>
        <w:rPr>
          <w:rFonts w:ascii="宋体" w:hAnsi="宋体" w:cs="宋体"/>
          <w:color w:val="auto"/>
          <w:spacing w:val="6"/>
          <w:szCs w:val="21"/>
          <w:highlight w:val="none"/>
        </w:rPr>
      </w:r>
      <w:r/>
    </w:p>
    <w:p>
      <w:pPr>
        <w:ind w:firstLine="444"/>
        <w:rPr>
          <w:rFonts w:ascii="宋体" w:hAnsi="宋体" w:cs="宋体"/>
          <w:color w:val="auto"/>
          <w:spacing w:val="6"/>
          <w:szCs w:val="21"/>
          <w:highlight w:val="none"/>
        </w:rPr>
      </w:pPr>
      <w:r>
        <w:rPr>
          <w:rFonts w:ascii="宋体" w:hAnsi="宋体" w:cs="宋体"/>
          <w:color w:val="auto"/>
          <w:spacing w:val="6"/>
          <w:szCs w:val="21"/>
          <w:highlight w:val="none"/>
        </w:rPr>
      </w:r>
      <w:r/>
    </w:p>
    <w:p>
      <w:pPr>
        <w:ind w:right="1560" w:firstLine="444"/>
        <w:jc w:val="center"/>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单位名称（盖章）：</w:t>
      </w:r>
      <w:r/>
    </w:p>
    <w:p>
      <w:pPr>
        <w:ind w:right="1560" w:firstLine="444"/>
        <w:jc w:val="center"/>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ind w:firstLine="333"/>
        <w:rPr>
          <w:rFonts w:ascii="宋体" w:hAnsi="宋体" w:cs="宋体"/>
          <w:color w:val="auto"/>
          <w:spacing w:val="6"/>
          <w:szCs w:val="21"/>
          <w:highlight w:val="none"/>
        </w:rPr>
      </w:pPr>
      <w:r>
        <w:rPr>
          <w:rFonts w:hint="eastAsia" w:ascii="宋体" w:hAnsi="宋体" w:cs="宋体"/>
          <w:color w:val="auto"/>
          <w:spacing w:val="6"/>
          <w:szCs w:val="21"/>
          <w:highlight w:val="none"/>
        </w:rPr>
        <w:t xml:space="preserve">备注：</w:t>
      </w:r>
      <w:r>
        <w:rPr>
          <w:rFonts w:hint="eastAsia" w:ascii="宋体" w:hAnsi="宋体" w:cs="宋体"/>
          <w:color w:val="auto"/>
          <w:spacing w:val="6"/>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351"/>
        <w:jc w:val="left"/>
        <w:widowControl/>
        <w:rPr>
          <w:rFonts w:ascii="宋体" w:hAnsi="宋体" w:cs="宋体"/>
          <w:color w:val="auto"/>
          <w:szCs w:val="21"/>
          <w:highlight w:val="none"/>
        </w:rPr>
      </w:pPr>
      <w:r>
        <w:rPr>
          <w:rFonts w:ascii="宋体" w:hAnsi="宋体" w:cs="宋体"/>
          <w:color w:val="auto"/>
          <w:szCs w:val="21"/>
          <w:highlight w:val="none"/>
        </w:rPr>
      </w:r>
      <w:r/>
    </w:p>
    <w:p>
      <w:pPr>
        <w:ind w:right="492" w:firstLine="388"/>
        <w:rPr>
          <w:rFonts w:ascii="宋体" w:hAnsi="宋体" w:cs="宋体"/>
          <w:color w:val="auto"/>
          <w:spacing w:val="6"/>
          <w:szCs w:val="21"/>
          <w:highlight w:val="none"/>
        </w:rPr>
      </w:pPr>
      <w:r>
        <w:rPr>
          <w:rFonts w:ascii="宋体" w:hAnsi="宋体" w:cs="宋体"/>
          <w:color w:val="auto"/>
          <w:spacing w:val="6"/>
          <w:szCs w:val="21"/>
          <w:highlight w:val="none"/>
        </w:rPr>
      </w:r>
      <w:r/>
    </w:p>
    <w:p>
      <w:pPr>
        <w:ind w:right="492" w:firstLine="388"/>
        <w:jc w:val="center"/>
        <w:rPr>
          <w:rFonts w:ascii="宋体" w:hAnsi="宋体" w:cs="宋体"/>
          <w:color w:val="auto"/>
          <w:spacing w:val="6"/>
          <w:szCs w:val="21"/>
          <w:highlight w:val="none"/>
        </w:rPr>
      </w:pPr>
      <w:r>
        <w:rPr>
          <w:rFonts w:ascii="宋体" w:hAnsi="宋体" w:cs="宋体"/>
          <w:color w:val="auto"/>
          <w:spacing w:val="6"/>
          <w:szCs w:val="21"/>
          <w:highlight w:val="none"/>
        </w:rPr>
      </w:r>
      <w:r/>
    </w:p>
    <w:p>
      <w:pPr>
        <w:ind w:right="492" w:firstLine="388"/>
        <w:jc w:val="center"/>
        <w:rPr>
          <w:rFonts w:ascii="宋体" w:hAnsi="宋体" w:cs="宋体"/>
          <w:color w:val="auto"/>
          <w:spacing w:val="6"/>
          <w:szCs w:val="21"/>
          <w:highlight w:val="none"/>
        </w:rPr>
      </w:pPr>
      <w:r>
        <w:rPr>
          <w:rFonts w:ascii="宋体" w:hAnsi="宋体" w:cs="宋体"/>
          <w:color w:val="auto"/>
          <w:spacing w:val="6"/>
          <w:szCs w:val="21"/>
          <w:highlight w:val="none"/>
        </w:rPr>
      </w:r>
      <w:r/>
    </w:p>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pageBreakBefore/>
        <w:rPr>
          <w:rFonts w:ascii="宋体" w:hAnsi="宋体" w:cs="宋体"/>
          <w:b/>
          <w:bCs/>
          <w:color w:val="auto"/>
          <w:szCs w:val="21"/>
          <w:highlight w:val="none"/>
        </w:rPr>
      </w:pPr>
      <w:r>
        <w:rPr>
          <w:rFonts w:hint="eastAsia" w:ascii="宋体" w:hAnsi="宋体" w:cs="宋体"/>
          <w:b/>
          <w:color w:val="auto"/>
          <w:szCs w:val="21"/>
          <w:highlight w:val="none"/>
        </w:rPr>
        <w:t xml:space="preserve">5.8监狱企业声明函</w:t>
      </w:r>
      <w:r/>
    </w:p>
    <w:p>
      <w:pPr>
        <w:jc w:val="center"/>
        <w:rPr>
          <w:rFonts w:ascii="宋体" w:hAnsi="宋体" w:cs="宋体"/>
          <w:b/>
          <w:color w:val="auto"/>
          <w:szCs w:val="21"/>
          <w:highlight w:val="none"/>
        </w:rPr>
      </w:pPr>
      <w:r>
        <w:rPr>
          <w:rFonts w:hint="eastAsia" w:ascii="宋体" w:hAnsi="宋体" w:cs="宋体"/>
          <w:b/>
          <w:bCs/>
          <w:color w:val="auto"/>
          <w:szCs w:val="21"/>
          <w:highlight w:val="none"/>
        </w:rPr>
        <w:t xml:space="preserve">监狱企业声明函</w:t>
      </w:r>
      <w:r/>
    </w:p>
    <w:p>
      <w:pPr>
        <w:pStyle w:val="1189"/>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1189"/>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本企业（单位）郑重声明下列事项（按照实际情况勾选或填空）：</w:t>
      </w:r>
      <w:r/>
    </w:p>
    <w:p>
      <w:pPr>
        <w:pStyle w:val="1189"/>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本企业（单位）为直接响应单位提供本企业（单位）的服务。</w:t>
      </w:r>
      <w:r/>
    </w:p>
    <w:p>
      <w:pPr>
        <w:pStyle w:val="1189"/>
        <w:numPr>
          <w:ilvl w:val="0"/>
          <w:numId w:val="7"/>
        </w:numPr>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本企业（单位）（请填写：是、不是）监狱企业。</w:t>
      </w:r>
      <w:r/>
    </w:p>
    <w:p>
      <w:pPr>
        <w:pStyle w:val="1189"/>
        <w:ind w:firstLine="42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（2）本企业（单位）（请填写：是、不是）为联合体一方，提供本企业（单位）的服务。本企业（单位）提供协议合同金额占到共同投标协议合同总金额的比例为。</w:t>
      </w:r>
      <w:r/>
    </w:p>
    <w:p>
      <w:pPr>
        <w:pStyle w:val="1189"/>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　　本企业（单位）对上述声明的真实性负责。如有虚假，将依法承担相应责任。</w:t>
      </w:r>
      <w:r/>
    </w:p>
    <w:p>
      <w:pPr>
        <w:pStyle w:val="1189"/>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1189"/>
        <w:ind w:firstLine="4200"/>
        <w:jc w:val="both"/>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响应单位签章：</w:t>
      </w:r>
      <w:r>
        <w:rPr>
          <w:rFonts w:hint="eastAsia"/>
          <w:color w:val="auto"/>
          <w:sz w:val="21"/>
          <w:szCs w:val="21"/>
          <w:highlight w:val="none"/>
          <w:u w:val="single"/>
        </w:rPr>
        <w:t xml:space="preserve">         </w:t>
      </w:r>
      <w:r/>
    </w:p>
    <w:p>
      <w:pPr>
        <w:pStyle w:val="1189"/>
        <w:ind w:firstLine="4305"/>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日     期：</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u w:val="single"/>
        </w:rPr>
        <w:t xml:space="preserve">   </w:t>
      </w:r>
      <w:r>
        <w:rPr>
          <w:rFonts w:hint="eastAsia"/>
          <w:color w:val="auto"/>
          <w:sz w:val="21"/>
          <w:szCs w:val="21"/>
          <w:highlight w:val="none"/>
        </w:rPr>
        <w:t xml:space="preserve">月</w:t>
      </w:r>
      <w:r>
        <w:rPr>
          <w:rFonts w:hint="eastAsia"/>
          <w:color w:val="auto"/>
          <w:sz w:val="21"/>
          <w:szCs w:val="21"/>
          <w:highlight w:val="none"/>
          <w:u w:val="single"/>
        </w:rPr>
        <w:t xml:space="preserve">   </w:t>
      </w:r>
      <w:r>
        <w:rPr>
          <w:rFonts w:hint="eastAsia"/>
          <w:color w:val="auto"/>
          <w:sz w:val="21"/>
          <w:szCs w:val="21"/>
          <w:highlight w:val="none"/>
        </w:rPr>
        <w:t xml:space="preserve">日</w:t>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ind w:firstLine="422"/>
        <w:jc w:val="center"/>
        <w:rPr>
          <w:rFonts w:ascii="宋体" w:hAnsi="宋体" w:cs="宋体"/>
          <w:b/>
          <w:color w:val="auto"/>
          <w:szCs w:val="21"/>
          <w:highlight w:val="none"/>
        </w:rPr>
      </w:pPr>
      <w:r>
        <w:rPr>
          <w:rFonts w:ascii="宋体" w:hAnsi="宋体" w:cs="宋体"/>
          <w:b/>
          <w:color w:val="auto"/>
          <w:szCs w:val="21"/>
          <w:highlight w:val="none"/>
        </w:rPr>
      </w:r>
      <w:r/>
    </w:p>
    <w:p>
      <w:pPr>
        <w:pageBreakBefore/>
        <w:rPr>
          <w:rFonts w:hint="eastAsia" w:ascii="宋体" w:hAnsi="宋体" w:cs="宋体"/>
          <w:b/>
          <w:color w:val="auto"/>
          <w:szCs w:val="21"/>
          <w:highlight w:val="none"/>
          <w:lang w:eastAsia="zh-CN"/>
        </w:rPr>
      </w:pPr>
      <w:r>
        <w:rPr>
          <w:rFonts w:hint="eastAsia" w:ascii="宋体" w:hAnsi="宋体" w:cs="宋体"/>
          <w:b/>
          <w:color w:val="auto"/>
          <w:szCs w:val="21"/>
          <w:highlight w:val="none"/>
          <w:lang w:val="en-US" w:eastAsia="zh-CN"/>
        </w:rPr>
        <w:t xml:space="preserve">5.9</w:t>
      </w:r>
      <w:r>
        <w:rPr>
          <w:rFonts w:hint="eastAsia" w:ascii="宋体" w:hAnsi="宋体" w:cs="宋体"/>
          <w:b/>
          <w:color w:val="auto"/>
          <w:szCs w:val="21"/>
          <w:highlight w:val="none"/>
          <w:lang w:eastAsia="zh-CN"/>
        </w:rPr>
        <w:t xml:space="preserve">关于符合本国产品标准的声明函（</w:t>
      </w:r>
      <w:r>
        <w:rPr>
          <w:rFonts w:hint="eastAsia" w:ascii="宋体" w:hAnsi="宋体" w:cs="宋体"/>
          <w:b/>
          <w:color w:val="auto"/>
          <w:szCs w:val="21"/>
          <w:highlight w:val="none"/>
          <w:lang w:val="en-US" w:eastAsia="zh-CN"/>
        </w:rPr>
        <w:t xml:space="preserve">项目</w:t>
      </w:r>
      <w:r>
        <w:rPr>
          <w:rFonts w:hint="eastAsia" w:ascii="宋体" w:hAnsi="宋体" w:cs="宋体"/>
          <w:b/>
          <w:color w:val="auto"/>
          <w:szCs w:val="21"/>
          <w:highlight w:val="none"/>
          <w:lang w:eastAsia="zh-CN"/>
        </w:rPr>
        <w:t xml:space="preserve">编号：）</w:t>
      </w:r>
      <w:r/>
    </w:p>
    <w:p>
      <w:pPr>
        <w:pStyle w:val="865"/>
        <w:spacing w:line="252" w:lineRule="auto"/>
        <w:rPr>
          <w:color w:val="auto"/>
          <w:highlight w:val="none"/>
          <w:lang w:eastAsia="zh-CN"/>
        </w:rPr>
      </w:pPr>
      <w:r>
        <w:rPr>
          <w:color w:val="auto"/>
          <w:highlight w:val="none"/>
          <w:lang w:eastAsia="zh-CN"/>
        </w:rPr>
      </w:r>
      <w:r/>
    </w:p>
    <w:p>
      <w:pPr>
        <w:pStyle w:val="865"/>
        <w:spacing w:line="252" w:lineRule="auto"/>
        <w:rPr>
          <w:color w:val="auto"/>
          <w:highlight w:val="none"/>
          <w:lang w:eastAsia="zh-CN"/>
        </w:rPr>
      </w:pPr>
      <w:r>
        <w:rPr>
          <w:color w:val="auto"/>
          <w:highlight w:val="none"/>
          <w:lang w:eastAsia="zh-CN"/>
        </w:rPr>
      </w:r>
      <w:r/>
    </w:p>
    <w:p>
      <w:pPr>
        <w:jc w:val="center"/>
        <w:spacing w:before="65" w:line="227" w:lineRule="auto"/>
        <w:rPr>
          <w:rFonts w:ascii="宋体" w:hAnsi="宋体" w:eastAsia="宋体" w:cs="宋体"/>
          <w:color w:val="auto"/>
          <w:sz w:val="21"/>
          <w:szCs w:val="21"/>
          <w:highlight w:val="none"/>
          <w:lang w:eastAsia="zh-CN"/>
        </w:rPr>
      </w:pPr>
      <w:r>
        <w:rPr>
          <w:rFonts w:ascii="宋体" w:hAnsi="宋体" w:eastAsia="宋体" w:cs="宋体"/>
          <w:b/>
          <w:bCs/>
          <w:color w:val="auto"/>
          <w:spacing w:val="7"/>
          <w:sz w:val="21"/>
          <w:szCs w:val="21"/>
          <w:highlight w:val="none"/>
          <w:lang w:eastAsia="zh-CN"/>
        </w:rPr>
        <w:t xml:space="preserve">关于符合本国产品标准的声明函</w:t>
      </w:r>
      <w:r/>
    </w:p>
    <w:p>
      <w:pPr>
        <w:pStyle w:val="865"/>
        <w:spacing w:line="250" w:lineRule="auto"/>
        <w:rPr>
          <w:color w:val="auto"/>
          <w:sz w:val="21"/>
          <w:szCs w:val="21"/>
          <w:highlight w:val="none"/>
          <w:lang w:eastAsia="zh-CN"/>
        </w:rPr>
      </w:pPr>
      <w:r>
        <w:rPr>
          <w:color w:val="auto"/>
          <w:sz w:val="21"/>
          <w:szCs w:val="21"/>
          <w:highlight w:val="none"/>
          <w:lang w:eastAsia="zh-CN"/>
        </w:rPr>
      </w:r>
      <w:r/>
    </w:p>
    <w:p>
      <w:pPr>
        <w:pStyle w:val="865"/>
        <w:spacing w:line="251" w:lineRule="auto"/>
        <w:rPr>
          <w:color w:val="auto"/>
          <w:sz w:val="21"/>
          <w:szCs w:val="21"/>
          <w:highlight w:val="none"/>
          <w:lang w:eastAsia="zh-CN"/>
        </w:rPr>
      </w:pPr>
      <w:r>
        <w:rPr>
          <w:color w:val="auto"/>
          <w:sz w:val="21"/>
          <w:szCs w:val="21"/>
          <w:highlight w:val="none"/>
          <w:lang w:eastAsia="zh-CN"/>
        </w:rPr>
      </w:r>
      <w:r/>
    </w:p>
    <w:p>
      <w:pPr>
        <w:ind w:left="163" w:right="173" w:firstLine="416"/>
        <w:spacing w:before="65" w:line="378" w:lineRule="auto"/>
        <w:rPr>
          <w:rFonts w:ascii="宋体" w:hAnsi="宋体" w:eastAsia="宋体" w:cs="宋体"/>
          <w:color w:val="auto"/>
          <w:sz w:val="21"/>
          <w:szCs w:val="21"/>
          <w:highlight w:val="none"/>
          <w:lang w:eastAsia="zh-CN"/>
        </w:rPr>
      </w:pPr>
      <w:r>
        <w:rPr>
          <w:rFonts w:ascii="宋体" w:hAnsi="宋体" w:eastAsia="宋体" w:cs="宋体"/>
          <w:color w:val="auto"/>
          <w:spacing w:val="10"/>
          <w:sz w:val="21"/>
          <w:szCs w:val="21"/>
          <w:highlight w:val="none"/>
          <w:lang w:eastAsia="zh-CN"/>
        </w:rPr>
        <w:t xml:space="preserve">本公司</w:t>
      </w:r>
      <w:r>
        <w:rPr>
          <w:rFonts w:ascii="宋体" w:hAnsi="宋体" w:eastAsia="宋体" w:cs="宋体"/>
          <w:color w:val="auto"/>
          <w:spacing w:val="10"/>
          <w:sz w:val="21"/>
          <w:szCs w:val="21"/>
          <w:highlight w:val="none"/>
          <w:u w:val="single"/>
          <w:lang w:eastAsia="zh-CN"/>
        </w:rPr>
        <w:t xml:space="preserve">（单位）</w:t>
      </w:r>
      <w:r>
        <w:rPr>
          <w:rFonts w:ascii="宋体" w:hAnsi="宋体" w:eastAsia="宋体" w:cs="宋体"/>
          <w:color w:val="auto"/>
          <w:spacing w:val="10"/>
          <w:sz w:val="21"/>
          <w:szCs w:val="21"/>
          <w:highlight w:val="none"/>
          <w:lang w:eastAsia="zh-CN"/>
        </w:rPr>
        <w:t xml:space="preserve">郑重声明，根据《国务院办公厅关于在政府采购中实施</w:t>
      </w:r>
      <w:r>
        <w:rPr>
          <w:rFonts w:ascii="宋体" w:hAnsi="宋体" w:eastAsia="宋体" w:cs="宋体"/>
          <w:color w:val="auto"/>
          <w:spacing w:val="9"/>
          <w:sz w:val="21"/>
          <w:szCs w:val="21"/>
          <w:highlight w:val="none"/>
          <w:lang w:eastAsia="zh-CN"/>
        </w:rPr>
        <w:t xml:space="preserve">本国产品标准及相关政策的通知》（国办发〔2025〕34号）的规定，本公司</w:t>
      </w:r>
      <w:r>
        <w:rPr>
          <w:rFonts w:ascii="宋体" w:hAnsi="宋体" w:eastAsia="宋体" w:cs="宋体"/>
          <w:color w:val="auto"/>
          <w:spacing w:val="9"/>
          <w:sz w:val="21"/>
          <w:szCs w:val="21"/>
          <w:highlight w:val="none"/>
          <w:u w:val="single"/>
          <w:lang w:eastAsia="zh-CN"/>
        </w:rPr>
        <w:t xml:space="preserve">（单位）</w:t>
      </w:r>
      <w:r>
        <w:rPr>
          <w:rFonts w:ascii="宋体" w:hAnsi="宋体" w:eastAsia="宋体" w:cs="宋体"/>
          <w:color w:val="auto"/>
          <w:spacing w:val="9"/>
          <w:sz w:val="21"/>
          <w:szCs w:val="21"/>
          <w:highlight w:val="none"/>
          <w:lang w:eastAsia="zh-CN"/>
        </w:rPr>
        <w:t xml:space="preserve">提</w:t>
      </w:r>
      <w:r>
        <w:rPr>
          <w:rFonts w:ascii="宋体" w:hAnsi="宋体" w:eastAsia="宋体" w:cs="宋体"/>
          <w:color w:val="auto"/>
          <w:spacing w:val="8"/>
          <w:sz w:val="21"/>
          <w:szCs w:val="21"/>
          <w:highlight w:val="none"/>
          <w:lang w:eastAsia="zh-CN"/>
        </w:rPr>
        <w:t xml:space="preserve">供的以下产品属于本国产品。具体情况如下：</w:t>
      </w:r>
      <w:r/>
    </w:p>
    <w:p>
      <w:pPr>
        <w:ind w:right="147" w:firstLine="594"/>
        <w:spacing w:before="11" w:line="378" w:lineRule="auto"/>
        <w:tabs>
          <w:tab w:val="left" w:pos="156" w:leader="none"/>
        </w:tabs>
        <w:rPr>
          <w:rFonts w:ascii="宋体" w:hAnsi="宋体" w:eastAsia="宋体" w:cs="宋体"/>
          <w:color w:val="auto"/>
          <w:sz w:val="21"/>
          <w:szCs w:val="21"/>
          <w:highlight w:val="none"/>
          <w:lang w:eastAsia="zh-CN"/>
        </w:rPr>
      </w:pPr>
      <w:r>
        <w:rPr>
          <w:rFonts w:ascii="宋体" w:hAnsi="宋体" w:eastAsia="宋体" w:cs="宋体"/>
          <w:color w:val="auto"/>
          <w:spacing w:val="6"/>
          <w:sz w:val="21"/>
          <w:szCs w:val="21"/>
          <w:highlight w:val="none"/>
          <w:lang w:eastAsia="zh-CN"/>
        </w:rPr>
        <w:t xml:space="preserve">1.</w:t>
      </w:r>
      <w:r>
        <w:rPr>
          <w:rFonts w:ascii="宋体" w:hAnsi="宋体" w:eastAsia="宋体" w:cs="宋体"/>
          <w:color w:val="auto"/>
          <w:spacing w:val="6"/>
          <w:sz w:val="21"/>
          <w:szCs w:val="21"/>
          <w:highlight w:val="none"/>
          <w:u w:val="single"/>
          <w:lang w:eastAsia="zh-CN"/>
        </w:rPr>
        <w:t xml:space="preserve">（产品名称1）</w:t>
      </w:r>
      <w:r>
        <w:rPr>
          <w:rFonts w:ascii="宋体" w:hAnsi="宋体" w:eastAsia="宋体" w:cs="宋体"/>
          <w:color w:val="auto"/>
          <w:spacing w:val="6"/>
          <w:position w:val="10"/>
          <w:sz w:val="21"/>
          <w:szCs w:val="21"/>
          <w:highlight w:val="none"/>
          <w:lang w:eastAsia="zh-CN"/>
        </w:rPr>
        <w:t xml:space="preserve">1</w:t>
      </w:r>
      <w:r>
        <w:rPr>
          <w:rFonts w:ascii="宋体" w:hAnsi="宋体" w:eastAsia="宋体" w:cs="宋体"/>
          <w:color w:val="auto"/>
          <w:spacing w:val="6"/>
          <w:sz w:val="21"/>
          <w:szCs w:val="21"/>
          <w:highlight w:val="none"/>
          <w:lang w:eastAsia="zh-CN"/>
        </w:rPr>
        <w:t xml:space="preserve">，生产厂为</w:t>
      </w:r>
      <w:r>
        <w:rPr>
          <w:rFonts w:ascii="宋体" w:hAnsi="宋体" w:eastAsia="宋体" w:cs="宋体"/>
          <w:color w:val="auto"/>
          <w:spacing w:val="6"/>
          <w:sz w:val="21"/>
          <w:szCs w:val="21"/>
          <w:highlight w:val="none"/>
          <w:u w:val="single"/>
          <w:lang w:eastAsia="zh-CN"/>
        </w:rPr>
        <w:t xml:space="preserve">（厂名）</w:t>
      </w:r>
      <w:r>
        <w:rPr>
          <w:rFonts w:ascii="宋体" w:hAnsi="宋体" w:eastAsia="宋体" w:cs="宋体"/>
          <w:color w:val="auto"/>
          <w:spacing w:val="6"/>
          <w:position w:val="10"/>
          <w:sz w:val="21"/>
          <w:szCs w:val="21"/>
          <w:highlight w:val="none"/>
          <w:lang w:eastAsia="zh-CN"/>
        </w:rPr>
        <w:t xml:space="preserve">2</w:t>
      </w:r>
      <w:r>
        <w:rPr>
          <w:rFonts w:ascii="宋体" w:hAnsi="宋体" w:eastAsia="宋体" w:cs="宋体"/>
          <w:color w:val="auto"/>
          <w:spacing w:val="6"/>
          <w:sz w:val="21"/>
          <w:szCs w:val="21"/>
          <w:highlight w:val="none"/>
          <w:lang w:eastAsia="zh-CN"/>
        </w:rPr>
        <w:t xml:space="preserve">，厂址为</w:t>
      </w:r>
      <w:r>
        <w:rPr>
          <w:rFonts w:ascii="宋体" w:hAnsi="宋体" w:eastAsia="宋体" w:cs="宋体"/>
          <w:color w:val="auto"/>
          <w:spacing w:val="6"/>
          <w:sz w:val="21"/>
          <w:szCs w:val="21"/>
          <w:highlight w:val="none"/>
          <w:u w:val="single"/>
          <w:lang w:eastAsia="zh-CN"/>
        </w:rPr>
        <w:t xml:space="preserve">（生产厂址）</w:t>
      </w:r>
      <w:r>
        <w:rPr>
          <w:rFonts w:ascii="宋体" w:hAnsi="宋体" w:eastAsia="宋体" w:cs="宋体"/>
          <w:color w:val="auto"/>
          <w:spacing w:val="6"/>
          <w:sz w:val="21"/>
          <w:szCs w:val="21"/>
          <w:highlight w:val="none"/>
          <w:lang w:eastAsia="zh-CN"/>
        </w:rPr>
        <w:t xml:space="preserve">。</w:t>
      </w:r>
      <w:r>
        <w:rPr>
          <w:rFonts w:ascii="宋体" w:hAnsi="宋体" w:eastAsia="宋体" w:cs="宋体"/>
          <w:color w:val="auto"/>
          <w:spacing w:val="6"/>
          <w:sz w:val="21"/>
          <w:szCs w:val="21"/>
          <w:highlight w:val="none"/>
          <w:u w:val="single"/>
          <w:lang w:eastAsia="zh-CN"/>
        </w:rPr>
        <w:t xml:space="preserve"> （产品名称1） </w:t>
      </w:r>
      <w:r>
        <w:rPr>
          <w:rFonts w:ascii="宋体" w:hAnsi="宋体" w:eastAsia="宋体" w:cs="宋体"/>
          <w:color w:val="auto"/>
          <w:spacing w:val="5"/>
          <w:sz w:val="21"/>
          <w:szCs w:val="21"/>
          <w:highlight w:val="none"/>
          <w:lang w:eastAsia="zh-CN"/>
        </w:rPr>
        <w:t xml:space="preserve">的中国境内生产的</w:t>
      </w:r>
      <w:r>
        <w:rPr>
          <w:rFonts w:ascii="宋体" w:hAnsi="宋体" w:eastAsia="宋体" w:cs="宋体"/>
          <w:color w:val="auto"/>
          <w:spacing w:val="11"/>
          <w:sz w:val="21"/>
          <w:szCs w:val="21"/>
          <w:highlight w:val="none"/>
          <w:lang w:eastAsia="zh-CN"/>
        </w:rPr>
        <w:t xml:space="preserve">组件成本占比≥</w:t>
      </w:r>
      <w:r>
        <w:rPr>
          <w:rFonts w:ascii="宋体" w:hAnsi="宋体" w:eastAsia="宋体" w:cs="宋体"/>
          <w:color w:val="auto"/>
          <w:spacing w:val="11"/>
          <w:sz w:val="21"/>
          <w:szCs w:val="21"/>
          <w:highlight w:val="none"/>
          <w:u w:val="single"/>
          <w:lang w:eastAsia="zh-CN"/>
        </w:rPr>
        <w:t xml:space="preserve">（规定比例）</w:t>
      </w:r>
      <w:r>
        <w:rPr>
          <w:rFonts w:ascii="宋体" w:hAnsi="宋体" w:eastAsia="宋体" w:cs="宋体"/>
          <w:color w:val="auto"/>
          <w:spacing w:val="11"/>
          <w:position w:val="10"/>
          <w:sz w:val="21"/>
          <w:szCs w:val="21"/>
          <w:highlight w:val="none"/>
          <w:lang w:eastAsia="zh-CN"/>
        </w:rPr>
        <w:t xml:space="preserve">3</w:t>
      </w:r>
      <w:r>
        <w:rPr>
          <w:rFonts w:ascii="宋体" w:hAnsi="宋体" w:eastAsia="宋体" w:cs="宋体"/>
          <w:color w:val="auto"/>
          <w:spacing w:val="11"/>
          <w:sz w:val="21"/>
          <w:szCs w:val="21"/>
          <w:highlight w:val="none"/>
          <w:lang w:eastAsia="zh-CN"/>
        </w:rPr>
        <w:t xml:space="preserve">。</w:t>
      </w:r>
      <w:r>
        <w:rPr>
          <w:rFonts w:ascii="宋体" w:hAnsi="宋体" w:eastAsia="宋体" w:cs="宋体"/>
          <w:color w:val="auto"/>
          <w:spacing w:val="11"/>
          <w:sz w:val="21"/>
          <w:szCs w:val="21"/>
          <w:highlight w:val="none"/>
          <w:u w:val="single"/>
          <w:lang w:eastAsia="zh-CN"/>
        </w:rPr>
        <w:t xml:space="preserve">（产品名称1）</w:t>
      </w:r>
      <w:r>
        <w:rPr>
          <w:rFonts w:ascii="宋体" w:hAnsi="宋体" w:eastAsia="宋体" w:cs="宋体"/>
          <w:color w:val="auto"/>
          <w:spacing w:val="11"/>
          <w:sz w:val="21"/>
          <w:szCs w:val="21"/>
          <w:highlight w:val="none"/>
          <w:lang w:eastAsia="zh-CN"/>
        </w:rPr>
        <w:t xml:space="preserve">的</w:t>
      </w:r>
      <w:r>
        <w:rPr>
          <w:rFonts w:ascii="宋体" w:hAnsi="宋体" w:eastAsia="宋体" w:cs="宋体"/>
          <w:color w:val="auto"/>
          <w:spacing w:val="11"/>
          <w:sz w:val="21"/>
          <w:szCs w:val="21"/>
          <w:highlight w:val="none"/>
          <w:u w:val="single"/>
          <w:lang w:eastAsia="zh-CN"/>
        </w:rPr>
        <w:t xml:space="preserve">（关键组件）</w:t>
      </w:r>
      <w:r>
        <w:rPr>
          <w:rFonts w:ascii="宋体" w:hAnsi="宋体" w:eastAsia="宋体" w:cs="宋体"/>
          <w:color w:val="auto"/>
          <w:spacing w:val="11"/>
          <w:position w:val="10"/>
          <w:sz w:val="21"/>
          <w:szCs w:val="21"/>
          <w:highlight w:val="none"/>
          <w:lang w:eastAsia="zh-CN"/>
        </w:rPr>
        <w:t xml:space="preserve">4</w:t>
      </w:r>
      <w:r>
        <w:rPr>
          <w:rFonts w:ascii="宋体" w:hAnsi="宋体" w:eastAsia="宋体" w:cs="宋体"/>
          <w:color w:val="auto"/>
          <w:spacing w:val="11"/>
          <w:sz w:val="21"/>
          <w:szCs w:val="21"/>
          <w:highlight w:val="none"/>
          <w:lang w:eastAsia="zh-CN"/>
        </w:rPr>
        <w:t xml:space="preserve">在中国境内生产。</w:t>
      </w:r>
      <w:r>
        <w:rPr>
          <w:rFonts w:ascii="宋体" w:hAnsi="宋体" w:eastAsia="宋体" w:cs="宋体"/>
          <w:color w:val="auto"/>
          <w:spacing w:val="11"/>
          <w:sz w:val="21"/>
          <w:szCs w:val="21"/>
          <w:highlight w:val="none"/>
          <w:u w:val="single"/>
          <w:lang w:eastAsia="zh-CN"/>
        </w:rPr>
        <w:t xml:space="preserve">（</w:t>
      </w:r>
      <w:r>
        <w:rPr>
          <w:rFonts w:ascii="宋体" w:hAnsi="宋体" w:eastAsia="宋体" w:cs="宋体"/>
          <w:color w:val="auto"/>
          <w:spacing w:val="10"/>
          <w:sz w:val="21"/>
          <w:szCs w:val="21"/>
          <w:highlight w:val="none"/>
          <w:u w:val="single"/>
          <w:lang w:eastAsia="zh-CN"/>
        </w:rPr>
        <w:t xml:space="preserve">产品名称1）</w:t>
      </w:r>
      <w:r>
        <w:rPr>
          <w:rFonts w:ascii="宋体" w:hAnsi="宋体" w:eastAsia="宋体" w:cs="宋体"/>
          <w:color w:val="auto"/>
          <w:spacing w:val="10"/>
          <w:sz w:val="21"/>
          <w:szCs w:val="21"/>
          <w:highlight w:val="none"/>
          <w:lang w:eastAsia="zh-CN"/>
        </w:rPr>
        <w:t xml:space="preserve">的</w:t>
      </w:r>
      <w:r>
        <w:rPr>
          <w:rFonts w:ascii="宋体" w:hAnsi="宋体" w:eastAsia="宋体" w:cs="宋体"/>
          <w:color w:val="auto"/>
          <w:spacing w:val="10"/>
          <w:sz w:val="21"/>
          <w:szCs w:val="21"/>
          <w:highlight w:val="none"/>
          <w:u w:val="single"/>
          <w:lang w:eastAsia="zh-CN"/>
        </w:rPr>
        <w:t xml:space="preserve">（关</w:t>
      </w:r>
      <w:r>
        <w:rPr>
          <w:rFonts w:ascii="宋体" w:hAnsi="宋体" w:eastAsia="宋体" w:cs="宋体"/>
          <w:color w:val="auto"/>
          <w:sz w:val="21"/>
          <w:szCs w:val="21"/>
          <w:highlight w:val="none"/>
          <w:lang w:eastAsia="zh-CN"/>
        </w:rPr>
        <w:tab/>
      </w:r>
      <w:r>
        <w:rPr>
          <w:rFonts w:ascii="宋体" w:hAnsi="宋体" w:eastAsia="宋体" w:cs="宋体"/>
          <w:color w:val="auto"/>
          <w:spacing w:val="7"/>
          <w:sz w:val="21"/>
          <w:szCs w:val="21"/>
          <w:highlight w:val="none"/>
          <w:u w:val="single"/>
          <w:lang w:eastAsia="zh-CN"/>
        </w:rPr>
        <w:t xml:space="preserve">键工序）</w:t>
      </w:r>
      <w:r>
        <w:rPr>
          <w:rFonts w:ascii="宋体" w:hAnsi="宋体" w:eastAsia="宋体" w:cs="宋体"/>
          <w:color w:val="auto"/>
          <w:spacing w:val="7"/>
          <w:position w:val="10"/>
          <w:sz w:val="21"/>
          <w:szCs w:val="21"/>
          <w:highlight w:val="none"/>
          <w:lang w:eastAsia="zh-CN"/>
        </w:rPr>
        <w:t xml:space="preserve">5</w:t>
      </w:r>
      <w:r>
        <w:rPr>
          <w:rFonts w:ascii="宋体" w:hAnsi="宋体" w:eastAsia="宋体" w:cs="宋体"/>
          <w:color w:val="auto"/>
          <w:spacing w:val="7"/>
          <w:sz w:val="21"/>
          <w:szCs w:val="21"/>
          <w:highlight w:val="none"/>
          <w:lang w:eastAsia="zh-CN"/>
        </w:rPr>
        <w:t xml:space="preserve">在中国境内完成。</w:t>
      </w:r>
      <w:r/>
    </w:p>
    <w:p>
      <w:pPr>
        <w:ind w:left="157" w:firstLine="423"/>
        <w:spacing w:before="43" w:line="378" w:lineRule="auto"/>
        <w:rPr>
          <w:rFonts w:ascii="宋体" w:hAnsi="宋体" w:eastAsia="宋体" w:cs="宋体"/>
          <w:color w:val="auto"/>
          <w:sz w:val="21"/>
          <w:szCs w:val="21"/>
          <w:highlight w:val="none"/>
          <w:lang w:eastAsia="zh-CN"/>
        </w:rPr>
      </w:pPr>
      <w:r>
        <w:rPr>
          <w:rFonts w:ascii="宋体" w:hAnsi="宋体" w:eastAsia="宋体" w:cs="宋体"/>
          <w:color w:val="auto"/>
          <w:spacing w:val="8"/>
          <w:sz w:val="21"/>
          <w:szCs w:val="21"/>
          <w:highlight w:val="none"/>
          <w:lang w:eastAsia="zh-CN"/>
        </w:rPr>
        <w:t xml:space="preserve">2.</w:t>
      </w:r>
      <w:r>
        <w:rPr>
          <w:rFonts w:ascii="宋体" w:hAnsi="宋体" w:eastAsia="宋体" w:cs="宋体"/>
          <w:color w:val="auto"/>
          <w:spacing w:val="8"/>
          <w:sz w:val="21"/>
          <w:szCs w:val="21"/>
          <w:highlight w:val="none"/>
          <w:u w:val="single"/>
          <w:lang w:eastAsia="zh-CN"/>
        </w:rPr>
        <w:t xml:space="preserve">（产品名称2</w:t>
      </w:r>
      <w:r>
        <w:rPr>
          <w:rFonts w:ascii="宋体" w:hAnsi="宋体" w:eastAsia="宋体" w:cs="宋体"/>
          <w:color w:val="auto"/>
          <w:spacing w:val="14"/>
          <w:sz w:val="21"/>
          <w:szCs w:val="21"/>
          <w:highlight w:val="none"/>
          <w:u w:val="single"/>
          <w:lang w:eastAsia="zh-CN"/>
        </w:rPr>
        <w:t xml:space="preserve">）</w:t>
      </w:r>
      <w:r>
        <w:rPr>
          <w:rFonts w:ascii="宋体" w:hAnsi="宋体" w:eastAsia="宋体" w:cs="宋体"/>
          <w:color w:val="auto"/>
          <w:spacing w:val="14"/>
          <w:sz w:val="21"/>
          <w:szCs w:val="21"/>
          <w:highlight w:val="none"/>
          <w:lang w:eastAsia="zh-CN"/>
        </w:rPr>
        <w:t xml:space="preserve">，</w:t>
      </w:r>
      <w:r>
        <w:rPr>
          <w:rFonts w:ascii="宋体" w:hAnsi="宋体" w:eastAsia="宋体" w:cs="宋体"/>
          <w:color w:val="auto"/>
          <w:spacing w:val="8"/>
          <w:sz w:val="21"/>
          <w:szCs w:val="21"/>
          <w:highlight w:val="none"/>
          <w:lang w:eastAsia="zh-CN"/>
        </w:rPr>
        <w:t xml:space="preserve">生产厂为</w:t>
      </w:r>
      <w:r>
        <w:rPr>
          <w:rFonts w:ascii="宋体" w:hAnsi="宋体" w:eastAsia="宋体" w:cs="宋体"/>
          <w:color w:val="auto"/>
          <w:spacing w:val="8"/>
          <w:sz w:val="21"/>
          <w:szCs w:val="21"/>
          <w:highlight w:val="none"/>
          <w:u w:val="single"/>
          <w:lang w:eastAsia="zh-CN"/>
        </w:rPr>
        <w:t xml:space="preserve">（厂名</w:t>
      </w:r>
      <w:r>
        <w:rPr>
          <w:rFonts w:ascii="宋体" w:hAnsi="宋体" w:eastAsia="宋体" w:cs="宋体"/>
          <w:color w:val="auto"/>
          <w:spacing w:val="14"/>
          <w:sz w:val="21"/>
          <w:szCs w:val="21"/>
          <w:highlight w:val="none"/>
          <w:u w:val="single"/>
          <w:lang w:eastAsia="zh-CN"/>
        </w:rPr>
        <w:t xml:space="preserve">）</w:t>
      </w:r>
      <w:r>
        <w:rPr>
          <w:rFonts w:ascii="宋体" w:hAnsi="宋体" w:eastAsia="宋体" w:cs="宋体"/>
          <w:color w:val="auto"/>
          <w:spacing w:val="14"/>
          <w:sz w:val="21"/>
          <w:szCs w:val="21"/>
          <w:highlight w:val="none"/>
          <w:lang w:eastAsia="zh-CN"/>
        </w:rPr>
        <w:t xml:space="preserve">，</w:t>
      </w:r>
      <w:r>
        <w:rPr>
          <w:rFonts w:ascii="宋体" w:hAnsi="宋体" w:eastAsia="宋体" w:cs="宋体"/>
          <w:color w:val="auto"/>
          <w:spacing w:val="8"/>
          <w:sz w:val="21"/>
          <w:szCs w:val="21"/>
          <w:highlight w:val="none"/>
          <w:lang w:eastAsia="zh-CN"/>
        </w:rPr>
        <w:t xml:space="preserve">厂址为</w:t>
      </w:r>
      <w:r>
        <w:rPr>
          <w:rFonts w:ascii="宋体" w:hAnsi="宋体" w:eastAsia="宋体" w:cs="宋体"/>
          <w:color w:val="auto"/>
          <w:spacing w:val="8"/>
          <w:sz w:val="21"/>
          <w:szCs w:val="21"/>
          <w:highlight w:val="none"/>
          <w:u w:val="single"/>
          <w:lang w:eastAsia="zh-CN"/>
        </w:rPr>
        <w:t xml:space="preserve">（生产厂址）</w:t>
      </w:r>
      <w:r>
        <w:rPr>
          <w:rFonts w:ascii="宋体" w:hAnsi="宋体" w:eastAsia="宋体" w:cs="宋体"/>
          <w:color w:val="auto"/>
          <w:spacing w:val="8"/>
          <w:sz w:val="21"/>
          <w:szCs w:val="21"/>
          <w:highlight w:val="none"/>
          <w:lang w:eastAsia="zh-CN"/>
        </w:rPr>
        <w:t xml:space="preserve">。</w:t>
      </w:r>
      <w:r>
        <w:rPr>
          <w:rFonts w:ascii="宋体" w:hAnsi="宋体" w:eastAsia="宋体" w:cs="宋体"/>
          <w:color w:val="auto"/>
          <w:spacing w:val="8"/>
          <w:sz w:val="21"/>
          <w:szCs w:val="21"/>
          <w:highlight w:val="none"/>
          <w:u w:val="single"/>
          <w:lang w:eastAsia="zh-CN"/>
        </w:rPr>
        <w:t xml:space="preserve">（产品名称</w:t>
      </w:r>
      <w:r>
        <w:rPr>
          <w:rFonts w:ascii="宋体" w:hAnsi="宋体" w:eastAsia="宋体" w:cs="宋体"/>
          <w:color w:val="auto"/>
          <w:spacing w:val="7"/>
          <w:sz w:val="21"/>
          <w:szCs w:val="21"/>
          <w:highlight w:val="none"/>
          <w:u w:val="single"/>
          <w:lang w:eastAsia="zh-CN"/>
        </w:rPr>
        <w:t xml:space="preserve">2）</w:t>
      </w:r>
      <w:r>
        <w:rPr>
          <w:rFonts w:ascii="宋体" w:hAnsi="宋体" w:eastAsia="宋体" w:cs="宋体"/>
          <w:color w:val="auto"/>
          <w:spacing w:val="7"/>
          <w:sz w:val="21"/>
          <w:szCs w:val="21"/>
          <w:highlight w:val="none"/>
          <w:lang w:eastAsia="zh-CN"/>
        </w:rPr>
        <w:t xml:space="preserve">的中国境内生产的组件</w:t>
      </w:r>
      <w:r>
        <w:rPr>
          <w:rFonts w:ascii="宋体" w:hAnsi="宋体" w:eastAsia="宋体" w:cs="宋体"/>
          <w:color w:val="auto"/>
          <w:spacing w:val="-16"/>
          <w:sz w:val="21"/>
          <w:szCs w:val="21"/>
          <w:highlight w:val="none"/>
          <w:lang w:eastAsia="zh-CN"/>
        </w:rPr>
        <w:t xml:space="preserve">成本占比≥</w:t>
      </w:r>
      <w:r>
        <w:rPr>
          <w:color w:val="auto"/>
          <w:position w:val="-3"/>
          <w:sz w:val="21"/>
          <w:szCs w:val="21"/>
          <w:highlight w:val="none"/>
          <w:lang w:eastAsia="zh-CN"/>
        </w:rPr>
        <mc:AlternateContent>
          <mc:Choice Requires="wpg">
            <w:drawing>
              <wp:inline xmlns:wp="http://schemas.openxmlformats.org/drawingml/2006/wordprocessingDrawing" distT="0" distB="0" distL="0" distR="0">
                <wp:extent cx="913130" cy="128905"/>
                <wp:effectExtent l="0" t="0" r="1270" b="4445"/>
                <wp:docPr id="6" name="IM 56"/>
                <wp:cNvGraphicFramePr/>
                <a:graphic xmlns:a="http://schemas.openxmlformats.org/drawingml/2006/main">
                  <a:graphicData uri="http://schemas.openxmlformats.org/drawingml/2006/picture">
                    <pic:pic xmlns:pic="http://schemas.openxmlformats.org/drawingml/2006/picture">
                      <pic:nvPicPr>
                        <pic:cNvPr id="121" name="IM 56"/>
                        <pic:cNvPicPr/>
                        <pic:nvPr/>
                      </pic:nvPicPr>
                      <pic:blipFill>
                        <a:blip r:embed="rId18"/>
                        <a:stretch/>
                      </pic:blipFill>
                      <pic:spPr bwMode="auto">
                        <a:xfrm>
                          <a:off x="0" y="0"/>
                          <a:ext cx="913142" cy="12945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1.9pt;height:10.2pt;mso-wrap-distance-left:0.0pt;mso-wrap-distance-top:0.0pt;mso-wrap-distance-right:0.0pt;mso-wrap-distance-bottom:0.0pt;" stroked="false">
                <v:path textboxrect="0,0,0,0"/>
                <v:imagedata r:id="rId18" o:title=""/>
              </v:shape>
            </w:pict>
          </mc:Fallback>
        </mc:AlternateContent>
      </w:r>
      <w:r>
        <w:rPr>
          <w:rFonts w:ascii="宋体" w:hAnsi="宋体" w:eastAsia="宋体" w:cs="宋体"/>
          <w:color w:val="auto"/>
          <w:spacing w:val="-16"/>
          <w:sz w:val="21"/>
          <w:szCs w:val="21"/>
          <w:highlight w:val="none"/>
          <w:u w:val="single"/>
          <w:lang w:eastAsia="zh-CN"/>
        </w:rPr>
        <w:t xml:space="preserve">（规定比例</w:t>
      </w:r>
      <w:r>
        <w:rPr>
          <w:rFonts w:ascii="宋体" w:hAnsi="宋体" w:eastAsia="宋体" w:cs="宋体"/>
          <w:color w:val="auto"/>
          <w:spacing w:val="-34"/>
          <w:sz w:val="21"/>
          <w:szCs w:val="21"/>
          <w:highlight w:val="none"/>
          <w:u w:val="single"/>
          <w:lang w:eastAsia="zh-CN"/>
        </w:rPr>
        <w:t xml:space="preserve">）（</w:t>
      </w:r>
      <w:r>
        <w:rPr>
          <w:rFonts w:ascii="宋体" w:hAnsi="宋体" w:eastAsia="宋体" w:cs="宋体"/>
          <w:color w:val="auto"/>
          <w:spacing w:val="-16"/>
          <w:sz w:val="21"/>
          <w:szCs w:val="21"/>
          <w:highlight w:val="none"/>
          <w:u w:val="single"/>
          <w:lang w:eastAsia="zh-CN"/>
        </w:rPr>
        <w:t xml:space="preserve">产品名称2）</w:t>
      </w:r>
      <w:r>
        <w:rPr>
          <w:rFonts w:ascii="宋体" w:hAnsi="宋体" w:eastAsia="宋体" w:cs="宋体"/>
          <w:color w:val="auto"/>
          <w:spacing w:val="-16"/>
          <w:sz w:val="21"/>
          <w:szCs w:val="21"/>
          <w:highlight w:val="none"/>
          <w:lang w:eastAsia="zh-CN"/>
        </w:rPr>
        <w:t xml:space="preserve">的</w:t>
      </w:r>
      <w:r>
        <w:rPr>
          <w:rFonts w:ascii="宋体" w:hAnsi="宋体" w:eastAsia="宋体" w:cs="宋体"/>
          <w:color w:val="auto"/>
          <w:spacing w:val="-16"/>
          <w:sz w:val="21"/>
          <w:szCs w:val="21"/>
          <w:highlight w:val="none"/>
          <w:u w:val="single"/>
          <w:lang w:eastAsia="zh-CN"/>
        </w:rPr>
        <w:t xml:space="preserve">（关键组件）</w:t>
      </w:r>
      <w:r>
        <w:rPr>
          <w:rFonts w:ascii="宋体" w:hAnsi="宋体" w:eastAsia="宋体" w:cs="宋体"/>
          <w:color w:val="auto"/>
          <w:spacing w:val="-16"/>
          <w:sz w:val="21"/>
          <w:szCs w:val="21"/>
          <w:highlight w:val="none"/>
          <w:lang w:eastAsia="zh-CN"/>
        </w:rPr>
        <w:t xml:space="preserve">在中国境内生产。</w:t>
      </w:r>
      <w:r>
        <w:rPr>
          <w:rFonts w:ascii="宋体" w:hAnsi="宋体" w:eastAsia="宋体" w:cs="宋体"/>
          <w:color w:val="auto"/>
          <w:spacing w:val="-16"/>
          <w:sz w:val="21"/>
          <w:szCs w:val="21"/>
          <w:highlight w:val="none"/>
          <w:u w:val="single"/>
          <w:lang w:eastAsia="zh-CN"/>
        </w:rPr>
        <w:t xml:space="preserve">（</w:t>
      </w:r>
      <w:r>
        <w:rPr>
          <w:rFonts w:ascii="宋体" w:hAnsi="宋体" w:eastAsia="宋体" w:cs="宋体"/>
          <w:color w:val="auto"/>
          <w:spacing w:val="-17"/>
          <w:sz w:val="21"/>
          <w:szCs w:val="21"/>
          <w:highlight w:val="none"/>
          <w:u w:val="single"/>
          <w:lang w:eastAsia="zh-CN"/>
        </w:rPr>
        <w:t xml:space="preserve">产品名称 1）</w:t>
      </w:r>
      <w:r>
        <w:rPr>
          <w:rFonts w:ascii="宋体" w:hAnsi="宋体" w:eastAsia="宋体" w:cs="宋体"/>
          <w:color w:val="auto"/>
          <w:spacing w:val="-17"/>
          <w:sz w:val="21"/>
          <w:szCs w:val="21"/>
          <w:highlight w:val="none"/>
          <w:lang w:eastAsia="zh-CN"/>
        </w:rPr>
        <w:t xml:space="preserve">的</w:t>
      </w:r>
      <w:r>
        <w:rPr>
          <w:rFonts w:ascii="宋体" w:hAnsi="宋体" w:eastAsia="宋体" w:cs="宋体"/>
          <w:color w:val="auto"/>
          <w:spacing w:val="-17"/>
          <w:sz w:val="21"/>
          <w:szCs w:val="21"/>
          <w:highlight w:val="none"/>
          <w:u w:val="single"/>
          <w:lang w:eastAsia="zh-CN"/>
        </w:rPr>
        <w:t xml:space="preserve">（关键工序）</w:t>
      </w:r>
      <w:r>
        <w:rPr>
          <w:rFonts w:ascii="宋体" w:hAnsi="宋体" w:eastAsia="宋体" w:cs="宋体"/>
          <w:color w:val="auto"/>
          <w:spacing w:val="7"/>
          <w:sz w:val="21"/>
          <w:szCs w:val="21"/>
          <w:highlight w:val="none"/>
          <w:lang w:eastAsia="zh-CN"/>
        </w:rPr>
        <w:t xml:space="preserve">在中国境内完成。</w:t>
      </w:r>
      <w:r/>
    </w:p>
    <w:p>
      <w:pPr>
        <w:ind w:left="591"/>
        <w:spacing w:before="28" w:line="323" w:lineRule="exact"/>
        <w:rPr>
          <w:rFonts w:ascii="宋体" w:hAnsi="宋体" w:eastAsia="宋体" w:cs="宋体"/>
          <w:color w:val="auto"/>
          <w:sz w:val="21"/>
          <w:szCs w:val="21"/>
          <w:highlight w:val="none"/>
          <w:lang w:eastAsia="zh-CN"/>
        </w:rPr>
      </w:pPr>
      <w:r>
        <w:rPr>
          <w:rFonts w:ascii="宋体" w:hAnsi="宋体" w:eastAsia="宋体" w:cs="宋体"/>
          <w:color w:val="auto"/>
          <w:spacing w:val="-2"/>
          <w:position w:val="2"/>
          <w:sz w:val="21"/>
          <w:szCs w:val="21"/>
          <w:highlight w:val="none"/>
          <w:lang w:eastAsia="zh-CN"/>
        </w:rPr>
        <w:t xml:space="preserve">……</w:t>
      </w:r>
      <w:r/>
    </w:p>
    <w:p>
      <w:pPr>
        <w:ind w:left="579"/>
        <w:spacing w:before="116" w:line="227" w:lineRule="auto"/>
        <w:rPr>
          <w:rFonts w:ascii="宋体" w:hAnsi="宋体" w:eastAsia="宋体" w:cs="宋体"/>
          <w:color w:val="auto"/>
          <w:sz w:val="21"/>
          <w:szCs w:val="21"/>
          <w:highlight w:val="none"/>
          <w:lang w:eastAsia="zh-CN"/>
        </w:rPr>
      </w:pPr>
      <w:r>
        <w:rPr>
          <w:rFonts w:ascii="宋体" w:hAnsi="宋体" w:eastAsia="宋体" w:cs="宋体"/>
          <w:color w:val="auto"/>
          <w:spacing w:val="9"/>
          <w:sz w:val="21"/>
          <w:szCs w:val="21"/>
          <w:highlight w:val="none"/>
          <w:lang w:eastAsia="zh-CN"/>
        </w:rPr>
        <w:t xml:space="preserve">本公司（单位）对上述声明内容的真实性负责。如有虚假，愿承担相应法律责任。</w:t>
      </w:r>
      <w:r/>
    </w:p>
    <w:p>
      <w:pPr>
        <w:pStyle w:val="865"/>
        <w:spacing w:line="280" w:lineRule="auto"/>
        <w:rPr>
          <w:color w:val="auto"/>
          <w:sz w:val="21"/>
          <w:szCs w:val="21"/>
          <w:highlight w:val="none"/>
          <w:lang w:eastAsia="zh-CN"/>
        </w:rPr>
      </w:pPr>
      <w:r>
        <w:rPr>
          <w:color w:val="auto"/>
          <w:sz w:val="21"/>
          <w:szCs w:val="21"/>
          <w:highlight w:val="none"/>
          <w:lang w:eastAsia="zh-CN"/>
        </w:rPr>
      </w:r>
      <w:r/>
    </w:p>
    <w:p>
      <w:pPr>
        <w:pStyle w:val="865"/>
        <w:spacing w:line="281" w:lineRule="auto"/>
        <w:rPr>
          <w:color w:val="auto"/>
          <w:sz w:val="21"/>
          <w:szCs w:val="21"/>
          <w:highlight w:val="none"/>
          <w:lang w:eastAsia="zh-CN"/>
        </w:rPr>
      </w:pPr>
      <w:r>
        <w:rPr>
          <w:color w:val="auto"/>
          <w:sz w:val="21"/>
          <w:szCs w:val="21"/>
          <w:highlight w:val="none"/>
          <w:lang w:eastAsia="zh-CN"/>
        </w:rPr>
      </w:r>
      <w:r/>
    </w:p>
    <w:p>
      <w:pPr>
        <w:ind w:left="3419"/>
        <w:spacing w:before="65" w:line="227" w:lineRule="auto"/>
        <w:rPr>
          <w:rFonts w:ascii="宋体" w:hAnsi="宋体" w:eastAsia="宋体" w:cs="宋体"/>
          <w:color w:val="auto"/>
          <w:sz w:val="21"/>
          <w:szCs w:val="21"/>
          <w:highlight w:val="none"/>
          <w:lang w:eastAsia="zh-CN"/>
        </w:rPr>
      </w:pPr>
      <w:r>
        <w:rPr>
          <w:rFonts w:ascii="宋体" w:hAnsi="宋体" w:eastAsia="宋体" w:cs="宋体"/>
          <w:color w:val="auto"/>
          <w:spacing w:val="8"/>
          <w:sz w:val="21"/>
          <w:szCs w:val="21"/>
          <w:highlight w:val="none"/>
          <w:lang w:eastAsia="zh-CN"/>
        </w:rPr>
        <w:t xml:space="preserve">公司（单位）名称（签章</w:t>
      </w:r>
      <w:r>
        <w:rPr>
          <w:rFonts w:ascii="宋体" w:hAnsi="宋体" w:eastAsia="宋体" w:cs="宋体"/>
          <w:color w:val="auto"/>
          <w:spacing w:val="2"/>
          <w:sz w:val="21"/>
          <w:szCs w:val="21"/>
          <w:highlight w:val="none"/>
          <w:lang w:eastAsia="zh-CN"/>
        </w:rPr>
        <w:t xml:space="preserve">）：</w:t>
      </w:r>
      <w:r/>
    </w:p>
    <w:p>
      <w:pPr>
        <w:ind w:left="4963"/>
        <w:spacing w:before="193" w:line="228" w:lineRule="auto"/>
        <w:rPr>
          <w:rFonts w:ascii="宋体" w:hAnsi="宋体" w:eastAsia="宋体" w:cs="宋体"/>
          <w:color w:val="auto"/>
          <w:sz w:val="21"/>
          <w:szCs w:val="21"/>
          <w:highlight w:val="none"/>
          <w:lang w:eastAsia="zh-CN"/>
        </w:rPr>
      </w:pPr>
      <w:r>
        <w:rPr>
          <w:rFonts w:ascii="宋体" w:hAnsi="宋体" w:eastAsia="宋体" w:cs="宋体"/>
          <w:color w:val="auto"/>
          <w:spacing w:val="-6"/>
          <w:sz w:val="21"/>
          <w:szCs w:val="21"/>
          <w:highlight w:val="none"/>
          <w:lang w:eastAsia="zh-CN"/>
        </w:rPr>
        <w:t xml:space="preserve">日期：</w:t>
      </w:r>
      <w:r>
        <w:rPr>
          <w:rFonts w:hint="eastAsia" w:ascii="宋体" w:hAnsi="宋体" w:eastAsia="宋体" w:cs="宋体"/>
          <w:color w:val="auto"/>
          <w:spacing w:val="-6"/>
          <w:sz w:val="21"/>
          <w:szCs w:val="21"/>
          <w:highlight w:val="none"/>
          <w:lang w:val="en-US" w:eastAsia="zh-CN"/>
        </w:rPr>
        <w:t xml:space="preserve">  </w:t>
      </w:r>
      <w:r>
        <w:rPr>
          <w:rFonts w:ascii="宋体" w:hAnsi="宋体" w:eastAsia="宋体" w:cs="宋体"/>
          <w:color w:val="auto"/>
          <w:spacing w:val="-6"/>
          <w:sz w:val="21"/>
          <w:szCs w:val="21"/>
          <w:highlight w:val="none"/>
          <w:lang w:eastAsia="zh-CN"/>
        </w:rPr>
        <w:t xml:space="preserve">年</w:t>
      </w:r>
      <w:r>
        <w:rPr>
          <w:rFonts w:hint="eastAsia" w:ascii="宋体" w:hAnsi="宋体" w:eastAsia="宋体" w:cs="宋体"/>
          <w:color w:val="auto"/>
          <w:spacing w:val="-6"/>
          <w:sz w:val="21"/>
          <w:szCs w:val="21"/>
          <w:highlight w:val="none"/>
          <w:lang w:val="en-US" w:eastAsia="zh-CN"/>
        </w:rPr>
        <w:t xml:space="preserve">   </w:t>
      </w:r>
      <w:r>
        <w:rPr>
          <w:rFonts w:ascii="宋体" w:hAnsi="宋体" w:eastAsia="宋体" w:cs="宋体"/>
          <w:color w:val="auto"/>
          <w:spacing w:val="-6"/>
          <w:sz w:val="21"/>
          <w:szCs w:val="21"/>
          <w:highlight w:val="none"/>
          <w:lang w:eastAsia="zh-CN"/>
        </w:rPr>
        <w:t xml:space="preserve">月</w:t>
      </w:r>
      <w:r>
        <w:rPr>
          <w:rFonts w:hint="eastAsia" w:ascii="宋体" w:hAnsi="宋体" w:eastAsia="宋体" w:cs="宋体"/>
          <w:color w:val="auto"/>
          <w:spacing w:val="-6"/>
          <w:sz w:val="21"/>
          <w:szCs w:val="21"/>
          <w:highlight w:val="none"/>
          <w:lang w:val="en-US" w:eastAsia="zh-CN"/>
        </w:rPr>
        <w:t xml:space="preserve">    </w:t>
      </w:r>
      <w:r>
        <w:rPr>
          <w:rFonts w:ascii="宋体" w:hAnsi="宋体" w:eastAsia="宋体" w:cs="宋体"/>
          <w:color w:val="auto"/>
          <w:spacing w:val="-6"/>
          <w:sz w:val="21"/>
          <w:szCs w:val="21"/>
          <w:highlight w:val="none"/>
          <w:lang w:eastAsia="zh-CN"/>
        </w:rPr>
        <w:t xml:space="preserve">日</w:t>
      </w:r>
      <w:r/>
    </w:p>
    <w:p>
      <w:pPr>
        <w:pStyle w:val="865"/>
        <w:spacing w:line="281" w:lineRule="auto"/>
        <w:rPr>
          <w:color w:val="auto"/>
          <w:sz w:val="21"/>
          <w:szCs w:val="21"/>
          <w:highlight w:val="none"/>
          <w:lang w:eastAsia="zh-CN"/>
        </w:rPr>
      </w:pPr>
      <w:r>
        <w:rPr>
          <w:color w:val="auto"/>
          <w:sz w:val="21"/>
          <w:szCs w:val="21"/>
          <w:highlight w:val="none"/>
          <w:lang w:eastAsia="zh-CN"/>
        </w:rPr>
      </w:r>
      <w:r/>
    </w:p>
    <w:p>
      <w:pPr>
        <w:pStyle w:val="865"/>
        <w:spacing w:line="281" w:lineRule="auto"/>
        <w:rPr>
          <w:color w:val="auto"/>
          <w:sz w:val="21"/>
          <w:szCs w:val="21"/>
          <w:highlight w:val="none"/>
          <w:lang w:eastAsia="zh-CN"/>
        </w:rPr>
      </w:pPr>
      <w:r>
        <w:rPr>
          <w:color w:val="auto"/>
          <w:sz w:val="21"/>
          <w:szCs w:val="21"/>
          <w:highlight w:val="none"/>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1285875</wp:posOffset>
                </wp:positionH>
                <wp:positionV relativeFrom="paragraph">
                  <wp:posOffset>69850</wp:posOffset>
                </wp:positionV>
                <wp:extent cx="9525" cy="6350"/>
                <wp:effectExtent l="0" t="0" r="0" b="0"/>
                <wp:wrapNone/>
                <wp:docPr id="7" name="IM 58"/>
                <wp:cNvGraphicFramePr/>
                <a:graphic xmlns:a="http://schemas.openxmlformats.org/drawingml/2006/main">
                  <a:graphicData uri="http://schemas.openxmlformats.org/drawingml/2006/picture">
                    <pic:pic xmlns:pic="http://schemas.openxmlformats.org/drawingml/2006/picture">
                      <pic:nvPicPr>
                        <pic:cNvPr id="122" name="IM 58"/>
                        <pic:cNvPicPr/>
                        <pic:nvPr/>
                      </pic:nvPicPr>
                      <pic:blipFill>
                        <a:blip r:embed="rId19"/>
                        <a:stretch/>
                      </pic:blipFill>
                      <pic:spPr bwMode="auto">
                        <a:xfrm>
                          <a:off x="0" y="0"/>
                          <a:ext cx="9524" cy="63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101.2pt;mso-position-horizontal:absolute;mso-position-vertical-relative:text;margin-top:5.5pt;mso-position-vertical:absolute;width:0.8pt;height:0.5pt;mso-wrap-distance-left:0.0pt;mso-wrap-distance-top:0.0pt;mso-wrap-distance-right:0.0pt;mso-wrap-distance-bottom:0.0pt;" stroked="false">
                <v:path textboxrect="0,0,0,0"/>
                <v:imagedata r:id="rId19" o:title=""/>
              </v:shape>
            </w:pict>
          </mc:Fallback>
        </mc:AlternateContent>
      </w:r>
      <w:r/>
    </w:p>
    <w:p>
      <w:pPr>
        <w:ind w:left="174"/>
        <w:spacing w:before="66" w:line="228" w:lineRule="auto"/>
        <w:rPr>
          <w:rFonts w:ascii="宋体" w:hAnsi="宋体" w:eastAsia="宋体" w:cs="宋体"/>
          <w:color w:val="auto"/>
          <w:sz w:val="21"/>
          <w:szCs w:val="21"/>
          <w:highlight w:val="none"/>
          <w:lang w:eastAsia="zh-CN"/>
        </w:rPr>
      </w:pPr>
      <w:r>
        <w:rPr>
          <w:rFonts w:ascii="宋体" w:hAnsi="宋体" w:eastAsia="宋体" w:cs="宋体"/>
          <w:color w:val="auto"/>
          <w:spacing w:val="6"/>
          <w:sz w:val="21"/>
          <w:szCs w:val="21"/>
          <w:highlight w:val="none"/>
          <w:lang w:eastAsia="zh-CN"/>
        </w:rPr>
        <w:t xml:space="preserve">1.产品如有型号，请在“产品名称”栏一并填写。</w:t>
      </w:r>
      <w:r/>
    </w:p>
    <w:p>
      <w:pPr>
        <w:ind w:left="161"/>
        <w:spacing w:before="190" w:line="228" w:lineRule="auto"/>
        <w:rPr>
          <w:rFonts w:ascii="宋体" w:hAnsi="宋体" w:eastAsia="宋体" w:cs="宋体"/>
          <w:color w:val="auto"/>
          <w:sz w:val="21"/>
          <w:szCs w:val="21"/>
          <w:highlight w:val="none"/>
          <w:lang w:eastAsia="zh-CN"/>
        </w:rPr>
      </w:pPr>
      <w:r>
        <w:rPr>
          <w:rFonts w:ascii="宋体" w:hAnsi="宋体" w:eastAsia="宋体" w:cs="宋体"/>
          <w:color w:val="auto"/>
          <w:spacing w:val="9"/>
          <w:sz w:val="21"/>
          <w:szCs w:val="21"/>
          <w:highlight w:val="none"/>
          <w:lang w:eastAsia="zh-CN"/>
        </w:rPr>
        <w:t xml:space="preserve">2.生产厂名与厂址应与生产厂营业执照载明的相关信息</w:t>
      </w:r>
      <w:r>
        <w:rPr>
          <w:rFonts w:ascii="宋体" w:hAnsi="宋体" w:eastAsia="宋体" w:cs="宋体"/>
          <w:color w:val="auto"/>
          <w:spacing w:val="8"/>
          <w:sz w:val="21"/>
          <w:szCs w:val="21"/>
          <w:highlight w:val="none"/>
          <w:lang w:eastAsia="zh-CN"/>
        </w:rPr>
        <w:t xml:space="preserve">保持一致。</w:t>
      </w:r>
      <w:r/>
    </w:p>
    <w:p>
      <w:pPr>
        <w:ind w:left="163"/>
        <w:spacing w:before="192" w:line="227" w:lineRule="auto"/>
        <w:rPr>
          <w:rFonts w:ascii="宋体" w:hAnsi="宋体" w:eastAsia="宋体" w:cs="宋体"/>
          <w:color w:val="auto"/>
          <w:sz w:val="21"/>
          <w:szCs w:val="21"/>
          <w:highlight w:val="none"/>
          <w:lang w:eastAsia="zh-CN"/>
        </w:rPr>
      </w:pPr>
      <w:r>
        <w:rPr>
          <w:rFonts w:ascii="宋体" w:hAnsi="宋体" w:eastAsia="宋体" w:cs="宋体"/>
          <w:color w:val="auto"/>
          <w:spacing w:val="8"/>
          <w:sz w:val="21"/>
          <w:szCs w:val="21"/>
          <w:highlight w:val="none"/>
          <w:lang w:eastAsia="zh-CN"/>
        </w:rPr>
        <w:t xml:space="preserve">3.该产品的中国境内生产的组件成本占比相关要求实施前，“规定比例”栏可不填，下同。</w:t>
      </w:r>
      <w:r/>
    </w:p>
    <w:p>
      <w:pPr>
        <w:ind w:left="157"/>
        <w:spacing w:before="193" w:line="228" w:lineRule="auto"/>
        <w:rPr>
          <w:rFonts w:ascii="宋体" w:hAnsi="宋体" w:eastAsia="宋体" w:cs="宋体"/>
          <w:color w:val="auto"/>
          <w:sz w:val="21"/>
          <w:szCs w:val="21"/>
          <w:highlight w:val="none"/>
          <w:lang w:eastAsia="zh-CN"/>
        </w:rPr>
      </w:pPr>
      <w:r>
        <w:rPr>
          <w:rFonts w:ascii="宋体" w:hAnsi="宋体" w:eastAsia="宋体" w:cs="宋体"/>
          <w:color w:val="auto"/>
          <w:spacing w:val="8"/>
          <w:sz w:val="21"/>
          <w:szCs w:val="21"/>
          <w:highlight w:val="none"/>
          <w:lang w:eastAsia="zh-CN"/>
        </w:rPr>
        <w:t xml:space="preserve">4.该产品的关键组件要求实施前，“关键组件”栏可不填，下同。</w:t>
      </w:r>
      <w:r/>
    </w:p>
    <w:p>
      <w:pPr>
        <w:ind w:left="163"/>
        <w:spacing w:before="193" w:line="228" w:lineRule="auto"/>
        <w:rPr>
          <w:rFonts w:ascii="宋体" w:hAnsi="宋体" w:eastAsia="宋体" w:cs="宋体"/>
          <w:color w:val="auto"/>
          <w:sz w:val="21"/>
          <w:szCs w:val="21"/>
          <w:highlight w:val="none"/>
          <w:lang w:eastAsia="zh-CN"/>
        </w:rPr>
      </w:pPr>
      <w:r>
        <w:rPr>
          <w:rFonts w:ascii="宋体" w:hAnsi="宋体" w:eastAsia="宋体" w:cs="宋体"/>
          <w:color w:val="auto"/>
          <w:spacing w:val="8"/>
          <w:sz w:val="21"/>
          <w:szCs w:val="21"/>
          <w:highlight w:val="none"/>
          <w:lang w:eastAsia="zh-CN"/>
        </w:rPr>
        <w:t xml:space="preserve">5.该产品的关键工序要求实施前，“关键工序”栏可</w:t>
      </w:r>
      <w:r>
        <w:rPr>
          <w:rFonts w:ascii="宋体" w:hAnsi="宋体" w:eastAsia="宋体" w:cs="宋体"/>
          <w:color w:val="auto"/>
          <w:spacing w:val="7"/>
          <w:sz w:val="21"/>
          <w:szCs w:val="21"/>
          <w:highlight w:val="none"/>
          <w:lang w:eastAsia="zh-CN"/>
        </w:rPr>
        <w:t xml:space="preserve">不填，下同。</w:t>
      </w:r>
      <w:r/>
    </w:p>
    <w:p>
      <w:pPr>
        <w:ind w:left="160"/>
        <w:spacing w:before="189" w:line="228" w:lineRule="auto"/>
        <w:rPr>
          <w:rFonts w:ascii="宋体" w:hAnsi="宋体" w:eastAsia="宋体" w:cs="宋体"/>
          <w:color w:val="auto"/>
          <w:sz w:val="21"/>
          <w:szCs w:val="21"/>
          <w:highlight w:val="none"/>
          <w:lang w:eastAsia="zh-CN"/>
        </w:rPr>
      </w:pPr>
      <w:r>
        <w:rPr>
          <w:rFonts w:ascii="宋体" w:hAnsi="宋体" w:eastAsia="宋体" w:cs="宋体"/>
          <w:color w:val="auto"/>
          <w:spacing w:val="7"/>
          <w:sz w:val="21"/>
          <w:szCs w:val="21"/>
          <w:highlight w:val="none"/>
          <w:lang w:eastAsia="zh-CN"/>
        </w:rPr>
        <w:t xml:space="preserve">6.用斜线划除的地方无需填写。</w:t>
      </w:r>
      <w:r/>
    </w:p>
    <w:p>
      <w:pPr>
        <w:ind w:firstLine="422"/>
        <w:jc w:val="center"/>
        <w:rPr>
          <w:rFonts w:ascii="宋体" w:hAnsi="宋体" w:cs="宋体"/>
          <w:b/>
          <w:color w:val="auto"/>
          <w:sz w:val="21"/>
          <w:szCs w:val="21"/>
          <w:highlight w:val="none"/>
        </w:rPr>
      </w:pPr>
      <w:r>
        <w:rPr>
          <w:rFonts w:ascii="宋体" w:hAnsi="宋体" w:cs="宋体"/>
          <w:b/>
          <w:color w:val="auto"/>
          <w:sz w:val="21"/>
          <w:szCs w:val="21"/>
          <w:highlight w:val="none"/>
        </w:rPr>
      </w:r>
      <w:r/>
    </w:p>
    <w:p>
      <w:pPr>
        <w:pageBreakBefore/>
        <w:widowControl/>
        <w:rPr>
          <w:rFonts w:ascii="宋体" w:hAnsi="宋体" w:cs="宋体"/>
          <w:color w:val="auto"/>
          <w:szCs w:val="21"/>
          <w:highlight w:val="none"/>
        </w:rPr>
      </w:pPr>
      <w:r>
        <w:rPr>
          <w:rFonts w:hint="eastAsia" w:ascii="宋体" w:hAnsi="宋体" w:cs="宋体"/>
          <w:b/>
          <w:bCs/>
          <w:color w:val="auto"/>
          <w:szCs w:val="21"/>
          <w:highlight w:val="none"/>
        </w:rPr>
        <w:t xml:space="preserve">5.9投标（响应）保证承诺书</w:t>
      </w:r>
      <w:r/>
    </w:p>
    <w:p>
      <w:pPr>
        <w:pStyle w:val="1193"/>
        <w:jc w:val="center"/>
        <w:spacing w:line="360" w:lineRule="auto"/>
        <w:tabs>
          <w:tab w:val="left" w:pos="525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投标（响应）保证承诺书</w:t>
      </w:r>
      <w:r/>
    </w:p>
    <w:p>
      <w:pPr>
        <w:jc w:val="left"/>
        <w:widowControl/>
        <w:rPr>
          <w:rFonts w:ascii="宋体" w:hAnsi="宋体" w:cs="宋体"/>
          <w:color w:val="auto"/>
          <w:szCs w:val="21"/>
          <w:highlight w:val="none"/>
        </w:rPr>
      </w:pPr>
      <w:r>
        <w:rPr>
          <w:rFonts w:ascii="宋体" w:hAnsi="宋体" w:cs="宋体"/>
          <w:color w:val="auto"/>
          <w:szCs w:val="21"/>
          <w:highlight w:val="none"/>
        </w:rPr>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600"/>
        <w:jc w:val="left"/>
        <w:widowControl/>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w:t>
      </w:r>
      <w:r>
        <w:rPr>
          <w:rFonts w:hint="eastAsia" w:ascii="宋体" w:hAnsi="宋体" w:cs="宋体"/>
          <w:color w:val="auto"/>
          <w:szCs w:val="21"/>
          <w:highlight w:val="none"/>
          <w:u w:val="single"/>
          <w:lang w:eastAsia="zh-CN"/>
        </w:rPr>
        <w:t xml:space="preserve">项目编号</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的投标（响应）,并做出如下承诺：</w:t>
      </w:r>
      <w:r/>
    </w:p>
    <w:p>
      <w:pPr>
        <w:ind w:firstLine="600"/>
        <w:jc w:val="left"/>
        <w:widowControl/>
        <w:rPr>
          <w:rFonts w:ascii="宋体" w:hAnsi="宋体" w:cs="宋体"/>
          <w:color w:val="auto"/>
          <w:szCs w:val="21"/>
          <w:highlight w:val="none"/>
        </w:rPr>
      </w:pPr>
      <w:r>
        <w:rPr>
          <w:rFonts w:hint="eastAsia" w:ascii="宋体" w:hAnsi="宋体" w:cs="宋体"/>
          <w:color w:val="auto"/>
          <w:szCs w:val="21"/>
          <w:highlight w:val="none"/>
        </w:rPr>
        <w:t xml:space="preserve">一、除不可抗力外，我单位如果发生以下行为，将在行为发生的10个工作日内，向贵方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支付本采购文件公布的预算金额（或最高限价）的2%作为违约赔偿金（数量不确定的单价采购须约定具体金额）。</w:t>
      </w:r>
      <w:r/>
    </w:p>
    <w:p>
      <w:pPr>
        <w:ind w:firstLine="555"/>
        <w:jc w:val="left"/>
        <w:widowControl/>
        <w:rPr>
          <w:rFonts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555"/>
        <w:jc w:val="left"/>
        <w:widowControl/>
        <w:rPr>
          <w:rFonts w:ascii="宋体" w:hAnsi="宋体" w:cs="宋体"/>
          <w:color w:val="auto"/>
          <w:szCs w:val="21"/>
          <w:highlight w:val="none"/>
        </w:rPr>
      </w:pPr>
      <w:r>
        <w:rPr>
          <w:rFonts w:hint="eastAsia" w:ascii="宋体" w:hAnsi="宋体" w:cs="宋体"/>
          <w:color w:val="auto"/>
          <w:szCs w:val="21"/>
          <w:highlight w:val="none"/>
        </w:rPr>
        <w:t xml:space="preserve">2.中标（成交）后不依法与采购人签订合同；</w:t>
      </w:r>
      <w:r/>
    </w:p>
    <w:p>
      <w:pPr>
        <w:ind w:firstLine="555"/>
        <w:jc w:val="left"/>
        <w:widowControl/>
        <w:rPr>
          <w:rFonts w:ascii="宋体" w:hAnsi="宋体" w:cs="宋体"/>
          <w:color w:val="auto"/>
          <w:szCs w:val="21"/>
          <w:highlight w:val="none"/>
        </w:rPr>
      </w:pPr>
      <w:r>
        <w:rPr>
          <w:rFonts w:hint="eastAsia" w:ascii="宋体" w:hAnsi="宋体" w:cs="宋体"/>
          <w:color w:val="auto"/>
          <w:szCs w:val="21"/>
          <w:highlight w:val="none"/>
        </w:rPr>
        <w:t xml:space="preserve">3.中标（成交）后不按本采购文件规定向采购人提交履约保证金（如有）；</w:t>
      </w:r>
      <w:r/>
    </w:p>
    <w:p>
      <w:pPr>
        <w:ind w:firstLine="600"/>
        <w:jc w:val="left"/>
        <w:widowControl/>
        <w:rPr>
          <w:rFonts w:ascii="宋体" w:hAnsi="宋体" w:cs="宋体"/>
          <w:color w:val="auto"/>
          <w:szCs w:val="21"/>
          <w:highlight w:val="none"/>
        </w:rPr>
      </w:pPr>
      <w:r>
        <w:rPr>
          <w:rFonts w:hint="eastAsia" w:ascii="宋体" w:hAnsi="宋体" w:cs="宋体"/>
          <w:color w:val="auto"/>
          <w:szCs w:val="21"/>
          <w:highlight w:val="none"/>
        </w:rPr>
        <w:t xml:space="preserve">二、我单位知晓上述行为的法律后果，承认本承诺书作为贵方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要求我单位履行违约赔偿义务的依据作用。</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投标（响应）人（盖公章）：</w:t>
      </w:r>
      <w:r>
        <w:rPr>
          <w:rFonts w:hint="eastAsia" w:ascii="宋体" w:hAnsi="宋体" w:cs="宋体"/>
          <w:color w:val="auto"/>
          <w:szCs w:val="21"/>
          <w:highlight w:val="none"/>
          <w:u w:val="single"/>
        </w:rPr>
        <w:t xml:space="preserve">                      </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     </w:t>
      </w:r>
      <w:r>
        <w:rPr>
          <w:rFonts w:hint="eastAsia" w:ascii="宋体" w:hAnsi="宋体" w:cs="宋体"/>
          <w:color w:val="auto"/>
          <w:szCs w:val="21"/>
          <w:highlight w:val="none"/>
          <w:u w:val="single"/>
        </w:rPr>
        <w:t xml:space="preserve">                </w:t>
      </w:r>
      <w:r/>
    </w:p>
    <w:p>
      <w:pPr>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bookmarkEnd w:id="69"/>
      <w:r/>
      <w:bookmarkEnd w:id="70"/>
      <w:r/>
      <w:bookmarkEnd w:id="71"/>
      <w:r/>
      <w:bookmarkEnd w:id="72"/>
      <w:r/>
      <w:bookmarkEnd w:id="73"/>
      <w:r/>
      <w:r/>
    </w:p>
    <w:p>
      <w:pPr>
        <w:spacing w:line="400" w:lineRule="exact"/>
        <w:rPr>
          <w:rFonts w:ascii="宋体" w:hAnsi="宋体" w:cs="宋体"/>
          <w:b/>
          <w:bCs/>
          <w:color w:val="auto"/>
          <w:szCs w:val="21"/>
          <w:highlight w:val="none"/>
        </w:rPr>
      </w:pPr>
      <w:r>
        <w:rPr>
          <w:rFonts w:hint="eastAsia" w:ascii="宋体" w:hAnsi="宋体" w:cs="宋体"/>
          <w:color w:val="auto"/>
          <w:szCs w:val="21"/>
          <w:highlight w:val="none"/>
          <w:u w:val="single"/>
        </w:rPr>
        <w:br w:type="page" w:clear="all"/>
      </w:r>
      <w:r>
        <w:rPr>
          <w:rFonts w:hint="eastAsia" w:ascii="宋体" w:hAnsi="宋体" w:cs="宋体"/>
          <w:b/>
          <w:bCs/>
          <w:color w:val="auto"/>
          <w:szCs w:val="21"/>
          <w:highlight w:val="none"/>
        </w:rPr>
        <w:t xml:space="preserve">附件6：</w:t>
      </w:r>
      <w:r>
        <w:rPr>
          <w:rFonts w:hint="eastAsia" w:ascii="宋体" w:hAnsi="宋体" w:cs="宋体"/>
          <w:b/>
          <w:bCs/>
          <w:color w:val="auto"/>
          <w:szCs w:val="21"/>
          <w:highlight w:val="none"/>
          <w:lang w:val="en-US" w:eastAsia="zh-CN"/>
        </w:rPr>
        <w:t xml:space="preserve">商务及</w:t>
      </w:r>
      <w:r>
        <w:rPr>
          <w:rFonts w:hint="eastAsia" w:ascii="宋体" w:hAnsi="宋体" w:cs="宋体"/>
          <w:b/>
          <w:bCs/>
          <w:color w:val="auto"/>
          <w:szCs w:val="21"/>
          <w:highlight w:val="none"/>
        </w:rPr>
        <w:t xml:space="preserve">技术部分（格式为参考，磋商响应单位可参照下述格式自制表格投标，但至少应包括下述格式中的内容，没有参考格式的则可根据情况自行编制）</w:t>
      </w:r>
      <w:r/>
    </w:p>
    <w:p>
      <w:pPr>
        <w:jc w:val="left"/>
        <w:rPr>
          <w:rFonts w:ascii="宋体" w:hAnsi="宋体" w:cs="宋体"/>
          <w:b/>
          <w:bCs/>
          <w:color w:val="auto"/>
          <w:szCs w:val="21"/>
          <w:highlight w:val="none"/>
        </w:rPr>
      </w:pPr>
      <w:r>
        <w:rPr>
          <w:rFonts w:ascii="宋体" w:hAnsi="宋体" w:cs="宋体"/>
          <w:b/>
          <w:bCs/>
          <w:color w:val="auto"/>
          <w:szCs w:val="21"/>
          <w:highlight w:val="none"/>
        </w:rPr>
      </w:r>
      <w:r/>
    </w:p>
    <w:p>
      <w:pPr>
        <w:jc w:val="left"/>
        <w:rPr>
          <w:rFonts w:ascii="宋体" w:hAnsi="宋体" w:cs="宋体"/>
          <w:b/>
          <w:bCs/>
          <w:color w:val="auto"/>
          <w:szCs w:val="21"/>
          <w:highlight w:val="none"/>
        </w:rPr>
      </w:pPr>
      <w:r>
        <w:rPr>
          <w:rFonts w:hint="eastAsia" w:ascii="宋体" w:hAnsi="宋体" w:cs="宋体"/>
          <w:b/>
          <w:bCs/>
          <w:color w:val="auto"/>
          <w:szCs w:val="21"/>
          <w:highlight w:val="none"/>
        </w:rPr>
        <w:t xml:space="preserve">6.1服务条款偏离表</w:t>
      </w:r>
      <w:r/>
    </w:p>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服务条款偏离表</w:t>
      </w:r>
      <w:r/>
    </w:p>
    <w:p>
      <w:pPr>
        <w:rPr>
          <w:rFonts w:ascii="宋体" w:hAnsi="宋体" w:cs="宋体"/>
          <w:color w:val="auto"/>
          <w:szCs w:val="21"/>
          <w:highlight w:val="none"/>
        </w:rPr>
      </w:pPr>
      <w:r>
        <w:rPr>
          <w:rFonts w:hint="eastAsia" w:ascii="宋体" w:hAnsi="宋体" w:cs="宋体"/>
          <w:color w:val="auto"/>
          <w:szCs w:val="21"/>
          <w:highlight w:val="none"/>
        </w:rPr>
        <w:t xml:space="preserve">单位名称（盖章）：                              </w:t>
      </w:r>
      <w:r/>
    </w:p>
    <w:tbl>
      <w:tblPr>
        <w:tblStyle w:val="860"/>
        <w:tblW w:w="5038" w:type="pct"/>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9"/>
        <w:gridCol w:w="2738"/>
        <w:gridCol w:w="3483"/>
        <w:gridCol w:w="2109"/>
      </w:tblGrid>
      <w:tr>
        <w:trPr>
          <w:trHeight w:val="1345"/>
        </w:trPr>
        <w:tc>
          <w:tcPr>
            <w:tcW w:w="1029" w:type="dxa"/>
            <w:vAlign w:val="center"/>
            <w:textDirection w:val="lrTb"/>
            <w:noWrap w:val="false"/>
          </w:tcPr>
          <w:p>
            <w:pPr>
              <w:jc w:val="center"/>
              <w:rPr>
                <w:rFonts w:hint="eastAsia"/>
                <w:color w:val="auto"/>
                <w:highlight w:val="none"/>
              </w:rPr>
            </w:pPr>
            <w:r>
              <w:rPr>
                <w:rFonts w:hint="eastAsia"/>
                <w:color w:val="auto"/>
                <w:highlight w:val="none"/>
              </w:rPr>
            </w:r>
            <w:r/>
          </w:p>
          <w:p>
            <w:pPr>
              <w:jc w:val="center"/>
              <w:rPr>
                <w:color w:val="auto"/>
                <w:highlight w:val="none"/>
              </w:rPr>
            </w:pPr>
            <w:r>
              <w:rPr>
                <w:rFonts w:hint="eastAsia"/>
                <w:color w:val="auto"/>
                <w:highlight w:val="none"/>
              </w:rPr>
              <w:t xml:space="preserve">序号</w:t>
            </w:r>
            <w:r/>
          </w:p>
        </w:tc>
        <w:tc>
          <w:tcPr>
            <w:tcW w:w="2738" w:type="dxa"/>
            <w:vAlign w:val="center"/>
            <w:textDirection w:val="lrTb"/>
            <w:noWrap w:val="false"/>
          </w:tcPr>
          <w:p>
            <w:pPr>
              <w:pStyle w:val="1204"/>
              <w:jc w:val="both"/>
              <w:spacing w:before="291" w:line="227" w:lineRule="auto"/>
              <w:rPr>
                <w:rFonts w:ascii="宋体" w:hAnsi="宋体" w:cs="宋体"/>
                <w:color w:val="auto"/>
                <w:szCs w:val="21"/>
                <w:highlight w:val="none"/>
              </w:rPr>
            </w:pPr>
            <w:r>
              <w:rPr>
                <w:color w:val="auto"/>
                <w:spacing w:val="9"/>
                <w:highlight w:val="none"/>
              </w:rPr>
              <w:t xml:space="preserve">采购技术及服务要求</w:t>
            </w:r>
            <w:r/>
          </w:p>
        </w:tc>
        <w:tc>
          <w:tcPr>
            <w:tcW w:w="3483" w:type="dxa"/>
            <w:vAlign w:val="center"/>
            <w:textDirection w:val="lrTb"/>
            <w:noWrap w:val="false"/>
          </w:tcPr>
          <w:p>
            <w:pPr>
              <w:pStyle w:val="1204"/>
              <w:jc w:val="both"/>
              <w:spacing w:before="291" w:line="228" w:lineRule="auto"/>
              <w:rPr>
                <w:color w:val="auto"/>
                <w:spacing w:val="8"/>
                <w:highlight w:val="none"/>
                <w:lang w:eastAsia="zh-CN"/>
              </w:rPr>
            </w:pPr>
            <w:r>
              <w:rPr>
                <w:color w:val="auto"/>
                <w:spacing w:val="8"/>
                <w:highlight w:val="none"/>
                <w:lang w:eastAsia="zh-CN"/>
              </w:rPr>
              <w:t xml:space="preserve">投标响应（正偏离、负偏离、无偏离）</w:t>
            </w:r>
            <w:r/>
          </w:p>
        </w:tc>
        <w:tc>
          <w:tcPr>
            <w:tcW w:w="2109" w:type="dxa"/>
            <w:vAlign w:val="center"/>
            <w:textDirection w:val="lrTb"/>
            <w:noWrap w:val="false"/>
          </w:tcPr>
          <w:p>
            <w:pPr>
              <w:pStyle w:val="1204"/>
              <w:jc w:val="both"/>
              <w:spacing w:before="291" w:line="228" w:lineRule="auto"/>
              <w:rPr>
                <w:rFonts w:ascii="宋体" w:hAnsi="宋体" w:cs="宋体"/>
                <w:color w:val="auto"/>
                <w:szCs w:val="21"/>
                <w:highlight w:val="none"/>
              </w:rPr>
            </w:pPr>
            <w:r>
              <w:rPr>
                <w:color w:val="auto"/>
                <w:spacing w:val="7"/>
                <w:highlight w:val="none"/>
              </w:rPr>
              <w:t xml:space="preserve">偏离说明（如有）</w:t>
            </w:r>
            <w:r/>
          </w:p>
        </w:tc>
      </w:tr>
      <w:tr>
        <w:trPr>
          <w:trHeight w:val="416"/>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16"/>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16"/>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16"/>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16"/>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16"/>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16"/>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16"/>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16"/>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75"/>
        </w:trPr>
        <w:tc>
          <w:tcPr>
            <w:tcW w:w="102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73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348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0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s="宋体"/>
          <w:color w:val="auto"/>
          <w:szCs w:val="21"/>
          <w:highlight w:val="none"/>
        </w:rPr>
      </w:pPr>
      <w:r>
        <w:rPr>
          <w:rFonts w:hint="eastAsia" w:ascii="宋体" w:hAnsi="宋体" w:cs="宋体"/>
          <w:color w:val="auto"/>
          <w:szCs w:val="21"/>
          <w:highlight w:val="none"/>
        </w:rPr>
        <w:t xml:space="preserve">注：1、磋商响应单位应对照采购文件技术要求等要求，所投标的物（服务）与采购文件的规定有偏离的，应在此表中申明与技术要求条文的偏差和例外。</w:t>
      </w:r>
      <w:r/>
    </w:p>
    <w:p>
      <w:pPr>
        <w:pStyle w:val="914"/>
        <w:rPr>
          <w:rFonts w:ascii="宋体" w:hAnsi="宋体" w:cs="宋体"/>
          <w:color w:val="auto"/>
          <w:szCs w:val="21"/>
          <w:highlight w:val="none"/>
        </w:rPr>
      </w:pPr>
      <w:r>
        <w:rPr>
          <w:rFonts w:hint="eastAsia" w:ascii="宋体" w:hAnsi="宋体" w:cs="宋体"/>
          <w:color w:val="auto"/>
          <w:szCs w:val="21"/>
          <w:highlight w:val="none"/>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ind w:firstLine="315"/>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磋商响应单位：（单位盖章）</w:t>
      </w:r>
      <w:r/>
    </w:p>
    <w:p>
      <w:pPr>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w:t>
      </w:r>
      <w:r/>
    </w:p>
    <w:p>
      <w:pPr>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rPr>
          <w:rFonts w:ascii="宋体" w:hAnsi="宋体" w:cs="宋体"/>
          <w:b/>
          <w:bCs/>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rPr>
        <w:t xml:space="preserve">6.2商务条款偏离表</w:t>
      </w:r>
      <w:r/>
    </w:p>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商务条款偏离表</w:t>
      </w:r>
      <w:r/>
    </w:p>
    <w:p>
      <w:pPr>
        <w:pStyle w:val="1191"/>
        <w:ind w:firstLine="0"/>
        <w:rPr>
          <w:rFonts w:ascii="宋体" w:hAnsi="宋体" w:cs="宋体"/>
          <w:b/>
          <w:bCs/>
          <w:color w:val="auto"/>
          <w:sz w:val="21"/>
          <w:szCs w:val="21"/>
          <w:highlight w:val="none"/>
        </w:rPr>
      </w:pPr>
      <w:r>
        <w:rPr>
          <w:rFonts w:ascii="宋体" w:hAnsi="宋体" w:cs="宋体"/>
          <w:b/>
          <w:bCs/>
          <w:color w:val="auto"/>
          <w:sz w:val="21"/>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单位名称（盖章）：                              </w:t>
      </w:r>
      <w:r/>
    </w:p>
    <w:tbl>
      <w:tblPr>
        <w:tblStyle w:val="860"/>
        <w:tblW w:w="4996" w:type="pct"/>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1935"/>
        <w:gridCol w:w="2417"/>
        <w:gridCol w:w="2416"/>
        <w:gridCol w:w="1728"/>
      </w:tblGrid>
      <w:tr>
        <w:trPr/>
        <w:tc>
          <w:tcPr>
            <w:tcW w:w="785" w:type="dxa"/>
            <w:vAlign w:val="center"/>
            <w:textDirection w:val="lrTb"/>
            <w:noWrap w:val="false"/>
          </w:tcPr>
          <w:p>
            <w:pPr>
              <w:jc w:val="center"/>
              <w:rPr>
                <w:rFonts w:ascii="宋体" w:hAnsi="宋体" w:cs="宋体"/>
                <w:color w:val="auto"/>
                <w:szCs w:val="21"/>
                <w:highlight w:val="none"/>
              </w:rPr>
            </w:pPr>
            <w:r>
              <w:rPr>
                <w:rFonts w:hint="eastAsia" w:ascii="宋体" w:hAnsi="宋体" w:cs="宋体"/>
                <w:b/>
                <w:bCs/>
                <w:color w:val="auto"/>
                <w:szCs w:val="21"/>
                <w:highlight w:val="none"/>
              </w:rPr>
              <w:t xml:space="preserve">序号</w:t>
            </w:r>
            <w:r/>
          </w:p>
        </w:tc>
        <w:tc>
          <w:tcPr>
            <w:tcW w:w="1935" w:type="dxa"/>
            <w:vAlign w:val="center"/>
            <w:textDirection w:val="lrTb"/>
            <w:noWrap w:val="false"/>
          </w:tcPr>
          <w:p>
            <w:pPr>
              <w:jc w:val="center"/>
              <w:rPr>
                <w:rFonts w:ascii="宋体" w:hAnsi="宋体" w:cs="宋体"/>
                <w:color w:val="auto"/>
                <w:szCs w:val="21"/>
                <w:highlight w:val="none"/>
              </w:rPr>
            </w:pPr>
            <w:r>
              <w:rPr>
                <w:rFonts w:hint="eastAsia" w:ascii="宋体" w:hAnsi="宋体" w:cs="宋体"/>
                <w:b/>
                <w:bCs/>
                <w:color w:val="auto"/>
                <w:szCs w:val="21"/>
                <w:highlight w:val="none"/>
              </w:rPr>
              <w:t xml:space="preserve">名称</w:t>
            </w:r>
            <w:r/>
          </w:p>
        </w:tc>
        <w:tc>
          <w:tcPr>
            <w:tcW w:w="2417" w:type="dxa"/>
            <w:vAlign w:val="center"/>
            <w:textDirection w:val="lrTb"/>
            <w:noWrap w:val="false"/>
          </w:tcPr>
          <w:p>
            <w:pPr>
              <w:jc w:val="center"/>
              <w:rPr>
                <w:rFonts w:ascii="宋体" w:hAnsi="宋体" w:cs="宋体"/>
                <w:color w:val="auto"/>
                <w:szCs w:val="21"/>
                <w:highlight w:val="none"/>
              </w:rPr>
            </w:pPr>
            <w:r>
              <w:rPr>
                <w:rFonts w:hint="eastAsia" w:ascii="宋体" w:hAnsi="宋体" w:cs="宋体"/>
                <w:b/>
                <w:bCs/>
                <w:color w:val="auto"/>
                <w:szCs w:val="21"/>
                <w:highlight w:val="none"/>
              </w:rPr>
              <w:t xml:space="preserve">磋商文件商务要求</w:t>
            </w:r>
            <w:r/>
          </w:p>
        </w:tc>
        <w:tc>
          <w:tcPr>
            <w:tcW w:w="2416" w:type="dxa"/>
            <w:vAlign w:val="center"/>
            <w:textDirection w:val="lrTb"/>
            <w:noWrap w:val="false"/>
          </w:tcPr>
          <w:p>
            <w:pPr>
              <w:jc w:val="center"/>
              <w:rPr>
                <w:rFonts w:ascii="宋体" w:hAnsi="宋体" w:cs="宋体"/>
                <w:color w:val="auto"/>
                <w:szCs w:val="21"/>
                <w:highlight w:val="none"/>
              </w:rPr>
            </w:pPr>
            <w:r>
              <w:rPr>
                <w:rFonts w:hint="eastAsia" w:ascii="宋体" w:hAnsi="宋体" w:cs="宋体"/>
                <w:b/>
                <w:bCs/>
                <w:color w:val="auto"/>
                <w:szCs w:val="21"/>
                <w:highlight w:val="none"/>
              </w:rPr>
              <w:t xml:space="preserve">响应文件响应情况</w:t>
            </w:r>
            <w:r/>
          </w:p>
        </w:tc>
        <w:tc>
          <w:tcPr>
            <w:tcW w:w="1728"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说明</w:t>
            </w:r>
            <w:r/>
          </w:p>
        </w:tc>
      </w:tr>
      <w:tr>
        <w:trPr/>
        <w:tc>
          <w:tcPr>
            <w:tcW w:w="78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93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合同履约</w:t>
            </w:r>
            <w:r>
              <w:rPr>
                <w:rFonts w:hint="eastAsia" w:ascii="宋体" w:hAnsi="宋体" w:cs="宋体"/>
                <w:color w:val="auto"/>
                <w:szCs w:val="21"/>
                <w:highlight w:val="none"/>
              </w:rPr>
              <w:t xml:space="preserve">期限</w:t>
            </w:r>
            <w:r/>
          </w:p>
        </w:tc>
        <w:tc>
          <w:tcPr>
            <w:tcW w:w="2417" w:type="dxa"/>
            <w:vAlign w:val="top"/>
            <w:textDirection w:val="lrTb"/>
            <w:noWrap w:val="false"/>
          </w:tcPr>
          <w:p>
            <w:pPr>
              <w:pStyle w:val="1204"/>
              <w:ind w:left="73"/>
              <w:spacing w:before="298" w:line="228" w:lineRule="auto"/>
              <w:rPr>
                <w:rFonts w:hint="default" w:ascii="Arial" w:hAnsi="Arial" w:eastAsia="Arial" w:cs="Arial"/>
                <w:color w:val="auto"/>
                <w:sz w:val="21"/>
                <w:szCs w:val="21"/>
                <w:highlight w:val="none"/>
                <w:lang w:val="en-US" w:eastAsia="zh-CN" w:bidi="ar-SA"/>
              </w:rPr>
            </w:pPr>
            <w:r>
              <w:rPr>
                <w:rFonts w:hint="default" w:ascii="Arial" w:hAnsi="Arial" w:eastAsia="Arial" w:cs="Arial"/>
                <w:color w:val="auto"/>
                <w:sz w:val="21"/>
                <w:szCs w:val="21"/>
                <w:highlight w:val="none"/>
                <w:lang w:val="en-US" w:eastAsia="zh-CN" w:bidi="ar-SA"/>
              </w:rPr>
            </w:r>
            <w:r/>
          </w:p>
        </w:tc>
        <w:tc>
          <w:tcPr>
            <w:tcW w:w="2416"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W w:w="78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93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2417" w:type="dxa"/>
            <w:vAlign w:val="top"/>
            <w:textDirection w:val="lrTb"/>
            <w:noWrap w:val="false"/>
          </w:tcPr>
          <w:p>
            <w:pPr>
              <w:pStyle w:val="1204"/>
              <w:ind w:left="72"/>
              <w:spacing w:before="213" w:line="228"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tc>
        <w:tc>
          <w:tcPr>
            <w:tcW w:w="2416"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44"/>
        </w:trPr>
        <w:tc>
          <w:tcPr>
            <w:tcW w:w="785" w:type="dxa"/>
            <w:vAlign w:val="center"/>
            <w:textDirection w:val="lrTb"/>
            <w:noWrap w:val="false"/>
          </w:tcPr>
          <w:p>
            <w:pPr>
              <w:jc w:val="both"/>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W w:w="193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售后服务</w:t>
            </w:r>
            <w:r/>
          </w:p>
        </w:tc>
        <w:tc>
          <w:tcPr>
            <w:tcW w:w="2417" w:type="dxa"/>
            <w:vAlign w:val="top"/>
            <w:textDirection w:val="lrTb"/>
            <w:noWrap w:val="false"/>
          </w:tcPr>
          <w:p>
            <w:pPr>
              <w:pStyle w:val="1204"/>
              <w:ind w:left="73"/>
              <w:spacing w:before="215" w:line="228"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tc>
        <w:tc>
          <w:tcPr>
            <w:tcW w:w="2416"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W w:w="785" w:type="dxa"/>
            <w:vAlign w:val="center"/>
            <w:textDirection w:val="lrTb"/>
            <w:noWrap w:val="false"/>
          </w:tcPr>
          <w:p>
            <w:pPr>
              <w:jc w:val="both"/>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tcW w:w="193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t xml:space="preserve">质保期</w:t>
            </w:r>
            <w:r/>
          </w:p>
        </w:tc>
        <w:tc>
          <w:tcPr>
            <w:tcW w:w="2417" w:type="dxa"/>
            <w:vAlign w:val="top"/>
            <w:textDirection w:val="lrTb"/>
            <w:noWrap w:val="false"/>
          </w:tcPr>
          <w:p>
            <w:pPr>
              <w:pStyle w:val="1204"/>
              <w:ind w:left="72"/>
              <w:spacing w:before="216" w:line="228"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tc>
        <w:tc>
          <w:tcPr>
            <w:tcW w:w="2416"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W w:w="785" w:type="dxa"/>
            <w:vAlign w:val="center"/>
            <w:textDirection w:val="lrTb"/>
            <w:noWrap w:val="false"/>
          </w:tcPr>
          <w:p>
            <w:pPr>
              <w:jc w:val="both"/>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W w:w="1935" w:type="dxa"/>
            <w:vAlign w:val="center"/>
            <w:textDirection w:val="lrTb"/>
            <w:noWrap w:val="false"/>
          </w:tcPr>
          <w:p>
            <w:pPr>
              <w:jc w:val="both"/>
              <w:rPr>
                <w:rFonts w:hint="default" w:ascii="宋体" w:hAnsi="宋体" w:cs="宋体"/>
                <w:color w:val="auto"/>
                <w:szCs w:val="21"/>
                <w:highlight w:val="none"/>
                <w:lang w:val="en-US" w:eastAsia="zh-CN"/>
              </w:rPr>
            </w:pPr>
            <w:r>
              <w:rPr>
                <w:rFonts w:hint="eastAsia" w:ascii="宋体" w:hAnsi="宋体" w:cs="宋体"/>
                <w:color w:val="auto"/>
                <w:szCs w:val="21"/>
                <w:highlight w:val="none"/>
              </w:rPr>
              <w:t xml:space="preserve">合同主要条款</w:t>
            </w:r>
            <w:r/>
          </w:p>
        </w:tc>
        <w:tc>
          <w:tcPr>
            <w:tcW w:w="2417" w:type="dxa"/>
            <w:vAlign w:val="top"/>
            <w:textDirection w:val="lrTb"/>
            <w:noWrap w:val="false"/>
          </w:tcPr>
          <w:p>
            <w:pPr>
              <w:pStyle w:val="1204"/>
              <w:ind w:left="73"/>
              <w:spacing w:before="218" w:line="228"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tc>
        <w:tc>
          <w:tcPr>
            <w:tcW w:w="241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281"/>
        </w:trPr>
        <w:tc>
          <w:tcPr>
            <w:tcW w:w="785" w:type="dxa"/>
            <w:vAlign w:val="center"/>
            <w:textDirection w:val="lrTb"/>
            <w:noWrap w:val="false"/>
          </w:tcPr>
          <w:p>
            <w:pPr>
              <w:jc w:val="both"/>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tcW w:w="1935" w:type="dxa"/>
            <w:vAlign w:val="center"/>
            <w:textDirection w:val="lrTb"/>
            <w:noWrap w:val="false"/>
          </w:tcPr>
          <w:p>
            <w:pPr>
              <w:jc w:val="both"/>
              <w:rPr>
                <w:rFonts w:hint="default" w:ascii="宋体" w:hAnsi="宋体" w:cs="宋体"/>
                <w:color w:val="auto"/>
                <w:szCs w:val="21"/>
                <w:highlight w:val="none"/>
                <w:lang w:val="en-US" w:eastAsia="zh-CN"/>
              </w:rPr>
            </w:pPr>
            <w:r>
              <w:rPr>
                <w:rFonts w:hint="eastAsia" w:ascii="宋体" w:hAnsi="宋体" w:cs="宋体"/>
                <w:color w:val="auto"/>
                <w:szCs w:val="21"/>
                <w:highlight w:val="none"/>
              </w:rPr>
              <w:t xml:space="preserve">其他商务条款</w:t>
            </w:r>
            <w:r/>
          </w:p>
        </w:tc>
        <w:tc>
          <w:tcPr>
            <w:tcW w:w="2417" w:type="dxa"/>
            <w:vAlign w:val="top"/>
            <w:textDirection w:val="lrTb"/>
            <w:noWrap w:val="false"/>
          </w:tcPr>
          <w:p>
            <w:pPr>
              <w:pStyle w:val="1204"/>
              <w:ind w:left="73"/>
              <w:spacing w:before="220" w:line="228"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tc>
        <w:tc>
          <w:tcPr>
            <w:tcW w:w="241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W w:w="785" w:type="dxa"/>
            <w:vAlign w:val="center"/>
            <w:textDirection w:val="lrTb"/>
            <w:noWrap w:val="false"/>
          </w:tcPr>
          <w:p>
            <w:pPr>
              <w:jc w:val="both"/>
              <w:rPr>
                <w:rFonts w:hint="default" w:ascii="宋体" w:hAnsi="宋体" w:cs="宋体"/>
                <w:color w:val="auto"/>
                <w:szCs w:val="21"/>
                <w:highlight w:val="none"/>
                <w:lang w:val="en-US" w:eastAsia="zh-CN"/>
              </w:rPr>
            </w:pPr>
            <w:r>
              <w:rPr>
                <w:rFonts w:hint="eastAsia" w:ascii="宋体" w:hAnsi="宋体" w:cs="宋体"/>
                <w:color w:val="auto"/>
                <w:szCs w:val="21"/>
                <w:highlight w:val="none"/>
              </w:rPr>
              <w:t xml:space="preserve">…</w:t>
            </w:r>
            <w:r/>
          </w:p>
        </w:tc>
        <w:tc>
          <w:tcPr>
            <w:tcW w:w="1935" w:type="dxa"/>
            <w:vAlign w:val="center"/>
            <w:textDirection w:val="lrTb"/>
            <w:noWrap w:val="false"/>
          </w:tcPr>
          <w:p>
            <w:pPr>
              <w:jc w:val="both"/>
              <w:rPr>
                <w:rFonts w:hint="default" w:ascii="宋体" w:hAnsi="宋体" w:cs="宋体"/>
                <w:color w:val="auto"/>
                <w:szCs w:val="21"/>
                <w:highlight w:val="none"/>
                <w:lang w:val="en-US" w:eastAsia="zh-CN"/>
              </w:rPr>
            </w:pPr>
            <w:r>
              <w:rPr>
                <w:rFonts w:hint="eastAsia" w:ascii="宋体" w:hAnsi="宋体" w:cs="宋体"/>
                <w:color w:val="auto"/>
                <w:szCs w:val="21"/>
                <w:highlight w:val="none"/>
              </w:rPr>
              <w:t xml:space="preserve">…</w:t>
            </w:r>
            <w:r/>
          </w:p>
        </w:tc>
        <w:tc>
          <w:tcPr>
            <w:tcW w:w="2417" w:type="dxa"/>
            <w:vAlign w:val="top"/>
            <w:textDirection w:val="lrTb"/>
            <w:noWrap w:val="false"/>
          </w:tcPr>
          <w:p>
            <w:pPr>
              <w:pStyle w:val="1204"/>
              <w:ind w:left="78"/>
              <w:spacing w:before="65" w:line="84" w:lineRule="exact"/>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tc>
        <w:tc>
          <w:tcPr>
            <w:tcW w:w="241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W w:w="785" w:type="dxa"/>
            <w:vAlign w:val="center"/>
            <w:textDirection w:val="lrTb"/>
            <w:noWrap w:val="false"/>
          </w:tcPr>
          <w:p>
            <w:pPr>
              <w:jc w:val="center"/>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935" w:type="dxa"/>
            <w:vAlign w:val="center"/>
            <w:textDirection w:val="lrTb"/>
            <w:noWrap w:val="false"/>
          </w:tcPr>
          <w:p>
            <w:pPr>
              <w:jc w:val="center"/>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241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41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W w:w="78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3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41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41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c>
          <w:tcPr>
            <w:tcW w:w="78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3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41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416"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728"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s="宋体"/>
          <w:color w:val="auto"/>
          <w:szCs w:val="21"/>
          <w:highlight w:val="none"/>
        </w:rPr>
      </w:pPr>
      <w:r>
        <w:rPr>
          <w:rFonts w:hint="eastAsia" w:ascii="宋体" w:hAnsi="宋体" w:cs="宋体"/>
          <w:color w:val="auto"/>
          <w:szCs w:val="21"/>
          <w:highlight w:val="none"/>
        </w:rPr>
        <w:t xml:space="preserve">注：磋商响应单位的响应文件（除技术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磋商响应单位：（单位盖章）</w:t>
      </w:r>
      <w:r/>
    </w:p>
    <w:p>
      <w:pPr>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w:t>
      </w:r>
      <w:r/>
    </w:p>
    <w:p>
      <w:pPr>
        <w:pStyle w:val="1191"/>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6.3针对本项目的人员配置表</w:t>
      </w:r>
      <w:r/>
    </w:p>
    <w:p>
      <w:pPr>
        <w:jc w:val="center"/>
        <w:rPr>
          <w:rFonts w:ascii="宋体" w:hAnsi="宋体" w:cs="宋体"/>
          <w:b/>
          <w:bCs/>
          <w:color w:val="auto"/>
          <w:spacing w:val="20"/>
          <w:highlight w:val="none"/>
        </w:rPr>
      </w:pPr>
      <w:r>
        <w:rPr>
          <w:rFonts w:hint="eastAsia" w:ascii="宋体" w:hAnsi="宋体" w:cs="宋体"/>
          <w:b/>
          <w:bCs/>
          <w:color w:val="auto"/>
          <w:spacing w:val="20"/>
          <w:highlight w:val="none"/>
        </w:rPr>
        <w:t xml:space="preserve">（1）针对本项目的人员配置表</w:t>
      </w:r>
      <w:r/>
    </w:p>
    <w:p>
      <w:pPr>
        <w:rPr>
          <w:rFonts w:ascii="宋体" w:hAnsi="宋体" w:cs="宋体"/>
          <w:color w:val="auto"/>
          <w:szCs w:val="21"/>
          <w:highlight w:val="none"/>
        </w:rPr>
      </w:pPr>
      <w:r>
        <w:rPr>
          <w:rFonts w:hint="eastAsia" w:ascii="宋体" w:hAnsi="宋体" w:cs="宋体"/>
          <w:color w:val="auto"/>
          <w:szCs w:val="21"/>
          <w:highlight w:val="none"/>
          <w:lang w:eastAsia="zh-CN"/>
        </w:rPr>
        <w:t xml:space="preserve">项目编号</w:t>
      </w:r>
      <w:r>
        <w:rPr>
          <w:rFonts w:hint="eastAsia" w:ascii="宋体" w:hAnsi="宋体" w:cs="宋体"/>
          <w:color w:val="auto"/>
          <w:szCs w:val="21"/>
          <w:highlight w:val="none"/>
        </w:rPr>
        <w:t xml:space="preserve">：                                      项目名称：</w:t>
      </w:r>
      <w:r/>
    </w:p>
    <w:tbl>
      <w:tblPr>
        <w:tblStyle w:val="860"/>
        <w:tblW w:w="8956"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11"/>
        <w:gridCol w:w="1119"/>
        <w:gridCol w:w="1005"/>
        <w:gridCol w:w="716"/>
        <w:gridCol w:w="760"/>
        <w:gridCol w:w="718"/>
        <w:gridCol w:w="1319"/>
        <w:gridCol w:w="1186"/>
        <w:gridCol w:w="1422"/>
      </w:tblGrid>
      <w:tr>
        <w:trPr>
          <w:trHeight w:val="803"/>
        </w:trPr>
        <w:tc>
          <w:tcPr>
            <w:tcW w:w="711" w:type="dxa"/>
            <w:textDirection w:val="lrTb"/>
            <w:noWrap w:val="false"/>
          </w:tcPr>
          <w:p>
            <w:pPr>
              <w:pStyle w:val="1181"/>
              <w:ind w:left="175" w:right="172"/>
              <w:jc w:val="center"/>
              <w:rPr>
                <w:color w:val="auto"/>
                <w:highlight w:val="none"/>
              </w:rPr>
            </w:pPr>
            <w:r>
              <w:rPr>
                <w:rFonts w:hint="eastAsia"/>
                <w:color w:val="auto"/>
                <w:highlight w:val="none"/>
              </w:rPr>
              <w:t xml:space="preserve">序号</w:t>
            </w:r>
            <w:r/>
          </w:p>
        </w:tc>
        <w:tc>
          <w:tcPr>
            <w:tcW w:w="1119" w:type="dxa"/>
            <w:textDirection w:val="lrTb"/>
            <w:noWrap w:val="false"/>
          </w:tcPr>
          <w:p>
            <w:pPr>
              <w:pStyle w:val="1181"/>
              <w:ind w:left="433" w:right="106" w:hanging="315"/>
              <w:spacing w:before="134" w:line="278" w:lineRule="auto"/>
              <w:rPr>
                <w:rFonts w:hint="eastAsia"/>
                <w:color w:val="auto"/>
                <w:highlight w:val="none"/>
              </w:rPr>
            </w:pPr>
            <w:r>
              <w:rPr>
                <w:rFonts w:hint="eastAsia"/>
                <w:color w:val="auto"/>
                <w:highlight w:val="none"/>
              </w:rPr>
              <w:t xml:space="preserve">项目组所</w:t>
            </w:r>
            <w:r/>
          </w:p>
          <w:p>
            <w:pPr>
              <w:pStyle w:val="1181"/>
              <w:ind w:left="433" w:right="106" w:hanging="315"/>
              <w:spacing w:before="134" w:line="278" w:lineRule="auto"/>
              <w:rPr>
                <w:color w:val="auto"/>
                <w:highlight w:val="none"/>
              </w:rPr>
            </w:pPr>
            <w:r>
              <w:rPr>
                <w:rFonts w:hint="eastAsia"/>
                <w:color w:val="auto"/>
                <w:highlight w:val="none"/>
              </w:rPr>
              <w:t xml:space="preserve">任职务</w:t>
            </w:r>
            <w:r/>
          </w:p>
        </w:tc>
        <w:tc>
          <w:tcPr>
            <w:tcW w:w="1005" w:type="dxa"/>
            <w:textDirection w:val="lrTb"/>
            <w:noWrap w:val="false"/>
          </w:tcPr>
          <w:p>
            <w:pPr>
              <w:pStyle w:val="1181"/>
              <w:spacing w:before="8"/>
              <w:rPr>
                <w:b/>
                <w:color w:val="auto"/>
                <w:highlight w:val="none"/>
              </w:rPr>
            </w:pPr>
            <w:r>
              <w:rPr>
                <w:b/>
                <w:color w:val="auto"/>
                <w:highlight w:val="none"/>
              </w:rPr>
            </w:r>
            <w:r/>
          </w:p>
          <w:p>
            <w:pPr>
              <w:pStyle w:val="1181"/>
              <w:ind w:left="366"/>
              <w:rPr>
                <w:color w:val="auto"/>
                <w:highlight w:val="none"/>
              </w:rPr>
            </w:pPr>
            <w:r>
              <w:rPr>
                <w:rFonts w:hint="eastAsia"/>
                <w:color w:val="auto"/>
                <w:highlight w:val="none"/>
              </w:rPr>
              <w:t xml:space="preserve">姓名</w:t>
            </w:r>
            <w:r/>
          </w:p>
        </w:tc>
        <w:tc>
          <w:tcPr>
            <w:tcW w:w="716" w:type="dxa"/>
            <w:textDirection w:val="lrTb"/>
            <w:noWrap w:val="false"/>
          </w:tcPr>
          <w:p>
            <w:pPr>
              <w:pStyle w:val="1181"/>
              <w:spacing w:before="8"/>
              <w:rPr>
                <w:b/>
                <w:color w:val="auto"/>
                <w:highlight w:val="none"/>
              </w:rPr>
            </w:pPr>
            <w:r>
              <w:rPr>
                <w:b/>
                <w:color w:val="auto"/>
                <w:highlight w:val="none"/>
              </w:rPr>
            </w:r>
            <w:r/>
          </w:p>
          <w:p>
            <w:pPr>
              <w:pStyle w:val="1181"/>
              <w:ind w:left="200"/>
              <w:rPr>
                <w:color w:val="auto"/>
                <w:highlight w:val="none"/>
              </w:rPr>
            </w:pPr>
            <w:r>
              <w:rPr>
                <w:rFonts w:hint="eastAsia"/>
                <w:color w:val="auto"/>
                <w:highlight w:val="none"/>
              </w:rPr>
              <w:t xml:space="preserve">性别</w:t>
            </w:r>
            <w:r/>
          </w:p>
        </w:tc>
        <w:tc>
          <w:tcPr>
            <w:tcW w:w="760" w:type="dxa"/>
            <w:textDirection w:val="lrTb"/>
            <w:noWrap w:val="false"/>
          </w:tcPr>
          <w:p>
            <w:pPr>
              <w:pStyle w:val="1181"/>
              <w:spacing w:before="8"/>
              <w:rPr>
                <w:b/>
                <w:color w:val="auto"/>
                <w:highlight w:val="none"/>
              </w:rPr>
            </w:pPr>
            <w:r>
              <w:rPr>
                <w:b/>
                <w:color w:val="auto"/>
                <w:highlight w:val="none"/>
              </w:rPr>
            </w:r>
            <w:r/>
          </w:p>
          <w:p>
            <w:pPr>
              <w:pStyle w:val="1181"/>
              <w:ind w:left="226"/>
              <w:rPr>
                <w:color w:val="auto"/>
                <w:highlight w:val="none"/>
              </w:rPr>
            </w:pPr>
            <w:r>
              <w:rPr>
                <w:rFonts w:hint="eastAsia"/>
                <w:color w:val="auto"/>
                <w:highlight w:val="none"/>
              </w:rPr>
              <w:t xml:space="preserve">年龄</w:t>
            </w:r>
            <w:r/>
          </w:p>
        </w:tc>
        <w:tc>
          <w:tcPr>
            <w:tcW w:w="718" w:type="dxa"/>
            <w:textDirection w:val="lrTb"/>
            <w:noWrap w:val="false"/>
          </w:tcPr>
          <w:p>
            <w:pPr>
              <w:pStyle w:val="1181"/>
              <w:spacing w:before="8"/>
              <w:rPr>
                <w:b/>
                <w:color w:val="auto"/>
                <w:highlight w:val="none"/>
              </w:rPr>
            </w:pPr>
            <w:r>
              <w:rPr>
                <w:b/>
                <w:color w:val="auto"/>
                <w:highlight w:val="none"/>
              </w:rPr>
            </w:r>
            <w:r/>
          </w:p>
          <w:p>
            <w:pPr>
              <w:pStyle w:val="1181"/>
              <w:ind w:left="200"/>
              <w:rPr>
                <w:color w:val="auto"/>
                <w:highlight w:val="none"/>
              </w:rPr>
            </w:pPr>
            <w:r>
              <w:rPr>
                <w:rFonts w:hint="eastAsia"/>
                <w:color w:val="auto"/>
                <w:highlight w:val="none"/>
              </w:rPr>
              <w:t xml:space="preserve">职称</w:t>
            </w:r>
            <w:r/>
          </w:p>
        </w:tc>
        <w:tc>
          <w:tcPr>
            <w:tcW w:w="1319" w:type="dxa"/>
            <w:textDirection w:val="lrTb"/>
            <w:noWrap w:val="false"/>
          </w:tcPr>
          <w:p>
            <w:pPr>
              <w:pStyle w:val="1181"/>
              <w:spacing w:before="8"/>
              <w:rPr>
                <w:b/>
                <w:color w:val="auto"/>
                <w:highlight w:val="none"/>
              </w:rPr>
            </w:pPr>
            <w:r>
              <w:rPr>
                <w:b/>
                <w:color w:val="auto"/>
                <w:highlight w:val="none"/>
              </w:rPr>
            </w:r>
            <w:r/>
          </w:p>
          <w:p>
            <w:pPr>
              <w:pStyle w:val="1181"/>
              <w:rPr>
                <w:color w:val="auto"/>
                <w:highlight w:val="none"/>
              </w:rPr>
            </w:pPr>
            <w:r>
              <w:rPr>
                <w:rFonts w:hint="eastAsia"/>
                <w:color w:val="auto"/>
                <w:highlight w:val="none"/>
              </w:rPr>
              <w:t xml:space="preserve">专业/资格</w:t>
            </w:r>
            <w:r/>
          </w:p>
        </w:tc>
        <w:tc>
          <w:tcPr>
            <w:tcW w:w="1186" w:type="dxa"/>
            <w:textDirection w:val="lrTb"/>
            <w:noWrap w:val="false"/>
          </w:tcPr>
          <w:p>
            <w:pPr>
              <w:pStyle w:val="1181"/>
              <w:ind w:left="469" w:right="146" w:hanging="315"/>
              <w:spacing w:before="134" w:line="278" w:lineRule="auto"/>
              <w:rPr>
                <w:rFonts w:hint="eastAsia"/>
                <w:color w:val="auto"/>
                <w:highlight w:val="none"/>
              </w:rPr>
            </w:pPr>
            <w:r>
              <w:rPr>
                <w:rFonts w:hint="eastAsia"/>
                <w:color w:val="auto"/>
                <w:highlight w:val="none"/>
              </w:rPr>
              <w:t xml:space="preserve">从事本工</w:t>
            </w:r>
            <w:r/>
          </w:p>
          <w:p>
            <w:pPr>
              <w:pStyle w:val="1181"/>
              <w:ind w:left="469" w:right="146" w:hanging="315"/>
              <w:spacing w:before="134" w:line="278" w:lineRule="auto"/>
              <w:rPr>
                <w:color w:val="auto"/>
                <w:highlight w:val="none"/>
              </w:rPr>
            </w:pPr>
            <w:r>
              <w:rPr>
                <w:rFonts w:hint="eastAsia"/>
                <w:color w:val="auto"/>
                <w:highlight w:val="none"/>
              </w:rPr>
              <w:t xml:space="preserve">作时间</w:t>
            </w:r>
            <w:r/>
          </w:p>
        </w:tc>
        <w:tc>
          <w:tcPr>
            <w:tcW w:w="1422" w:type="dxa"/>
            <w:textDirection w:val="lrTb"/>
            <w:noWrap w:val="false"/>
          </w:tcPr>
          <w:p>
            <w:pPr>
              <w:pStyle w:val="1181"/>
              <w:ind w:right="280"/>
              <w:spacing w:before="134" w:line="278" w:lineRule="auto"/>
              <w:rPr>
                <w:color w:val="auto"/>
                <w:highlight w:val="none"/>
              </w:rPr>
            </w:pPr>
            <w:r>
              <w:rPr>
                <w:rFonts w:hint="eastAsia"/>
                <w:color w:val="auto"/>
                <w:highlight w:val="none"/>
              </w:rPr>
              <w:t xml:space="preserve">典型业务与技术专长</w:t>
            </w:r>
            <w:r/>
          </w:p>
        </w:tc>
      </w:tr>
      <w:tr>
        <w:trPr>
          <w:trHeight w:val="539"/>
        </w:trPr>
        <w:tc>
          <w:tcPr>
            <w:tcW w:w="711" w:type="dxa"/>
            <w:textDirection w:val="lrTb"/>
            <w:noWrap w:val="false"/>
          </w:tcPr>
          <w:p>
            <w:pPr>
              <w:pStyle w:val="1181"/>
              <w:ind w:left="7"/>
              <w:jc w:val="center"/>
              <w:spacing w:before="163"/>
              <w:rPr>
                <w:color w:val="auto"/>
                <w:highlight w:val="none"/>
              </w:rPr>
            </w:pPr>
            <w:r>
              <w:rPr>
                <w:rFonts w:hint="eastAsia"/>
                <w:color w:val="auto"/>
                <w:highlight w:val="none"/>
              </w:rPr>
              <w:t xml:space="preserve">1</w:t>
            </w:r>
            <w:r/>
          </w:p>
        </w:tc>
        <w:tc>
          <w:tcPr>
            <w:tcW w:w="1119" w:type="dxa"/>
            <w:textDirection w:val="lrTb"/>
            <w:noWrap w:val="false"/>
          </w:tcPr>
          <w:p>
            <w:pPr>
              <w:pStyle w:val="1181"/>
              <w:rPr>
                <w:color w:val="auto"/>
                <w:sz w:val="20"/>
                <w:highlight w:val="none"/>
              </w:rPr>
            </w:pPr>
            <w:r>
              <w:rPr>
                <w:color w:val="auto"/>
                <w:sz w:val="20"/>
                <w:highlight w:val="none"/>
              </w:rPr>
            </w:r>
            <w:r/>
          </w:p>
        </w:tc>
        <w:tc>
          <w:tcPr>
            <w:tcW w:w="1005" w:type="dxa"/>
            <w:textDirection w:val="lrTb"/>
            <w:noWrap w:val="false"/>
          </w:tcPr>
          <w:p>
            <w:pPr>
              <w:pStyle w:val="1181"/>
              <w:rPr>
                <w:color w:val="auto"/>
                <w:sz w:val="20"/>
                <w:highlight w:val="none"/>
              </w:rPr>
            </w:pPr>
            <w:r>
              <w:rPr>
                <w:color w:val="auto"/>
                <w:sz w:val="20"/>
                <w:highlight w:val="none"/>
              </w:rPr>
            </w:r>
            <w:r/>
          </w:p>
        </w:tc>
        <w:tc>
          <w:tcPr>
            <w:tcW w:w="716" w:type="dxa"/>
            <w:textDirection w:val="lrTb"/>
            <w:noWrap w:val="false"/>
          </w:tcPr>
          <w:p>
            <w:pPr>
              <w:pStyle w:val="1181"/>
              <w:rPr>
                <w:color w:val="auto"/>
                <w:sz w:val="20"/>
                <w:highlight w:val="none"/>
              </w:rPr>
            </w:pPr>
            <w:r>
              <w:rPr>
                <w:color w:val="auto"/>
                <w:sz w:val="20"/>
                <w:highlight w:val="none"/>
              </w:rPr>
            </w:r>
            <w:r/>
          </w:p>
        </w:tc>
        <w:tc>
          <w:tcPr>
            <w:tcW w:w="760" w:type="dxa"/>
            <w:textDirection w:val="lrTb"/>
            <w:noWrap w:val="false"/>
          </w:tcPr>
          <w:p>
            <w:pPr>
              <w:pStyle w:val="1181"/>
              <w:rPr>
                <w:color w:val="auto"/>
                <w:sz w:val="20"/>
                <w:highlight w:val="none"/>
              </w:rPr>
            </w:pPr>
            <w:r>
              <w:rPr>
                <w:color w:val="auto"/>
                <w:sz w:val="20"/>
                <w:highlight w:val="none"/>
              </w:rPr>
            </w:r>
            <w:r/>
          </w:p>
        </w:tc>
        <w:tc>
          <w:tcPr>
            <w:tcW w:w="718" w:type="dxa"/>
            <w:textDirection w:val="lrTb"/>
            <w:noWrap w:val="false"/>
          </w:tcPr>
          <w:p>
            <w:pPr>
              <w:pStyle w:val="1181"/>
              <w:rPr>
                <w:color w:val="auto"/>
                <w:sz w:val="20"/>
                <w:highlight w:val="none"/>
              </w:rPr>
            </w:pPr>
            <w:r>
              <w:rPr>
                <w:color w:val="auto"/>
                <w:sz w:val="20"/>
                <w:highlight w:val="none"/>
              </w:rPr>
            </w:r>
            <w:r/>
          </w:p>
        </w:tc>
        <w:tc>
          <w:tcPr>
            <w:tcW w:w="1319" w:type="dxa"/>
            <w:textDirection w:val="lrTb"/>
            <w:noWrap w:val="false"/>
          </w:tcPr>
          <w:p>
            <w:pPr>
              <w:pStyle w:val="1181"/>
              <w:rPr>
                <w:color w:val="auto"/>
                <w:sz w:val="20"/>
                <w:highlight w:val="none"/>
              </w:rPr>
            </w:pPr>
            <w:r>
              <w:rPr>
                <w:color w:val="auto"/>
                <w:sz w:val="20"/>
                <w:highlight w:val="none"/>
              </w:rPr>
            </w:r>
            <w:r/>
          </w:p>
        </w:tc>
        <w:tc>
          <w:tcPr>
            <w:tcW w:w="1186" w:type="dxa"/>
            <w:textDirection w:val="lrTb"/>
            <w:noWrap w:val="false"/>
          </w:tcPr>
          <w:p>
            <w:pPr>
              <w:pStyle w:val="1181"/>
              <w:rPr>
                <w:color w:val="auto"/>
                <w:sz w:val="20"/>
                <w:highlight w:val="none"/>
              </w:rPr>
            </w:pPr>
            <w:r>
              <w:rPr>
                <w:color w:val="auto"/>
                <w:sz w:val="20"/>
                <w:highlight w:val="none"/>
              </w:rPr>
            </w:r>
            <w:r/>
          </w:p>
        </w:tc>
        <w:tc>
          <w:tcPr>
            <w:tcW w:w="1422" w:type="dxa"/>
            <w:textDirection w:val="lrTb"/>
            <w:noWrap w:val="false"/>
          </w:tcPr>
          <w:p>
            <w:pPr>
              <w:pStyle w:val="1181"/>
              <w:rPr>
                <w:color w:val="auto"/>
                <w:sz w:val="20"/>
                <w:highlight w:val="none"/>
              </w:rPr>
            </w:pPr>
            <w:r>
              <w:rPr>
                <w:color w:val="auto"/>
                <w:sz w:val="20"/>
                <w:highlight w:val="none"/>
              </w:rPr>
            </w:r>
            <w:r/>
          </w:p>
        </w:tc>
      </w:tr>
      <w:tr>
        <w:trPr>
          <w:trHeight w:val="539"/>
        </w:trPr>
        <w:tc>
          <w:tcPr>
            <w:tcW w:w="711" w:type="dxa"/>
            <w:textDirection w:val="lrTb"/>
            <w:noWrap w:val="false"/>
          </w:tcPr>
          <w:p>
            <w:pPr>
              <w:pStyle w:val="1181"/>
              <w:ind w:left="7"/>
              <w:jc w:val="center"/>
              <w:spacing w:before="162"/>
              <w:rPr>
                <w:color w:val="auto"/>
                <w:highlight w:val="none"/>
              </w:rPr>
            </w:pPr>
            <w:r>
              <w:rPr>
                <w:rFonts w:hint="eastAsia"/>
                <w:color w:val="auto"/>
                <w:highlight w:val="none"/>
              </w:rPr>
              <w:t xml:space="preserve">2</w:t>
            </w:r>
            <w:r/>
          </w:p>
        </w:tc>
        <w:tc>
          <w:tcPr>
            <w:tcW w:w="1119" w:type="dxa"/>
            <w:textDirection w:val="lrTb"/>
            <w:noWrap w:val="false"/>
          </w:tcPr>
          <w:p>
            <w:pPr>
              <w:pStyle w:val="1181"/>
              <w:rPr>
                <w:color w:val="auto"/>
                <w:sz w:val="20"/>
                <w:highlight w:val="none"/>
              </w:rPr>
            </w:pPr>
            <w:r>
              <w:rPr>
                <w:color w:val="auto"/>
                <w:sz w:val="20"/>
                <w:highlight w:val="none"/>
              </w:rPr>
            </w:r>
            <w:r/>
          </w:p>
        </w:tc>
        <w:tc>
          <w:tcPr>
            <w:tcW w:w="1005" w:type="dxa"/>
            <w:textDirection w:val="lrTb"/>
            <w:noWrap w:val="false"/>
          </w:tcPr>
          <w:p>
            <w:pPr>
              <w:pStyle w:val="1181"/>
              <w:rPr>
                <w:color w:val="auto"/>
                <w:sz w:val="20"/>
                <w:highlight w:val="none"/>
              </w:rPr>
            </w:pPr>
            <w:r>
              <w:rPr>
                <w:color w:val="auto"/>
                <w:sz w:val="20"/>
                <w:highlight w:val="none"/>
              </w:rPr>
            </w:r>
            <w:r/>
          </w:p>
        </w:tc>
        <w:tc>
          <w:tcPr>
            <w:tcW w:w="716" w:type="dxa"/>
            <w:textDirection w:val="lrTb"/>
            <w:noWrap w:val="false"/>
          </w:tcPr>
          <w:p>
            <w:pPr>
              <w:pStyle w:val="1181"/>
              <w:rPr>
                <w:color w:val="auto"/>
                <w:sz w:val="20"/>
                <w:highlight w:val="none"/>
              </w:rPr>
            </w:pPr>
            <w:r>
              <w:rPr>
                <w:color w:val="auto"/>
                <w:sz w:val="20"/>
                <w:highlight w:val="none"/>
              </w:rPr>
            </w:r>
            <w:r/>
          </w:p>
        </w:tc>
        <w:tc>
          <w:tcPr>
            <w:tcW w:w="760" w:type="dxa"/>
            <w:textDirection w:val="lrTb"/>
            <w:noWrap w:val="false"/>
          </w:tcPr>
          <w:p>
            <w:pPr>
              <w:pStyle w:val="1181"/>
              <w:rPr>
                <w:color w:val="auto"/>
                <w:sz w:val="20"/>
                <w:highlight w:val="none"/>
              </w:rPr>
            </w:pPr>
            <w:r>
              <w:rPr>
                <w:color w:val="auto"/>
                <w:sz w:val="20"/>
                <w:highlight w:val="none"/>
              </w:rPr>
            </w:r>
            <w:r/>
          </w:p>
        </w:tc>
        <w:tc>
          <w:tcPr>
            <w:tcW w:w="718" w:type="dxa"/>
            <w:textDirection w:val="lrTb"/>
            <w:noWrap w:val="false"/>
          </w:tcPr>
          <w:p>
            <w:pPr>
              <w:pStyle w:val="1181"/>
              <w:rPr>
                <w:color w:val="auto"/>
                <w:sz w:val="20"/>
                <w:highlight w:val="none"/>
              </w:rPr>
            </w:pPr>
            <w:r>
              <w:rPr>
                <w:color w:val="auto"/>
                <w:sz w:val="20"/>
                <w:highlight w:val="none"/>
              </w:rPr>
            </w:r>
            <w:r/>
          </w:p>
        </w:tc>
        <w:tc>
          <w:tcPr>
            <w:tcW w:w="1319" w:type="dxa"/>
            <w:textDirection w:val="lrTb"/>
            <w:noWrap w:val="false"/>
          </w:tcPr>
          <w:p>
            <w:pPr>
              <w:pStyle w:val="1181"/>
              <w:rPr>
                <w:color w:val="auto"/>
                <w:sz w:val="20"/>
                <w:highlight w:val="none"/>
              </w:rPr>
            </w:pPr>
            <w:r>
              <w:rPr>
                <w:color w:val="auto"/>
                <w:sz w:val="20"/>
                <w:highlight w:val="none"/>
              </w:rPr>
            </w:r>
            <w:r/>
          </w:p>
        </w:tc>
        <w:tc>
          <w:tcPr>
            <w:tcW w:w="1186" w:type="dxa"/>
            <w:textDirection w:val="lrTb"/>
            <w:noWrap w:val="false"/>
          </w:tcPr>
          <w:p>
            <w:pPr>
              <w:pStyle w:val="1181"/>
              <w:rPr>
                <w:color w:val="auto"/>
                <w:sz w:val="20"/>
                <w:highlight w:val="none"/>
              </w:rPr>
            </w:pPr>
            <w:r>
              <w:rPr>
                <w:color w:val="auto"/>
                <w:sz w:val="20"/>
                <w:highlight w:val="none"/>
              </w:rPr>
            </w:r>
            <w:r/>
          </w:p>
        </w:tc>
        <w:tc>
          <w:tcPr>
            <w:tcW w:w="1422" w:type="dxa"/>
            <w:textDirection w:val="lrTb"/>
            <w:noWrap w:val="false"/>
          </w:tcPr>
          <w:p>
            <w:pPr>
              <w:pStyle w:val="1181"/>
              <w:rPr>
                <w:color w:val="auto"/>
                <w:sz w:val="20"/>
                <w:highlight w:val="none"/>
              </w:rPr>
            </w:pPr>
            <w:r>
              <w:rPr>
                <w:color w:val="auto"/>
                <w:sz w:val="20"/>
                <w:highlight w:val="none"/>
              </w:rPr>
            </w:r>
            <w:r/>
          </w:p>
        </w:tc>
      </w:tr>
      <w:tr>
        <w:trPr>
          <w:trHeight w:val="539"/>
        </w:trPr>
        <w:tc>
          <w:tcPr>
            <w:tcW w:w="711" w:type="dxa"/>
            <w:textDirection w:val="lrTb"/>
            <w:noWrap w:val="false"/>
          </w:tcPr>
          <w:p>
            <w:pPr>
              <w:pStyle w:val="1181"/>
              <w:ind w:left="7"/>
              <w:jc w:val="center"/>
              <w:spacing w:before="161"/>
              <w:rPr>
                <w:color w:val="auto"/>
                <w:highlight w:val="none"/>
              </w:rPr>
            </w:pPr>
            <w:r>
              <w:rPr>
                <w:rFonts w:hint="eastAsia"/>
                <w:color w:val="auto"/>
                <w:highlight w:val="none"/>
              </w:rPr>
              <w:t xml:space="preserve">3</w:t>
            </w:r>
            <w:r/>
          </w:p>
        </w:tc>
        <w:tc>
          <w:tcPr>
            <w:tcW w:w="1119" w:type="dxa"/>
            <w:textDirection w:val="lrTb"/>
            <w:noWrap w:val="false"/>
          </w:tcPr>
          <w:p>
            <w:pPr>
              <w:pStyle w:val="1181"/>
              <w:rPr>
                <w:color w:val="auto"/>
                <w:sz w:val="20"/>
                <w:highlight w:val="none"/>
              </w:rPr>
            </w:pPr>
            <w:r>
              <w:rPr>
                <w:color w:val="auto"/>
                <w:sz w:val="20"/>
                <w:highlight w:val="none"/>
              </w:rPr>
            </w:r>
            <w:r/>
          </w:p>
        </w:tc>
        <w:tc>
          <w:tcPr>
            <w:tcW w:w="1005" w:type="dxa"/>
            <w:textDirection w:val="lrTb"/>
            <w:noWrap w:val="false"/>
          </w:tcPr>
          <w:p>
            <w:pPr>
              <w:pStyle w:val="1181"/>
              <w:rPr>
                <w:color w:val="auto"/>
                <w:sz w:val="20"/>
                <w:highlight w:val="none"/>
              </w:rPr>
            </w:pPr>
            <w:r>
              <w:rPr>
                <w:color w:val="auto"/>
                <w:sz w:val="20"/>
                <w:highlight w:val="none"/>
              </w:rPr>
            </w:r>
            <w:r/>
          </w:p>
        </w:tc>
        <w:tc>
          <w:tcPr>
            <w:tcW w:w="716" w:type="dxa"/>
            <w:textDirection w:val="lrTb"/>
            <w:noWrap w:val="false"/>
          </w:tcPr>
          <w:p>
            <w:pPr>
              <w:pStyle w:val="1181"/>
              <w:rPr>
                <w:color w:val="auto"/>
                <w:sz w:val="20"/>
                <w:highlight w:val="none"/>
              </w:rPr>
            </w:pPr>
            <w:r>
              <w:rPr>
                <w:color w:val="auto"/>
                <w:sz w:val="20"/>
                <w:highlight w:val="none"/>
              </w:rPr>
            </w:r>
            <w:r/>
          </w:p>
        </w:tc>
        <w:tc>
          <w:tcPr>
            <w:tcW w:w="760" w:type="dxa"/>
            <w:textDirection w:val="lrTb"/>
            <w:noWrap w:val="false"/>
          </w:tcPr>
          <w:p>
            <w:pPr>
              <w:pStyle w:val="1181"/>
              <w:rPr>
                <w:color w:val="auto"/>
                <w:sz w:val="20"/>
                <w:highlight w:val="none"/>
              </w:rPr>
            </w:pPr>
            <w:r>
              <w:rPr>
                <w:color w:val="auto"/>
                <w:sz w:val="20"/>
                <w:highlight w:val="none"/>
              </w:rPr>
            </w:r>
            <w:r/>
          </w:p>
        </w:tc>
        <w:tc>
          <w:tcPr>
            <w:tcW w:w="718" w:type="dxa"/>
            <w:textDirection w:val="lrTb"/>
            <w:noWrap w:val="false"/>
          </w:tcPr>
          <w:p>
            <w:pPr>
              <w:pStyle w:val="1181"/>
              <w:rPr>
                <w:color w:val="auto"/>
                <w:sz w:val="20"/>
                <w:highlight w:val="none"/>
              </w:rPr>
            </w:pPr>
            <w:r>
              <w:rPr>
                <w:color w:val="auto"/>
                <w:sz w:val="20"/>
                <w:highlight w:val="none"/>
              </w:rPr>
            </w:r>
            <w:r/>
          </w:p>
        </w:tc>
        <w:tc>
          <w:tcPr>
            <w:tcW w:w="1319" w:type="dxa"/>
            <w:textDirection w:val="lrTb"/>
            <w:noWrap w:val="false"/>
          </w:tcPr>
          <w:p>
            <w:pPr>
              <w:pStyle w:val="1181"/>
              <w:rPr>
                <w:color w:val="auto"/>
                <w:sz w:val="20"/>
                <w:highlight w:val="none"/>
              </w:rPr>
            </w:pPr>
            <w:r>
              <w:rPr>
                <w:color w:val="auto"/>
                <w:sz w:val="20"/>
                <w:highlight w:val="none"/>
              </w:rPr>
            </w:r>
            <w:r/>
          </w:p>
        </w:tc>
        <w:tc>
          <w:tcPr>
            <w:tcW w:w="1186" w:type="dxa"/>
            <w:textDirection w:val="lrTb"/>
            <w:noWrap w:val="false"/>
          </w:tcPr>
          <w:p>
            <w:pPr>
              <w:pStyle w:val="1181"/>
              <w:rPr>
                <w:color w:val="auto"/>
                <w:sz w:val="20"/>
                <w:highlight w:val="none"/>
              </w:rPr>
            </w:pPr>
            <w:r>
              <w:rPr>
                <w:color w:val="auto"/>
                <w:sz w:val="20"/>
                <w:highlight w:val="none"/>
              </w:rPr>
            </w:r>
            <w:r/>
          </w:p>
        </w:tc>
        <w:tc>
          <w:tcPr>
            <w:tcW w:w="1422" w:type="dxa"/>
            <w:textDirection w:val="lrTb"/>
            <w:noWrap w:val="false"/>
          </w:tcPr>
          <w:p>
            <w:pPr>
              <w:pStyle w:val="1181"/>
              <w:rPr>
                <w:color w:val="auto"/>
                <w:sz w:val="20"/>
                <w:highlight w:val="none"/>
              </w:rPr>
            </w:pPr>
            <w:r>
              <w:rPr>
                <w:color w:val="auto"/>
                <w:sz w:val="20"/>
                <w:highlight w:val="none"/>
              </w:rPr>
            </w:r>
            <w:r/>
          </w:p>
        </w:tc>
      </w:tr>
      <w:tr>
        <w:trPr>
          <w:trHeight w:val="538"/>
        </w:trPr>
        <w:tc>
          <w:tcPr>
            <w:tcW w:w="711" w:type="dxa"/>
            <w:textDirection w:val="lrTb"/>
            <w:noWrap w:val="false"/>
          </w:tcPr>
          <w:p>
            <w:pPr>
              <w:pStyle w:val="1181"/>
              <w:ind w:left="7"/>
              <w:jc w:val="center"/>
              <w:spacing w:before="162"/>
              <w:rPr>
                <w:color w:val="auto"/>
                <w:highlight w:val="none"/>
              </w:rPr>
            </w:pPr>
            <w:r>
              <w:rPr>
                <w:rFonts w:hint="eastAsia"/>
                <w:color w:val="auto"/>
                <w:highlight w:val="none"/>
              </w:rPr>
              <w:t xml:space="preserve">4</w:t>
            </w:r>
            <w:r/>
          </w:p>
        </w:tc>
        <w:tc>
          <w:tcPr>
            <w:tcW w:w="1119" w:type="dxa"/>
            <w:textDirection w:val="lrTb"/>
            <w:noWrap w:val="false"/>
          </w:tcPr>
          <w:p>
            <w:pPr>
              <w:pStyle w:val="1181"/>
              <w:rPr>
                <w:color w:val="auto"/>
                <w:sz w:val="20"/>
                <w:highlight w:val="none"/>
              </w:rPr>
            </w:pPr>
            <w:r>
              <w:rPr>
                <w:color w:val="auto"/>
                <w:sz w:val="20"/>
                <w:highlight w:val="none"/>
              </w:rPr>
            </w:r>
            <w:r/>
          </w:p>
        </w:tc>
        <w:tc>
          <w:tcPr>
            <w:tcW w:w="1005" w:type="dxa"/>
            <w:textDirection w:val="lrTb"/>
            <w:noWrap w:val="false"/>
          </w:tcPr>
          <w:p>
            <w:pPr>
              <w:pStyle w:val="1181"/>
              <w:rPr>
                <w:color w:val="auto"/>
                <w:sz w:val="20"/>
                <w:highlight w:val="none"/>
              </w:rPr>
            </w:pPr>
            <w:r>
              <w:rPr>
                <w:color w:val="auto"/>
                <w:sz w:val="20"/>
                <w:highlight w:val="none"/>
              </w:rPr>
            </w:r>
            <w:r/>
          </w:p>
        </w:tc>
        <w:tc>
          <w:tcPr>
            <w:tcW w:w="716" w:type="dxa"/>
            <w:textDirection w:val="lrTb"/>
            <w:noWrap w:val="false"/>
          </w:tcPr>
          <w:p>
            <w:pPr>
              <w:pStyle w:val="1181"/>
              <w:rPr>
                <w:color w:val="auto"/>
                <w:sz w:val="20"/>
                <w:highlight w:val="none"/>
              </w:rPr>
            </w:pPr>
            <w:r>
              <w:rPr>
                <w:color w:val="auto"/>
                <w:sz w:val="20"/>
                <w:highlight w:val="none"/>
              </w:rPr>
            </w:r>
            <w:r/>
          </w:p>
        </w:tc>
        <w:tc>
          <w:tcPr>
            <w:tcW w:w="760" w:type="dxa"/>
            <w:textDirection w:val="lrTb"/>
            <w:noWrap w:val="false"/>
          </w:tcPr>
          <w:p>
            <w:pPr>
              <w:pStyle w:val="1181"/>
              <w:rPr>
                <w:color w:val="auto"/>
                <w:sz w:val="20"/>
                <w:highlight w:val="none"/>
              </w:rPr>
            </w:pPr>
            <w:r>
              <w:rPr>
                <w:color w:val="auto"/>
                <w:sz w:val="20"/>
                <w:highlight w:val="none"/>
              </w:rPr>
            </w:r>
            <w:r/>
          </w:p>
        </w:tc>
        <w:tc>
          <w:tcPr>
            <w:tcW w:w="718" w:type="dxa"/>
            <w:textDirection w:val="lrTb"/>
            <w:noWrap w:val="false"/>
          </w:tcPr>
          <w:p>
            <w:pPr>
              <w:pStyle w:val="1181"/>
              <w:rPr>
                <w:color w:val="auto"/>
                <w:sz w:val="20"/>
                <w:highlight w:val="none"/>
              </w:rPr>
            </w:pPr>
            <w:r>
              <w:rPr>
                <w:color w:val="auto"/>
                <w:sz w:val="20"/>
                <w:highlight w:val="none"/>
              </w:rPr>
            </w:r>
            <w:r/>
          </w:p>
        </w:tc>
        <w:tc>
          <w:tcPr>
            <w:tcW w:w="1319" w:type="dxa"/>
            <w:textDirection w:val="lrTb"/>
            <w:noWrap w:val="false"/>
          </w:tcPr>
          <w:p>
            <w:pPr>
              <w:pStyle w:val="1181"/>
              <w:rPr>
                <w:color w:val="auto"/>
                <w:sz w:val="20"/>
                <w:highlight w:val="none"/>
              </w:rPr>
            </w:pPr>
            <w:r>
              <w:rPr>
                <w:color w:val="auto"/>
                <w:sz w:val="20"/>
                <w:highlight w:val="none"/>
              </w:rPr>
            </w:r>
            <w:r/>
          </w:p>
        </w:tc>
        <w:tc>
          <w:tcPr>
            <w:tcW w:w="1186" w:type="dxa"/>
            <w:textDirection w:val="lrTb"/>
            <w:noWrap w:val="false"/>
          </w:tcPr>
          <w:p>
            <w:pPr>
              <w:pStyle w:val="1181"/>
              <w:rPr>
                <w:color w:val="auto"/>
                <w:sz w:val="20"/>
                <w:highlight w:val="none"/>
              </w:rPr>
            </w:pPr>
            <w:r>
              <w:rPr>
                <w:color w:val="auto"/>
                <w:sz w:val="20"/>
                <w:highlight w:val="none"/>
              </w:rPr>
            </w:r>
            <w:r/>
          </w:p>
        </w:tc>
        <w:tc>
          <w:tcPr>
            <w:tcW w:w="1422" w:type="dxa"/>
            <w:textDirection w:val="lrTb"/>
            <w:noWrap w:val="false"/>
          </w:tcPr>
          <w:p>
            <w:pPr>
              <w:pStyle w:val="1181"/>
              <w:rPr>
                <w:color w:val="auto"/>
                <w:sz w:val="20"/>
                <w:highlight w:val="none"/>
              </w:rPr>
            </w:pPr>
            <w:r>
              <w:rPr>
                <w:color w:val="auto"/>
                <w:sz w:val="20"/>
                <w:highlight w:val="none"/>
              </w:rPr>
            </w:r>
            <w:r/>
          </w:p>
        </w:tc>
      </w:tr>
      <w:tr>
        <w:trPr>
          <w:trHeight w:val="539"/>
        </w:trPr>
        <w:tc>
          <w:tcPr>
            <w:tcW w:w="711" w:type="dxa"/>
            <w:textDirection w:val="lrTb"/>
            <w:noWrap w:val="false"/>
          </w:tcPr>
          <w:p>
            <w:pPr>
              <w:pStyle w:val="1181"/>
              <w:ind w:left="7"/>
              <w:jc w:val="center"/>
              <w:spacing w:before="161"/>
              <w:rPr>
                <w:color w:val="auto"/>
                <w:highlight w:val="none"/>
              </w:rPr>
            </w:pPr>
            <w:r>
              <w:rPr>
                <w:rFonts w:hint="eastAsia"/>
                <w:color w:val="auto"/>
                <w:highlight w:val="none"/>
              </w:rPr>
              <w:t xml:space="preserve">5</w:t>
            </w:r>
            <w:r/>
          </w:p>
        </w:tc>
        <w:tc>
          <w:tcPr>
            <w:tcW w:w="1119" w:type="dxa"/>
            <w:textDirection w:val="lrTb"/>
            <w:noWrap w:val="false"/>
          </w:tcPr>
          <w:p>
            <w:pPr>
              <w:pStyle w:val="1181"/>
              <w:rPr>
                <w:color w:val="auto"/>
                <w:sz w:val="20"/>
                <w:highlight w:val="none"/>
              </w:rPr>
            </w:pPr>
            <w:r>
              <w:rPr>
                <w:color w:val="auto"/>
                <w:sz w:val="20"/>
                <w:highlight w:val="none"/>
              </w:rPr>
            </w:r>
            <w:r/>
          </w:p>
        </w:tc>
        <w:tc>
          <w:tcPr>
            <w:tcW w:w="1005" w:type="dxa"/>
            <w:textDirection w:val="lrTb"/>
            <w:noWrap w:val="false"/>
          </w:tcPr>
          <w:p>
            <w:pPr>
              <w:pStyle w:val="1181"/>
              <w:rPr>
                <w:color w:val="auto"/>
                <w:sz w:val="20"/>
                <w:highlight w:val="none"/>
              </w:rPr>
            </w:pPr>
            <w:r>
              <w:rPr>
                <w:color w:val="auto"/>
                <w:sz w:val="20"/>
                <w:highlight w:val="none"/>
              </w:rPr>
            </w:r>
            <w:r/>
          </w:p>
        </w:tc>
        <w:tc>
          <w:tcPr>
            <w:tcW w:w="716" w:type="dxa"/>
            <w:textDirection w:val="lrTb"/>
            <w:noWrap w:val="false"/>
          </w:tcPr>
          <w:p>
            <w:pPr>
              <w:pStyle w:val="1181"/>
              <w:rPr>
                <w:color w:val="auto"/>
                <w:sz w:val="20"/>
                <w:highlight w:val="none"/>
              </w:rPr>
            </w:pPr>
            <w:r>
              <w:rPr>
                <w:color w:val="auto"/>
                <w:sz w:val="20"/>
                <w:highlight w:val="none"/>
              </w:rPr>
            </w:r>
            <w:r/>
          </w:p>
        </w:tc>
        <w:tc>
          <w:tcPr>
            <w:tcW w:w="760" w:type="dxa"/>
            <w:textDirection w:val="lrTb"/>
            <w:noWrap w:val="false"/>
          </w:tcPr>
          <w:p>
            <w:pPr>
              <w:pStyle w:val="1181"/>
              <w:rPr>
                <w:color w:val="auto"/>
                <w:sz w:val="20"/>
                <w:highlight w:val="none"/>
              </w:rPr>
            </w:pPr>
            <w:r>
              <w:rPr>
                <w:color w:val="auto"/>
                <w:sz w:val="20"/>
                <w:highlight w:val="none"/>
              </w:rPr>
            </w:r>
            <w:r/>
          </w:p>
        </w:tc>
        <w:tc>
          <w:tcPr>
            <w:tcW w:w="718" w:type="dxa"/>
            <w:textDirection w:val="lrTb"/>
            <w:noWrap w:val="false"/>
          </w:tcPr>
          <w:p>
            <w:pPr>
              <w:pStyle w:val="1181"/>
              <w:rPr>
                <w:color w:val="auto"/>
                <w:sz w:val="20"/>
                <w:highlight w:val="none"/>
              </w:rPr>
            </w:pPr>
            <w:r>
              <w:rPr>
                <w:color w:val="auto"/>
                <w:sz w:val="20"/>
                <w:highlight w:val="none"/>
              </w:rPr>
            </w:r>
            <w:r/>
          </w:p>
        </w:tc>
        <w:tc>
          <w:tcPr>
            <w:tcW w:w="1319" w:type="dxa"/>
            <w:textDirection w:val="lrTb"/>
            <w:noWrap w:val="false"/>
          </w:tcPr>
          <w:p>
            <w:pPr>
              <w:pStyle w:val="1181"/>
              <w:rPr>
                <w:color w:val="auto"/>
                <w:sz w:val="20"/>
                <w:highlight w:val="none"/>
              </w:rPr>
            </w:pPr>
            <w:r>
              <w:rPr>
                <w:color w:val="auto"/>
                <w:sz w:val="20"/>
                <w:highlight w:val="none"/>
              </w:rPr>
            </w:r>
            <w:r/>
          </w:p>
        </w:tc>
        <w:tc>
          <w:tcPr>
            <w:tcW w:w="1186" w:type="dxa"/>
            <w:textDirection w:val="lrTb"/>
            <w:noWrap w:val="false"/>
          </w:tcPr>
          <w:p>
            <w:pPr>
              <w:pStyle w:val="1181"/>
              <w:rPr>
                <w:color w:val="auto"/>
                <w:sz w:val="20"/>
                <w:highlight w:val="none"/>
              </w:rPr>
            </w:pPr>
            <w:r>
              <w:rPr>
                <w:color w:val="auto"/>
                <w:sz w:val="20"/>
                <w:highlight w:val="none"/>
              </w:rPr>
            </w:r>
            <w:r/>
          </w:p>
        </w:tc>
        <w:tc>
          <w:tcPr>
            <w:tcW w:w="1422" w:type="dxa"/>
            <w:textDirection w:val="lrTb"/>
            <w:noWrap w:val="false"/>
          </w:tcPr>
          <w:p>
            <w:pPr>
              <w:pStyle w:val="1181"/>
              <w:rPr>
                <w:color w:val="auto"/>
                <w:sz w:val="20"/>
                <w:highlight w:val="none"/>
              </w:rPr>
            </w:pPr>
            <w:r>
              <w:rPr>
                <w:color w:val="auto"/>
                <w:sz w:val="20"/>
                <w:highlight w:val="none"/>
              </w:rPr>
            </w:r>
            <w:r/>
          </w:p>
        </w:tc>
      </w:tr>
      <w:tr>
        <w:trPr>
          <w:trHeight w:val="538"/>
        </w:trPr>
        <w:tc>
          <w:tcPr>
            <w:tcW w:w="711" w:type="dxa"/>
            <w:textDirection w:val="lrTb"/>
            <w:noWrap w:val="false"/>
          </w:tcPr>
          <w:p>
            <w:pPr>
              <w:pStyle w:val="1181"/>
              <w:ind w:left="7"/>
              <w:jc w:val="center"/>
              <w:spacing w:before="162"/>
              <w:rPr>
                <w:color w:val="auto"/>
                <w:highlight w:val="none"/>
              </w:rPr>
            </w:pPr>
            <w:r>
              <w:rPr>
                <w:rFonts w:hint="eastAsia"/>
                <w:color w:val="auto"/>
                <w:highlight w:val="none"/>
              </w:rPr>
              <w:t xml:space="preserve">6</w:t>
            </w:r>
            <w:r/>
          </w:p>
        </w:tc>
        <w:tc>
          <w:tcPr>
            <w:tcW w:w="1119" w:type="dxa"/>
            <w:textDirection w:val="lrTb"/>
            <w:noWrap w:val="false"/>
          </w:tcPr>
          <w:p>
            <w:pPr>
              <w:pStyle w:val="1181"/>
              <w:rPr>
                <w:color w:val="auto"/>
                <w:sz w:val="20"/>
                <w:highlight w:val="none"/>
              </w:rPr>
            </w:pPr>
            <w:r>
              <w:rPr>
                <w:color w:val="auto"/>
                <w:sz w:val="20"/>
                <w:highlight w:val="none"/>
              </w:rPr>
            </w:r>
            <w:r/>
          </w:p>
        </w:tc>
        <w:tc>
          <w:tcPr>
            <w:tcW w:w="1005" w:type="dxa"/>
            <w:textDirection w:val="lrTb"/>
            <w:noWrap w:val="false"/>
          </w:tcPr>
          <w:p>
            <w:pPr>
              <w:pStyle w:val="1181"/>
              <w:rPr>
                <w:color w:val="auto"/>
                <w:sz w:val="20"/>
                <w:highlight w:val="none"/>
              </w:rPr>
            </w:pPr>
            <w:r>
              <w:rPr>
                <w:color w:val="auto"/>
                <w:sz w:val="20"/>
                <w:highlight w:val="none"/>
              </w:rPr>
            </w:r>
            <w:r/>
          </w:p>
        </w:tc>
        <w:tc>
          <w:tcPr>
            <w:tcW w:w="716" w:type="dxa"/>
            <w:textDirection w:val="lrTb"/>
            <w:noWrap w:val="false"/>
          </w:tcPr>
          <w:p>
            <w:pPr>
              <w:pStyle w:val="1181"/>
              <w:rPr>
                <w:color w:val="auto"/>
                <w:sz w:val="20"/>
                <w:highlight w:val="none"/>
              </w:rPr>
            </w:pPr>
            <w:r>
              <w:rPr>
                <w:color w:val="auto"/>
                <w:sz w:val="20"/>
                <w:highlight w:val="none"/>
              </w:rPr>
            </w:r>
            <w:r/>
          </w:p>
        </w:tc>
        <w:tc>
          <w:tcPr>
            <w:tcW w:w="760" w:type="dxa"/>
            <w:textDirection w:val="lrTb"/>
            <w:noWrap w:val="false"/>
          </w:tcPr>
          <w:p>
            <w:pPr>
              <w:pStyle w:val="1181"/>
              <w:rPr>
                <w:color w:val="auto"/>
                <w:sz w:val="20"/>
                <w:highlight w:val="none"/>
              </w:rPr>
            </w:pPr>
            <w:r>
              <w:rPr>
                <w:color w:val="auto"/>
                <w:sz w:val="20"/>
                <w:highlight w:val="none"/>
              </w:rPr>
            </w:r>
            <w:r/>
          </w:p>
        </w:tc>
        <w:tc>
          <w:tcPr>
            <w:tcW w:w="718" w:type="dxa"/>
            <w:textDirection w:val="lrTb"/>
            <w:noWrap w:val="false"/>
          </w:tcPr>
          <w:p>
            <w:pPr>
              <w:pStyle w:val="1181"/>
              <w:rPr>
                <w:color w:val="auto"/>
                <w:sz w:val="20"/>
                <w:highlight w:val="none"/>
              </w:rPr>
            </w:pPr>
            <w:r>
              <w:rPr>
                <w:color w:val="auto"/>
                <w:sz w:val="20"/>
                <w:highlight w:val="none"/>
              </w:rPr>
            </w:r>
            <w:r/>
          </w:p>
        </w:tc>
        <w:tc>
          <w:tcPr>
            <w:tcW w:w="1319" w:type="dxa"/>
            <w:textDirection w:val="lrTb"/>
            <w:noWrap w:val="false"/>
          </w:tcPr>
          <w:p>
            <w:pPr>
              <w:pStyle w:val="1181"/>
              <w:rPr>
                <w:color w:val="auto"/>
                <w:sz w:val="20"/>
                <w:highlight w:val="none"/>
              </w:rPr>
            </w:pPr>
            <w:r>
              <w:rPr>
                <w:color w:val="auto"/>
                <w:sz w:val="20"/>
                <w:highlight w:val="none"/>
              </w:rPr>
            </w:r>
            <w:r/>
          </w:p>
        </w:tc>
        <w:tc>
          <w:tcPr>
            <w:tcW w:w="1186" w:type="dxa"/>
            <w:textDirection w:val="lrTb"/>
            <w:noWrap w:val="false"/>
          </w:tcPr>
          <w:p>
            <w:pPr>
              <w:pStyle w:val="1181"/>
              <w:rPr>
                <w:color w:val="auto"/>
                <w:sz w:val="20"/>
                <w:highlight w:val="none"/>
              </w:rPr>
            </w:pPr>
            <w:r>
              <w:rPr>
                <w:color w:val="auto"/>
                <w:sz w:val="20"/>
                <w:highlight w:val="none"/>
              </w:rPr>
            </w:r>
            <w:r/>
          </w:p>
        </w:tc>
        <w:tc>
          <w:tcPr>
            <w:tcW w:w="1422" w:type="dxa"/>
            <w:textDirection w:val="lrTb"/>
            <w:noWrap w:val="false"/>
          </w:tcPr>
          <w:p>
            <w:pPr>
              <w:pStyle w:val="1181"/>
              <w:rPr>
                <w:color w:val="auto"/>
                <w:sz w:val="20"/>
                <w:highlight w:val="none"/>
              </w:rPr>
            </w:pPr>
            <w:r>
              <w:rPr>
                <w:color w:val="auto"/>
                <w:sz w:val="20"/>
                <w:highlight w:val="none"/>
              </w:rPr>
            </w:r>
            <w:r/>
          </w:p>
        </w:tc>
      </w:tr>
      <w:tr>
        <w:trPr>
          <w:trHeight w:val="548"/>
        </w:trPr>
        <w:tc>
          <w:tcPr>
            <w:tcW w:w="711" w:type="dxa"/>
            <w:textDirection w:val="lrTb"/>
            <w:noWrap w:val="false"/>
          </w:tcPr>
          <w:p>
            <w:pPr>
              <w:pStyle w:val="1181"/>
              <w:ind w:left="6"/>
              <w:jc w:val="center"/>
              <w:spacing w:before="161"/>
              <w:rPr>
                <w:color w:val="auto"/>
                <w:highlight w:val="none"/>
              </w:rPr>
            </w:pPr>
            <w:r>
              <w:rPr>
                <w:rFonts w:hint="eastAsia"/>
                <w:color w:val="auto"/>
                <w:highlight w:val="none"/>
              </w:rPr>
              <w:t xml:space="preserve">…</w:t>
            </w:r>
            <w:r/>
          </w:p>
        </w:tc>
        <w:tc>
          <w:tcPr>
            <w:tcW w:w="1119" w:type="dxa"/>
            <w:textDirection w:val="lrTb"/>
            <w:noWrap w:val="false"/>
          </w:tcPr>
          <w:p>
            <w:pPr>
              <w:pStyle w:val="1181"/>
              <w:rPr>
                <w:color w:val="auto"/>
                <w:sz w:val="20"/>
                <w:highlight w:val="none"/>
              </w:rPr>
            </w:pPr>
            <w:r>
              <w:rPr>
                <w:color w:val="auto"/>
                <w:sz w:val="20"/>
                <w:highlight w:val="none"/>
              </w:rPr>
            </w:r>
            <w:r/>
          </w:p>
        </w:tc>
        <w:tc>
          <w:tcPr>
            <w:tcW w:w="1005" w:type="dxa"/>
            <w:textDirection w:val="lrTb"/>
            <w:noWrap w:val="false"/>
          </w:tcPr>
          <w:p>
            <w:pPr>
              <w:pStyle w:val="1181"/>
              <w:rPr>
                <w:color w:val="auto"/>
                <w:sz w:val="20"/>
                <w:highlight w:val="none"/>
              </w:rPr>
            </w:pPr>
            <w:r>
              <w:rPr>
                <w:color w:val="auto"/>
                <w:sz w:val="20"/>
                <w:highlight w:val="none"/>
              </w:rPr>
            </w:r>
            <w:r/>
          </w:p>
        </w:tc>
        <w:tc>
          <w:tcPr>
            <w:tcW w:w="716" w:type="dxa"/>
            <w:textDirection w:val="lrTb"/>
            <w:noWrap w:val="false"/>
          </w:tcPr>
          <w:p>
            <w:pPr>
              <w:pStyle w:val="1181"/>
              <w:rPr>
                <w:color w:val="auto"/>
                <w:sz w:val="20"/>
                <w:highlight w:val="none"/>
              </w:rPr>
            </w:pPr>
            <w:r>
              <w:rPr>
                <w:color w:val="auto"/>
                <w:sz w:val="20"/>
                <w:highlight w:val="none"/>
              </w:rPr>
            </w:r>
            <w:r/>
          </w:p>
        </w:tc>
        <w:tc>
          <w:tcPr>
            <w:tcW w:w="760" w:type="dxa"/>
            <w:textDirection w:val="lrTb"/>
            <w:noWrap w:val="false"/>
          </w:tcPr>
          <w:p>
            <w:pPr>
              <w:pStyle w:val="1181"/>
              <w:rPr>
                <w:color w:val="auto"/>
                <w:sz w:val="20"/>
                <w:highlight w:val="none"/>
              </w:rPr>
            </w:pPr>
            <w:r>
              <w:rPr>
                <w:color w:val="auto"/>
                <w:sz w:val="20"/>
                <w:highlight w:val="none"/>
              </w:rPr>
            </w:r>
            <w:r/>
          </w:p>
        </w:tc>
        <w:tc>
          <w:tcPr>
            <w:tcW w:w="718" w:type="dxa"/>
            <w:textDirection w:val="lrTb"/>
            <w:noWrap w:val="false"/>
          </w:tcPr>
          <w:p>
            <w:pPr>
              <w:pStyle w:val="1181"/>
              <w:rPr>
                <w:color w:val="auto"/>
                <w:sz w:val="20"/>
                <w:highlight w:val="none"/>
              </w:rPr>
            </w:pPr>
            <w:r>
              <w:rPr>
                <w:color w:val="auto"/>
                <w:sz w:val="20"/>
                <w:highlight w:val="none"/>
              </w:rPr>
            </w:r>
            <w:r/>
          </w:p>
        </w:tc>
        <w:tc>
          <w:tcPr>
            <w:tcW w:w="1319" w:type="dxa"/>
            <w:textDirection w:val="lrTb"/>
            <w:noWrap w:val="false"/>
          </w:tcPr>
          <w:p>
            <w:pPr>
              <w:pStyle w:val="1181"/>
              <w:rPr>
                <w:color w:val="auto"/>
                <w:sz w:val="20"/>
                <w:highlight w:val="none"/>
              </w:rPr>
            </w:pPr>
            <w:r>
              <w:rPr>
                <w:color w:val="auto"/>
                <w:sz w:val="20"/>
                <w:highlight w:val="none"/>
              </w:rPr>
            </w:r>
            <w:r/>
          </w:p>
        </w:tc>
        <w:tc>
          <w:tcPr>
            <w:tcW w:w="1186" w:type="dxa"/>
            <w:textDirection w:val="lrTb"/>
            <w:noWrap w:val="false"/>
          </w:tcPr>
          <w:p>
            <w:pPr>
              <w:pStyle w:val="1181"/>
              <w:rPr>
                <w:color w:val="auto"/>
                <w:sz w:val="20"/>
                <w:highlight w:val="none"/>
              </w:rPr>
            </w:pPr>
            <w:r>
              <w:rPr>
                <w:color w:val="auto"/>
                <w:sz w:val="20"/>
                <w:highlight w:val="none"/>
              </w:rPr>
            </w:r>
            <w:r/>
          </w:p>
        </w:tc>
        <w:tc>
          <w:tcPr>
            <w:tcW w:w="1422" w:type="dxa"/>
            <w:textDirection w:val="lrTb"/>
            <w:noWrap w:val="false"/>
          </w:tcPr>
          <w:p>
            <w:pPr>
              <w:pStyle w:val="1181"/>
              <w:rPr>
                <w:color w:val="auto"/>
                <w:sz w:val="20"/>
                <w:highlight w:val="none"/>
              </w:rPr>
            </w:pPr>
            <w:r>
              <w:rPr>
                <w:color w:val="auto"/>
                <w:sz w:val="20"/>
                <w:highlight w:val="none"/>
              </w:rPr>
            </w:r>
            <w:r/>
          </w:p>
        </w:tc>
      </w:tr>
    </w:tbl>
    <w:p>
      <w:pPr>
        <w:pStyle w:val="865"/>
        <w:rPr>
          <w:rFonts w:ascii="宋体" w:hAnsi="宋体" w:cs="宋体"/>
          <w:color w:val="auto"/>
          <w:sz w:val="21"/>
          <w:szCs w:val="21"/>
          <w:highlight w:val="none"/>
        </w:rPr>
      </w:pPr>
      <w:r>
        <w:rPr>
          <w:rFonts w:ascii="宋体" w:hAnsi="宋体" w:cs="宋体"/>
          <w:color w:val="auto"/>
          <w:sz w:val="21"/>
          <w:szCs w:val="21"/>
          <w:highlight w:val="none"/>
        </w:rPr>
      </w:r>
      <w:r/>
    </w:p>
    <w:p>
      <w:pPr>
        <w:rPr>
          <w:rFonts w:ascii="宋体" w:hAnsi="宋体" w:cs="宋体"/>
          <w:color w:val="auto"/>
          <w:highlight w:val="none"/>
        </w:rPr>
      </w:pPr>
      <w:r>
        <w:rPr>
          <w:rFonts w:hint="eastAsia" w:ascii="宋体" w:hAnsi="宋体" w:cs="宋体"/>
          <w:color w:val="auto"/>
          <w:highlight w:val="none"/>
        </w:rPr>
        <w:t xml:space="preserve">磋商响应单位（盖章）：     </w:t>
      </w:r>
      <w:r/>
    </w:p>
    <w:p>
      <w:pPr>
        <w:rPr>
          <w:rFonts w:ascii="宋体" w:hAnsi="宋体" w:cs="宋体"/>
          <w:color w:val="auto"/>
          <w:spacing w:val="20"/>
          <w:highlight w:val="none"/>
        </w:rPr>
      </w:pPr>
      <w:r>
        <w:rPr>
          <w:rFonts w:hint="eastAsia" w:ascii="宋体" w:hAnsi="宋体" w:cs="宋体"/>
          <w:color w:val="auto"/>
          <w:spacing w:val="20"/>
          <w:highlight w:val="none"/>
        </w:rPr>
        <w:t xml:space="preserve">法定代表人或委托代理人：（签字或盖章）                   </w:t>
      </w:r>
      <w:r/>
    </w:p>
    <w:p>
      <w:pPr>
        <w:rPr>
          <w:rFonts w:ascii="宋体" w:hAnsi="宋体" w:cs="宋体"/>
          <w:color w:val="auto"/>
          <w:spacing w:val="20"/>
          <w:highlight w:val="none"/>
        </w:rPr>
      </w:pPr>
      <w:r>
        <w:rPr>
          <w:rFonts w:hint="eastAsia" w:ascii="宋体" w:hAnsi="宋体" w:cs="宋体"/>
          <w:color w:val="auto"/>
          <w:spacing w:val="20"/>
          <w:highlight w:val="none"/>
        </w:rPr>
        <w:t xml:space="preserve">日期：</w:t>
      </w:r>
      <w:r/>
    </w:p>
    <w:p>
      <w:pPr>
        <w:rPr>
          <w:rFonts w:ascii="宋体" w:hAnsi="宋体" w:cs="宋体"/>
          <w:color w:val="auto"/>
          <w:highlight w:val="none"/>
        </w:rPr>
      </w:pPr>
      <w:r>
        <w:rPr>
          <w:rFonts w:hint="eastAsia" w:ascii="宋体" w:hAnsi="宋体" w:cs="宋体"/>
          <w:color w:val="auto"/>
          <w:highlight w:val="none"/>
        </w:rPr>
        <w:t xml:space="preserve">注：采购单位可参照上述格式自行设计表格投标。</w:t>
      </w:r>
      <w:r/>
    </w:p>
    <w:p>
      <w:pPr>
        <w:spacing w:line="500" w:lineRule="exact"/>
        <w:rPr>
          <w:rFonts w:ascii="宋体" w:hAnsi="宋体" w:cs="宋体"/>
          <w:b/>
          <w:bCs/>
          <w:color w:val="auto"/>
          <w:szCs w:val="21"/>
          <w:highlight w:val="none"/>
        </w:rPr>
      </w:pPr>
      <w:r>
        <w:rPr>
          <w:rFonts w:ascii="宋体" w:hAnsi="宋体" w:cs="宋体"/>
          <w:b/>
          <w:bCs/>
          <w:color w:val="auto"/>
          <w:szCs w:val="21"/>
          <w:highlight w:val="none"/>
        </w:rPr>
      </w:r>
      <w:r/>
    </w:p>
    <w:p>
      <w:pPr>
        <w:spacing w:line="500" w:lineRule="exact"/>
        <w:rPr>
          <w:rFonts w:ascii="宋体" w:hAnsi="宋体" w:cs="宋体"/>
          <w:b/>
          <w:bCs/>
          <w:color w:val="auto"/>
          <w:szCs w:val="21"/>
          <w:highlight w:val="none"/>
        </w:rPr>
      </w:pPr>
      <w:r>
        <w:rPr>
          <w:rFonts w:ascii="宋体" w:hAnsi="宋体" w:cs="宋体"/>
          <w:b/>
          <w:bCs/>
          <w:color w:val="auto"/>
          <w:szCs w:val="21"/>
          <w:highlight w:val="none"/>
        </w:rPr>
      </w:r>
      <w:r/>
    </w:p>
    <w:p>
      <w:pPr>
        <w:rPr>
          <w:rFonts w:ascii="宋体" w:hAnsi="宋体" w:cs="宋体"/>
          <w:b/>
          <w:color w:val="auto"/>
          <w:highlight w:val="none"/>
        </w:rPr>
      </w:pPr>
      <w:r>
        <w:rPr>
          <w:rFonts w:hint="eastAsia" w:ascii="宋体" w:hAnsi="宋体" w:cs="宋体"/>
          <w:b/>
          <w:color w:val="auto"/>
          <w:highlight w:val="none"/>
        </w:rPr>
        <w:br w:type="page" w:clear="all"/>
      </w:r>
      <w:r/>
    </w:p>
    <w:p>
      <w:pPr>
        <w:ind w:left="1254" w:right="1244"/>
        <w:jc w:val="center"/>
        <w:spacing w:before="81"/>
        <w:rPr>
          <w:rFonts w:ascii="宋体" w:hAnsi="宋体" w:cs="宋体"/>
          <w:b/>
          <w:color w:val="auto"/>
          <w:sz w:val="24"/>
          <w:highlight w:val="none"/>
        </w:rPr>
      </w:pPr>
      <w:r>
        <w:rPr>
          <w:rFonts w:hint="eastAsia" w:ascii="宋体" w:hAnsi="宋体" w:cs="宋体"/>
          <w:b/>
          <w:color w:val="auto"/>
          <w:highlight w:val="none"/>
        </w:rPr>
        <w:t xml:space="preserve">（2）</w:t>
      </w:r>
      <w:r>
        <w:rPr>
          <w:rFonts w:hint="eastAsia" w:ascii="宋体" w:hAnsi="宋体" w:cs="宋体"/>
          <w:b/>
          <w:color w:val="auto"/>
          <w:sz w:val="24"/>
          <w:highlight w:val="none"/>
        </w:rPr>
        <w:t xml:space="preserve">项目负责人情况一览表</w:t>
      </w:r>
      <w:r/>
    </w:p>
    <w:p>
      <w:pPr>
        <w:pStyle w:val="865"/>
        <w:rPr>
          <w:rFonts w:ascii="宋体" w:hAnsi="宋体" w:cs="宋体"/>
          <w:b/>
          <w:color w:val="auto"/>
          <w:sz w:val="20"/>
          <w:highlight w:val="none"/>
        </w:rPr>
      </w:pPr>
      <w:r>
        <w:rPr>
          <w:rFonts w:ascii="宋体" w:hAnsi="宋体" w:cs="宋体"/>
          <w:b/>
          <w:color w:val="auto"/>
          <w:sz w:val="20"/>
          <w:highlight w:val="none"/>
        </w:rPr>
      </w:r>
      <w:r/>
    </w:p>
    <w:tbl>
      <w:tblPr>
        <w:tblStyle w:val="860"/>
        <w:tblpPr w:horzAnchor="page" w:tblpX="1536" w:vertAnchor="text" w:tblpY="345" w:leftFromText="180" w:topFromText="0" w:rightFromText="180" w:bottomFromText="0"/>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28"/>
        <w:gridCol w:w="1851"/>
        <w:gridCol w:w="1329"/>
        <w:gridCol w:w="1065"/>
        <w:gridCol w:w="1083"/>
        <w:gridCol w:w="1254"/>
        <w:gridCol w:w="1818"/>
      </w:tblGrid>
      <w:tr>
        <w:trPr>
          <w:trHeight w:val="594"/>
        </w:trPr>
        <w:tc>
          <w:tcPr>
            <w:tcW w:w="628" w:type="dxa"/>
            <w:textDirection w:val="lrTb"/>
            <w:noWrap w:val="false"/>
          </w:tcPr>
          <w:p>
            <w:pPr>
              <w:pStyle w:val="1181"/>
              <w:ind w:left="261"/>
              <w:spacing w:before="161"/>
              <w:rPr>
                <w:color w:val="auto"/>
                <w:highlight w:val="none"/>
              </w:rPr>
            </w:pPr>
            <w:r>
              <w:rPr>
                <w:rFonts w:hint="eastAsia"/>
                <w:color w:val="auto"/>
                <w:highlight w:val="none"/>
              </w:rPr>
              <w:t xml:space="preserve">1</w:t>
            </w:r>
            <w:r/>
          </w:p>
        </w:tc>
        <w:tc>
          <w:tcPr>
            <w:tcW w:w="1851" w:type="dxa"/>
            <w:textDirection w:val="lrTb"/>
            <w:noWrap w:val="false"/>
          </w:tcPr>
          <w:p>
            <w:pPr>
              <w:pStyle w:val="1181"/>
              <w:ind w:left="11"/>
              <w:jc w:val="center"/>
              <w:spacing w:before="161"/>
              <w:tabs>
                <w:tab w:val="left" w:pos="851" w:leader="none"/>
              </w:tabs>
              <w:rPr>
                <w:color w:val="auto"/>
                <w:highlight w:val="none"/>
              </w:rPr>
            </w:pPr>
            <w:r>
              <w:rPr>
                <w:rFonts w:hint="eastAsia"/>
                <w:color w:val="auto"/>
                <w:highlight w:val="none"/>
              </w:rPr>
              <w:t xml:space="preserve">姓</w:t>
            </w:r>
            <w:r>
              <w:rPr>
                <w:rFonts w:hint="eastAsia"/>
                <w:color w:val="auto"/>
                <w:highlight w:val="none"/>
              </w:rPr>
              <w:tab/>
            </w:r>
            <w:r>
              <w:rPr>
                <w:rFonts w:hint="eastAsia"/>
                <w:color w:val="auto"/>
                <w:highlight w:val="none"/>
              </w:rPr>
              <w:t xml:space="preserve">名</w:t>
            </w:r>
            <w:r/>
          </w:p>
        </w:tc>
        <w:tc>
          <w:tcPr>
            <w:gridSpan w:val="2"/>
            <w:tcW w:w="2394" w:type="dxa"/>
            <w:textDirection w:val="lrTb"/>
            <w:noWrap w:val="false"/>
          </w:tcPr>
          <w:p>
            <w:pPr>
              <w:pStyle w:val="1181"/>
              <w:rPr>
                <w:color w:val="auto"/>
                <w:sz w:val="20"/>
                <w:highlight w:val="none"/>
              </w:rPr>
            </w:pPr>
            <w:r>
              <w:rPr>
                <w:color w:val="auto"/>
                <w:sz w:val="20"/>
                <w:highlight w:val="none"/>
              </w:rPr>
            </w:r>
            <w:r/>
          </w:p>
        </w:tc>
        <w:tc>
          <w:tcPr>
            <w:tcW w:w="1083" w:type="dxa"/>
            <w:textDirection w:val="lrTb"/>
            <w:noWrap w:val="false"/>
          </w:tcPr>
          <w:p>
            <w:pPr>
              <w:pStyle w:val="1181"/>
              <w:ind w:left="174"/>
              <w:spacing w:before="161"/>
              <w:tabs>
                <w:tab w:val="left" w:pos="699" w:leader="none"/>
              </w:tabs>
              <w:rPr>
                <w:color w:val="auto"/>
                <w:highlight w:val="none"/>
              </w:rPr>
            </w:pPr>
            <w:r>
              <w:rPr>
                <w:rFonts w:hint="eastAsia"/>
                <w:color w:val="auto"/>
                <w:highlight w:val="none"/>
              </w:rPr>
              <w:t xml:space="preserve">性</w:t>
            </w:r>
            <w:r>
              <w:rPr>
                <w:rFonts w:hint="eastAsia"/>
                <w:color w:val="auto"/>
                <w:highlight w:val="none"/>
              </w:rPr>
              <w:tab/>
            </w:r>
            <w:r>
              <w:rPr>
                <w:rFonts w:hint="eastAsia"/>
                <w:color w:val="auto"/>
                <w:highlight w:val="none"/>
              </w:rPr>
              <w:t xml:space="preserve">别</w:t>
            </w:r>
            <w:r/>
          </w:p>
        </w:tc>
        <w:tc>
          <w:tcPr>
            <w:gridSpan w:val="2"/>
            <w:tcW w:w="3072" w:type="dxa"/>
            <w:textDirection w:val="lrTb"/>
            <w:noWrap w:val="false"/>
          </w:tcPr>
          <w:p>
            <w:pPr>
              <w:pStyle w:val="1181"/>
              <w:rPr>
                <w:color w:val="auto"/>
                <w:sz w:val="20"/>
                <w:highlight w:val="none"/>
              </w:rPr>
            </w:pPr>
            <w:r>
              <w:rPr>
                <w:color w:val="auto"/>
                <w:sz w:val="20"/>
                <w:highlight w:val="none"/>
              </w:rPr>
            </w:r>
            <w:r/>
          </w:p>
        </w:tc>
      </w:tr>
      <w:tr>
        <w:trPr>
          <w:trHeight w:val="645"/>
        </w:trPr>
        <w:tc>
          <w:tcPr>
            <w:tcW w:w="628" w:type="dxa"/>
            <w:textDirection w:val="lrTb"/>
            <w:noWrap w:val="false"/>
          </w:tcPr>
          <w:p>
            <w:pPr>
              <w:pStyle w:val="1181"/>
              <w:spacing w:before="8"/>
              <w:rPr>
                <w:b/>
                <w:color w:val="auto"/>
                <w:sz w:val="14"/>
                <w:highlight w:val="none"/>
              </w:rPr>
            </w:pPr>
            <w:r>
              <w:rPr>
                <w:b/>
                <w:color w:val="auto"/>
                <w:sz w:val="14"/>
                <w:highlight w:val="none"/>
              </w:rPr>
            </w:r>
            <w:r/>
          </w:p>
          <w:p>
            <w:pPr>
              <w:pStyle w:val="1181"/>
              <w:ind w:left="261"/>
              <w:rPr>
                <w:color w:val="auto"/>
                <w:highlight w:val="none"/>
              </w:rPr>
            </w:pPr>
            <w:r>
              <w:rPr>
                <w:rFonts w:hint="eastAsia"/>
                <w:color w:val="auto"/>
                <w:highlight w:val="none"/>
              </w:rPr>
              <w:t xml:space="preserve">2</w:t>
            </w:r>
            <w:r/>
          </w:p>
        </w:tc>
        <w:tc>
          <w:tcPr>
            <w:tcW w:w="1851" w:type="dxa"/>
            <w:textDirection w:val="lrTb"/>
            <w:noWrap w:val="false"/>
          </w:tcPr>
          <w:p>
            <w:pPr>
              <w:pStyle w:val="1181"/>
              <w:spacing w:before="8"/>
              <w:rPr>
                <w:b/>
                <w:color w:val="auto"/>
                <w:sz w:val="14"/>
                <w:highlight w:val="none"/>
              </w:rPr>
            </w:pPr>
            <w:r>
              <w:rPr>
                <w:b/>
                <w:color w:val="auto"/>
                <w:sz w:val="14"/>
                <w:highlight w:val="none"/>
              </w:rPr>
            </w:r>
            <w:r/>
          </w:p>
          <w:p>
            <w:pPr>
              <w:pStyle w:val="1181"/>
              <w:ind w:left="11"/>
              <w:jc w:val="center"/>
              <w:rPr>
                <w:color w:val="auto"/>
                <w:highlight w:val="none"/>
              </w:rPr>
            </w:pPr>
            <w:r>
              <w:rPr>
                <w:rFonts w:hint="eastAsia"/>
                <w:color w:val="auto"/>
                <w:highlight w:val="none"/>
              </w:rPr>
              <w:t xml:space="preserve">身份证号码</w:t>
            </w:r>
            <w:r/>
          </w:p>
        </w:tc>
        <w:tc>
          <w:tcPr>
            <w:gridSpan w:val="3"/>
            <w:tcW w:w="3477" w:type="dxa"/>
            <w:textDirection w:val="lrTb"/>
            <w:noWrap w:val="false"/>
          </w:tcPr>
          <w:p>
            <w:pPr>
              <w:pStyle w:val="1181"/>
              <w:rPr>
                <w:color w:val="auto"/>
                <w:sz w:val="20"/>
                <w:highlight w:val="none"/>
              </w:rPr>
            </w:pPr>
            <w:r>
              <w:rPr>
                <w:color w:val="auto"/>
                <w:sz w:val="20"/>
                <w:highlight w:val="none"/>
              </w:rPr>
            </w:r>
            <w:r/>
          </w:p>
        </w:tc>
        <w:tc>
          <w:tcPr>
            <w:tcW w:w="1254" w:type="dxa"/>
            <w:textDirection w:val="lrTb"/>
            <w:noWrap w:val="false"/>
          </w:tcPr>
          <w:p>
            <w:pPr>
              <w:pStyle w:val="1181"/>
              <w:spacing w:before="8"/>
              <w:rPr>
                <w:b/>
                <w:color w:val="auto"/>
                <w:sz w:val="14"/>
                <w:highlight w:val="none"/>
              </w:rPr>
            </w:pPr>
            <w:r>
              <w:rPr>
                <w:b/>
                <w:color w:val="auto"/>
                <w:sz w:val="14"/>
                <w:highlight w:val="none"/>
              </w:rPr>
            </w:r>
            <w:r/>
          </w:p>
          <w:p>
            <w:pPr>
              <w:pStyle w:val="1181"/>
              <w:ind w:left="207"/>
              <w:rPr>
                <w:color w:val="auto"/>
                <w:highlight w:val="none"/>
              </w:rPr>
            </w:pPr>
            <w:r>
              <w:rPr>
                <w:rFonts w:hint="eastAsia"/>
                <w:color w:val="auto"/>
                <w:highlight w:val="none"/>
              </w:rPr>
              <w:t xml:space="preserve">出生年月</w:t>
            </w:r>
            <w:r/>
          </w:p>
        </w:tc>
        <w:tc>
          <w:tcPr>
            <w:tcW w:w="1818" w:type="dxa"/>
            <w:textDirection w:val="lrTb"/>
            <w:noWrap w:val="false"/>
          </w:tcPr>
          <w:p>
            <w:pPr>
              <w:pStyle w:val="1181"/>
              <w:spacing w:before="8"/>
              <w:rPr>
                <w:b/>
                <w:color w:val="auto"/>
                <w:sz w:val="14"/>
                <w:highlight w:val="none"/>
              </w:rPr>
            </w:pPr>
            <w:r>
              <w:rPr>
                <w:b/>
                <w:color w:val="auto"/>
                <w:sz w:val="14"/>
                <w:highlight w:val="none"/>
              </w:rPr>
            </w:r>
            <w:r/>
          </w:p>
          <w:p>
            <w:pPr>
              <w:pStyle w:val="1181"/>
              <w:ind w:left="539"/>
              <w:tabs>
                <w:tab w:val="left" w:pos="1065" w:leader="none"/>
              </w:tabs>
              <w:rPr>
                <w:color w:val="auto"/>
                <w:highlight w:val="none"/>
              </w:rPr>
            </w:pPr>
            <w:r>
              <w:rPr>
                <w:rFonts w:hint="eastAsia"/>
                <w:color w:val="auto"/>
                <w:highlight w:val="none"/>
              </w:rPr>
              <w:t xml:space="preserve">年</w:t>
            </w:r>
            <w:r>
              <w:rPr>
                <w:rFonts w:hint="eastAsia"/>
                <w:color w:val="auto"/>
                <w:highlight w:val="none"/>
              </w:rPr>
              <w:tab/>
            </w:r>
            <w:r>
              <w:rPr>
                <w:rFonts w:hint="eastAsia"/>
                <w:color w:val="auto"/>
                <w:highlight w:val="none"/>
              </w:rPr>
              <w:t xml:space="preserve">月</w:t>
            </w:r>
            <w:r/>
          </w:p>
        </w:tc>
      </w:tr>
      <w:tr>
        <w:trPr>
          <w:trHeight w:val="645"/>
        </w:trPr>
        <w:tc>
          <w:tcPr>
            <w:tcW w:w="628" w:type="dxa"/>
            <w:textDirection w:val="lrTb"/>
            <w:noWrap w:val="false"/>
          </w:tcPr>
          <w:p>
            <w:pPr>
              <w:pStyle w:val="1181"/>
              <w:spacing w:before="8"/>
              <w:rPr>
                <w:b/>
                <w:color w:val="auto"/>
                <w:sz w:val="14"/>
                <w:highlight w:val="none"/>
              </w:rPr>
            </w:pPr>
            <w:r>
              <w:rPr>
                <w:b/>
                <w:color w:val="auto"/>
                <w:sz w:val="14"/>
                <w:highlight w:val="none"/>
              </w:rPr>
            </w:r>
            <w:r/>
          </w:p>
          <w:p>
            <w:pPr>
              <w:pStyle w:val="1181"/>
              <w:ind w:left="261"/>
              <w:rPr>
                <w:color w:val="auto"/>
                <w:highlight w:val="none"/>
              </w:rPr>
            </w:pPr>
            <w:r>
              <w:rPr>
                <w:rFonts w:hint="eastAsia"/>
                <w:color w:val="auto"/>
                <w:highlight w:val="none"/>
              </w:rPr>
              <w:t xml:space="preserve">3</w:t>
            </w:r>
            <w:r/>
          </w:p>
        </w:tc>
        <w:tc>
          <w:tcPr>
            <w:gridSpan w:val="2"/>
            <w:tcW w:w="3180" w:type="dxa"/>
            <w:textDirection w:val="lrTb"/>
            <w:noWrap w:val="false"/>
          </w:tcPr>
          <w:p>
            <w:pPr>
              <w:pStyle w:val="1181"/>
              <w:spacing w:before="8"/>
              <w:rPr>
                <w:b/>
                <w:color w:val="auto"/>
                <w:sz w:val="14"/>
                <w:highlight w:val="none"/>
              </w:rPr>
            </w:pPr>
            <w:r>
              <w:rPr>
                <w:b/>
                <w:color w:val="auto"/>
                <w:sz w:val="14"/>
                <w:highlight w:val="none"/>
              </w:rPr>
            </w:r>
            <w:r/>
          </w:p>
          <w:p>
            <w:pPr>
              <w:pStyle w:val="1181"/>
              <w:ind w:left="27"/>
              <w:rPr>
                <w:color w:val="auto"/>
                <w:highlight w:val="none"/>
              </w:rPr>
            </w:pPr>
            <w:r>
              <w:rPr>
                <w:rFonts w:hint="eastAsia"/>
                <w:color w:val="auto"/>
                <w:highlight w:val="none"/>
              </w:rPr>
              <w:t xml:space="preserve">联系电话：</w:t>
            </w:r>
            <w:r/>
          </w:p>
        </w:tc>
        <w:tc>
          <w:tcPr>
            <w:gridSpan w:val="2"/>
            <w:tcW w:w="2148" w:type="dxa"/>
            <w:textDirection w:val="lrTb"/>
            <w:noWrap w:val="false"/>
          </w:tcPr>
          <w:p>
            <w:pPr>
              <w:pStyle w:val="1181"/>
              <w:spacing w:before="8"/>
              <w:rPr>
                <w:b/>
                <w:color w:val="auto"/>
                <w:sz w:val="14"/>
                <w:highlight w:val="none"/>
              </w:rPr>
            </w:pPr>
            <w:r>
              <w:rPr>
                <w:b/>
                <w:color w:val="auto"/>
                <w:sz w:val="14"/>
                <w:highlight w:val="none"/>
              </w:rPr>
            </w:r>
            <w:r/>
          </w:p>
          <w:p>
            <w:pPr>
              <w:pStyle w:val="1181"/>
              <w:ind w:left="27"/>
              <w:rPr>
                <w:color w:val="auto"/>
                <w:highlight w:val="none"/>
              </w:rPr>
            </w:pPr>
            <w:r>
              <w:rPr>
                <w:rFonts w:hint="eastAsia"/>
                <w:color w:val="auto"/>
                <w:highlight w:val="none"/>
              </w:rPr>
              <w:t xml:space="preserve">传真：</w:t>
            </w:r>
            <w:r/>
          </w:p>
        </w:tc>
        <w:tc>
          <w:tcPr>
            <w:gridSpan w:val="2"/>
            <w:tcW w:w="3072" w:type="dxa"/>
            <w:textDirection w:val="lrTb"/>
            <w:noWrap w:val="false"/>
          </w:tcPr>
          <w:p>
            <w:pPr>
              <w:pStyle w:val="1181"/>
              <w:spacing w:before="8"/>
              <w:rPr>
                <w:b/>
                <w:color w:val="auto"/>
                <w:sz w:val="14"/>
                <w:highlight w:val="none"/>
              </w:rPr>
            </w:pPr>
            <w:r>
              <w:rPr>
                <w:b/>
                <w:color w:val="auto"/>
                <w:sz w:val="14"/>
                <w:highlight w:val="none"/>
              </w:rPr>
            </w:r>
            <w:r/>
          </w:p>
          <w:p>
            <w:pPr>
              <w:pStyle w:val="1181"/>
              <w:ind w:left="27"/>
              <w:rPr>
                <w:color w:val="auto"/>
                <w:highlight w:val="none"/>
              </w:rPr>
            </w:pPr>
            <w:r>
              <w:rPr>
                <w:rFonts w:hint="eastAsia"/>
                <w:color w:val="auto"/>
                <w:highlight w:val="none"/>
              </w:rPr>
              <w:t xml:space="preserve">电子邮箱：</w:t>
            </w:r>
            <w:r/>
          </w:p>
        </w:tc>
      </w:tr>
      <w:tr>
        <w:trPr>
          <w:trHeight w:val="645"/>
        </w:trPr>
        <w:tc>
          <w:tcPr>
            <w:tcW w:w="628" w:type="dxa"/>
            <w:textDirection w:val="lrTb"/>
            <w:noWrap w:val="false"/>
          </w:tcPr>
          <w:p>
            <w:pPr>
              <w:pStyle w:val="1181"/>
              <w:spacing w:before="8"/>
              <w:rPr>
                <w:b/>
                <w:color w:val="auto"/>
                <w:sz w:val="14"/>
                <w:highlight w:val="none"/>
              </w:rPr>
            </w:pPr>
            <w:r>
              <w:rPr>
                <w:b/>
                <w:color w:val="auto"/>
                <w:sz w:val="14"/>
                <w:highlight w:val="none"/>
              </w:rPr>
            </w:r>
            <w:r/>
          </w:p>
          <w:p>
            <w:pPr>
              <w:pStyle w:val="1181"/>
              <w:ind w:left="261"/>
              <w:rPr>
                <w:color w:val="auto"/>
                <w:highlight w:val="none"/>
              </w:rPr>
            </w:pPr>
            <w:r>
              <w:rPr>
                <w:rFonts w:hint="eastAsia"/>
                <w:color w:val="auto"/>
                <w:highlight w:val="none"/>
              </w:rPr>
              <w:t xml:space="preserve">4</w:t>
            </w:r>
            <w:r/>
          </w:p>
        </w:tc>
        <w:tc>
          <w:tcPr>
            <w:gridSpan w:val="6"/>
            <w:tcW w:w="8400" w:type="dxa"/>
            <w:textDirection w:val="lrTb"/>
            <w:noWrap w:val="false"/>
          </w:tcPr>
          <w:p>
            <w:pPr>
              <w:pStyle w:val="1181"/>
              <w:spacing w:before="8"/>
              <w:rPr>
                <w:b/>
                <w:color w:val="auto"/>
                <w:sz w:val="14"/>
                <w:highlight w:val="none"/>
              </w:rPr>
            </w:pPr>
            <w:r>
              <w:rPr>
                <w:b/>
                <w:color w:val="auto"/>
                <w:sz w:val="14"/>
                <w:highlight w:val="none"/>
              </w:rPr>
            </w:r>
            <w:r/>
          </w:p>
          <w:p>
            <w:pPr>
              <w:pStyle w:val="1181"/>
              <w:ind w:left="27"/>
              <w:rPr>
                <w:color w:val="auto"/>
                <w:highlight w:val="none"/>
              </w:rPr>
            </w:pPr>
            <w:r>
              <w:rPr>
                <w:rFonts w:hint="eastAsia"/>
                <w:color w:val="auto"/>
                <w:highlight w:val="none"/>
              </w:rPr>
              <w:t xml:space="preserve">从事类似项目工作时间：</w:t>
            </w:r>
            <w:r/>
          </w:p>
        </w:tc>
      </w:tr>
      <w:tr>
        <w:trPr>
          <w:trHeight w:val="625"/>
        </w:trPr>
        <w:tc>
          <w:tcPr>
            <w:tcW w:w="628" w:type="dxa"/>
            <w:textDirection w:val="lrTb"/>
            <w:noWrap w:val="false"/>
          </w:tcPr>
          <w:p>
            <w:pPr>
              <w:pStyle w:val="1181"/>
              <w:ind w:left="261"/>
              <w:spacing w:before="176"/>
              <w:rPr>
                <w:color w:val="auto"/>
                <w:highlight w:val="none"/>
              </w:rPr>
            </w:pPr>
            <w:r>
              <w:rPr>
                <w:rFonts w:hint="eastAsia"/>
                <w:color w:val="auto"/>
                <w:highlight w:val="none"/>
              </w:rPr>
              <w:t xml:space="preserve">5</w:t>
            </w:r>
            <w:r/>
          </w:p>
        </w:tc>
        <w:tc>
          <w:tcPr>
            <w:gridSpan w:val="6"/>
            <w:tcW w:w="8400" w:type="dxa"/>
            <w:textDirection w:val="lrTb"/>
            <w:noWrap w:val="false"/>
          </w:tcPr>
          <w:p>
            <w:pPr>
              <w:pStyle w:val="1181"/>
              <w:ind w:left="27"/>
              <w:spacing w:before="176"/>
              <w:rPr>
                <w:color w:val="auto"/>
                <w:highlight w:val="none"/>
              </w:rPr>
            </w:pPr>
            <w:r>
              <w:rPr>
                <w:rFonts w:hint="eastAsia"/>
                <w:color w:val="auto"/>
                <w:highlight w:val="none"/>
              </w:rPr>
              <w:t xml:space="preserve">拥有的职称：</w:t>
            </w:r>
            <w:r/>
          </w:p>
        </w:tc>
      </w:tr>
      <w:tr>
        <w:trPr>
          <w:trHeight w:val="1871"/>
        </w:trPr>
        <w:tc>
          <w:tcPr>
            <w:tcW w:w="628" w:type="dxa"/>
            <w:textDirection w:val="lrTb"/>
            <w:noWrap w:val="false"/>
          </w:tcPr>
          <w:p>
            <w:pPr>
              <w:pStyle w:val="1181"/>
              <w:rPr>
                <w:b/>
                <w:color w:val="auto"/>
                <w:sz w:val="20"/>
                <w:highlight w:val="none"/>
              </w:rPr>
            </w:pPr>
            <w:r>
              <w:rPr>
                <w:b/>
                <w:color w:val="auto"/>
                <w:sz w:val="20"/>
                <w:highlight w:val="none"/>
              </w:rPr>
            </w:r>
            <w:r/>
          </w:p>
          <w:p>
            <w:pPr>
              <w:pStyle w:val="1181"/>
              <w:rPr>
                <w:b/>
                <w:color w:val="auto"/>
                <w:sz w:val="20"/>
                <w:highlight w:val="none"/>
              </w:rPr>
            </w:pPr>
            <w:r>
              <w:rPr>
                <w:b/>
                <w:color w:val="auto"/>
                <w:sz w:val="20"/>
                <w:highlight w:val="none"/>
              </w:rPr>
            </w:r>
            <w:r/>
          </w:p>
          <w:p>
            <w:pPr>
              <w:pStyle w:val="1181"/>
              <w:spacing w:before="6"/>
              <w:rPr>
                <w:b/>
                <w:color w:val="auto"/>
                <w:highlight w:val="none"/>
              </w:rPr>
            </w:pPr>
            <w:r>
              <w:rPr>
                <w:b/>
                <w:color w:val="auto"/>
                <w:highlight w:val="none"/>
              </w:rPr>
            </w:r>
            <w:r/>
          </w:p>
          <w:p>
            <w:pPr>
              <w:pStyle w:val="1181"/>
              <w:ind w:left="259"/>
              <w:rPr>
                <w:color w:val="auto"/>
                <w:highlight w:val="none"/>
              </w:rPr>
            </w:pPr>
            <w:r>
              <w:rPr>
                <w:rFonts w:hint="eastAsia"/>
                <w:color w:val="auto"/>
                <w:highlight w:val="none"/>
              </w:rPr>
              <w:t xml:space="preserve">6</w:t>
            </w:r>
            <w:r/>
          </w:p>
        </w:tc>
        <w:tc>
          <w:tcPr>
            <w:gridSpan w:val="6"/>
            <w:tcW w:w="8400" w:type="dxa"/>
            <w:textDirection w:val="lrTb"/>
            <w:noWrap w:val="false"/>
          </w:tcPr>
          <w:p>
            <w:pPr>
              <w:pStyle w:val="1181"/>
              <w:ind w:left="27"/>
              <w:spacing w:before="21"/>
              <w:rPr>
                <w:color w:val="auto"/>
                <w:highlight w:val="none"/>
              </w:rPr>
            </w:pPr>
            <w:r>
              <w:rPr>
                <w:rFonts w:hint="eastAsia"/>
                <w:color w:val="auto"/>
                <w:highlight w:val="none"/>
              </w:rPr>
              <w:t xml:space="preserve">曾获得的奖励情况：</w:t>
            </w:r>
            <w:r/>
          </w:p>
          <w:p>
            <w:pPr>
              <w:pStyle w:val="1181"/>
              <w:ind w:left="27"/>
              <w:spacing w:before="43"/>
              <w:tabs>
                <w:tab w:val="left" w:pos="4647" w:leader="none"/>
              </w:tabs>
              <w:rPr>
                <w:color w:val="auto"/>
                <w:highlight w:val="none"/>
              </w:rPr>
            </w:pPr>
            <w:r>
              <w:rPr>
                <w:rFonts w:hint="eastAsia"/>
                <w:color w:val="auto"/>
                <w:highlight w:val="none"/>
              </w:rPr>
              <w:t xml:space="preserve">1、</w:t>
            </w:r>
            <w:r>
              <w:rPr>
                <w:rFonts w:hint="eastAsia"/>
                <w:color w:val="auto"/>
                <w:highlight w:val="none"/>
                <w:u w:val="single"/>
              </w:rPr>
              <w:t xml:space="preserve"> </w:t>
            </w:r>
            <w:r>
              <w:rPr>
                <w:rFonts w:hint="eastAsia"/>
                <w:color w:val="auto"/>
                <w:highlight w:val="none"/>
                <w:u w:val="single"/>
              </w:rPr>
              <w:tab/>
            </w:r>
            <w:r>
              <w:rPr>
                <w:rFonts w:hint="eastAsia"/>
                <w:color w:val="auto"/>
                <w:highlight w:val="none"/>
              </w:rPr>
              <w:t xml:space="preserve">_</w:t>
            </w:r>
            <w:r/>
          </w:p>
          <w:p>
            <w:pPr>
              <w:pStyle w:val="1181"/>
              <w:ind w:left="27"/>
              <w:spacing w:before="42"/>
              <w:tabs>
                <w:tab w:val="left" w:pos="4908" w:leader="none"/>
              </w:tabs>
              <w:rPr>
                <w:color w:val="auto"/>
                <w:highlight w:val="none"/>
              </w:rPr>
            </w:pPr>
            <w:r>
              <w:rPr>
                <w:rFonts w:hint="eastAsia"/>
                <w:color w:val="auto"/>
                <w:highlight w:val="none"/>
              </w:rPr>
              <w:t xml:space="preserve">2、 </w:t>
            </w:r>
            <w:r>
              <w:rPr>
                <w:rFonts w:hint="eastAsia"/>
                <w:color w:val="auto"/>
                <w:highlight w:val="none"/>
                <w:u w:val="single"/>
              </w:rPr>
              <w:t xml:space="preserve"> </w:t>
            </w:r>
            <w:r>
              <w:rPr>
                <w:rFonts w:hint="eastAsia"/>
                <w:color w:val="auto"/>
                <w:highlight w:val="none"/>
                <w:u w:val="single"/>
              </w:rPr>
              <w:tab/>
            </w:r>
            <w:r/>
          </w:p>
          <w:p>
            <w:pPr>
              <w:pStyle w:val="1181"/>
              <w:ind w:left="27"/>
              <w:spacing w:before="43"/>
              <w:tabs>
                <w:tab w:val="left" w:pos="4803" w:leader="none"/>
              </w:tabs>
              <w:rPr>
                <w:color w:val="auto"/>
                <w:highlight w:val="none"/>
              </w:rPr>
            </w:pPr>
            <w:r>
              <w:rPr>
                <w:rFonts w:hint="eastAsia"/>
                <w:color w:val="auto"/>
                <w:highlight w:val="none"/>
              </w:rPr>
              <w:t xml:space="preserve">3、</w:t>
            </w:r>
            <w:r>
              <w:rPr>
                <w:rFonts w:hint="eastAsia"/>
                <w:color w:val="auto"/>
                <w:highlight w:val="none"/>
                <w:u w:val="single"/>
              </w:rPr>
              <w:t xml:space="preserve"> </w:t>
            </w:r>
            <w:r>
              <w:rPr>
                <w:rFonts w:hint="eastAsia"/>
                <w:color w:val="auto"/>
                <w:highlight w:val="none"/>
                <w:u w:val="single"/>
              </w:rPr>
              <w:tab/>
            </w:r>
            <w:r/>
          </w:p>
          <w:p>
            <w:pPr>
              <w:pStyle w:val="1181"/>
              <w:ind w:left="27"/>
              <w:spacing w:before="43"/>
              <w:rPr>
                <w:color w:val="auto"/>
                <w:highlight w:val="none"/>
              </w:rPr>
            </w:pPr>
            <w:r>
              <w:rPr>
                <w:rFonts w:hint="eastAsia"/>
                <w:color w:val="auto"/>
                <w:highlight w:val="none"/>
              </w:rPr>
              <w:t xml:space="preserve">……………</w:t>
            </w:r>
            <w:r/>
          </w:p>
        </w:tc>
      </w:tr>
      <w:tr>
        <w:trPr>
          <w:trHeight w:val="1132"/>
        </w:trPr>
        <w:tc>
          <w:tcPr>
            <w:tcW w:w="628" w:type="dxa"/>
            <w:textDirection w:val="lrTb"/>
            <w:noWrap w:val="false"/>
          </w:tcPr>
          <w:p>
            <w:pPr>
              <w:pStyle w:val="1181"/>
              <w:rPr>
                <w:b/>
                <w:color w:val="auto"/>
                <w:sz w:val="20"/>
                <w:highlight w:val="none"/>
              </w:rPr>
            </w:pPr>
            <w:r>
              <w:rPr>
                <w:b/>
                <w:color w:val="auto"/>
                <w:sz w:val="20"/>
                <w:highlight w:val="none"/>
              </w:rPr>
            </w:r>
            <w:r/>
          </w:p>
          <w:p>
            <w:pPr>
              <w:pStyle w:val="1181"/>
              <w:ind w:left="259"/>
              <w:spacing w:before="174"/>
              <w:rPr>
                <w:color w:val="auto"/>
                <w:highlight w:val="none"/>
              </w:rPr>
            </w:pPr>
            <w:r>
              <w:rPr>
                <w:rFonts w:hint="eastAsia"/>
                <w:color w:val="auto"/>
                <w:highlight w:val="none"/>
              </w:rPr>
              <w:t xml:space="preserve">7</w:t>
            </w:r>
            <w:r/>
          </w:p>
        </w:tc>
        <w:tc>
          <w:tcPr>
            <w:gridSpan w:val="6"/>
            <w:tcW w:w="8400" w:type="dxa"/>
            <w:textDirection w:val="lrTb"/>
            <w:noWrap w:val="false"/>
          </w:tcPr>
          <w:p>
            <w:pPr>
              <w:pStyle w:val="1181"/>
              <w:ind w:left="27"/>
              <w:spacing w:before="20"/>
              <w:rPr>
                <w:color w:val="auto"/>
                <w:highlight w:val="none"/>
              </w:rPr>
            </w:pPr>
            <w:r>
              <w:rPr>
                <w:rFonts w:hint="eastAsia"/>
                <w:color w:val="auto"/>
                <w:highlight w:val="none"/>
              </w:rPr>
              <w:t xml:space="preserve">本公司承诺：</w:t>
            </w:r>
            <w:r/>
          </w:p>
          <w:p>
            <w:pPr>
              <w:pStyle w:val="1181"/>
              <w:ind w:left="27"/>
              <w:spacing w:before="43"/>
              <w:rPr>
                <w:color w:val="auto"/>
                <w:highlight w:val="none"/>
              </w:rPr>
            </w:pPr>
            <w:r>
              <w:rPr>
                <w:rFonts w:hint="eastAsia"/>
                <w:color w:val="auto"/>
                <w:highlight w:val="none"/>
              </w:rPr>
              <w:t xml:space="preserve">该项目负责人在从业经历中没有任何违法、违规而被查处的不良记录。</w:t>
            </w:r>
            <w:r/>
          </w:p>
        </w:tc>
      </w:tr>
      <w:tr>
        <w:trPr>
          <w:trHeight w:val="2846"/>
        </w:trPr>
        <w:tc>
          <w:tcPr>
            <w:tcW w:w="628" w:type="dxa"/>
            <w:textDirection w:val="lrTb"/>
            <w:noWrap w:val="false"/>
          </w:tcPr>
          <w:p>
            <w:pPr>
              <w:pStyle w:val="1181"/>
              <w:rPr>
                <w:b/>
                <w:color w:val="auto"/>
                <w:sz w:val="20"/>
                <w:highlight w:val="none"/>
              </w:rPr>
            </w:pPr>
            <w:r>
              <w:rPr>
                <w:b/>
                <w:color w:val="auto"/>
                <w:sz w:val="20"/>
                <w:highlight w:val="none"/>
              </w:rPr>
            </w:r>
            <w:r/>
          </w:p>
          <w:p>
            <w:pPr>
              <w:pStyle w:val="1181"/>
              <w:rPr>
                <w:b/>
                <w:color w:val="auto"/>
                <w:sz w:val="20"/>
                <w:highlight w:val="none"/>
              </w:rPr>
            </w:pPr>
            <w:r>
              <w:rPr>
                <w:b/>
                <w:color w:val="auto"/>
                <w:sz w:val="20"/>
                <w:highlight w:val="none"/>
              </w:rPr>
            </w:r>
            <w:r/>
          </w:p>
          <w:p>
            <w:pPr>
              <w:pStyle w:val="1181"/>
              <w:rPr>
                <w:b/>
                <w:color w:val="auto"/>
                <w:sz w:val="20"/>
                <w:highlight w:val="none"/>
              </w:rPr>
            </w:pPr>
            <w:r>
              <w:rPr>
                <w:b/>
                <w:color w:val="auto"/>
                <w:sz w:val="20"/>
                <w:highlight w:val="none"/>
              </w:rPr>
            </w:r>
            <w:r/>
          </w:p>
          <w:p>
            <w:pPr>
              <w:pStyle w:val="1181"/>
              <w:rPr>
                <w:b/>
                <w:color w:val="auto"/>
                <w:sz w:val="20"/>
                <w:highlight w:val="none"/>
              </w:rPr>
            </w:pPr>
            <w:r>
              <w:rPr>
                <w:b/>
                <w:color w:val="auto"/>
                <w:sz w:val="20"/>
                <w:highlight w:val="none"/>
              </w:rPr>
            </w:r>
            <w:r/>
          </w:p>
          <w:p>
            <w:pPr>
              <w:pStyle w:val="1181"/>
              <w:spacing w:before="7"/>
              <w:rPr>
                <w:b/>
                <w:color w:val="auto"/>
                <w:sz w:val="20"/>
                <w:highlight w:val="none"/>
              </w:rPr>
            </w:pPr>
            <w:r>
              <w:rPr>
                <w:b/>
                <w:color w:val="auto"/>
                <w:sz w:val="20"/>
                <w:highlight w:val="none"/>
              </w:rPr>
            </w:r>
            <w:r/>
          </w:p>
          <w:p>
            <w:pPr>
              <w:pStyle w:val="1181"/>
              <w:ind w:left="259"/>
              <w:spacing w:before="1"/>
              <w:rPr>
                <w:color w:val="auto"/>
                <w:highlight w:val="none"/>
              </w:rPr>
            </w:pPr>
            <w:r>
              <w:rPr>
                <w:rFonts w:hint="eastAsia"/>
                <w:color w:val="auto"/>
                <w:highlight w:val="none"/>
              </w:rPr>
              <w:t xml:space="preserve">8</w:t>
            </w:r>
            <w:r/>
          </w:p>
        </w:tc>
        <w:tc>
          <w:tcPr>
            <w:gridSpan w:val="6"/>
            <w:tcW w:w="8400" w:type="dxa"/>
            <w:textDirection w:val="lrTb"/>
            <w:noWrap w:val="false"/>
          </w:tcPr>
          <w:p>
            <w:pPr>
              <w:pStyle w:val="1181"/>
              <w:ind w:left="27"/>
              <w:spacing w:before="22"/>
              <w:rPr>
                <w:color w:val="auto"/>
                <w:highlight w:val="none"/>
              </w:rPr>
            </w:pPr>
            <w:r>
              <w:rPr>
                <w:rFonts w:hint="eastAsia"/>
                <w:color w:val="auto"/>
                <w:highlight w:val="none"/>
              </w:rPr>
              <w:t xml:space="preserve">其他需要说明的情况</w:t>
            </w:r>
            <w:r/>
          </w:p>
        </w:tc>
      </w:tr>
    </w:tbl>
    <w:p>
      <w:pPr>
        <w:pStyle w:val="865"/>
        <w:spacing w:before="9" w:after="1"/>
        <w:rPr>
          <w:rFonts w:ascii="宋体" w:hAnsi="宋体" w:cs="宋体"/>
          <w:b/>
          <w:color w:val="auto"/>
          <w:sz w:val="22"/>
          <w:highlight w:val="none"/>
        </w:rPr>
      </w:pPr>
      <w:r>
        <w:rPr>
          <w:rFonts w:ascii="宋体" w:hAnsi="宋体" w:cs="宋体"/>
          <w:b/>
          <w:color w:val="auto"/>
          <w:sz w:val="22"/>
          <w:highlight w:val="none"/>
        </w:rPr>
      </w:r>
      <w:r/>
    </w:p>
    <w:p>
      <w:pPr>
        <w:rPr>
          <w:rFonts w:ascii="宋体" w:hAnsi="宋体" w:cs="宋体"/>
          <w:color w:val="auto"/>
          <w:highlight w:val="none"/>
        </w:rPr>
      </w:pPr>
      <w:r>
        <w:rPr>
          <w:rFonts w:hint="eastAsia" w:ascii="宋体" w:hAnsi="宋体" w:cs="宋体"/>
          <w:color w:val="auto"/>
          <w:highlight w:val="none"/>
        </w:rPr>
        <w:t xml:space="preserve">磋商响应单位（盖章）：     </w:t>
      </w:r>
      <w:r/>
    </w:p>
    <w:p>
      <w:pPr>
        <w:rPr>
          <w:rFonts w:ascii="宋体" w:hAnsi="宋体" w:cs="宋体"/>
          <w:color w:val="auto"/>
          <w:spacing w:val="20"/>
          <w:highlight w:val="none"/>
        </w:rPr>
      </w:pPr>
      <w:r>
        <w:rPr>
          <w:rFonts w:hint="eastAsia" w:ascii="宋体" w:hAnsi="宋体" w:cs="宋体"/>
          <w:color w:val="auto"/>
          <w:spacing w:val="20"/>
          <w:highlight w:val="none"/>
        </w:rPr>
        <w:t xml:space="preserve">法定代表人或委托代理人：（签字或盖章）                   </w:t>
      </w:r>
      <w:r/>
    </w:p>
    <w:p>
      <w:pPr>
        <w:rPr>
          <w:rFonts w:ascii="宋体" w:hAnsi="宋体" w:cs="宋体"/>
          <w:color w:val="auto"/>
          <w:spacing w:val="20"/>
          <w:highlight w:val="none"/>
        </w:rPr>
      </w:pPr>
      <w:r>
        <w:rPr>
          <w:rFonts w:hint="eastAsia" w:ascii="宋体" w:hAnsi="宋体" w:cs="宋体"/>
          <w:color w:val="auto"/>
          <w:spacing w:val="20"/>
          <w:highlight w:val="none"/>
        </w:rPr>
        <w:t xml:space="preserve">日期：</w:t>
      </w:r>
      <w:r/>
    </w:p>
    <w:p>
      <w:pPr>
        <w:spacing w:line="500" w:lineRule="exact"/>
        <w:rPr>
          <w:rFonts w:ascii="宋体" w:hAnsi="宋体" w:cs="宋体"/>
          <w:b/>
          <w:bCs/>
          <w:color w:val="auto"/>
          <w:szCs w:val="21"/>
          <w:highlight w:val="none"/>
          <w:lang w:eastAsia="zh-TW"/>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6.4</w:t>
      </w:r>
      <w:r>
        <w:rPr>
          <w:rFonts w:hint="eastAsia" w:ascii="宋体" w:hAnsi="宋体" w:cs="宋体"/>
          <w:b/>
          <w:color w:val="auto"/>
          <w:szCs w:val="21"/>
          <w:highlight w:val="none"/>
        </w:rPr>
        <w:t xml:space="preserve">类似项目业绩表</w:t>
      </w:r>
      <w:r/>
    </w:p>
    <w:p>
      <w:pPr>
        <w:jc w:val="center"/>
        <w:spacing w:line="5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类似项目业绩表</w:t>
      </w:r>
      <w:r/>
    </w:p>
    <w:p>
      <w:pPr>
        <w:rPr>
          <w:rFonts w:ascii="宋体" w:hAnsi="宋体" w:cs="宋体"/>
          <w:color w:val="auto"/>
          <w:szCs w:val="21"/>
          <w:highlight w:val="none"/>
        </w:rPr>
      </w:pPr>
      <w:r>
        <w:rPr>
          <w:rFonts w:hint="eastAsia" w:ascii="宋体" w:hAnsi="宋体" w:cs="宋体"/>
          <w:color w:val="auto"/>
          <w:szCs w:val="21"/>
          <w:highlight w:val="none"/>
          <w:lang w:eastAsia="zh-CN"/>
        </w:rPr>
        <w:t xml:space="preserve">项目编号</w:t>
      </w:r>
      <w:r>
        <w:rPr>
          <w:rFonts w:hint="eastAsia" w:ascii="宋体" w:hAnsi="宋体" w:cs="宋体"/>
          <w:color w:val="auto"/>
          <w:szCs w:val="21"/>
          <w:highlight w:val="none"/>
        </w:rPr>
        <w:t xml:space="preserve">：                                      项目名称：</w:t>
      </w:r>
      <w:r/>
    </w:p>
    <w:tbl>
      <w:tblPr>
        <w:tblStyle w:val="860"/>
        <w:tblW w:w="4997"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71"/>
        <w:gridCol w:w="1411"/>
        <w:gridCol w:w="1349"/>
        <w:gridCol w:w="1678"/>
        <w:gridCol w:w="2169"/>
        <w:gridCol w:w="1605"/>
      </w:tblGrid>
      <w:tr>
        <w:trPr>
          <w:cantSplit/>
          <w:trHeight w:val="740"/>
        </w:trPr>
        <w:tc>
          <w:tcPr>
            <w:tcW w:w="480" w:type="dxa"/>
            <w:vAlign w:val="center"/>
            <w:textDirection w:val="lrTb"/>
            <w:noWrap w:val="false"/>
          </w:tcPr>
          <w:p>
            <w:pPr>
              <w:jc w:val="center"/>
              <w:spacing w:line="400" w:lineRule="exact"/>
              <w:rPr>
                <w:rStyle w:val="1194"/>
                <w:rFonts w:ascii="宋体" w:hAnsi="宋体" w:cs="宋体"/>
                <w:color w:val="auto"/>
                <w:szCs w:val="21"/>
                <w:highlight w:val="none"/>
              </w:rPr>
            </w:pPr>
            <w:r>
              <w:rPr>
                <w:rStyle w:val="1194"/>
                <w:rFonts w:hint="eastAsia" w:ascii="宋体" w:hAnsi="宋体" w:cs="宋体"/>
                <w:color w:val="auto"/>
                <w:szCs w:val="21"/>
                <w:highlight w:val="none"/>
              </w:rPr>
              <w:t xml:space="preserve">序号</w:t>
            </w:r>
            <w:r/>
          </w:p>
        </w:tc>
        <w:tc>
          <w:tcPr>
            <w:tcW w:w="776" w:type="dxa"/>
            <w:vAlign w:val="center"/>
            <w:textDirection w:val="lrTb"/>
            <w:noWrap w:val="false"/>
          </w:tcPr>
          <w:p>
            <w:pPr>
              <w:jc w:val="center"/>
              <w:spacing w:line="400" w:lineRule="exact"/>
              <w:rPr>
                <w:rStyle w:val="1194"/>
                <w:rFonts w:ascii="宋体" w:hAnsi="宋体" w:cs="宋体"/>
                <w:color w:val="auto"/>
                <w:szCs w:val="21"/>
                <w:highlight w:val="none"/>
              </w:rPr>
            </w:pPr>
            <w:r>
              <w:rPr>
                <w:rStyle w:val="1194"/>
                <w:rFonts w:hint="eastAsia" w:ascii="宋体" w:hAnsi="宋体" w:cs="宋体"/>
                <w:color w:val="auto"/>
                <w:szCs w:val="21"/>
                <w:highlight w:val="none"/>
              </w:rPr>
              <w:t xml:space="preserve">项目名称</w:t>
            </w:r>
            <w:r/>
          </w:p>
        </w:tc>
        <w:tc>
          <w:tcPr>
            <w:tcW w:w="742" w:type="dxa"/>
            <w:vAlign w:val="center"/>
            <w:textDirection w:val="lrTb"/>
            <w:noWrap w:val="false"/>
          </w:tcPr>
          <w:p>
            <w:pPr>
              <w:jc w:val="center"/>
              <w:spacing w:line="400" w:lineRule="exact"/>
              <w:rPr>
                <w:rStyle w:val="1194"/>
                <w:rFonts w:ascii="宋体" w:hAnsi="宋体" w:cs="宋体"/>
                <w:color w:val="auto"/>
                <w:szCs w:val="21"/>
                <w:highlight w:val="none"/>
              </w:rPr>
            </w:pPr>
            <w:r>
              <w:rPr>
                <w:rStyle w:val="1194"/>
                <w:rFonts w:hint="eastAsia" w:ascii="宋体" w:hAnsi="宋体" w:cs="宋体"/>
                <w:color w:val="auto"/>
                <w:szCs w:val="21"/>
                <w:highlight w:val="none"/>
              </w:rPr>
              <w:t xml:space="preserve">合同期</w:t>
            </w:r>
            <w:r/>
          </w:p>
        </w:tc>
        <w:tc>
          <w:tcPr>
            <w:tcW w:w="923" w:type="dxa"/>
            <w:vAlign w:val="center"/>
            <w:textDirection w:val="lrTb"/>
            <w:noWrap w:val="false"/>
          </w:tcPr>
          <w:p>
            <w:pPr>
              <w:jc w:val="center"/>
              <w:spacing w:line="400" w:lineRule="exact"/>
              <w:rPr>
                <w:rStyle w:val="1194"/>
                <w:rFonts w:ascii="宋体" w:hAnsi="宋体" w:cs="宋体"/>
                <w:color w:val="auto"/>
                <w:szCs w:val="21"/>
                <w:highlight w:val="none"/>
              </w:rPr>
            </w:pPr>
            <w:r>
              <w:rPr>
                <w:rStyle w:val="1194"/>
                <w:rFonts w:hint="eastAsia" w:ascii="宋体" w:hAnsi="宋体" w:cs="宋体"/>
                <w:color w:val="auto"/>
                <w:szCs w:val="21"/>
                <w:highlight w:val="none"/>
              </w:rPr>
              <w:t xml:space="preserve">服务范围</w:t>
            </w:r>
            <w:r/>
          </w:p>
        </w:tc>
        <w:tc>
          <w:tcPr>
            <w:tcW w:w="1193" w:type="dxa"/>
            <w:vAlign w:val="center"/>
            <w:textDirection w:val="lrTb"/>
            <w:noWrap w:val="false"/>
          </w:tcPr>
          <w:p>
            <w:pPr>
              <w:jc w:val="center"/>
              <w:spacing w:line="400" w:lineRule="exact"/>
              <w:rPr>
                <w:rStyle w:val="1194"/>
                <w:rFonts w:ascii="宋体" w:hAnsi="宋体" w:cs="宋体"/>
                <w:color w:val="auto"/>
                <w:szCs w:val="21"/>
                <w:highlight w:val="none"/>
              </w:rPr>
            </w:pPr>
            <w:r>
              <w:rPr>
                <w:rStyle w:val="1194"/>
                <w:rFonts w:hint="eastAsia" w:ascii="宋体" w:hAnsi="宋体" w:cs="宋体"/>
                <w:color w:val="auto"/>
                <w:szCs w:val="21"/>
                <w:highlight w:val="none"/>
              </w:rPr>
              <w:t xml:space="preserve">合同金额（万元）</w:t>
            </w:r>
            <w:r/>
          </w:p>
        </w:tc>
        <w:tc>
          <w:tcPr>
            <w:tcW w:w="883" w:type="dxa"/>
            <w:vAlign w:val="center"/>
            <w:textDirection w:val="lrTb"/>
            <w:noWrap w:val="false"/>
          </w:tcPr>
          <w:p>
            <w:pPr>
              <w:jc w:val="center"/>
              <w:spacing w:line="400" w:lineRule="exact"/>
              <w:rPr>
                <w:rStyle w:val="1194"/>
                <w:rFonts w:ascii="宋体" w:hAnsi="宋体" w:cs="宋体"/>
                <w:color w:val="auto"/>
                <w:szCs w:val="21"/>
                <w:highlight w:val="none"/>
              </w:rPr>
            </w:pPr>
            <w:r>
              <w:rPr>
                <w:rStyle w:val="1194"/>
                <w:rFonts w:hint="eastAsia" w:ascii="宋体" w:hAnsi="宋体" w:cs="宋体"/>
                <w:color w:val="auto"/>
                <w:szCs w:val="21"/>
                <w:highlight w:val="none"/>
              </w:rPr>
              <w:t xml:space="preserve">备注</w:t>
            </w:r>
            <w:r/>
          </w:p>
        </w:tc>
      </w:tr>
      <w:tr>
        <w:trPr>
          <w:cantSplit/>
          <w:trHeight w:val="510" w:hRule="exact"/>
        </w:trPr>
        <w:tc>
          <w:tcPr>
            <w:tcW w:w="480" w:type="dxa"/>
            <w:vAlign w:val="center"/>
            <w:textDirection w:val="lrTb"/>
            <w:noWrap w:val="false"/>
          </w:tcPr>
          <w:p>
            <w:pPr>
              <w:jc w:val="center"/>
              <w:spacing w:line="400" w:lineRule="exact"/>
              <w:rPr>
                <w:rStyle w:val="1194"/>
                <w:rFonts w:ascii="宋体" w:hAnsi="宋体" w:cs="宋体"/>
                <w:color w:val="auto"/>
                <w:szCs w:val="21"/>
                <w:highlight w:val="none"/>
              </w:rPr>
            </w:pPr>
            <w:r>
              <w:rPr>
                <w:rStyle w:val="1194"/>
                <w:rFonts w:hint="eastAsia" w:ascii="宋体" w:hAnsi="宋体" w:cs="宋体"/>
                <w:color w:val="auto"/>
                <w:szCs w:val="21"/>
                <w:highlight w:val="none"/>
              </w:rPr>
              <w:t xml:space="preserve">1</w:t>
            </w:r>
            <w:r/>
          </w:p>
        </w:tc>
        <w:tc>
          <w:tcPr>
            <w:tcW w:w="776"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742"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923"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1193"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480" w:type="dxa"/>
            <w:vAlign w:val="center"/>
            <w:textDirection w:val="lrTb"/>
            <w:noWrap w:val="false"/>
          </w:tcPr>
          <w:p>
            <w:pPr>
              <w:jc w:val="center"/>
              <w:spacing w:line="400" w:lineRule="exact"/>
              <w:rPr>
                <w:rStyle w:val="1194"/>
                <w:rFonts w:ascii="宋体" w:hAnsi="宋体" w:cs="宋体"/>
                <w:color w:val="auto"/>
                <w:szCs w:val="21"/>
                <w:highlight w:val="none"/>
              </w:rPr>
            </w:pPr>
            <w:r>
              <w:rPr>
                <w:rStyle w:val="1194"/>
                <w:rFonts w:hint="eastAsia" w:ascii="宋体" w:hAnsi="宋体" w:cs="宋体"/>
                <w:color w:val="auto"/>
                <w:szCs w:val="21"/>
                <w:highlight w:val="none"/>
              </w:rPr>
              <w:t xml:space="preserve">2</w:t>
            </w:r>
            <w:r/>
          </w:p>
        </w:tc>
        <w:tc>
          <w:tcPr>
            <w:tcW w:w="776"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742"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923"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1193"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480" w:type="dxa"/>
            <w:vAlign w:val="center"/>
            <w:textDirection w:val="lrTb"/>
            <w:noWrap w:val="false"/>
          </w:tcPr>
          <w:p>
            <w:pPr>
              <w:jc w:val="center"/>
              <w:spacing w:line="400" w:lineRule="exact"/>
              <w:rPr>
                <w:rStyle w:val="1194"/>
                <w:rFonts w:ascii="宋体" w:hAnsi="宋体" w:cs="宋体"/>
                <w:color w:val="auto"/>
                <w:szCs w:val="21"/>
                <w:highlight w:val="none"/>
              </w:rPr>
            </w:pPr>
            <w:r>
              <w:rPr>
                <w:rStyle w:val="1194"/>
                <w:rFonts w:hint="eastAsia" w:ascii="宋体" w:hAnsi="宋体" w:cs="宋体"/>
                <w:color w:val="auto"/>
                <w:szCs w:val="21"/>
                <w:highlight w:val="none"/>
              </w:rPr>
              <w:t xml:space="preserve">3</w:t>
            </w:r>
            <w:r/>
          </w:p>
        </w:tc>
        <w:tc>
          <w:tcPr>
            <w:tcW w:w="776"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742"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923"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1193"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480" w:type="dxa"/>
            <w:vAlign w:val="center"/>
            <w:textDirection w:val="lrTb"/>
            <w:noWrap w:val="false"/>
          </w:tcPr>
          <w:p>
            <w:pPr>
              <w:jc w:val="center"/>
              <w:spacing w:line="400" w:lineRule="exact"/>
              <w:rPr>
                <w:rStyle w:val="1194"/>
                <w:rFonts w:ascii="宋体" w:hAnsi="宋体" w:cs="宋体"/>
                <w:color w:val="auto"/>
                <w:szCs w:val="21"/>
                <w:highlight w:val="none"/>
              </w:rPr>
            </w:pPr>
            <w:r>
              <w:rPr>
                <w:rStyle w:val="1194"/>
                <w:rFonts w:hint="eastAsia" w:ascii="宋体" w:hAnsi="宋体" w:cs="宋体"/>
                <w:color w:val="auto"/>
                <w:szCs w:val="21"/>
                <w:highlight w:val="none"/>
              </w:rPr>
              <w:t xml:space="preserve">4</w:t>
            </w:r>
            <w:r/>
          </w:p>
        </w:tc>
        <w:tc>
          <w:tcPr>
            <w:tcW w:w="776"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742"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923"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1193"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480" w:type="dxa"/>
            <w:vAlign w:val="center"/>
            <w:textDirection w:val="lrTb"/>
            <w:noWrap w:val="false"/>
          </w:tcPr>
          <w:p>
            <w:pPr>
              <w:jc w:val="center"/>
              <w:spacing w:line="400" w:lineRule="exact"/>
              <w:rPr>
                <w:rStyle w:val="1194"/>
                <w:rFonts w:ascii="宋体" w:hAnsi="宋体" w:cs="宋体"/>
                <w:color w:val="auto"/>
                <w:szCs w:val="21"/>
                <w:highlight w:val="none"/>
              </w:rPr>
            </w:pPr>
            <w:r>
              <w:rPr>
                <w:rStyle w:val="1194"/>
                <w:rFonts w:hint="eastAsia" w:ascii="宋体" w:hAnsi="宋体" w:cs="宋体"/>
                <w:color w:val="auto"/>
                <w:szCs w:val="21"/>
                <w:highlight w:val="none"/>
              </w:rPr>
              <w:t xml:space="preserve">5</w:t>
            </w:r>
            <w:r/>
          </w:p>
        </w:tc>
        <w:tc>
          <w:tcPr>
            <w:tcW w:w="776"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742"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923"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1193"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480" w:type="dxa"/>
            <w:vAlign w:val="center"/>
            <w:textDirection w:val="tbRlV"/>
            <w:noWrap w:val="false"/>
          </w:tcPr>
          <w:p>
            <w:pPr>
              <w:ind w:left="113" w:right="113"/>
              <w:jc w:val="center"/>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776"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742"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923"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1193"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ind w:left="420"/>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480" w:type="dxa"/>
            <w:vAlign w:val="center"/>
            <w:textDirection w:val="lrTb"/>
            <w:noWrap w:val="false"/>
          </w:tcPr>
          <w:p>
            <w:pPr>
              <w:jc w:val="center"/>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776" w:type="dxa"/>
            <w:vAlign w:val="center"/>
            <w:textDirection w:val="lrTb"/>
            <w:noWrap w:val="false"/>
          </w:tcPr>
          <w:p>
            <w:pPr>
              <w:jc w:val="center"/>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742" w:type="dxa"/>
            <w:vAlign w:val="center"/>
            <w:textDirection w:val="lrTb"/>
            <w:noWrap w:val="false"/>
          </w:tcPr>
          <w:p>
            <w:pPr>
              <w:jc w:val="center"/>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923" w:type="dxa"/>
            <w:vAlign w:val="center"/>
            <w:textDirection w:val="lrTb"/>
            <w:noWrap w:val="false"/>
          </w:tcPr>
          <w:p>
            <w:pPr>
              <w:jc w:val="center"/>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1193" w:type="dxa"/>
            <w:vAlign w:val="center"/>
            <w:textDirection w:val="lrTb"/>
            <w:noWrap w:val="false"/>
          </w:tcPr>
          <w:p>
            <w:pPr>
              <w:jc w:val="center"/>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jc w:val="center"/>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480" w:type="dxa"/>
            <w:vAlign w:val="center"/>
            <w:textDirection w:val="lrTb"/>
            <w:noWrap w:val="false"/>
          </w:tcPr>
          <w:p>
            <w:pPr>
              <w:jc w:val="center"/>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776" w:type="dxa"/>
            <w:vAlign w:val="center"/>
            <w:textDirection w:val="lrTb"/>
            <w:noWrap w:val="false"/>
          </w:tcPr>
          <w:p>
            <w:pPr>
              <w:jc w:val="center"/>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742" w:type="dxa"/>
            <w:vAlign w:val="center"/>
            <w:textDirection w:val="lrTb"/>
            <w:noWrap w:val="false"/>
          </w:tcPr>
          <w:p>
            <w:pPr>
              <w:jc w:val="center"/>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923" w:type="dxa"/>
            <w:vAlign w:val="center"/>
            <w:textDirection w:val="lrTb"/>
            <w:noWrap w:val="false"/>
          </w:tcPr>
          <w:p>
            <w:pPr>
              <w:jc w:val="center"/>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1193" w:type="dxa"/>
            <w:vAlign w:val="center"/>
            <w:textDirection w:val="lrTb"/>
            <w:noWrap w:val="false"/>
          </w:tcPr>
          <w:p>
            <w:pPr>
              <w:jc w:val="center"/>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jc w:val="center"/>
              <w:spacing w:line="400" w:lineRule="exact"/>
              <w:rPr>
                <w:rStyle w:val="1194"/>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磋商响应单位（盖章）：     </w:t>
      </w:r>
      <w:r/>
    </w:p>
    <w:p>
      <w:pPr>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法定代表人或委托代理人：（签字或盖章）                   </w:t>
      </w:r>
      <w:r/>
    </w:p>
    <w:p>
      <w:pPr>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1195"/>
        <w:numPr>
          <w:ilvl w:val="2"/>
          <w:numId w:val="0"/>
        </w:numPr>
        <w:jc w:val="both"/>
        <w:keepLines w:val="0"/>
        <w:keepNext w:val="0"/>
        <w:spacing w:before="240" w:after="240"/>
        <w:rPr>
          <w:rFonts w:ascii="宋体" w:hAnsi="宋体" w:eastAsia="宋体"/>
          <w:bCs w:val="0"/>
          <w:color w:val="auto"/>
          <w:spacing w:val="20"/>
          <w:sz w:val="21"/>
          <w:szCs w:val="21"/>
          <w:highlight w:val="none"/>
        </w:rPr>
        <w:sectPr>
          <w:footnotePr/>
          <w:endnotePr/>
          <w:type w:val="nextPage"/>
          <w:pgSz w:w="11906" w:h="16838" w:orient="portrait"/>
          <w:pgMar w:top="1440" w:right="1417" w:bottom="1134" w:left="1417" w:header="851" w:footer="850" w:gutter="0"/>
          <w:cols w:num="1" w:sep="0" w:space="0" w:equalWidth="1"/>
          <w:docGrid w:linePitch="360"/>
        </w:sectPr>
        <w:outlineLvl w:val="9"/>
      </w:pPr>
      <w:r>
        <w:rPr>
          <w:rFonts w:hint="eastAsia" w:ascii="宋体" w:hAnsi="宋体" w:eastAsia="宋体"/>
          <w:bCs w:val="0"/>
          <w:color w:val="auto"/>
          <w:spacing w:val="20"/>
          <w:sz w:val="21"/>
          <w:szCs w:val="21"/>
          <w:highlight w:val="none"/>
        </w:rPr>
        <w:br w:type="page" w:clear="all"/>
      </w:r>
      <w:r/>
    </w:p>
    <w:p>
      <w:pPr>
        <w:rPr>
          <w:rFonts w:ascii="宋体" w:hAnsi="宋体" w:cs="宋体"/>
          <w:color w:val="auto"/>
          <w:szCs w:val="21"/>
          <w:highlight w:val="none"/>
        </w:rPr>
      </w:pPr>
      <w:r>
        <w:rPr>
          <w:rFonts w:hint="eastAsia" w:ascii="宋体" w:hAnsi="宋体" w:cs="宋体"/>
          <w:b/>
          <w:bCs/>
          <w:color w:val="auto"/>
          <w:szCs w:val="21"/>
          <w:highlight w:val="none"/>
        </w:rPr>
        <w:t xml:space="preserve">6.5服务方案： </w:t>
      </w:r>
      <w:r/>
    </w:p>
    <w:p>
      <w:pPr>
        <w:jc w:val="center"/>
        <w:rPr>
          <w:rFonts w:ascii="宋体" w:hAnsi="宋体" w:cs="宋体"/>
          <w:b/>
          <w:bCs/>
          <w:color w:val="auto"/>
          <w:sz w:val="32"/>
          <w:szCs w:val="32"/>
          <w:highlight w:val="none"/>
        </w:rPr>
      </w:pPr>
      <w:r>
        <w:rPr>
          <w:rFonts w:hint="eastAsia" w:ascii="宋体" w:hAnsi="宋体" w:cs="宋体"/>
          <w:b/>
          <w:bCs/>
          <w:color w:val="auto"/>
          <w:szCs w:val="21"/>
          <w:highlight w:val="none"/>
        </w:rPr>
        <w:t xml:space="preserve">服务方案</w:t>
      </w:r>
      <w:r/>
    </w:p>
    <w:tbl>
      <w:tblPr>
        <w:tblStyle w:val="860"/>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9288"/>
      </w:tblGrid>
      <w:tr>
        <w:trPr>
          <w:jc w:val="center"/>
          <w:trHeight w:val="1161"/>
        </w:trPr>
        <w:tc>
          <w:tcPr>
            <w:tcBorders>
              <w:top w:val="single" w:color="000000" w:sz="6" w:space="0"/>
              <w:left w:val="single" w:color="000000" w:sz="6" w:space="0"/>
              <w:bottom w:val="single" w:color="000000" w:sz="6" w:space="0"/>
              <w:right w:val="single" w:color="000000" w:sz="6" w:space="0"/>
            </w:tcBorders>
            <w:tcW w:w="5000" w:type="dxa"/>
            <w:textDirection w:val="lrTb"/>
            <w:noWrap w:val="false"/>
          </w:tcPr>
          <w:p>
            <w:pPr>
              <w:jc w:val="left"/>
              <w:tabs>
                <w:tab w:val="left" w:pos="1320"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提示：</w:t>
            </w:r>
            <w:r/>
          </w:p>
          <w:p>
            <w:pPr>
              <w:jc w:val="lef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1、响应单位应针对本项目特点编写成交后拟采取的方案。</w:t>
            </w:r>
            <w:r/>
          </w:p>
          <w:p>
            <w:pPr>
              <w:jc w:val="left"/>
              <w:rPr>
                <w:rFonts w:ascii="宋体" w:hAnsi="宋体" w:cs="宋体"/>
                <w:color w:val="auto"/>
                <w:highlight w:val="none"/>
              </w:rPr>
            </w:pPr>
            <w:r>
              <w:rPr>
                <w:rFonts w:hint="eastAsia" w:ascii="宋体" w:hAnsi="宋体" w:cs="宋体"/>
                <w:color w:val="auto"/>
                <w:szCs w:val="21"/>
                <w:highlight w:val="none"/>
                <w:lang w:val="zh-CN"/>
              </w:rPr>
              <w:t xml:space="preserve">2、响应单位可根据自身情况编写，本页不够可另加页附后。</w:t>
            </w:r>
            <w:r/>
          </w:p>
        </w:tc>
      </w:tr>
      <w:tr>
        <w:trPr>
          <w:jc w:val="center"/>
          <w:trHeight w:val="9934"/>
        </w:trPr>
        <w:tc>
          <w:tcPr>
            <w:tcBorders>
              <w:top w:val="single" w:color="000000" w:sz="6" w:space="0"/>
              <w:left w:val="single" w:color="000000" w:sz="6" w:space="0"/>
              <w:bottom w:val="single" w:color="000000" w:sz="6" w:space="0"/>
              <w:right w:val="single" w:color="000000" w:sz="6" w:space="0"/>
            </w:tcBorders>
            <w:tcW w:w="5000" w:type="dxa"/>
            <w:textDirection w:val="lrTb"/>
            <w:noWrap w:val="false"/>
          </w:tcPr>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left"/>
              <w:tabs>
                <w:tab w:val="left" w:pos="1320" w:leader="none"/>
              </w:tabs>
              <w:rPr>
                <w:rFonts w:ascii="宋体" w:hAnsi="宋体" w:cs="宋体"/>
                <w:color w:val="auto"/>
                <w:szCs w:val="21"/>
                <w:highlight w:val="none"/>
                <w:lang w:val="zh-CN"/>
              </w:rPr>
            </w:pPr>
            <w:r>
              <w:rPr>
                <w:rFonts w:hint="eastAsia" w:ascii="宋体" w:hAnsi="宋体" w:cs="宋体"/>
                <w:color w:val="auto"/>
                <w:highlight w:val="none"/>
              </w:rPr>
              <w:t xml:space="preserve">   </w:t>
            </w:r>
            <w:r>
              <w:rPr>
                <w:rFonts w:hint="eastAsia" w:ascii="宋体" w:hAnsi="宋体" w:cs="宋体"/>
                <w:color w:val="auto"/>
                <w:szCs w:val="21"/>
                <w:highlight w:val="none"/>
                <w:lang w:val="zh-CN"/>
              </w:rPr>
              <w:t xml:space="preserve">磋商响应单位（盖章）：</w:t>
            </w:r>
            <w:r/>
          </w:p>
          <w:p>
            <w:pPr>
              <w:ind w:firstLine="420"/>
              <w:jc w:val="lef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420"/>
              <w:jc w:val="lef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日期：    年    月    日</w:t>
            </w:r>
            <w:r/>
          </w:p>
        </w:tc>
      </w:tr>
    </w:tbl>
    <w:p>
      <w:pPr>
        <w:jc w:val="right"/>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（全文完）</w:t>
      </w:r>
      <w:r/>
    </w:p>
    <w:sectPr>
      <w:footnotePr/>
      <w:endnotePr/>
      <w:type w:val="nextPage"/>
      <w:pgSz w:w="11906" w:h="16838" w:orient="portrait"/>
      <w:pgMar w:top="1440" w:right="1417" w:bottom="1134" w:left="1417" w:header="851"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Tahoma">
    <w:panose1 w:val="020B0604030504040204"/>
  </w:font>
  <w:font w:name="仿宋v.萀">
    <w:panose1 w:val="02010609060101010101"/>
  </w:font>
  <w:font w:name="楷体">
    <w:panose1 w:val="02010609060101010101"/>
  </w:font>
  <w:font w:name="Symbol">
    <w:panose1 w:val="05050102010706020507"/>
  </w:font>
  <w:font w:name="Calibri">
    <w:panose1 w:val="020F0502020204030204"/>
  </w:font>
  <w:font w:name="黑体">
    <w:panose1 w:val="02010609060101010101"/>
  </w:font>
  <w:font w:name="仿宋_GB2312">
    <w:panose1 w:val="02010609060101010101"/>
  </w:font>
  <w:font w:name="Verdana">
    <w:panose1 w:val="020B0604030504040204"/>
  </w:font>
  <w:font w:name="Courier New">
    <w:panose1 w:val="02070309020205020404"/>
  </w:font>
  <w:font w:name="楷体_GB2312">
    <w:panose1 w:val="02010609060101010101"/>
  </w:font>
  <w:font w:name="Arial Unicode MS">
    <w:panose1 w:val="020B0604020202020204"/>
  </w:font>
  <w:font w:name="Arial">
    <w:panose1 w:val="020B0604020202020204"/>
  </w:font>
  <w:font w:name="Cambria">
    <w:panose1 w:val="0204050305040603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5890" cy="42735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35890" cy="427355"/>
                      </a:xfrm>
                      <a:prstGeom prst="rect">
                        <a:avLst/>
                      </a:prstGeom>
                      <a:noFill/>
                      <a:ln>
                        <a:noFill/>
                        <a:miter/>
                      </a:ln>
                    </wps:spPr>
                    <wps:txbx>
                      <w:txbxContent>
                        <w:p>
                          <w:pPr>
                            <w:pStyle w:val="1110"/>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0.7pt;height:33.6pt;mso-wrap-distance-left:9.0pt;mso-wrap-distance-top:0.0pt;mso-wrap-distance-right:9.0pt;mso-wrap-distance-bottom:0.0pt;visibility:visible;" filled="f" stroked="f">
              <v:textbox inset="0,0,0,0">
                <w:txbxContent>
                  <w:p>
                    <w:pPr>
                      <w:pStyle w:val="1110"/>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64"/>
      <w:spacing w:before="1" w:line="159" w:lineRule="auto"/>
      <w:rPr>
        <w:rFonts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90500" cy="236220"/>
              <wp:effectExtent l="6350" t="6350" r="6350" b="635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90753" cy="236371"/>
                      </a:xfrm>
                      <a:prstGeom prst="rect">
                        <a:avLst/>
                      </a:prstGeom>
                      <a:noFill/>
                      <a:ln>
                        <a:noFill/>
                        <a:miter/>
                      </a:ln>
                    </wps:spPr>
                    <wps:txbx>
                      <w:txbxContent>
                        <w:p>
                          <w:pPr>
                            <w:pStyle w:val="875"/>
                          </w:pPr>
                          <w:r>
                            <w:fldChar w:fldCharType="begin"/>
                          </w:r>
                          <w:r>
                            <w:instrText xml:space="preserve"> PAGE  \* MERGEFORMAT </w:instrText>
                          </w:r>
                          <w:r>
                            <w:fldChar w:fldCharType="separate"/>
                          </w:r>
                          <w:r>
                            <w:t xml:space="preserve">48</w:t>
                          </w:r>
                          <w:r>
                            <w:fldChar w:fldCharType="end"/>
                          </w:r>
                          <w:r/>
                        </w:p>
                      </w:txbxContent>
                    </wps:txbx>
                    <wps:bodyPr wrap="square" lIns="0" tIns="0" rIns="0" bIns="0" upright="1">
                      <a:no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5.0pt;height:18.6pt;mso-wrap-distance-left:9.0pt;mso-wrap-distance-top:0.0pt;mso-wrap-distance-right:9.0pt;mso-wrap-distance-bottom:0.0pt;visibility:visible;" filled="f" stroked="f">
              <v:textbox inset="0,0,0,0">
                <w:txbxContent>
                  <w:p>
                    <w:pPr>
                      <w:pStyle w:val="875"/>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622"/>
      <w:spacing w:line="158" w:lineRule="auto"/>
      <w:tabs>
        <w:tab w:val="left" w:pos="7240" w:leader="none"/>
      </w:tabs>
      <w:rPr>
        <w:rFonts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14630" cy="153035"/>
              <wp:effectExtent l="6350" t="6350" r="6350" b="635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14778" cy="153339"/>
                      </a:xfrm>
                      <a:prstGeom prst="rect">
                        <a:avLst/>
                      </a:prstGeom>
                      <a:noFill/>
                      <a:ln>
                        <a:noFill/>
                        <a:miter/>
                      </a:ln>
                    </wps:spPr>
                    <wps:txbx>
                      <w:txbxContent>
                        <w:p>
                          <w:pPr>
                            <w:pStyle w:val="875"/>
                          </w:pPr>
                          <w:r>
                            <w:fldChar w:fldCharType="begin"/>
                          </w:r>
                          <w:r>
                            <w:instrText xml:space="preserve"> PAGE  \* MERGEFORMAT </w:instrText>
                          </w:r>
                          <w:r>
                            <w:fldChar w:fldCharType="separate"/>
                          </w:r>
                          <w:r>
                            <w:t xml:space="preserve">69</w:t>
                          </w:r>
                          <w:r>
                            <w:fldChar w:fldCharType="end"/>
                          </w:r>
                          <w:r/>
                        </w:p>
                      </w:txbxContent>
                    </wps:txbx>
                    <wps:bodyPr wrap="square" lIns="0" tIns="0" rIns="0" bIns="0" upright="1">
                      <a:no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6.9pt;height:12.0pt;mso-wrap-distance-left:9.0pt;mso-wrap-distance-top:0.0pt;mso-wrap-distance-right:9.0pt;mso-wrap-distance-bottom:0.0pt;visibility:visible;" filled="f" stroked="f">
              <v:textbox inset="0,0,0,0">
                <w:txbxContent>
                  <w:p>
                    <w:pPr>
                      <w:pStyle w:val="875"/>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both"/>
      <w:rPr>
        <w:rFonts w:hint="eastAsia" w:ascii="Arial" w:hAnsi="Arial" w:eastAsia="宋体" w:cs="Arial"/>
        <w:highlight w:val="yellow"/>
        <w:lang w:eastAsia="zh-CN"/>
      </w:rPr>
    </w:pPr>
    <w:r>
      <w:rPr>
        <w:rFonts w:hint="eastAsia" w:ascii="Arial" w:hAnsi="Arial" w:cs="Arial"/>
      </w:rPr>
      <w:t xml:space="preserve">苏州通宜房地产土地评估咨询有限公司</w:t>
    </w:r>
    <w:r>
      <w:rPr>
        <w:rFonts w:hint="eastAsia" w:ascii="Arial" w:hAnsi="Arial" w:eastAsia="Arial" w:cs="Arial"/>
      </w:rPr>
      <w:t xml:space="preserve">                                  </w:t>
    </w:r>
    <w:r>
      <w:rPr>
        <w:rFonts w:hint="eastAsia" w:ascii="Arial" w:hAnsi="Arial" w:cs="Arial"/>
      </w:rPr>
      <w:t xml:space="preserve"> </w:t>
    </w:r>
    <w:r>
      <w:rPr>
        <w:rFonts w:hint="eastAsia" w:ascii="Arial" w:hAnsi="Arial" w:cs="Arial"/>
        <w:lang w:eastAsia="zh-CN"/>
      </w:rPr>
      <w:t xml:space="preserve">JSZC-320509-SZTY-C2026-0007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spacing w:line="14" w:lineRule="auto"/>
      <w:rPr>
        <w:sz w:val="20"/>
      </w:rPr>
      <w:pBdr>
        <w:bottom w:val="single" w:color="auto" w:sz="4"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4441190</wp:posOffset>
              </wp:positionH>
              <wp:positionV relativeFrom="page">
                <wp:posOffset>371475</wp:posOffset>
              </wp:positionV>
              <wp:extent cx="2254250" cy="14922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254250" cy="149225"/>
                      </a:xfrm>
                      <a:prstGeom prst="rect">
                        <a:avLst/>
                      </a:prstGeom>
                      <a:noFill/>
                      <a:ln>
                        <a:noFill/>
                        <a:miter/>
                      </a:ln>
                    </wps:spPr>
                    <wps:txbx>
                      <w:txbxContent>
                        <w:p>
                          <w:pPr>
                            <w:ind w:left="20"/>
                            <w:spacing w:line="220" w:lineRule="exact"/>
                            <w:rPr>
                              <w:rFonts w:hint="eastAsia" w:ascii="楷体" w:eastAsia="楷体"/>
                              <w:sz w:val="18"/>
                              <w:lang w:eastAsia="zh-CN"/>
                            </w:rPr>
                          </w:pPr>
                          <w:r>
                            <w:rPr>
                              <w:rFonts w:hint="eastAsia" w:ascii="楷体" w:eastAsia="楷体"/>
                              <w:sz w:val="18"/>
                            </w:rPr>
                            <w:t xml:space="preserve">项目编号：</w:t>
                          </w:r>
                          <w:r>
                            <w:rPr>
                              <w:rFonts w:hint="eastAsia" w:ascii="楷体" w:eastAsia="楷体"/>
                              <w:sz w:val="18"/>
                              <w:lang w:eastAsia="zh-CN"/>
                            </w:rPr>
                            <w:t xml:space="preserve">JSZC-320509-SZTY-C2026-0007</w:t>
                          </w:r>
                          <w:r/>
                        </w:p>
                      </w:txbxContent>
                    </wps:txbx>
                    <wps:bodyPr wrap="square" lIns="0" tIns="0" rIns="0" bIns="0" upright="1"/>
                  </wps:wsp>
                </a:graphicData>
              </a:graphic>
            </wp:anchor>
          </w:drawing>
        </mc:Choice>
        <mc:Fallback>
          <w:pict>
            <v:shape id="shape 0" o:spid="_x0000_s0" o:spt="202" type="#_x0000_t202" style="position:absolute;z-index:-251662336;o:allowoverlap:true;o:allowincell:true;mso-position-horizontal-relative:page;margin-left:349.7pt;mso-position-horizontal:absolute;mso-position-vertical-relative:page;margin-top:29.2pt;mso-position-vertical:absolute;width:177.5pt;height:11.8pt;mso-wrap-distance-left:9.0pt;mso-wrap-distance-top:0.0pt;mso-wrap-distance-right:9.0pt;mso-wrap-distance-bottom:0.0pt;visibility:visible;" filled="f" stroked="f">
              <v:textbox inset="0,0,0,0">
                <w:txbxContent>
                  <w:p>
                    <w:pPr>
                      <w:ind w:left="20"/>
                      <w:spacing w:line="220" w:lineRule="exact"/>
                      <w:rPr>
                        <w:rFonts w:hint="eastAsia" w:ascii="楷体" w:eastAsia="楷体"/>
                        <w:sz w:val="18"/>
                        <w:lang w:eastAsia="zh-CN"/>
                      </w:rPr>
                    </w:pPr>
                    <w:r>
                      <w:rPr>
                        <w:rFonts w:hint="eastAsia" w:ascii="楷体" w:eastAsia="楷体"/>
                        <w:sz w:val="18"/>
                      </w:rPr>
                      <w:t xml:space="preserve">项目编号：</w:t>
                    </w:r>
                    <w:r>
                      <w:rPr>
                        <w:rFonts w:hint="eastAsia" w:ascii="楷体" w:eastAsia="楷体"/>
                        <w:sz w:val="18"/>
                        <w:lang w:eastAsia="zh-CN"/>
                      </w:rPr>
                      <w:t xml:space="preserve">JSZC-320509-SZTY-C2026-0007</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887095</wp:posOffset>
              </wp:positionH>
              <wp:positionV relativeFrom="page">
                <wp:posOffset>371475</wp:posOffset>
              </wp:positionV>
              <wp:extent cx="2491740" cy="14859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491740" cy="148590"/>
                      </a:xfrm>
                      <a:prstGeom prst="rect">
                        <a:avLst/>
                      </a:prstGeom>
                      <a:noFill/>
                      <a:ln>
                        <a:noFill/>
                        <a:miter/>
                      </a:ln>
                    </wps:spPr>
                    <wps:txbx>
                      <w:txbxContent>
                        <w:p>
                          <w:pPr>
                            <w:ind w:left="20"/>
                            <w:spacing w:line="220" w:lineRule="exact"/>
                            <w:rPr>
                              <w:rFonts w:ascii="楷体" w:eastAsia="楷体"/>
                              <w:sz w:val="18"/>
                            </w:rPr>
                          </w:pPr>
                          <w:r>
                            <w:rPr>
                              <w:rFonts w:hint="eastAsia" w:ascii="楷体" w:eastAsia="楷体"/>
                              <w:sz w:val="18"/>
                            </w:rPr>
                            <w:t xml:space="preserve">苏州通宜房地产土地评估咨询有限公司</w:t>
                          </w:r>
                          <w:r/>
                        </w:p>
                      </w:txbxContent>
                    </wps:txbx>
                    <wps:bodyPr wrap="square" lIns="0" tIns="0" rIns="0" bIns="0" upright="1"/>
                  </wps:wsp>
                </a:graphicData>
              </a:graphic>
            </wp:anchor>
          </w:drawing>
        </mc:Choice>
        <mc:Fallback>
          <w:pict>
            <v:shape id="shape 1" o:spid="_x0000_s1" o:spt="202" type="#_x0000_t202" style="position:absolute;z-index:-251662336;o:allowoverlap:true;o:allowincell:true;mso-position-horizontal-relative:page;margin-left:69.8pt;mso-position-horizontal:absolute;mso-position-vertical-relative:page;margin-top:29.2pt;mso-position-vertical:absolute;width:196.2pt;height:11.7pt;mso-wrap-distance-left:9.0pt;mso-wrap-distance-top:0.0pt;mso-wrap-distance-right:9.0pt;mso-wrap-distance-bottom:0.0pt;visibility:visible;" filled="f" stroked="f">
              <v:textbox inset="0,0,0,0">
                <w:txbxContent>
                  <w:p>
                    <w:pPr>
                      <w:ind w:left="20"/>
                      <w:spacing w:line="220" w:lineRule="exact"/>
                      <w:rPr>
                        <w:rFonts w:ascii="楷体" w:eastAsia="楷体"/>
                        <w:sz w:val="18"/>
                      </w:rPr>
                    </w:pPr>
                    <w:r>
                      <w:rPr>
                        <w:rFonts w:hint="eastAsia" w:ascii="楷体" w:eastAsia="楷体"/>
                        <w:sz w:val="18"/>
                      </w:rPr>
                      <w:t xml:space="preserve">苏州通宜房地产土地评估咨询有限公司</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pStyle w:val="1159"/>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pStyle w:val="1129"/>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japaneseCounting"/>
      <w:pStyle w:val="910"/>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chineseCountingThousand"/>
      <w:isLgl w:val="false"/>
      <w:suff w:val="tab"/>
      <w:lvlText w:val="%1、"/>
      <w:lvlJc w:val="left"/>
      <w:pPr>
        <w:ind w:left="142" w:firstLine="0"/>
      </w:pPr>
      <w:rPr>
        <w:rFonts w:hint="eastAsia"/>
        <w:b/>
      </w:rPr>
    </w:lvl>
    <w:lvl w:ilvl="1">
      <w:start w:val="1"/>
      <w:numFmt w:val="chineseCountingThousand"/>
      <w:isLgl w:val="false"/>
      <w:suff w:val="tab"/>
      <w:lvlText w:val="(%2)"/>
      <w:lvlJc w:val="left"/>
      <w:pPr>
        <w:ind w:left="142" w:firstLine="0"/>
      </w:pPr>
    </w:lvl>
    <w:lvl w:ilvl="2">
      <w:start w:val="1"/>
      <w:numFmt w:val="decimal"/>
      <w:pStyle w:val="1131"/>
      <w:isLgl w:val="false"/>
      <w:suff w:val="tab"/>
      <w:lvlText w:val="%3."/>
      <w:lvlJc w:val="left"/>
      <w:pPr>
        <w:ind w:left="142" w:firstLine="0"/>
      </w:pPr>
      <w:rPr>
        <w:rFonts w:hint="eastAsia"/>
      </w:rPr>
    </w:lvl>
    <w:lvl w:ilvl="3">
      <w:start w:val="1"/>
      <w:numFmt w:val="decimal"/>
      <w:isLgl w:val="false"/>
      <w:suff w:val="tab"/>
      <w:lvlText w:val="(%4)"/>
      <w:lvlJc w:val="left"/>
      <w:pPr>
        <w:ind w:left="142" w:firstLine="0"/>
      </w:pPr>
    </w:lvl>
    <w:lvl w:ilvl="4">
      <w:start w:val="1"/>
      <w:numFmt w:val="decimal"/>
      <w:isLgl w:val="false"/>
      <w:suff w:val="tab"/>
      <w:lvlText w:val="%1.%2.%3.%4.%5"/>
      <w:lvlJc w:val="left"/>
      <w:pPr>
        <w:ind w:left="142" w:firstLine="0"/>
      </w:pPr>
    </w:lvl>
    <w:lvl w:ilvl="5">
      <w:start w:val="2"/>
      <w:numFmt w:val="upperLetter"/>
      <w:isLgl w:val="false"/>
      <w:suff w:val="tab"/>
      <w:lvlText w:val="%6、"/>
      <w:lvlJc w:val="left"/>
      <w:pPr>
        <w:ind w:left="142" w:firstLine="0"/>
      </w:pPr>
    </w:lvl>
    <w:lvl w:ilvl="6">
      <w:start w:val="1"/>
      <w:numFmt w:val="upperLetter"/>
      <w:isLgl w:val="false"/>
      <w:suff w:val="tab"/>
      <w:lvlText w:val="%7）"/>
      <w:lvlJc w:val="left"/>
      <w:pPr>
        <w:ind w:left="142" w:firstLine="0"/>
      </w:pPr>
    </w:lvl>
    <w:lvl w:ilvl="7">
      <w:start w:val="1"/>
      <w:numFmt w:val="decimal"/>
      <w:isLgl w:val="false"/>
      <w:suff w:val="tab"/>
      <w:lvlText w:val="%1.%2.%3.%4.%5.%6.%7.%8"/>
      <w:lvlJc w:val="left"/>
      <w:pPr>
        <w:ind w:left="142" w:firstLine="0"/>
      </w:pPr>
    </w:lvl>
    <w:lvl w:ilvl="8">
      <w:start w:val="1"/>
      <w:numFmt w:val="decimal"/>
      <w:isLgl w:val="false"/>
      <w:suff w:val="tab"/>
      <w:lvlText w:val="%1.%2.%3.%4.%5.%6.%7.%8.%9"/>
      <w:lvlJc w:val="left"/>
      <w:pPr>
        <w:ind w:left="142" w:firstLine="0"/>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5"/>
  </w:num>
  <w:num w:numId="4">
    <w:abstractNumId w:val="0"/>
  </w:num>
  <w:num w:numId="5">
    <w:abstractNumId w:val="6"/>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9" w:default="1">
    <w:name w:val="Normal"/>
    <w:next w:val="853"/>
    <w:uiPriority w:val="0"/>
    <w:qFormat/>
    <w:pPr>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850">
    <w:name w:val="Heading 1"/>
    <w:basedOn w:val="849"/>
    <w:next w:val="849"/>
    <w:link w:val="1105"/>
    <w:uiPriority w:val="0"/>
    <w:qFormat/>
    <w:pPr>
      <w:jc w:val="center"/>
      <w:keepLines/>
      <w:keepNext/>
      <w:spacing w:before="160" w:after="160" w:line="480" w:lineRule="auto"/>
      <w:outlineLvl w:val="0"/>
    </w:pPr>
    <w:rPr>
      <w:b/>
      <w:bCs/>
      <w:sz w:val="32"/>
      <w:szCs w:val="44"/>
    </w:rPr>
  </w:style>
  <w:style w:type="paragraph" w:styleId="851">
    <w:name w:val="Heading 2"/>
    <w:basedOn w:val="849"/>
    <w:next w:val="849"/>
    <w:link w:val="1106"/>
    <w:uiPriority w:val="0"/>
    <w:qFormat/>
    <w:pPr>
      <w:keepLines/>
      <w:keepNext/>
      <w:spacing w:before="260" w:after="260" w:line="416" w:lineRule="auto"/>
      <w:outlineLvl w:val="1"/>
    </w:pPr>
    <w:rPr>
      <w:rFonts w:ascii="Cambria" w:hAnsi="Cambria"/>
      <w:b/>
      <w:sz w:val="32"/>
    </w:rPr>
  </w:style>
  <w:style w:type="paragraph" w:styleId="852">
    <w:name w:val="Heading 3"/>
    <w:basedOn w:val="849"/>
    <w:next w:val="849"/>
    <w:link w:val="1107"/>
    <w:uiPriority w:val="0"/>
    <w:qFormat/>
    <w:pPr>
      <w:keepLines/>
      <w:keepNext/>
      <w:spacing w:before="260" w:after="260" w:line="416" w:lineRule="auto"/>
      <w:outlineLvl w:val="2"/>
    </w:pPr>
    <w:rPr>
      <w:b/>
      <w:bCs/>
      <w:sz w:val="32"/>
      <w:szCs w:val="32"/>
    </w:rPr>
  </w:style>
  <w:style w:type="paragraph" w:styleId="853">
    <w:name w:val="Heading 4"/>
    <w:basedOn w:val="849"/>
    <w:next w:val="849"/>
    <w:link w:val="1108"/>
    <w:uiPriority w:val="0"/>
    <w:qFormat/>
    <w:pPr>
      <w:spacing w:before="240" w:after="60"/>
      <w:outlineLvl w:val="3"/>
    </w:pPr>
    <w:rPr>
      <w:sz w:val="28"/>
      <w:szCs w:val="28"/>
    </w:rPr>
  </w:style>
  <w:style w:type="paragraph" w:styleId="854">
    <w:name w:val="Heading 5"/>
    <w:basedOn w:val="849"/>
    <w:next w:val="849"/>
    <w:link w:val="1109"/>
    <w:uiPriority w:val="0"/>
    <w:qFormat/>
    <w:pPr>
      <w:spacing w:before="240" w:after="60"/>
      <w:outlineLvl w:val="4"/>
    </w:pPr>
    <w:rPr>
      <w:b/>
      <w:bCs/>
      <w:i/>
      <w:iCs/>
      <w:sz w:val="26"/>
      <w:szCs w:val="26"/>
    </w:rPr>
  </w:style>
  <w:style w:type="paragraph" w:styleId="855">
    <w:name w:val="Heading 6"/>
    <w:basedOn w:val="849"/>
    <w:next w:val="849"/>
    <w:link w:val="967"/>
    <w:uiPriority w:val="9"/>
    <w:unhideWhenUsed/>
    <w:qFormat/>
    <w:pPr>
      <w:keepLines/>
      <w:keepNext/>
      <w:spacing w:before="320" w:after="200"/>
      <w:outlineLvl w:val="5"/>
    </w:pPr>
    <w:rPr>
      <w:rFonts w:ascii="Arial" w:hAnsi="Arial" w:eastAsia="Arial" w:cs="Arial"/>
      <w:b/>
      <w:bCs/>
      <w:sz w:val="22"/>
      <w:szCs w:val="22"/>
    </w:rPr>
  </w:style>
  <w:style w:type="paragraph" w:styleId="856">
    <w:name w:val="Heading 7"/>
    <w:basedOn w:val="849"/>
    <w:next w:val="849"/>
    <w:link w:val="968"/>
    <w:uiPriority w:val="9"/>
    <w:unhideWhenUsed/>
    <w:qFormat/>
    <w:pPr>
      <w:keepLines/>
      <w:keepNext/>
      <w:spacing w:before="320" w:after="200"/>
      <w:outlineLvl w:val="6"/>
    </w:pPr>
    <w:rPr>
      <w:rFonts w:ascii="Arial" w:hAnsi="Arial" w:eastAsia="Arial" w:cs="Arial"/>
      <w:b/>
      <w:bCs/>
      <w:i/>
      <w:iCs/>
      <w:sz w:val="22"/>
      <w:szCs w:val="22"/>
    </w:rPr>
  </w:style>
  <w:style w:type="paragraph" w:styleId="857">
    <w:name w:val="Heading 8"/>
    <w:basedOn w:val="849"/>
    <w:next w:val="849"/>
    <w:link w:val="969"/>
    <w:uiPriority w:val="9"/>
    <w:unhideWhenUsed/>
    <w:qFormat/>
    <w:pPr>
      <w:keepLines/>
      <w:keepNext/>
      <w:spacing w:before="320" w:after="200"/>
      <w:outlineLvl w:val="7"/>
    </w:pPr>
    <w:rPr>
      <w:rFonts w:ascii="Arial" w:hAnsi="Arial" w:eastAsia="Arial" w:cs="Arial"/>
      <w:i/>
      <w:iCs/>
      <w:sz w:val="22"/>
      <w:szCs w:val="22"/>
    </w:rPr>
  </w:style>
  <w:style w:type="paragraph" w:styleId="858">
    <w:name w:val="Heading 9"/>
    <w:basedOn w:val="849"/>
    <w:next w:val="849"/>
    <w:link w:val="970"/>
    <w:uiPriority w:val="9"/>
    <w:unhideWhenUsed/>
    <w:qFormat/>
    <w:pPr>
      <w:keepLines/>
      <w:keepNext/>
      <w:spacing w:before="320" w:after="200"/>
      <w:outlineLvl w:val="8"/>
    </w:pPr>
    <w:rPr>
      <w:rFonts w:ascii="Arial" w:hAnsi="Arial" w:eastAsia="Arial" w:cs="Arial"/>
      <w:i/>
      <w:iCs/>
      <w:szCs w:val="21"/>
    </w:rPr>
  </w:style>
  <w:style w:type="character" w:styleId="859" w:default="1">
    <w:name w:val="Default Paragraph Font"/>
    <w:uiPriority w:val="1"/>
    <w:semiHidden/>
    <w:unhideWhenUsed/>
    <w:qFormat/>
  </w:style>
  <w:style w:type="table" w:styleId="860" w:default="1">
    <w:name w:val="Normal Table"/>
    <w:uiPriority w:val="99"/>
    <w:semiHidden/>
    <w:unhideWhenUsed/>
    <w:qFormat/>
    <w:tblPr>
      <w:tblCellMar>
        <w:left w:w="108" w:type="dxa"/>
        <w:top w:w="0" w:type="dxa"/>
        <w:right w:w="108" w:type="dxa"/>
        <w:bottom w:w="0" w:type="dxa"/>
      </w:tblCellMar>
    </w:tblPr>
  </w:style>
  <w:style w:type="paragraph" w:styleId="861">
    <w:name w:val="toc 7"/>
    <w:basedOn w:val="849"/>
    <w:next w:val="849"/>
    <w:uiPriority w:val="39"/>
    <w:unhideWhenUsed/>
    <w:qFormat/>
    <w:pPr>
      <w:ind w:left="1701"/>
      <w:spacing w:after="57"/>
    </w:pPr>
  </w:style>
  <w:style w:type="paragraph" w:styleId="862">
    <w:name w:val="Normal Indent"/>
    <w:basedOn w:val="849"/>
    <w:next w:val="849"/>
    <w:uiPriority w:val="0"/>
    <w:qFormat/>
    <w:pPr>
      <w:ind w:firstLine="420"/>
      <w:jc w:val="left"/>
    </w:pPr>
    <w:rPr>
      <w:rFonts w:eastAsia="楷体_GB2312"/>
      <w:sz w:val="24"/>
    </w:rPr>
  </w:style>
  <w:style w:type="paragraph" w:styleId="863">
    <w:name w:val="Caption"/>
    <w:basedOn w:val="849"/>
    <w:next w:val="849"/>
    <w:uiPriority w:val="35"/>
    <w:semiHidden/>
    <w:unhideWhenUsed/>
    <w:qFormat/>
    <w:pPr>
      <w:spacing w:line="276" w:lineRule="auto"/>
    </w:pPr>
    <w:rPr>
      <w:b/>
      <w:bCs/>
      <w:color w:val="4f81bd" w:themeColor="accent1"/>
      <w:sz w:val="18"/>
      <w:szCs w:val="18"/>
    </w:rPr>
  </w:style>
  <w:style w:type="paragraph" w:styleId="864">
    <w:name w:val="annotation text"/>
    <w:basedOn w:val="849"/>
    <w:uiPriority w:val="99"/>
    <w:semiHidden/>
    <w:unhideWhenUsed/>
    <w:qFormat/>
    <w:pPr>
      <w:jc w:val="left"/>
    </w:pPr>
  </w:style>
  <w:style w:type="paragraph" w:styleId="865">
    <w:name w:val="Body Text"/>
    <w:basedOn w:val="849"/>
    <w:uiPriority w:val="0"/>
    <w:qFormat/>
    <w:pPr>
      <w:tabs>
        <w:tab w:val="left" w:pos="5250" w:leader="none"/>
      </w:tabs>
    </w:pPr>
    <w:rPr>
      <w:sz w:val="28"/>
    </w:rPr>
  </w:style>
  <w:style w:type="paragraph" w:styleId="866">
    <w:name w:val="Body Text Indent"/>
    <w:basedOn w:val="849"/>
    <w:next w:val="867"/>
    <w:uiPriority w:val="0"/>
    <w:qFormat/>
    <w:pPr>
      <w:ind w:left="420"/>
      <w:spacing w:after="120"/>
    </w:pPr>
  </w:style>
  <w:style w:type="paragraph" w:styleId="867">
    <w:name w:val="envelope return"/>
    <w:basedOn w:val="849"/>
    <w:uiPriority w:val="0"/>
    <w:qFormat/>
    <w:rPr>
      <w:rFonts w:ascii="Arial" w:hAnsi="Arial"/>
    </w:rPr>
  </w:style>
  <w:style w:type="paragraph" w:styleId="868">
    <w:name w:val="toc 5"/>
    <w:basedOn w:val="849"/>
    <w:next w:val="849"/>
    <w:uiPriority w:val="39"/>
    <w:unhideWhenUsed/>
    <w:qFormat/>
    <w:pPr>
      <w:ind w:left="1134"/>
      <w:spacing w:after="57"/>
    </w:pPr>
  </w:style>
  <w:style w:type="paragraph" w:styleId="869">
    <w:name w:val="toc 3"/>
    <w:basedOn w:val="849"/>
    <w:next w:val="849"/>
    <w:uiPriority w:val="39"/>
    <w:unhideWhenUsed/>
    <w:qFormat/>
    <w:pPr>
      <w:ind w:left="567"/>
      <w:spacing w:after="57"/>
    </w:pPr>
  </w:style>
  <w:style w:type="paragraph" w:styleId="870">
    <w:name w:val="Plain Text"/>
    <w:basedOn w:val="849"/>
    <w:link w:val="1210"/>
    <w:uiPriority w:val="0"/>
    <w:qFormat/>
    <w:pPr>
      <w:ind w:firstLine="420"/>
    </w:pPr>
    <w:rPr>
      <w:rFonts w:ascii="宋体" w:hAnsi="Courier New" w:eastAsia="楷体_GB2312" w:cs="宋体"/>
      <w:sz w:val="28"/>
      <w:szCs w:val="20"/>
    </w:rPr>
  </w:style>
  <w:style w:type="paragraph" w:styleId="871">
    <w:name w:val="toc 8"/>
    <w:basedOn w:val="849"/>
    <w:next w:val="849"/>
    <w:uiPriority w:val="39"/>
    <w:unhideWhenUsed/>
    <w:qFormat/>
    <w:pPr>
      <w:ind w:left="1984"/>
      <w:spacing w:after="57"/>
    </w:pPr>
  </w:style>
  <w:style w:type="paragraph" w:styleId="872">
    <w:name w:val="Date"/>
    <w:basedOn w:val="849"/>
    <w:next w:val="849"/>
    <w:uiPriority w:val="0"/>
    <w:qFormat/>
    <w:rPr>
      <w:rFonts w:hint="eastAsia" w:ascii="宋体" w:hAnsi="宋体" w:eastAsia="楷体_GB2312"/>
      <w:sz w:val="24"/>
      <w:szCs w:val="20"/>
    </w:rPr>
  </w:style>
  <w:style w:type="paragraph" w:styleId="873">
    <w:name w:val="endnote text"/>
    <w:basedOn w:val="849"/>
    <w:uiPriority w:val="99"/>
    <w:semiHidden/>
    <w:unhideWhenUsed/>
    <w:qFormat/>
    <w:pPr>
      <w:spacing w:line="240" w:lineRule="auto"/>
    </w:pPr>
    <w:rPr>
      <w:sz w:val="20"/>
    </w:rPr>
  </w:style>
  <w:style w:type="paragraph" w:styleId="874">
    <w:name w:val="Balloon Text"/>
    <w:basedOn w:val="849"/>
    <w:uiPriority w:val="99"/>
    <w:unhideWhenUsed/>
    <w:qFormat/>
    <w:rPr>
      <w:sz w:val="18"/>
      <w:szCs w:val="18"/>
    </w:rPr>
  </w:style>
  <w:style w:type="paragraph" w:styleId="875">
    <w:name w:val="Footer"/>
    <w:basedOn w:val="849"/>
    <w:uiPriority w:val="99"/>
    <w:unhideWhenUsed/>
    <w:qFormat/>
    <w:pPr>
      <w:spacing w:line="240" w:lineRule="auto"/>
      <w:tabs>
        <w:tab w:val="center" w:pos="7143" w:leader="none"/>
        <w:tab w:val="right" w:pos="14287" w:leader="none"/>
      </w:tabs>
    </w:pPr>
  </w:style>
  <w:style w:type="paragraph" w:styleId="876">
    <w:name w:val="Header"/>
    <w:basedOn w:val="849"/>
    <w:uiPriority w:val="99"/>
    <w:unhideWhenUsed/>
    <w:qFormat/>
    <w:pPr>
      <w:spacing w:line="240" w:lineRule="auto"/>
      <w:tabs>
        <w:tab w:val="center" w:pos="7143" w:leader="none"/>
        <w:tab w:val="right" w:pos="14287" w:leader="none"/>
      </w:tabs>
    </w:pPr>
  </w:style>
  <w:style w:type="paragraph" w:styleId="877">
    <w:name w:val="toc 1"/>
    <w:basedOn w:val="849"/>
    <w:next w:val="849"/>
    <w:uiPriority w:val="39"/>
    <w:unhideWhenUsed/>
    <w:qFormat/>
    <w:pPr>
      <w:spacing w:after="57"/>
    </w:pPr>
  </w:style>
  <w:style w:type="paragraph" w:styleId="878">
    <w:name w:val="toc 4"/>
    <w:basedOn w:val="849"/>
    <w:next w:val="849"/>
    <w:uiPriority w:val="39"/>
    <w:unhideWhenUsed/>
    <w:qFormat/>
    <w:pPr>
      <w:ind w:left="850"/>
      <w:spacing w:after="57"/>
    </w:pPr>
  </w:style>
  <w:style w:type="paragraph" w:styleId="879">
    <w:name w:val="Subtitle"/>
    <w:basedOn w:val="849"/>
    <w:next w:val="849"/>
    <w:uiPriority w:val="11"/>
    <w:qFormat/>
    <w:pPr>
      <w:spacing w:before="200" w:after="200"/>
    </w:pPr>
    <w:rPr>
      <w:sz w:val="24"/>
    </w:rPr>
  </w:style>
  <w:style w:type="paragraph" w:styleId="880">
    <w:name w:val="List"/>
    <w:basedOn w:val="849"/>
    <w:next w:val="849"/>
    <w:uiPriority w:val="0"/>
    <w:qFormat/>
    <w:pPr>
      <w:ind w:left="420" w:hanging="420"/>
    </w:pPr>
    <w:rPr>
      <w:rFonts w:ascii="Arial" w:hAnsi="Arial" w:eastAsia="楷体_GB2312"/>
      <w:sz w:val="28"/>
    </w:rPr>
  </w:style>
  <w:style w:type="paragraph" w:styleId="881">
    <w:name w:val="footnote text"/>
    <w:basedOn w:val="849"/>
    <w:uiPriority w:val="99"/>
    <w:semiHidden/>
    <w:unhideWhenUsed/>
    <w:qFormat/>
    <w:pPr>
      <w:spacing w:after="40" w:line="240" w:lineRule="auto"/>
    </w:pPr>
    <w:rPr>
      <w:sz w:val="18"/>
    </w:rPr>
  </w:style>
  <w:style w:type="paragraph" w:styleId="882">
    <w:name w:val="toc 6"/>
    <w:basedOn w:val="849"/>
    <w:next w:val="849"/>
    <w:uiPriority w:val="39"/>
    <w:unhideWhenUsed/>
    <w:qFormat/>
    <w:pPr>
      <w:ind w:left="1417"/>
      <w:spacing w:after="57"/>
    </w:pPr>
  </w:style>
  <w:style w:type="paragraph" w:styleId="883">
    <w:name w:val="table of figures"/>
    <w:basedOn w:val="849"/>
    <w:next w:val="849"/>
    <w:uiPriority w:val="99"/>
    <w:unhideWhenUsed/>
    <w:qFormat/>
  </w:style>
  <w:style w:type="paragraph" w:styleId="884">
    <w:name w:val="toc 2"/>
    <w:basedOn w:val="849"/>
    <w:next w:val="849"/>
    <w:uiPriority w:val="39"/>
    <w:unhideWhenUsed/>
    <w:qFormat/>
    <w:pPr>
      <w:ind w:left="283"/>
      <w:spacing w:after="57"/>
    </w:pPr>
  </w:style>
  <w:style w:type="paragraph" w:styleId="885">
    <w:name w:val="toc 9"/>
    <w:basedOn w:val="849"/>
    <w:next w:val="849"/>
    <w:uiPriority w:val="39"/>
    <w:unhideWhenUsed/>
    <w:qFormat/>
    <w:pPr>
      <w:ind w:left="2268"/>
      <w:spacing w:after="57"/>
    </w:pPr>
  </w:style>
  <w:style w:type="paragraph" w:styleId="886">
    <w:name w:val="Body Text 2"/>
    <w:basedOn w:val="849"/>
    <w:uiPriority w:val="0"/>
    <w:qFormat/>
    <w:rPr>
      <w:color w:val="ff0000"/>
    </w:rPr>
  </w:style>
  <w:style w:type="paragraph" w:styleId="887">
    <w:name w:val="Normal (Web)"/>
    <w:basedOn w:val="849"/>
    <w:uiPriority w:val="0"/>
    <w:qFormat/>
    <w:pPr>
      <w:jc w:val="left"/>
      <w:spacing w:before="100" w:beforeAutospacing="1" w:after="100" w:afterAutospacing="1"/>
      <w:widowControl/>
    </w:pPr>
    <w:rPr>
      <w:rFonts w:ascii="宋体" w:hAnsi="宋体"/>
      <w:sz w:val="24"/>
    </w:rPr>
  </w:style>
  <w:style w:type="paragraph" w:styleId="888">
    <w:name w:val="Title"/>
    <w:basedOn w:val="849"/>
    <w:next w:val="849"/>
    <w:uiPriority w:val="10"/>
    <w:qFormat/>
    <w:pPr>
      <w:contextualSpacing/>
      <w:spacing w:before="300" w:after="200"/>
    </w:pPr>
    <w:rPr>
      <w:sz w:val="48"/>
      <w:szCs w:val="48"/>
    </w:rPr>
  </w:style>
  <w:style w:type="paragraph" w:styleId="889">
    <w:name w:val="Body Text First Indent 2"/>
    <w:basedOn w:val="866"/>
    <w:next w:val="880"/>
    <w:uiPriority w:val="99"/>
    <w:unhideWhenUsed/>
    <w:qFormat/>
    <w:pPr>
      <w:ind w:firstLine="420"/>
    </w:pPr>
  </w:style>
  <w:style w:type="table" w:styleId="89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1">
    <w:name w:val="endnote reference"/>
    <w:uiPriority w:val="99"/>
    <w:semiHidden/>
    <w:unhideWhenUsed/>
    <w:qFormat/>
    <w:rPr>
      <w:vertAlign w:val="superscript"/>
    </w:rPr>
  </w:style>
  <w:style w:type="character" w:styleId="892">
    <w:name w:val="Hyperlink"/>
    <w:uiPriority w:val="99"/>
    <w:unhideWhenUsed/>
    <w:qFormat/>
    <w:rPr>
      <w:color w:val="0000ff" w:themeColor="hyperlink"/>
      <w:u w:val="single"/>
    </w:rPr>
  </w:style>
  <w:style w:type="character" w:styleId="893">
    <w:name w:val="footnote reference"/>
    <w:uiPriority w:val="99"/>
    <w:unhideWhenUsed/>
    <w:qFormat/>
    <w:rPr>
      <w:vertAlign w:val="superscript"/>
    </w:rPr>
  </w:style>
  <w:style w:type="character" w:styleId="894" w:customStyle="1">
    <w:name w:val="Heading 6 Char"/>
    <w:basedOn w:val="859"/>
    <w:uiPriority w:val="9"/>
    <w:qFormat/>
    <w:rPr>
      <w:rFonts w:ascii="Arial" w:hAnsi="Arial" w:eastAsia="Arial" w:cs="Arial"/>
      <w:b/>
      <w:bCs/>
      <w:sz w:val="22"/>
      <w:szCs w:val="22"/>
    </w:rPr>
  </w:style>
  <w:style w:type="character" w:styleId="895" w:customStyle="1">
    <w:name w:val="Heading 7 Char"/>
    <w:basedOn w:val="859"/>
    <w:uiPriority w:val="9"/>
    <w:qFormat/>
    <w:rPr>
      <w:rFonts w:ascii="Arial" w:hAnsi="Arial" w:eastAsia="Arial" w:cs="Arial"/>
      <w:b/>
      <w:bCs/>
      <w:i/>
      <w:iCs/>
      <w:sz w:val="22"/>
      <w:szCs w:val="22"/>
    </w:rPr>
  </w:style>
  <w:style w:type="character" w:styleId="896" w:customStyle="1">
    <w:name w:val="Heading 8 Char"/>
    <w:basedOn w:val="859"/>
    <w:uiPriority w:val="9"/>
    <w:qFormat/>
    <w:rPr>
      <w:rFonts w:ascii="Arial" w:hAnsi="Arial" w:eastAsia="Arial" w:cs="Arial"/>
      <w:i/>
      <w:iCs/>
      <w:sz w:val="22"/>
      <w:szCs w:val="22"/>
    </w:rPr>
  </w:style>
  <w:style w:type="character" w:styleId="897" w:customStyle="1">
    <w:name w:val="Heading 9 Char"/>
    <w:basedOn w:val="859"/>
    <w:uiPriority w:val="9"/>
    <w:qFormat/>
    <w:rPr>
      <w:rFonts w:ascii="Arial" w:hAnsi="Arial" w:eastAsia="Arial" w:cs="Arial"/>
      <w:i/>
      <w:iCs/>
      <w:sz w:val="21"/>
      <w:szCs w:val="21"/>
    </w:rPr>
  </w:style>
  <w:style w:type="character" w:styleId="898" w:customStyle="1">
    <w:name w:val="Quote Char"/>
    <w:uiPriority w:val="29"/>
    <w:qFormat/>
    <w:rPr>
      <w:i/>
    </w:rPr>
  </w:style>
  <w:style w:type="character" w:styleId="899" w:customStyle="1">
    <w:name w:val="Intense Quote Char"/>
    <w:uiPriority w:val="30"/>
    <w:qFormat/>
    <w:rPr>
      <w:i/>
    </w:rPr>
  </w:style>
  <w:style w:type="paragraph" w:styleId="900" w:customStyle="1">
    <w:name w:val="TOC Heading"/>
    <w:uiPriority w:val="39"/>
    <w:unhideWhenUsed/>
    <w:qFormat/>
    <w:rPr>
      <w:rFonts w:hint="default" w:ascii="Times New Roman" w:hAnsi="Times New Roman" w:eastAsia="宋体" w:cs="Times New Roman"/>
    </w:rPr>
  </w:style>
  <w:style w:type="paragraph" w:styleId="901" w:customStyle="1">
    <w:name w:val="段"/>
    <w:next w:val="849"/>
    <w:uiPriority w:val="0"/>
    <w:qFormat/>
    <w:pPr>
      <w:ind w:firstLine="200"/>
      <w:jc w:val="both"/>
    </w:pPr>
    <w:rPr>
      <w:rFonts w:hint="default" w:ascii="宋体" w:hAnsi="Times New Roman" w:eastAsia="宋体" w:cs="Times New Roman"/>
      <w:sz w:val="21"/>
      <w:lang w:val="en-US" w:eastAsia="zh-CN" w:bidi="ar-SA"/>
    </w:rPr>
  </w:style>
  <w:style w:type="paragraph" w:styleId="902" w:customStyle="1">
    <w:name w:val="正文文本缩进1"/>
    <w:basedOn w:val="849"/>
    <w:next w:val="849"/>
    <w:link w:val="917"/>
    <w:uiPriority w:val="99"/>
    <w:qFormat/>
    <w:pPr>
      <w:ind w:left="420"/>
      <w:spacing w:after="120"/>
    </w:pPr>
  </w:style>
  <w:style w:type="paragraph" w:styleId="903" w:customStyle="1">
    <w:name w:val="标题 11"/>
    <w:basedOn w:val="849"/>
    <w:next w:val="849"/>
    <w:link w:val="906"/>
    <w:uiPriority w:val="9"/>
    <w:qFormat/>
    <w:pPr>
      <w:jc w:val="center"/>
      <w:keepLines/>
      <w:keepNext/>
      <w:spacing w:before="160" w:after="160" w:line="480" w:lineRule="auto"/>
      <w:outlineLvl w:val="0"/>
    </w:pPr>
    <w:rPr>
      <w:b/>
      <w:sz w:val="32"/>
    </w:rPr>
  </w:style>
  <w:style w:type="character" w:styleId="904" w:customStyle="1">
    <w:name w:val="默认段落字体1"/>
    <w:uiPriority w:val="1"/>
    <w:unhideWhenUsed/>
    <w:qFormat/>
  </w:style>
  <w:style w:type="table" w:styleId="905" w:customStyle="1">
    <w:name w:val="普通表格1"/>
    <w:uiPriority w:val="99"/>
    <w:unhideWhenUsed/>
    <w:qFormat/>
    <w:tblPr>
      <w:tblCellMar>
        <w:left w:w="0" w:type="dxa"/>
        <w:top w:w="0" w:type="dxa"/>
        <w:right w:w="0" w:type="dxa"/>
        <w:bottom w:w="0" w:type="dxa"/>
      </w:tblCellMar>
    </w:tblPr>
  </w:style>
  <w:style w:type="character" w:styleId="906" w:customStyle="1">
    <w:name w:val="标题 1 Char"/>
    <w:basedOn w:val="859"/>
    <w:link w:val="903"/>
    <w:uiPriority w:val="0"/>
    <w:qFormat/>
    <w:rPr>
      <w:rFonts w:ascii="Times New Roman" w:hAnsi="Times New Roman" w:eastAsia="宋体"/>
      <w:b/>
      <w:sz w:val="32"/>
    </w:rPr>
  </w:style>
  <w:style w:type="paragraph" w:styleId="907" w:customStyle="1">
    <w:name w:val="目录 71"/>
    <w:basedOn w:val="849"/>
    <w:next w:val="849"/>
    <w:uiPriority w:val="39"/>
    <w:unhideWhenUsed/>
    <w:qFormat/>
    <w:pPr>
      <w:ind w:left="1701"/>
      <w:spacing w:after="57"/>
    </w:pPr>
  </w:style>
  <w:style w:type="paragraph" w:styleId="908" w:customStyle="1">
    <w:name w:val="正文缩进11"/>
    <w:basedOn w:val="849"/>
    <w:link w:val="909"/>
    <w:uiPriority w:val="0"/>
    <w:qFormat/>
    <w:pPr>
      <w:ind w:firstLine="420"/>
      <w:jc w:val="left"/>
      <w:widowControl/>
    </w:pPr>
    <w:rPr>
      <w:rFonts w:eastAsia="楷体_GB2312"/>
      <w:sz w:val="24"/>
      <w:szCs w:val="20"/>
    </w:rPr>
  </w:style>
  <w:style w:type="character" w:styleId="909" w:customStyle="1">
    <w:name w:val="正文缩进 字符1"/>
    <w:link w:val="908"/>
    <w:uiPriority w:val="0"/>
    <w:qFormat/>
    <w:rPr>
      <w:rFonts w:eastAsia="楷体_GB2312"/>
      <w:sz w:val="24"/>
      <w:lang w:val="en-US" w:eastAsia="zh-CN" w:bidi="ar-SA"/>
    </w:rPr>
  </w:style>
  <w:style w:type="paragraph" w:styleId="910" w:customStyle="1">
    <w:name w:val="列表项目符号1"/>
    <w:basedOn w:val="849"/>
    <w:uiPriority w:val="0"/>
    <w:qFormat/>
    <w:pPr>
      <w:numPr>
        <w:ilvl w:val="0"/>
        <w:numId w:val="1"/>
      </w:numPr>
      <w:tabs>
        <w:tab w:val="left" w:pos="1155" w:leader="none"/>
      </w:tabs>
    </w:pPr>
    <w:rPr>
      <w:rFonts w:eastAsia="仿宋_GB2312"/>
      <w:sz w:val="30"/>
      <w:szCs w:val="20"/>
    </w:rPr>
  </w:style>
  <w:style w:type="paragraph" w:styleId="911" w:customStyle="1">
    <w:name w:val="文档结构图1"/>
    <w:basedOn w:val="849"/>
    <w:uiPriority w:val="0"/>
    <w:semiHidden/>
    <w:qFormat/>
    <w:pPr>
      <w:shd w:val="clear" w:color="auto" w:fill="000080"/>
    </w:pPr>
  </w:style>
  <w:style w:type="paragraph" w:styleId="912" w:customStyle="1">
    <w:name w:val="批注文字1"/>
    <w:basedOn w:val="849"/>
    <w:link w:val="913"/>
    <w:uiPriority w:val="0"/>
    <w:qFormat/>
    <w:pPr>
      <w:jc w:val="left"/>
    </w:pPr>
  </w:style>
  <w:style w:type="character" w:styleId="913" w:customStyle="1">
    <w:name w:val="批注文字 字符"/>
    <w:link w:val="912"/>
    <w:uiPriority w:val="0"/>
    <w:qFormat/>
    <w:rPr>
      <w:sz w:val="21"/>
      <w:szCs w:val="24"/>
    </w:rPr>
  </w:style>
  <w:style w:type="paragraph" w:styleId="914" w:customStyle="1">
    <w:name w:val="正文文本11"/>
    <w:basedOn w:val="849"/>
    <w:next w:val="849"/>
    <w:link w:val="915"/>
    <w:uiPriority w:val="0"/>
    <w:qFormat/>
    <w:pPr>
      <w:spacing w:after="120"/>
    </w:pPr>
  </w:style>
  <w:style w:type="character" w:styleId="915" w:customStyle="1">
    <w:name w:val="正文文本 字符"/>
    <w:link w:val="914"/>
    <w:uiPriority w:val="0"/>
    <w:qFormat/>
    <w:rPr>
      <w:rFonts w:eastAsia="宋体"/>
      <w:sz w:val="21"/>
      <w:szCs w:val="24"/>
      <w:lang w:val="en-US" w:eastAsia="zh-CN" w:bidi="ar-SA"/>
    </w:rPr>
  </w:style>
  <w:style w:type="paragraph" w:styleId="916" w:customStyle="1">
    <w:name w:val="寄信人地址1"/>
    <w:basedOn w:val="849"/>
    <w:uiPriority w:val="0"/>
    <w:qFormat/>
    <w:rPr>
      <w:rFonts w:ascii="Arial" w:hAnsi="Arial"/>
    </w:rPr>
  </w:style>
  <w:style w:type="character" w:styleId="917" w:customStyle="1">
    <w:name w:val="正文文本缩进 字符"/>
    <w:link w:val="902"/>
    <w:uiPriority w:val="99"/>
    <w:qFormat/>
    <w:rPr>
      <w:sz w:val="21"/>
      <w:szCs w:val="24"/>
    </w:rPr>
  </w:style>
  <w:style w:type="paragraph" w:styleId="918" w:customStyle="1">
    <w:name w:val="文本块1"/>
    <w:basedOn w:val="849"/>
    <w:uiPriority w:val="0"/>
    <w:qFormat/>
    <w:pPr>
      <w:ind w:left="630" w:right="-609" w:firstLine="420"/>
    </w:pPr>
    <w:rPr>
      <w:rFonts w:hint="eastAsia" w:ascii="仿宋_GB2312" w:eastAsia="仿宋_GB2312"/>
      <w:szCs w:val="20"/>
    </w:rPr>
  </w:style>
  <w:style w:type="paragraph" w:styleId="919" w:customStyle="1">
    <w:name w:val="目录 51"/>
    <w:basedOn w:val="849"/>
    <w:next w:val="849"/>
    <w:uiPriority w:val="39"/>
    <w:unhideWhenUsed/>
    <w:qFormat/>
    <w:pPr>
      <w:ind w:left="1134"/>
      <w:spacing w:after="57"/>
    </w:pPr>
  </w:style>
  <w:style w:type="paragraph" w:styleId="920" w:customStyle="1">
    <w:name w:val="目录 31"/>
    <w:basedOn w:val="849"/>
    <w:next w:val="849"/>
    <w:uiPriority w:val="0"/>
    <w:qFormat/>
    <w:pPr>
      <w:ind w:left="840" w:firstLine="200"/>
      <w:jc w:val="left"/>
    </w:pPr>
    <w:rPr>
      <w:sz w:val="24"/>
      <w:szCs w:val="22"/>
    </w:rPr>
  </w:style>
  <w:style w:type="paragraph" w:styleId="921" w:customStyle="1">
    <w:name w:val="纯文本11"/>
    <w:basedOn w:val="849"/>
    <w:link w:val="922"/>
    <w:uiPriority w:val="0"/>
    <w:qFormat/>
    <w:pPr>
      <w:jc w:val="left"/>
      <w:widowControl/>
    </w:pPr>
    <w:rPr>
      <w:rFonts w:ascii="宋体" w:hAnsi="Courier New" w:eastAsia="楷体_GB2312"/>
      <w:sz w:val="26"/>
    </w:rPr>
  </w:style>
  <w:style w:type="character" w:styleId="922" w:customStyle="1">
    <w:name w:val="纯文本 字符"/>
    <w:link w:val="921"/>
    <w:uiPriority w:val="0"/>
    <w:qFormat/>
    <w:rPr>
      <w:rFonts w:ascii="宋体" w:hAnsi="Courier New" w:eastAsia="楷体_GB2312"/>
      <w:sz w:val="26"/>
      <w:szCs w:val="24"/>
    </w:rPr>
  </w:style>
  <w:style w:type="paragraph" w:styleId="923" w:customStyle="1">
    <w:name w:val="目录 81"/>
    <w:basedOn w:val="849"/>
    <w:next w:val="849"/>
    <w:uiPriority w:val="39"/>
    <w:unhideWhenUsed/>
    <w:qFormat/>
    <w:pPr>
      <w:ind w:left="1984"/>
      <w:spacing w:after="57"/>
    </w:pPr>
  </w:style>
  <w:style w:type="paragraph" w:styleId="924" w:customStyle="1">
    <w:name w:val="日期1"/>
    <w:basedOn w:val="849"/>
    <w:next w:val="849"/>
    <w:link w:val="925"/>
    <w:uiPriority w:val="0"/>
    <w:qFormat/>
  </w:style>
  <w:style w:type="character" w:styleId="925" w:customStyle="1">
    <w:name w:val="日期 字符"/>
    <w:link w:val="924"/>
    <w:uiPriority w:val="0"/>
    <w:qFormat/>
    <w:rPr>
      <w:rFonts w:eastAsia="宋体"/>
      <w:sz w:val="21"/>
      <w:szCs w:val="24"/>
      <w:lang w:val="en-US" w:eastAsia="zh-CN" w:bidi="ar-SA"/>
    </w:rPr>
  </w:style>
  <w:style w:type="paragraph" w:styleId="926" w:customStyle="1">
    <w:name w:val="正文文本缩进 21"/>
    <w:basedOn w:val="849"/>
    <w:link w:val="927"/>
    <w:uiPriority w:val="0"/>
    <w:qFormat/>
    <w:pPr>
      <w:ind w:left="420"/>
      <w:spacing w:after="120" w:line="480" w:lineRule="auto"/>
    </w:pPr>
  </w:style>
  <w:style w:type="character" w:styleId="927" w:customStyle="1">
    <w:name w:val="正文文本缩进 2 Char"/>
    <w:link w:val="926"/>
    <w:uiPriority w:val="0"/>
    <w:qFormat/>
  </w:style>
  <w:style w:type="paragraph" w:styleId="928" w:customStyle="1">
    <w:name w:val="尾注文本1"/>
    <w:basedOn w:val="849"/>
    <w:link w:val="929"/>
    <w:uiPriority w:val="99"/>
    <w:unhideWhenUsed/>
    <w:qFormat/>
    <w:pPr>
      <w:spacing w:line="240" w:lineRule="auto"/>
    </w:pPr>
    <w:rPr>
      <w:sz w:val="20"/>
    </w:rPr>
  </w:style>
  <w:style w:type="character" w:styleId="929" w:customStyle="1">
    <w:name w:val="Endnote Text Char"/>
    <w:link w:val="928"/>
    <w:uiPriority w:val="99"/>
    <w:qFormat/>
    <w:rPr>
      <w:sz w:val="20"/>
    </w:rPr>
  </w:style>
  <w:style w:type="paragraph" w:styleId="930" w:customStyle="1">
    <w:name w:val="批注框文本1"/>
    <w:basedOn w:val="849"/>
    <w:link w:val="931"/>
    <w:uiPriority w:val="0"/>
    <w:semiHidden/>
    <w:qFormat/>
    <w:rPr>
      <w:sz w:val="18"/>
      <w:szCs w:val="18"/>
    </w:rPr>
  </w:style>
  <w:style w:type="character" w:styleId="931" w:customStyle="1">
    <w:name w:val="批注框文本 字符"/>
    <w:link w:val="930"/>
    <w:uiPriority w:val="0"/>
    <w:semiHidden/>
    <w:qFormat/>
    <w:rPr>
      <w:rFonts w:eastAsia="宋体"/>
      <w:sz w:val="18"/>
      <w:szCs w:val="18"/>
      <w:lang w:val="en-US" w:eastAsia="zh-CN" w:bidi="ar-SA"/>
    </w:rPr>
  </w:style>
  <w:style w:type="paragraph" w:styleId="932" w:customStyle="1">
    <w:name w:val="页脚1"/>
    <w:basedOn w:val="849"/>
    <w:uiPriority w:val="99"/>
    <w:unhideWhenUsed/>
    <w:qFormat/>
    <w:pPr>
      <w:jc w:val="left"/>
      <w:tabs>
        <w:tab w:val="center" w:pos="4153" w:leader="none"/>
        <w:tab w:val="right" w:pos="8306" w:leader="none"/>
      </w:tabs>
    </w:pPr>
    <w:rPr>
      <w:sz w:val="18"/>
    </w:rPr>
  </w:style>
  <w:style w:type="paragraph" w:styleId="933" w:customStyle="1">
    <w:name w:val="目录 11"/>
    <w:basedOn w:val="849"/>
    <w:next w:val="849"/>
    <w:uiPriority w:val="0"/>
    <w:semiHidden/>
    <w:qFormat/>
    <w:pPr>
      <w:jc w:val="left"/>
    </w:pPr>
    <w:rPr>
      <w:sz w:val="28"/>
      <w:szCs w:val="20"/>
    </w:rPr>
  </w:style>
  <w:style w:type="paragraph" w:styleId="934" w:customStyle="1">
    <w:name w:val="目录 41"/>
    <w:basedOn w:val="849"/>
    <w:next w:val="849"/>
    <w:uiPriority w:val="39"/>
    <w:unhideWhenUsed/>
    <w:qFormat/>
    <w:pPr>
      <w:ind w:left="850"/>
      <w:spacing w:after="57"/>
    </w:pPr>
  </w:style>
  <w:style w:type="paragraph" w:styleId="935" w:customStyle="1">
    <w:name w:val="副标题1"/>
    <w:basedOn w:val="849"/>
    <w:next w:val="849"/>
    <w:link w:val="936"/>
    <w:uiPriority w:val="0"/>
    <w:qFormat/>
    <w:pPr>
      <w:jc w:val="center"/>
      <w:spacing w:before="240" w:after="60" w:line="312" w:lineRule="auto"/>
      <w:outlineLvl w:val="1"/>
    </w:pPr>
    <w:rPr>
      <w:rFonts w:ascii="宋体" w:hAnsi="Courier New" w:eastAsia="楷体_GB2312"/>
      <w:sz w:val="26"/>
    </w:rPr>
  </w:style>
  <w:style w:type="character" w:styleId="936" w:customStyle="1">
    <w:name w:val="副标题 字符"/>
    <w:link w:val="935"/>
    <w:uiPriority w:val="0"/>
    <w:qFormat/>
    <w:rPr>
      <w:rFonts w:ascii="宋体" w:hAnsi="Courier New" w:eastAsia="楷体_GB2312"/>
      <w:sz w:val="26"/>
      <w:szCs w:val="24"/>
    </w:rPr>
  </w:style>
  <w:style w:type="paragraph" w:styleId="937" w:customStyle="1">
    <w:name w:val="列表1"/>
    <w:basedOn w:val="849"/>
    <w:next w:val="849"/>
    <w:uiPriority w:val="0"/>
    <w:qFormat/>
    <w:pPr>
      <w:ind w:left="420" w:hanging="420"/>
    </w:pPr>
    <w:rPr>
      <w:rFonts w:ascii="Arial" w:hAnsi="Arial" w:eastAsia="楷体_GB2312"/>
      <w:sz w:val="28"/>
    </w:rPr>
  </w:style>
  <w:style w:type="paragraph" w:styleId="938" w:customStyle="1">
    <w:name w:val="脚注文本1"/>
    <w:basedOn w:val="849"/>
    <w:link w:val="939"/>
    <w:uiPriority w:val="99"/>
    <w:unhideWhenUsed/>
    <w:qFormat/>
    <w:pPr>
      <w:spacing w:after="40" w:line="240" w:lineRule="auto"/>
    </w:pPr>
    <w:rPr>
      <w:sz w:val="18"/>
    </w:rPr>
  </w:style>
  <w:style w:type="character" w:styleId="939" w:customStyle="1">
    <w:name w:val="Footnote Text Char"/>
    <w:link w:val="938"/>
    <w:uiPriority w:val="99"/>
    <w:qFormat/>
    <w:rPr>
      <w:sz w:val="18"/>
    </w:rPr>
  </w:style>
  <w:style w:type="paragraph" w:styleId="940" w:customStyle="1">
    <w:name w:val="目录 61"/>
    <w:basedOn w:val="849"/>
    <w:next w:val="849"/>
    <w:uiPriority w:val="39"/>
    <w:unhideWhenUsed/>
    <w:qFormat/>
    <w:pPr>
      <w:ind w:left="1417"/>
      <w:spacing w:after="57"/>
    </w:pPr>
  </w:style>
  <w:style w:type="paragraph" w:styleId="941" w:customStyle="1">
    <w:name w:val="正文文本缩进 31"/>
    <w:basedOn w:val="849"/>
    <w:uiPriority w:val="0"/>
    <w:qFormat/>
    <w:pPr>
      <w:ind w:firstLine="480"/>
      <w:jc w:val="left"/>
      <w:spacing w:line="440" w:lineRule="atLeast"/>
    </w:pPr>
    <w:rPr>
      <w:sz w:val="24"/>
    </w:rPr>
  </w:style>
  <w:style w:type="paragraph" w:styleId="942" w:customStyle="1">
    <w:name w:val="图表目录1"/>
    <w:basedOn w:val="849"/>
    <w:next w:val="849"/>
    <w:uiPriority w:val="99"/>
    <w:unhideWhenUsed/>
    <w:qFormat/>
  </w:style>
  <w:style w:type="paragraph" w:styleId="943" w:customStyle="1">
    <w:name w:val="目录 21"/>
    <w:basedOn w:val="849"/>
    <w:next w:val="849"/>
    <w:uiPriority w:val="0"/>
    <w:qFormat/>
    <w:pPr>
      <w:ind w:left="420" w:firstLine="200"/>
      <w:jc w:val="left"/>
    </w:pPr>
    <w:rPr>
      <w:sz w:val="24"/>
      <w:szCs w:val="22"/>
    </w:rPr>
  </w:style>
  <w:style w:type="paragraph" w:styleId="944" w:customStyle="1">
    <w:name w:val="目录 91"/>
    <w:basedOn w:val="849"/>
    <w:next w:val="849"/>
    <w:uiPriority w:val="39"/>
    <w:unhideWhenUsed/>
    <w:qFormat/>
    <w:pPr>
      <w:ind w:left="2268"/>
      <w:spacing w:after="57"/>
    </w:pPr>
  </w:style>
  <w:style w:type="paragraph" w:styleId="945" w:customStyle="1">
    <w:name w:val="正文文本 21"/>
    <w:basedOn w:val="849"/>
    <w:uiPriority w:val="0"/>
    <w:qFormat/>
    <w:pPr>
      <w:spacing w:after="120" w:line="480" w:lineRule="auto"/>
    </w:pPr>
  </w:style>
  <w:style w:type="paragraph" w:styleId="946" w:customStyle="1">
    <w:name w:val="普通(网站)11"/>
    <w:basedOn w:val="849"/>
    <w:uiPriority w:val="0"/>
    <w:qFormat/>
    <w:pPr>
      <w:jc w:val="left"/>
      <w:spacing w:before="100" w:beforeAutospacing="1" w:after="100" w:afterAutospacing="1"/>
      <w:widowControl/>
    </w:pPr>
    <w:rPr>
      <w:rFonts w:ascii="宋体" w:hAnsi="宋体" w:cs="宋体"/>
      <w:sz w:val="24"/>
    </w:rPr>
  </w:style>
  <w:style w:type="paragraph" w:styleId="947" w:customStyle="1">
    <w:name w:val="索引 11"/>
    <w:basedOn w:val="849"/>
    <w:next w:val="849"/>
    <w:uiPriority w:val="0"/>
    <w:semiHidden/>
    <w:qFormat/>
  </w:style>
  <w:style w:type="paragraph" w:styleId="948" w:customStyle="1">
    <w:name w:val="标题1"/>
    <w:basedOn w:val="849"/>
    <w:link w:val="949"/>
    <w:uiPriority w:val="0"/>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character" w:styleId="949" w:customStyle="1">
    <w:name w:val="标题 字符"/>
    <w:link w:val="948"/>
    <w:uiPriority w:val="0"/>
    <w:qFormat/>
    <w:rPr>
      <w:rFonts w:ascii="Arial" w:hAnsi="Arial"/>
      <w:b/>
      <w:bCs/>
      <w:sz w:val="32"/>
      <w:szCs w:val="32"/>
    </w:rPr>
  </w:style>
  <w:style w:type="paragraph" w:styleId="950" w:customStyle="1">
    <w:name w:val="批注主题1"/>
    <w:basedOn w:val="912"/>
    <w:next w:val="912"/>
    <w:link w:val="951"/>
    <w:uiPriority w:val="0"/>
    <w:qFormat/>
    <w:rPr>
      <w:b/>
      <w:bCs/>
    </w:rPr>
  </w:style>
  <w:style w:type="character" w:styleId="951" w:customStyle="1">
    <w:name w:val="批注主题 字符"/>
    <w:link w:val="950"/>
    <w:uiPriority w:val="0"/>
    <w:qFormat/>
    <w:rPr>
      <w:b/>
      <w:bCs/>
      <w:sz w:val="21"/>
      <w:szCs w:val="24"/>
    </w:rPr>
  </w:style>
  <w:style w:type="paragraph" w:styleId="952" w:customStyle="1">
    <w:name w:val="正文首行缩进1"/>
    <w:uiPriority w:val="0"/>
    <w:qFormat/>
    <w:pPr>
      <w:ind w:firstLine="420"/>
      <w:jc w:val="both"/>
      <w:spacing w:after="120"/>
      <w:widowControl w:val="off"/>
    </w:pPr>
    <w:rPr>
      <w:rFonts w:hint="default" w:ascii="Calibri" w:hAnsi="Calibri" w:eastAsia="宋体" w:cs="Times New Roman"/>
      <w:sz w:val="21"/>
      <w:szCs w:val="24"/>
      <w:lang w:val="en-US" w:eastAsia="zh-CN" w:bidi="ar-SA"/>
    </w:rPr>
  </w:style>
  <w:style w:type="paragraph" w:styleId="953" w:customStyle="1">
    <w:name w:val="正文首行缩进 21"/>
    <w:basedOn w:val="902"/>
    <w:next w:val="954"/>
    <w:uiPriority w:val="0"/>
    <w:qFormat/>
    <w:pPr>
      <w:ind w:firstLine="420"/>
    </w:pPr>
    <w:rPr>
      <w:rFonts w:ascii="宋体" w:hAnsi="Courier New"/>
    </w:rPr>
  </w:style>
  <w:style w:type="paragraph" w:styleId="954" w:customStyle="1">
    <w:name w:val="Body"/>
    <w:next w:val="955"/>
    <w:uiPriority w:val="0"/>
    <w:qFormat/>
    <w:pPr>
      <w:ind w:left="567" w:right="2835" w:firstLine="3584"/>
      <w:spacing w:after="60"/>
    </w:pPr>
    <w:rPr>
      <w:rFonts w:hint="default" w:ascii="Calibri" w:hAnsi="Calibri" w:eastAsia="宋体" w:cs="宋体"/>
      <w:lang w:val="en-US" w:eastAsia="zh-CN" w:bidi="ar-SA"/>
    </w:rPr>
  </w:style>
  <w:style w:type="paragraph" w:styleId="955" w:customStyle="1">
    <w:name w:val="索引 91"/>
    <w:basedOn w:val="850"/>
    <w:next w:val="849"/>
    <w:uiPriority w:val="0"/>
    <w:qFormat/>
    <w:pPr>
      <w:ind w:left="1600" w:firstLine="2560"/>
      <w:spacing w:before="0" w:after="0" w:line="360" w:lineRule="auto"/>
    </w:pPr>
  </w:style>
  <w:style w:type="table" w:styleId="956" w:customStyle="1">
    <w:name w:val="网格型1"/>
    <w:basedOn w:val="905"/>
    <w:uiPriority w:val="0"/>
    <w:qFormat/>
    <w:tblPr>
      <w:tblCellMar>
        <w:left w:w="0" w:type="dxa"/>
        <w:top w:w="0" w:type="dxa"/>
        <w:right w:w="0" w:type="dxa"/>
        <w:bottom w:w="0" w:type="dxa"/>
      </w:tblCellMar>
    </w:tblPr>
  </w:style>
  <w:style w:type="character" w:styleId="957" w:customStyle="1">
    <w:name w:val="要点1"/>
    <w:basedOn w:val="904"/>
    <w:uiPriority w:val="0"/>
    <w:qFormat/>
    <w:rPr>
      <w:b/>
      <w:bCs/>
    </w:rPr>
  </w:style>
  <w:style w:type="character" w:styleId="958" w:customStyle="1">
    <w:name w:val="尾注引用1"/>
    <w:basedOn w:val="904"/>
    <w:uiPriority w:val="99"/>
    <w:unhideWhenUsed/>
    <w:qFormat/>
    <w:rPr>
      <w:vertAlign w:val="superscript"/>
    </w:rPr>
  </w:style>
  <w:style w:type="character" w:styleId="959" w:customStyle="1">
    <w:name w:val="页码1"/>
    <w:basedOn w:val="904"/>
    <w:uiPriority w:val="0"/>
    <w:qFormat/>
  </w:style>
  <w:style w:type="character" w:styleId="960" w:customStyle="1">
    <w:name w:val="已访问的超链接1"/>
    <w:uiPriority w:val="0"/>
    <w:qFormat/>
    <w:rPr>
      <w:color w:val="800080"/>
      <w:szCs w:val="24"/>
      <w:u w:val="none"/>
    </w:rPr>
  </w:style>
  <w:style w:type="character" w:styleId="961" w:customStyle="1">
    <w:name w:val="强调1"/>
    <w:uiPriority w:val="0"/>
    <w:qFormat/>
    <w:rPr>
      <w:i/>
      <w:iCs/>
    </w:rPr>
  </w:style>
  <w:style w:type="character" w:styleId="962" w:customStyle="1">
    <w:name w:val="超链接1"/>
    <w:uiPriority w:val="0"/>
    <w:qFormat/>
    <w:rPr>
      <w:color w:val="000000"/>
      <w:szCs w:val="24"/>
      <w:u w:val="none"/>
    </w:rPr>
  </w:style>
  <w:style w:type="character" w:styleId="963" w:customStyle="1">
    <w:name w:val="批注引用11"/>
    <w:uiPriority w:val="0"/>
    <w:qFormat/>
    <w:rPr>
      <w:sz w:val="21"/>
      <w:szCs w:val="21"/>
    </w:rPr>
  </w:style>
  <w:style w:type="character" w:styleId="964" w:customStyle="1">
    <w:name w:val="脚注引用1"/>
    <w:basedOn w:val="904"/>
    <w:uiPriority w:val="99"/>
    <w:unhideWhenUsed/>
    <w:qFormat/>
    <w:rPr>
      <w:vertAlign w:val="superscript"/>
    </w:rPr>
  </w:style>
  <w:style w:type="character" w:styleId="965" w:customStyle="1">
    <w:name w:val="Heading 1 Char"/>
    <w:basedOn w:val="904"/>
    <w:uiPriority w:val="9"/>
    <w:qFormat/>
    <w:rPr>
      <w:rFonts w:ascii="Arial" w:hAnsi="Arial" w:eastAsia="Arial" w:cs="Arial"/>
      <w:sz w:val="40"/>
      <w:szCs w:val="40"/>
    </w:rPr>
  </w:style>
  <w:style w:type="character" w:styleId="966" w:customStyle="1">
    <w:name w:val="Heading 2 Char"/>
    <w:basedOn w:val="904"/>
    <w:uiPriority w:val="9"/>
    <w:qFormat/>
    <w:rPr>
      <w:rFonts w:ascii="Arial" w:hAnsi="Arial" w:eastAsia="Arial" w:cs="Arial"/>
      <w:sz w:val="34"/>
    </w:rPr>
  </w:style>
  <w:style w:type="character" w:styleId="967" w:customStyle="1">
    <w:name w:val="标题 6 Char"/>
    <w:basedOn w:val="904"/>
    <w:link w:val="855"/>
    <w:uiPriority w:val="9"/>
    <w:qFormat/>
    <w:rPr>
      <w:rFonts w:ascii="Arial" w:hAnsi="Arial" w:eastAsia="Arial" w:cs="Arial"/>
      <w:b/>
      <w:bCs/>
      <w:sz w:val="22"/>
      <w:szCs w:val="22"/>
    </w:rPr>
  </w:style>
  <w:style w:type="character" w:styleId="968" w:customStyle="1">
    <w:name w:val="标题 7 Char"/>
    <w:basedOn w:val="904"/>
    <w:link w:val="856"/>
    <w:uiPriority w:val="9"/>
    <w:qFormat/>
    <w:rPr>
      <w:rFonts w:ascii="Arial" w:hAnsi="Arial" w:eastAsia="Arial" w:cs="Arial"/>
      <w:b/>
      <w:bCs/>
      <w:i/>
      <w:iCs/>
      <w:sz w:val="22"/>
      <w:szCs w:val="22"/>
    </w:rPr>
  </w:style>
  <w:style w:type="character" w:styleId="969" w:customStyle="1">
    <w:name w:val="标题 8 Char"/>
    <w:basedOn w:val="904"/>
    <w:link w:val="857"/>
    <w:uiPriority w:val="9"/>
    <w:qFormat/>
    <w:rPr>
      <w:rFonts w:ascii="Arial" w:hAnsi="Arial" w:eastAsia="Arial" w:cs="Arial"/>
      <w:i/>
      <w:iCs/>
      <w:sz w:val="22"/>
      <w:szCs w:val="22"/>
    </w:rPr>
  </w:style>
  <w:style w:type="character" w:styleId="970" w:customStyle="1">
    <w:name w:val="标题 9 Char"/>
    <w:basedOn w:val="904"/>
    <w:link w:val="858"/>
    <w:uiPriority w:val="9"/>
    <w:qFormat/>
    <w:rPr>
      <w:rFonts w:ascii="Arial" w:hAnsi="Arial" w:eastAsia="Arial" w:cs="Arial"/>
      <w:i/>
      <w:iCs/>
      <w:sz w:val="21"/>
      <w:szCs w:val="21"/>
    </w:rPr>
  </w:style>
  <w:style w:type="character" w:styleId="971" w:customStyle="1">
    <w:name w:val="Title Char"/>
    <w:basedOn w:val="904"/>
    <w:uiPriority w:val="10"/>
    <w:qFormat/>
    <w:rPr>
      <w:sz w:val="48"/>
      <w:szCs w:val="48"/>
    </w:rPr>
  </w:style>
  <w:style w:type="character" w:styleId="972" w:customStyle="1">
    <w:name w:val="Subtitle Char"/>
    <w:basedOn w:val="904"/>
    <w:uiPriority w:val="11"/>
    <w:qFormat/>
    <w:rPr>
      <w:sz w:val="24"/>
      <w:szCs w:val="24"/>
    </w:rPr>
  </w:style>
  <w:style w:type="paragraph" w:styleId="973">
    <w:name w:val="Quote"/>
    <w:basedOn w:val="849"/>
    <w:next w:val="849"/>
    <w:link w:val="974"/>
    <w:uiPriority w:val="29"/>
    <w:qFormat/>
    <w:pPr>
      <w:ind w:left="720" w:right="720"/>
    </w:pPr>
    <w:rPr>
      <w:i/>
    </w:rPr>
  </w:style>
  <w:style w:type="character" w:styleId="974" w:customStyle="1">
    <w:name w:val="引用 Char"/>
    <w:link w:val="973"/>
    <w:uiPriority w:val="29"/>
    <w:qFormat/>
    <w:rPr>
      <w:i/>
    </w:rPr>
  </w:style>
  <w:style w:type="paragraph" w:styleId="975">
    <w:name w:val="Intense Quote"/>
    <w:basedOn w:val="849"/>
    <w:next w:val="849"/>
    <w:link w:val="9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6" w:customStyle="1">
    <w:name w:val="明显引用 Char"/>
    <w:link w:val="975"/>
    <w:uiPriority w:val="30"/>
    <w:qFormat/>
    <w:rPr>
      <w:i/>
    </w:rPr>
  </w:style>
  <w:style w:type="paragraph" w:styleId="977" w:customStyle="1">
    <w:name w:val="Caption1"/>
    <w:basedOn w:val="849"/>
    <w:next w:val="849"/>
    <w:uiPriority w:val="35"/>
    <w:unhideWhenUsed/>
    <w:qFormat/>
    <w:pPr>
      <w:spacing w:line="276" w:lineRule="auto"/>
    </w:pPr>
    <w:rPr>
      <w:b/>
      <w:bCs/>
      <w:color w:val="4f81bd"/>
      <w:sz w:val="18"/>
      <w:szCs w:val="18"/>
    </w:rPr>
  </w:style>
  <w:style w:type="character" w:styleId="978" w:customStyle="1">
    <w:name w:val="Caption Char"/>
    <w:uiPriority w:val="99"/>
    <w:qFormat/>
  </w:style>
  <w:style w:type="table" w:styleId="979" w:customStyle="1">
    <w:name w:val="Table Grid Light"/>
    <w:basedOn w:val="905"/>
    <w:uiPriority w:val="59"/>
    <w:qFormat/>
    <w:tblPr>
      <w:tblCellMar>
        <w:left w:w="0" w:type="dxa"/>
        <w:top w:w="0" w:type="dxa"/>
        <w:right w:w="0" w:type="dxa"/>
        <w:bottom w:w="0" w:type="dxa"/>
      </w:tblCellMar>
    </w:tblPr>
  </w:style>
  <w:style w:type="table" w:styleId="980" w:customStyle="1">
    <w:name w:val="Plain Table 1"/>
    <w:basedOn w:val="905"/>
    <w:uiPriority w:val="59"/>
    <w:qFormat/>
    <w:tblPr>
      <w:tblCellMar>
        <w:left w:w="0" w:type="dxa"/>
        <w:top w:w="0" w:type="dxa"/>
        <w:right w:w="0" w:type="dxa"/>
        <w:bottom w:w="0" w:type="dxa"/>
      </w:tblCellMar>
    </w:tblPr>
  </w:style>
  <w:style w:type="table" w:styleId="981" w:customStyle="1">
    <w:name w:val="Plain Table 2"/>
    <w:basedOn w:val="905"/>
    <w:uiPriority w:val="59"/>
    <w:qFormat/>
    <w:tblPr>
      <w:tblCellMar>
        <w:left w:w="0" w:type="dxa"/>
        <w:top w:w="0" w:type="dxa"/>
        <w:right w:w="0" w:type="dxa"/>
        <w:bottom w:w="0" w:type="dxa"/>
      </w:tblCellMar>
    </w:tblPr>
  </w:style>
  <w:style w:type="table" w:styleId="982" w:customStyle="1">
    <w:name w:val="Plain Table 3"/>
    <w:basedOn w:val="905"/>
    <w:uiPriority w:val="99"/>
    <w:qFormat/>
    <w:tblPr>
      <w:tblCellMar>
        <w:left w:w="0" w:type="dxa"/>
        <w:top w:w="0" w:type="dxa"/>
        <w:right w:w="0" w:type="dxa"/>
        <w:bottom w:w="0" w:type="dxa"/>
      </w:tblCellMar>
    </w:tblPr>
  </w:style>
  <w:style w:type="table" w:styleId="983" w:customStyle="1">
    <w:name w:val="Plain Table 4"/>
    <w:basedOn w:val="905"/>
    <w:uiPriority w:val="99"/>
    <w:qFormat/>
    <w:tblPr>
      <w:tblCellMar>
        <w:left w:w="0" w:type="dxa"/>
        <w:top w:w="0" w:type="dxa"/>
        <w:right w:w="0" w:type="dxa"/>
        <w:bottom w:w="0" w:type="dxa"/>
      </w:tblCellMar>
    </w:tblPr>
  </w:style>
  <w:style w:type="table" w:styleId="984" w:customStyle="1">
    <w:name w:val="Plain Table 5"/>
    <w:basedOn w:val="905"/>
    <w:uiPriority w:val="99"/>
    <w:qFormat/>
    <w:tblPr>
      <w:tblCellMar>
        <w:left w:w="0" w:type="dxa"/>
        <w:top w:w="0" w:type="dxa"/>
        <w:right w:w="0" w:type="dxa"/>
        <w:bottom w:w="0" w:type="dxa"/>
      </w:tblCellMar>
    </w:tblPr>
  </w:style>
  <w:style w:type="table" w:styleId="985" w:customStyle="1">
    <w:name w:val="Grid Table 1 Light"/>
    <w:basedOn w:val="905"/>
    <w:uiPriority w:val="99"/>
    <w:qFormat/>
    <w:tblPr>
      <w:tblCellMar>
        <w:left w:w="0" w:type="dxa"/>
        <w:top w:w="0" w:type="dxa"/>
        <w:right w:w="0" w:type="dxa"/>
        <w:bottom w:w="0" w:type="dxa"/>
      </w:tblCellMar>
    </w:tblPr>
  </w:style>
  <w:style w:type="table" w:styleId="986" w:customStyle="1">
    <w:name w:val="Grid Table 1 Light - Accent 1"/>
    <w:basedOn w:val="905"/>
    <w:uiPriority w:val="99"/>
    <w:qFormat/>
    <w:tblPr>
      <w:tblCellMar>
        <w:left w:w="0" w:type="dxa"/>
        <w:top w:w="0" w:type="dxa"/>
        <w:right w:w="0" w:type="dxa"/>
        <w:bottom w:w="0" w:type="dxa"/>
      </w:tblCellMar>
    </w:tblPr>
  </w:style>
  <w:style w:type="table" w:styleId="987" w:customStyle="1">
    <w:name w:val="Grid Table 1 Light - Accent 2"/>
    <w:basedOn w:val="905"/>
    <w:uiPriority w:val="99"/>
    <w:qFormat/>
    <w:tblPr>
      <w:tblCellMar>
        <w:left w:w="0" w:type="dxa"/>
        <w:top w:w="0" w:type="dxa"/>
        <w:right w:w="0" w:type="dxa"/>
        <w:bottom w:w="0" w:type="dxa"/>
      </w:tblCellMar>
    </w:tblPr>
  </w:style>
  <w:style w:type="table" w:styleId="988" w:customStyle="1">
    <w:name w:val="Grid Table 1 Light - Accent 3"/>
    <w:basedOn w:val="905"/>
    <w:uiPriority w:val="99"/>
    <w:qFormat/>
    <w:tblPr>
      <w:tblCellMar>
        <w:left w:w="0" w:type="dxa"/>
        <w:top w:w="0" w:type="dxa"/>
        <w:right w:w="0" w:type="dxa"/>
        <w:bottom w:w="0" w:type="dxa"/>
      </w:tblCellMar>
    </w:tblPr>
  </w:style>
  <w:style w:type="table" w:styleId="989" w:customStyle="1">
    <w:name w:val="Grid Table 1 Light - Accent 4"/>
    <w:basedOn w:val="905"/>
    <w:uiPriority w:val="99"/>
    <w:qFormat/>
    <w:tblPr>
      <w:tblCellMar>
        <w:left w:w="0" w:type="dxa"/>
        <w:top w:w="0" w:type="dxa"/>
        <w:right w:w="0" w:type="dxa"/>
        <w:bottom w:w="0" w:type="dxa"/>
      </w:tblCellMar>
    </w:tblPr>
  </w:style>
  <w:style w:type="table" w:styleId="990" w:customStyle="1">
    <w:name w:val="Grid Table 1 Light - Accent 5"/>
    <w:basedOn w:val="905"/>
    <w:uiPriority w:val="99"/>
    <w:qFormat/>
    <w:tblPr>
      <w:tblCellMar>
        <w:left w:w="0" w:type="dxa"/>
        <w:top w:w="0" w:type="dxa"/>
        <w:right w:w="0" w:type="dxa"/>
        <w:bottom w:w="0" w:type="dxa"/>
      </w:tblCellMar>
    </w:tblPr>
  </w:style>
  <w:style w:type="table" w:styleId="991" w:customStyle="1">
    <w:name w:val="Grid Table 1 Light - Accent 6"/>
    <w:basedOn w:val="905"/>
    <w:uiPriority w:val="99"/>
    <w:qFormat/>
    <w:tblPr>
      <w:tblCellMar>
        <w:left w:w="0" w:type="dxa"/>
        <w:top w:w="0" w:type="dxa"/>
        <w:right w:w="0" w:type="dxa"/>
        <w:bottom w:w="0" w:type="dxa"/>
      </w:tblCellMar>
    </w:tblPr>
  </w:style>
  <w:style w:type="table" w:styleId="992" w:customStyle="1">
    <w:name w:val="Grid Table 2"/>
    <w:basedOn w:val="905"/>
    <w:uiPriority w:val="99"/>
    <w:qFormat/>
    <w:tblPr>
      <w:tblCellMar>
        <w:left w:w="0" w:type="dxa"/>
        <w:top w:w="0" w:type="dxa"/>
        <w:right w:w="0" w:type="dxa"/>
        <w:bottom w:w="0" w:type="dxa"/>
      </w:tblCellMar>
    </w:tblPr>
  </w:style>
  <w:style w:type="table" w:styleId="993" w:customStyle="1">
    <w:name w:val="Grid Table 2 - Accent 1"/>
    <w:basedOn w:val="905"/>
    <w:uiPriority w:val="99"/>
    <w:qFormat/>
    <w:tblPr>
      <w:tblCellMar>
        <w:left w:w="0" w:type="dxa"/>
        <w:top w:w="0" w:type="dxa"/>
        <w:right w:w="0" w:type="dxa"/>
        <w:bottom w:w="0" w:type="dxa"/>
      </w:tblCellMar>
    </w:tblPr>
  </w:style>
  <w:style w:type="table" w:styleId="994" w:customStyle="1">
    <w:name w:val="Grid Table 2 - Accent 2"/>
    <w:basedOn w:val="905"/>
    <w:uiPriority w:val="99"/>
    <w:qFormat/>
    <w:tblPr>
      <w:tblCellMar>
        <w:left w:w="0" w:type="dxa"/>
        <w:top w:w="0" w:type="dxa"/>
        <w:right w:w="0" w:type="dxa"/>
        <w:bottom w:w="0" w:type="dxa"/>
      </w:tblCellMar>
    </w:tblPr>
  </w:style>
  <w:style w:type="table" w:styleId="995" w:customStyle="1">
    <w:name w:val="Grid Table 2 - Accent 3"/>
    <w:basedOn w:val="905"/>
    <w:uiPriority w:val="99"/>
    <w:qFormat/>
    <w:tblPr>
      <w:tblCellMar>
        <w:left w:w="0" w:type="dxa"/>
        <w:top w:w="0" w:type="dxa"/>
        <w:right w:w="0" w:type="dxa"/>
        <w:bottom w:w="0" w:type="dxa"/>
      </w:tblCellMar>
    </w:tblPr>
  </w:style>
  <w:style w:type="table" w:styleId="996" w:customStyle="1">
    <w:name w:val="Grid Table 2 - Accent 4"/>
    <w:basedOn w:val="905"/>
    <w:uiPriority w:val="99"/>
    <w:qFormat/>
    <w:tblPr>
      <w:tblCellMar>
        <w:left w:w="0" w:type="dxa"/>
        <w:top w:w="0" w:type="dxa"/>
        <w:right w:w="0" w:type="dxa"/>
        <w:bottom w:w="0" w:type="dxa"/>
      </w:tblCellMar>
    </w:tblPr>
  </w:style>
  <w:style w:type="table" w:styleId="997" w:customStyle="1">
    <w:name w:val="Grid Table 2 - Accent 5"/>
    <w:basedOn w:val="905"/>
    <w:uiPriority w:val="99"/>
    <w:qFormat/>
    <w:tblPr>
      <w:tblCellMar>
        <w:left w:w="0" w:type="dxa"/>
        <w:top w:w="0" w:type="dxa"/>
        <w:right w:w="0" w:type="dxa"/>
        <w:bottom w:w="0" w:type="dxa"/>
      </w:tblCellMar>
    </w:tblPr>
  </w:style>
  <w:style w:type="table" w:styleId="998" w:customStyle="1">
    <w:name w:val="Grid Table 2 - Accent 6"/>
    <w:basedOn w:val="905"/>
    <w:uiPriority w:val="99"/>
    <w:qFormat/>
    <w:tblPr>
      <w:tblCellMar>
        <w:left w:w="0" w:type="dxa"/>
        <w:top w:w="0" w:type="dxa"/>
        <w:right w:w="0" w:type="dxa"/>
        <w:bottom w:w="0" w:type="dxa"/>
      </w:tblCellMar>
    </w:tblPr>
  </w:style>
  <w:style w:type="table" w:styleId="999" w:customStyle="1">
    <w:name w:val="Grid Table 3"/>
    <w:basedOn w:val="905"/>
    <w:uiPriority w:val="99"/>
    <w:qFormat/>
    <w:tblPr>
      <w:tblCellMar>
        <w:left w:w="0" w:type="dxa"/>
        <w:top w:w="0" w:type="dxa"/>
        <w:right w:w="0" w:type="dxa"/>
        <w:bottom w:w="0" w:type="dxa"/>
      </w:tblCellMar>
    </w:tblPr>
  </w:style>
  <w:style w:type="table" w:styleId="1000" w:customStyle="1">
    <w:name w:val="Grid Table 3 - Accent 1"/>
    <w:basedOn w:val="905"/>
    <w:uiPriority w:val="99"/>
    <w:qFormat/>
    <w:tblPr>
      <w:tblCellMar>
        <w:left w:w="0" w:type="dxa"/>
        <w:top w:w="0" w:type="dxa"/>
        <w:right w:w="0" w:type="dxa"/>
        <w:bottom w:w="0" w:type="dxa"/>
      </w:tblCellMar>
    </w:tblPr>
  </w:style>
  <w:style w:type="table" w:styleId="1001" w:customStyle="1">
    <w:name w:val="Grid Table 3 - Accent 2"/>
    <w:basedOn w:val="905"/>
    <w:uiPriority w:val="99"/>
    <w:qFormat/>
    <w:tblPr>
      <w:tblCellMar>
        <w:left w:w="0" w:type="dxa"/>
        <w:top w:w="0" w:type="dxa"/>
        <w:right w:w="0" w:type="dxa"/>
        <w:bottom w:w="0" w:type="dxa"/>
      </w:tblCellMar>
    </w:tblPr>
  </w:style>
  <w:style w:type="table" w:styleId="1002" w:customStyle="1">
    <w:name w:val="Grid Table 3 - Accent 3"/>
    <w:basedOn w:val="905"/>
    <w:uiPriority w:val="99"/>
    <w:qFormat/>
    <w:tblPr>
      <w:tblCellMar>
        <w:left w:w="0" w:type="dxa"/>
        <w:top w:w="0" w:type="dxa"/>
        <w:right w:w="0" w:type="dxa"/>
        <w:bottom w:w="0" w:type="dxa"/>
      </w:tblCellMar>
    </w:tblPr>
  </w:style>
  <w:style w:type="table" w:styleId="1003" w:customStyle="1">
    <w:name w:val="Grid Table 3 - Accent 4"/>
    <w:basedOn w:val="905"/>
    <w:uiPriority w:val="99"/>
    <w:qFormat/>
    <w:tblPr>
      <w:tblCellMar>
        <w:left w:w="0" w:type="dxa"/>
        <w:top w:w="0" w:type="dxa"/>
        <w:right w:w="0" w:type="dxa"/>
        <w:bottom w:w="0" w:type="dxa"/>
      </w:tblCellMar>
    </w:tblPr>
  </w:style>
  <w:style w:type="table" w:styleId="1004" w:customStyle="1">
    <w:name w:val="Grid Table 3 - Accent 5"/>
    <w:basedOn w:val="905"/>
    <w:uiPriority w:val="99"/>
    <w:qFormat/>
    <w:tblPr>
      <w:tblCellMar>
        <w:left w:w="0" w:type="dxa"/>
        <w:top w:w="0" w:type="dxa"/>
        <w:right w:w="0" w:type="dxa"/>
        <w:bottom w:w="0" w:type="dxa"/>
      </w:tblCellMar>
    </w:tblPr>
  </w:style>
  <w:style w:type="table" w:styleId="1005" w:customStyle="1">
    <w:name w:val="Grid Table 3 - Accent 6"/>
    <w:basedOn w:val="905"/>
    <w:uiPriority w:val="99"/>
    <w:qFormat/>
    <w:tblPr>
      <w:tblCellMar>
        <w:left w:w="0" w:type="dxa"/>
        <w:top w:w="0" w:type="dxa"/>
        <w:right w:w="0" w:type="dxa"/>
        <w:bottom w:w="0" w:type="dxa"/>
      </w:tblCellMar>
    </w:tblPr>
  </w:style>
  <w:style w:type="table" w:styleId="1006" w:customStyle="1">
    <w:name w:val="Grid Table 4"/>
    <w:basedOn w:val="905"/>
    <w:uiPriority w:val="59"/>
    <w:qFormat/>
    <w:tblPr>
      <w:tblCellMar>
        <w:left w:w="0" w:type="dxa"/>
        <w:top w:w="0" w:type="dxa"/>
        <w:right w:w="0" w:type="dxa"/>
        <w:bottom w:w="0" w:type="dxa"/>
      </w:tblCellMar>
    </w:tblPr>
  </w:style>
  <w:style w:type="table" w:styleId="1007" w:customStyle="1">
    <w:name w:val="Grid Table 4 - Accent 1"/>
    <w:basedOn w:val="905"/>
    <w:uiPriority w:val="59"/>
    <w:qFormat/>
    <w:tblPr>
      <w:tblCellMar>
        <w:left w:w="0" w:type="dxa"/>
        <w:top w:w="0" w:type="dxa"/>
        <w:right w:w="0" w:type="dxa"/>
        <w:bottom w:w="0" w:type="dxa"/>
      </w:tblCellMar>
    </w:tblPr>
  </w:style>
  <w:style w:type="table" w:styleId="1008" w:customStyle="1">
    <w:name w:val="Grid Table 4 - Accent 2"/>
    <w:basedOn w:val="905"/>
    <w:uiPriority w:val="59"/>
    <w:qFormat/>
    <w:tblPr>
      <w:tblCellMar>
        <w:left w:w="0" w:type="dxa"/>
        <w:top w:w="0" w:type="dxa"/>
        <w:right w:w="0" w:type="dxa"/>
        <w:bottom w:w="0" w:type="dxa"/>
      </w:tblCellMar>
    </w:tblPr>
  </w:style>
  <w:style w:type="table" w:styleId="1009" w:customStyle="1">
    <w:name w:val="Grid Table 4 - Accent 3"/>
    <w:basedOn w:val="905"/>
    <w:uiPriority w:val="59"/>
    <w:qFormat/>
    <w:tblPr>
      <w:tblCellMar>
        <w:left w:w="0" w:type="dxa"/>
        <w:top w:w="0" w:type="dxa"/>
        <w:right w:w="0" w:type="dxa"/>
        <w:bottom w:w="0" w:type="dxa"/>
      </w:tblCellMar>
    </w:tblPr>
  </w:style>
  <w:style w:type="table" w:styleId="1010" w:customStyle="1">
    <w:name w:val="Grid Table 4 - Accent 4"/>
    <w:basedOn w:val="905"/>
    <w:uiPriority w:val="59"/>
    <w:qFormat/>
    <w:tblPr>
      <w:tblCellMar>
        <w:left w:w="0" w:type="dxa"/>
        <w:top w:w="0" w:type="dxa"/>
        <w:right w:w="0" w:type="dxa"/>
        <w:bottom w:w="0" w:type="dxa"/>
      </w:tblCellMar>
    </w:tblPr>
  </w:style>
  <w:style w:type="table" w:styleId="1011" w:customStyle="1">
    <w:name w:val="Grid Table 4 - Accent 5"/>
    <w:basedOn w:val="905"/>
    <w:uiPriority w:val="59"/>
    <w:qFormat/>
    <w:tblPr>
      <w:tblCellMar>
        <w:left w:w="0" w:type="dxa"/>
        <w:top w:w="0" w:type="dxa"/>
        <w:right w:w="0" w:type="dxa"/>
        <w:bottom w:w="0" w:type="dxa"/>
      </w:tblCellMar>
    </w:tblPr>
  </w:style>
  <w:style w:type="table" w:styleId="1012" w:customStyle="1">
    <w:name w:val="Grid Table 4 - Accent 6"/>
    <w:basedOn w:val="905"/>
    <w:uiPriority w:val="59"/>
    <w:qFormat/>
    <w:tblPr>
      <w:tblCellMar>
        <w:left w:w="0" w:type="dxa"/>
        <w:top w:w="0" w:type="dxa"/>
        <w:right w:w="0" w:type="dxa"/>
        <w:bottom w:w="0" w:type="dxa"/>
      </w:tblCellMar>
    </w:tblPr>
  </w:style>
  <w:style w:type="table" w:styleId="1013" w:customStyle="1">
    <w:name w:val="Grid Table 5 Dark"/>
    <w:basedOn w:val="905"/>
    <w:uiPriority w:val="99"/>
    <w:qFormat/>
    <w:tblPr>
      <w:tblCellMar>
        <w:left w:w="0" w:type="dxa"/>
        <w:top w:w="0" w:type="dxa"/>
        <w:right w:w="0" w:type="dxa"/>
        <w:bottom w:w="0" w:type="dxa"/>
      </w:tblCellMar>
    </w:tblPr>
  </w:style>
  <w:style w:type="table" w:styleId="1014" w:customStyle="1">
    <w:name w:val="Grid Table 5 Dark- Accent 1"/>
    <w:basedOn w:val="905"/>
    <w:uiPriority w:val="99"/>
    <w:qFormat/>
    <w:tblPr>
      <w:tblCellMar>
        <w:left w:w="0" w:type="dxa"/>
        <w:top w:w="0" w:type="dxa"/>
        <w:right w:w="0" w:type="dxa"/>
        <w:bottom w:w="0" w:type="dxa"/>
      </w:tblCellMar>
    </w:tblPr>
  </w:style>
  <w:style w:type="table" w:styleId="1015" w:customStyle="1">
    <w:name w:val="Grid Table 5 Dark - Accent 2"/>
    <w:basedOn w:val="905"/>
    <w:uiPriority w:val="99"/>
    <w:qFormat/>
    <w:tblPr>
      <w:tblCellMar>
        <w:left w:w="0" w:type="dxa"/>
        <w:top w:w="0" w:type="dxa"/>
        <w:right w:w="0" w:type="dxa"/>
        <w:bottom w:w="0" w:type="dxa"/>
      </w:tblCellMar>
    </w:tblPr>
  </w:style>
  <w:style w:type="table" w:styleId="1016" w:customStyle="1">
    <w:name w:val="Grid Table 5 Dark - Accent 3"/>
    <w:basedOn w:val="905"/>
    <w:uiPriority w:val="99"/>
    <w:qFormat/>
    <w:tblPr>
      <w:tblCellMar>
        <w:left w:w="0" w:type="dxa"/>
        <w:top w:w="0" w:type="dxa"/>
        <w:right w:w="0" w:type="dxa"/>
        <w:bottom w:w="0" w:type="dxa"/>
      </w:tblCellMar>
    </w:tblPr>
  </w:style>
  <w:style w:type="table" w:styleId="1017" w:customStyle="1">
    <w:name w:val="Grid Table 5 Dark- Accent 4"/>
    <w:basedOn w:val="905"/>
    <w:uiPriority w:val="99"/>
    <w:qFormat/>
    <w:tblPr>
      <w:tblCellMar>
        <w:left w:w="0" w:type="dxa"/>
        <w:top w:w="0" w:type="dxa"/>
        <w:right w:w="0" w:type="dxa"/>
        <w:bottom w:w="0" w:type="dxa"/>
      </w:tblCellMar>
    </w:tblPr>
  </w:style>
  <w:style w:type="table" w:styleId="1018" w:customStyle="1">
    <w:name w:val="Grid Table 5 Dark - Accent 5"/>
    <w:basedOn w:val="905"/>
    <w:uiPriority w:val="99"/>
    <w:qFormat/>
    <w:tblPr>
      <w:tblCellMar>
        <w:left w:w="0" w:type="dxa"/>
        <w:top w:w="0" w:type="dxa"/>
        <w:right w:w="0" w:type="dxa"/>
        <w:bottom w:w="0" w:type="dxa"/>
      </w:tblCellMar>
    </w:tblPr>
  </w:style>
  <w:style w:type="table" w:styleId="1019" w:customStyle="1">
    <w:name w:val="Grid Table 5 Dark - Accent 6"/>
    <w:basedOn w:val="905"/>
    <w:uiPriority w:val="99"/>
    <w:qFormat/>
    <w:tblPr>
      <w:tblCellMar>
        <w:left w:w="0" w:type="dxa"/>
        <w:top w:w="0" w:type="dxa"/>
        <w:right w:w="0" w:type="dxa"/>
        <w:bottom w:w="0" w:type="dxa"/>
      </w:tblCellMar>
    </w:tblPr>
  </w:style>
  <w:style w:type="table" w:styleId="1020" w:customStyle="1">
    <w:name w:val="Grid Table 6 Colorful"/>
    <w:basedOn w:val="905"/>
    <w:uiPriority w:val="99"/>
    <w:qFormat/>
    <w:tblPr>
      <w:tblCellMar>
        <w:left w:w="0" w:type="dxa"/>
        <w:top w:w="0" w:type="dxa"/>
        <w:right w:w="0" w:type="dxa"/>
        <w:bottom w:w="0" w:type="dxa"/>
      </w:tblCellMar>
    </w:tblPr>
  </w:style>
  <w:style w:type="table" w:styleId="1021" w:customStyle="1">
    <w:name w:val="Grid Table 6 Colorful - Accent 1"/>
    <w:basedOn w:val="905"/>
    <w:uiPriority w:val="99"/>
    <w:qFormat/>
    <w:tblPr>
      <w:tblCellMar>
        <w:left w:w="0" w:type="dxa"/>
        <w:top w:w="0" w:type="dxa"/>
        <w:right w:w="0" w:type="dxa"/>
        <w:bottom w:w="0" w:type="dxa"/>
      </w:tblCellMar>
    </w:tblPr>
  </w:style>
  <w:style w:type="table" w:styleId="1022" w:customStyle="1">
    <w:name w:val="Grid Table 6 Colorful - Accent 2"/>
    <w:basedOn w:val="905"/>
    <w:uiPriority w:val="99"/>
    <w:qFormat/>
    <w:tblPr>
      <w:tblCellMar>
        <w:left w:w="0" w:type="dxa"/>
        <w:top w:w="0" w:type="dxa"/>
        <w:right w:w="0" w:type="dxa"/>
        <w:bottom w:w="0" w:type="dxa"/>
      </w:tblCellMar>
    </w:tblPr>
  </w:style>
  <w:style w:type="table" w:styleId="1023" w:customStyle="1">
    <w:name w:val="Grid Table 6 Colorful - Accent 3"/>
    <w:basedOn w:val="905"/>
    <w:uiPriority w:val="99"/>
    <w:qFormat/>
    <w:tblPr>
      <w:tblCellMar>
        <w:left w:w="0" w:type="dxa"/>
        <w:top w:w="0" w:type="dxa"/>
        <w:right w:w="0" w:type="dxa"/>
        <w:bottom w:w="0" w:type="dxa"/>
      </w:tblCellMar>
    </w:tblPr>
  </w:style>
  <w:style w:type="table" w:styleId="1024" w:customStyle="1">
    <w:name w:val="Grid Table 6 Colorful - Accent 4"/>
    <w:basedOn w:val="905"/>
    <w:uiPriority w:val="99"/>
    <w:qFormat/>
    <w:tblPr>
      <w:tblCellMar>
        <w:left w:w="0" w:type="dxa"/>
        <w:top w:w="0" w:type="dxa"/>
        <w:right w:w="0" w:type="dxa"/>
        <w:bottom w:w="0" w:type="dxa"/>
      </w:tblCellMar>
    </w:tblPr>
  </w:style>
  <w:style w:type="table" w:styleId="1025" w:customStyle="1">
    <w:name w:val="Grid Table 6 Colorful - Accent 5"/>
    <w:basedOn w:val="905"/>
    <w:uiPriority w:val="99"/>
    <w:qFormat/>
    <w:tblPr>
      <w:tblCellMar>
        <w:left w:w="0" w:type="dxa"/>
        <w:top w:w="0" w:type="dxa"/>
        <w:right w:w="0" w:type="dxa"/>
        <w:bottom w:w="0" w:type="dxa"/>
      </w:tblCellMar>
    </w:tblPr>
  </w:style>
  <w:style w:type="table" w:styleId="1026" w:customStyle="1">
    <w:name w:val="Grid Table 6 Colorful - Accent 6"/>
    <w:basedOn w:val="905"/>
    <w:uiPriority w:val="99"/>
    <w:qFormat/>
    <w:tblPr>
      <w:tblCellMar>
        <w:left w:w="0" w:type="dxa"/>
        <w:top w:w="0" w:type="dxa"/>
        <w:right w:w="0" w:type="dxa"/>
        <w:bottom w:w="0" w:type="dxa"/>
      </w:tblCellMar>
    </w:tblPr>
  </w:style>
  <w:style w:type="table" w:styleId="1027" w:customStyle="1">
    <w:name w:val="Grid Table 7 Colorful"/>
    <w:basedOn w:val="905"/>
    <w:uiPriority w:val="99"/>
    <w:qFormat/>
    <w:tblPr>
      <w:tblCellMar>
        <w:left w:w="0" w:type="dxa"/>
        <w:top w:w="0" w:type="dxa"/>
        <w:right w:w="0" w:type="dxa"/>
        <w:bottom w:w="0" w:type="dxa"/>
      </w:tblCellMar>
    </w:tblPr>
  </w:style>
  <w:style w:type="table" w:styleId="1028" w:customStyle="1">
    <w:name w:val="Grid Table 7 Colorful - Accent 1"/>
    <w:basedOn w:val="905"/>
    <w:uiPriority w:val="99"/>
    <w:qFormat/>
    <w:tblPr>
      <w:tblCellMar>
        <w:left w:w="0" w:type="dxa"/>
        <w:top w:w="0" w:type="dxa"/>
        <w:right w:w="0" w:type="dxa"/>
        <w:bottom w:w="0" w:type="dxa"/>
      </w:tblCellMar>
    </w:tblPr>
  </w:style>
  <w:style w:type="table" w:styleId="1029" w:customStyle="1">
    <w:name w:val="Grid Table 7 Colorful - Accent 2"/>
    <w:basedOn w:val="905"/>
    <w:uiPriority w:val="99"/>
    <w:qFormat/>
    <w:tblPr>
      <w:tblCellMar>
        <w:left w:w="0" w:type="dxa"/>
        <w:top w:w="0" w:type="dxa"/>
        <w:right w:w="0" w:type="dxa"/>
        <w:bottom w:w="0" w:type="dxa"/>
      </w:tblCellMar>
    </w:tblPr>
  </w:style>
  <w:style w:type="table" w:styleId="1030" w:customStyle="1">
    <w:name w:val="Grid Table 7 Colorful - Accent 3"/>
    <w:basedOn w:val="905"/>
    <w:uiPriority w:val="99"/>
    <w:qFormat/>
    <w:tblPr>
      <w:tblCellMar>
        <w:left w:w="0" w:type="dxa"/>
        <w:top w:w="0" w:type="dxa"/>
        <w:right w:w="0" w:type="dxa"/>
        <w:bottom w:w="0" w:type="dxa"/>
      </w:tblCellMar>
    </w:tblPr>
  </w:style>
  <w:style w:type="table" w:styleId="1031" w:customStyle="1">
    <w:name w:val="Grid Table 7 Colorful - Accent 4"/>
    <w:basedOn w:val="905"/>
    <w:uiPriority w:val="99"/>
    <w:qFormat/>
    <w:tblPr>
      <w:tblCellMar>
        <w:left w:w="0" w:type="dxa"/>
        <w:top w:w="0" w:type="dxa"/>
        <w:right w:w="0" w:type="dxa"/>
        <w:bottom w:w="0" w:type="dxa"/>
      </w:tblCellMar>
    </w:tblPr>
  </w:style>
  <w:style w:type="table" w:styleId="1032" w:customStyle="1">
    <w:name w:val="Grid Table 7 Colorful - Accent 5"/>
    <w:basedOn w:val="905"/>
    <w:uiPriority w:val="99"/>
    <w:qFormat/>
    <w:tblPr>
      <w:tblCellMar>
        <w:left w:w="0" w:type="dxa"/>
        <w:top w:w="0" w:type="dxa"/>
        <w:right w:w="0" w:type="dxa"/>
        <w:bottom w:w="0" w:type="dxa"/>
      </w:tblCellMar>
    </w:tblPr>
  </w:style>
  <w:style w:type="table" w:styleId="1033" w:customStyle="1">
    <w:name w:val="Grid Table 7 Colorful - Accent 6"/>
    <w:basedOn w:val="905"/>
    <w:uiPriority w:val="99"/>
    <w:qFormat/>
    <w:tblPr>
      <w:tblCellMar>
        <w:left w:w="0" w:type="dxa"/>
        <w:top w:w="0" w:type="dxa"/>
        <w:right w:w="0" w:type="dxa"/>
        <w:bottom w:w="0" w:type="dxa"/>
      </w:tblCellMar>
    </w:tblPr>
  </w:style>
  <w:style w:type="table" w:styleId="1034" w:customStyle="1">
    <w:name w:val="List Table 1 Light"/>
    <w:basedOn w:val="905"/>
    <w:uiPriority w:val="99"/>
    <w:qFormat/>
    <w:tblPr>
      <w:tblCellMar>
        <w:left w:w="0" w:type="dxa"/>
        <w:top w:w="0" w:type="dxa"/>
        <w:right w:w="0" w:type="dxa"/>
        <w:bottom w:w="0" w:type="dxa"/>
      </w:tblCellMar>
    </w:tblPr>
  </w:style>
  <w:style w:type="table" w:styleId="1035" w:customStyle="1">
    <w:name w:val="List Table 1 Light - Accent 1"/>
    <w:basedOn w:val="905"/>
    <w:uiPriority w:val="99"/>
    <w:qFormat/>
    <w:tblPr>
      <w:tblCellMar>
        <w:left w:w="0" w:type="dxa"/>
        <w:top w:w="0" w:type="dxa"/>
        <w:right w:w="0" w:type="dxa"/>
        <w:bottom w:w="0" w:type="dxa"/>
      </w:tblCellMar>
    </w:tblPr>
  </w:style>
  <w:style w:type="table" w:styleId="1036" w:customStyle="1">
    <w:name w:val="List Table 1 Light - Accent 2"/>
    <w:basedOn w:val="905"/>
    <w:uiPriority w:val="99"/>
    <w:qFormat/>
    <w:tblPr>
      <w:tblCellMar>
        <w:left w:w="0" w:type="dxa"/>
        <w:top w:w="0" w:type="dxa"/>
        <w:right w:w="0" w:type="dxa"/>
        <w:bottom w:w="0" w:type="dxa"/>
      </w:tblCellMar>
    </w:tblPr>
  </w:style>
  <w:style w:type="table" w:styleId="1037" w:customStyle="1">
    <w:name w:val="List Table 1 Light - Accent 3"/>
    <w:basedOn w:val="905"/>
    <w:uiPriority w:val="99"/>
    <w:qFormat/>
    <w:tblPr>
      <w:tblCellMar>
        <w:left w:w="0" w:type="dxa"/>
        <w:top w:w="0" w:type="dxa"/>
        <w:right w:w="0" w:type="dxa"/>
        <w:bottom w:w="0" w:type="dxa"/>
      </w:tblCellMar>
    </w:tblPr>
  </w:style>
  <w:style w:type="table" w:styleId="1038" w:customStyle="1">
    <w:name w:val="List Table 1 Light - Accent 4"/>
    <w:basedOn w:val="905"/>
    <w:uiPriority w:val="99"/>
    <w:qFormat/>
    <w:tblPr>
      <w:tblCellMar>
        <w:left w:w="0" w:type="dxa"/>
        <w:top w:w="0" w:type="dxa"/>
        <w:right w:w="0" w:type="dxa"/>
        <w:bottom w:w="0" w:type="dxa"/>
      </w:tblCellMar>
    </w:tblPr>
  </w:style>
  <w:style w:type="table" w:styleId="1039" w:customStyle="1">
    <w:name w:val="List Table 1 Light - Accent 5"/>
    <w:basedOn w:val="905"/>
    <w:uiPriority w:val="99"/>
    <w:qFormat/>
    <w:tblPr>
      <w:tblCellMar>
        <w:left w:w="0" w:type="dxa"/>
        <w:top w:w="0" w:type="dxa"/>
        <w:right w:w="0" w:type="dxa"/>
        <w:bottom w:w="0" w:type="dxa"/>
      </w:tblCellMar>
    </w:tblPr>
  </w:style>
  <w:style w:type="table" w:styleId="1040" w:customStyle="1">
    <w:name w:val="List Table 1 Light - Accent 6"/>
    <w:basedOn w:val="905"/>
    <w:uiPriority w:val="99"/>
    <w:qFormat/>
    <w:tblPr>
      <w:tblCellMar>
        <w:left w:w="0" w:type="dxa"/>
        <w:top w:w="0" w:type="dxa"/>
        <w:right w:w="0" w:type="dxa"/>
        <w:bottom w:w="0" w:type="dxa"/>
      </w:tblCellMar>
    </w:tblPr>
  </w:style>
  <w:style w:type="table" w:styleId="1041" w:customStyle="1">
    <w:name w:val="List Table 2"/>
    <w:basedOn w:val="905"/>
    <w:uiPriority w:val="99"/>
    <w:qFormat/>
    <w:tblPr>
      <w:tblCellMar>
        <w:left w:w="0" w:type="dxa"/>
        <w:top w:w="0" w:type="dxa"/>
        <w:right w:w="0" w:type="dxa"/>
        <w:bottom w:w="0" w:type="dxa"/>
      </w:tblCellMar>
    </w:tblPr>
  </w:style>
  <w:style w:type="table" w:styleId="1042" w:customStyle="1">
    <w:name w:val="List Table 2 - Accent 1"/>
    <w:basedOn w:val="905"/>
    <w:uiPriority w:val="99"/>
    <w:qFormat/>
    <w:tblPr>
      <w:tblCellMar>
        <w:left w:w="0" w:type="dxa"/>
        <w:top w:w="0" w:type="dxa"/>
        <w:right w:w="0" w:type="dxa"/>
        <w:bottom w:w="0" w:type="dxa"/>
      </w:tblCellMar>
    </w:tblPr>
  </w:style>
  <w:style w:type="table" w:styleId="1043" w:customStyle="1">
    <w:name w:val="List Table 2 - Accent 2"/>
    <w:basedOn w:val="905"/>
    <w:uiPriority w:val="99"/>
    <w:qFormat/>
    <w:tblPr>
      <w:tblCellMar>
        <w:left w:w="0" w:type="dxa"/>
        <w:top w:w="0" w:type="dxa"/>
        <w:right w:w="0" w:type="dxa"/>
        <w:bottom w:w="0" w:type="dxa"/>
      </w:tblCellMar>
    </w:tblPr>
  </w:style>
  <w:style w:type="table" w:styleId="1044" w:customStyle="1">
    <w:name w:val="List Table 2 - Accent 3"/>
    <w:basedOn w:val="905"/>
    <w:uiPriority w:val="99"/>
    <w:qFormat/>
    <w:tblPr>
      <w:tblCellMar>
        <w:left w:w="0" w:type="dxa"/>
        <w:top w:w="0" w:type="dxa"/>
        <w:right w:w="0" w:type="dxa"/>
        <w:bottom w:w="0" w:type="dxa"/>
      </w:tblCellMar>
    </w:tblPr>
  </w:style>
  <w:style w:type="table" w:styleId="1045" w:customStyle="1">
    <w:name w:val="List Table 2 - Accent 4"/>
    <w:basedOn w:val="905"/>
    <w:uiPriority w:val="99"/>
    <w:qFormat/>
    <w:tblPr>
      <w:tblCellMar>
        <w:left w:w="0" w:type="dxa"/>
        <w:top w:w="0" w:type="dxa"/>
        <w:right w:w="0" w:type="dxa"/>
        <w:bottom w:w="0" w:type="dxa"/>
      </w:tblCellMar>
    </w:tblPr>
  </w:style>
  <w:style w:type="table" w:styleId="1046" w:customStyle="1">
    <w:name w:val="List Table 2 - Accent 5"/>
    <w:basedOn w:val="905"/>
    <w:uiPriority w:val="99"/>
    <w:qFormat/>
    <w:tblPr>
      <w:tblCellMar>
        <w:left w:w="0" w:type="dxa"/>
        <w:top w:w="0" w:type="dxa"/>
        <w:right w:w="0" w:type="dxa"/>
        <w:bottom w:w="0" w:type="dxa"/>
      </w:tblCellMar>
    </w:tblPr>
  </w:style>
  <w:style w:type="table" w:styleId="1047" w:customStyle="1">
    <w:name w:val="List Table 2 - Accent 6"/>
    <w:basedOn w:val="905"/>
    <w:uiPriority w:val="99"/>
    <w:qFormat/>
    <w:tblPr>
      <w:tblCellMar>
        <w:left w:w="0" w:type="dxa"/>
        <w:top w:w="0" w:type="dxa"/>
        <w:right w:w="0" w:type="dxa"/>
        <w:bottom w:w="0" w:type="dxa"/>
      </w:tblCellMar>
    </w:tblPr>
  </w:style>
  <w:style w:type="table" w:styleId="1048" w:customStyle="1">
    <w:name w:val="List Table 3"/>
    <w:basedOn w:val="905"/>
    <w:uiPriority w:val="99"/>
    <w:qFormat/>
    <w:tblPr>
      <w:tblCellMar>
        <w:left w:w="0" w:type="dxa"/>
        <w:top w:w="0" w:type="dxa"/>
        <w:right w:w="0" w:type="dxa"/>
        <w:bottom w:w="0" w:type="dxa"/>
      </w:tblCellMar>
    </w:tblPr>
  </w:style>
  <w:style w:type="table" w:styleId="1049" w:customStyle="1">
    <w:name w:val="List Table 3 - Accent 1"/>
    <w:basedOn w:val="905"/>
    <w:uiPriority w:val="99"/>
    <w:qFormat/>
    <w:tblPr>
      <w:tblCellMar>
        <w:left w:w="0" w:type="dxa"/>
        <w:top w:w="0" w:type="dxa"/>
        <w:right w:w="0" w:type="dxa"/>
        <w:bottom w:w="0" w:type="dxa"/>
      </w:tblCellMar>
    </w:tblPr>
  </w:style>
  <w:style w:type="table" w:styleId="1050" w:customStyle="1">
    <w:name w:val="List Table 3 - Accent 2"/>
    <w:basedOn w:val="905"/>
    <w:uiPriority w:val="99"/>
    <w:qFormat/>
    <w:tblPr>
      <w:tblCellMar>
        <w:left w:w="0" w:type="dxa"/>
        <w:top w:w="0" w:type="dxa"/>
        <w:right w:w="0" w:type="dxa"/>
        <w:bottom w:w="0" w:type="dxa"/>
      </w:tblCellMar>
    </w:tblPr>
  </w:style>
  <w:style w:type="table" w:styleId="1051" w:customStyle="1">
    <w:name w:val="List Table 3 - Accent 3"/>
    <w:basedOn w:val="905"/>
    <w:uiPriority w:val="99"/>
    <w:qFormat/>
    <w:tblPr>
      <w:tblCellMar>
        <w:left w:w="0" w:type="dxa"/>
        <w:top w:w="0" w:type="dxa"/>
        <w:right w:w="0" w:type="dxa"/>
        <w:bottom w:w="0" w:type="dxa"/>
      </w:tblCellMar>
    </w:tblPr>
  </w:style>
  <w:style w:type="table" w:styleId="1052" w:customStyle="1">
    <w:name w:val="List Table 3 - Accent 4"/>
    <w:basedOn w:val="905"/>
    <w:uiPriority w:val="99"/>
    <w:qFormat/>
    <w:tblPr>
      <w:tblCellMar>
        <w:left w:w="0" w:type="dxa"/>
        <w:top w:w="0" w:type="dxa"/>
        <w:right w:w="0" w:type="dxa"/>
        <w:bottom w:w="0" w:type="dxa"/>
      </w:tblCellMar>
    </w:tblPr>
  </w:style>
  <w:style w:type="table" w:styleId="1053" w:customStyle="1">
    <w:name w:val="List Table 3 - Accent 5"/>
    <w:basedOn w:val="905"/>
    <w:uiPriority w:val="99"/>
    <w:qFormat/>
    <w:tblPr>
      <w:tblCellMar>
        <w:left w:w="0" w:type="dxa"/>
        <w:top w:w="0" w:type="dxa"/>
        <w:right w:w="0" w:type="dxa"/>
        <w:bottom w:w="0" w:type="dxa"/>
      </w:tblCellMar>
    </w:tblPr>
  </w:style>
  <w:style w:type="table" w:styleId="1054" w:customStyle="1">
    <w:name w:val="List Table 3 - Accent 6"/>
    <w:basedOn w:val="905"/>
    <w:uiPriority w:val="99"/>
    <w:qFormat/>
    <w:tblPr>
      <w:tblCellMar>
        <w:left w:w="0" w:type="dxa"/>
        <w:top w:w="0" w:type="dxa"/>
        <w:right w:w="0" w:type="dxa"/>
        <w:bottom w:w="0" w:type="dxa"/>
      </w:tblCellMar>
    </w:tblPr>
  </w:style>
  <w:style w:type="table" w:styleId="1055" w:customStyle="1">
    <w:name w:val="List Table 4"/>
    <w:basedOn w:val="905"/>
    <w:uiPriority w:val="99"/>
    <w:qFormat/>
    <w:tblPr>
      <w:tblCellMar>
        <w:left w:w="0" w:type="dxa"/>
        <w:top w:w="0" w:type="dxa"/>
        <w:right w:w="0" w:type="dxa"/>
        <w:bottom w:w="0" w:type="dxa"/>
      </w:tblCellMar>
    </w:tblPr>
  </w:style>
  <w:style w:type="table" w:styleId="1056" w:customStyle="1">
    <w:name w:val="List Table 4 - Accent 1"/>
    <w:basedOn w:val="905"/>
    <w:uiPriority w:val="99"/>
    <w:qFormat/>
    <w:tblPr>
      <w:tblCellMar>
        <w:left w:w="0" w:type="dxa"/>
        <w:top w:w="0" w:type="dxa"/>
        <w:right w:w="0" w:type="dxa"/>
        <w:bottom w:w="0" w:type="dxa"/>
      </w:tblCellMar>
    </w:tblPr>
  </w:style>
  <w:style w:type="table" w:styleId="1057" w:customStyle="1">
    <w:name w:val="List Table 4 - Accent 2"/>
    <w:basedOn w:val="905"/>
    <w:uiPriority w:val="99"/>
    <w:qFormat/>
    <w:tblPr>
      <w:tblCellMar>
        <w:left w:w="0" w:type="dxa"/>
        <w:top w:w="0" w:type="dxa"/>
        <w:right w:w="0" w:type="dxa"/>
        <w:bottom w:w="0" w:type="dxa"/>
      </w:tblCellMar>
    </w:tblPr>
  </w:style>
  <w:style w:type="table" w:styleId="1058" w:customStyle="1">
    <w:name w:val="List Table 4 - Accent 3"/>
    <w:basedOn w:val="905"/>
    <w:uiPriority w:val="99"/>
    <w:qFormat/>
    <w:tblPr>
      <w:tblCellMar>
        <w:left w:w="0" w:type="dxa"/>
        <w:top w:w="0" w:type="dxa"/>
        <w:right w:w="0" w:type="dxa"/>
        <w:bottom w:w="0" w:type="dxa"/>
      </w:tblCellMar>
    </w:tblPr>
  </w:style>
  <w:style w:type="table" w:styleId="1059" w:customStyle="1">
    <w:name w:val="List Table 4 - Accent 4"/>
    <w:basedOn w:val="905"/>
    <w:uiPriority w:val="99"/>
    <w:qFormat/>
    <w:tblPr>
      <w:tblCellMar>
        <w:left w:w="0" w:type="dxa"/>
        <w:top w:w="0" w:type="dxa"/>
        <w:right w:w="0" w:type="dxa"/>
        <w:bottom w:w="0" w:type="dxa"/>
      </w:tblCellMar>
    </w:tblPr>
  </w:style>
  <w:style w:type="table" w:styleId="1060" w:customStyle="1">
    <w:name w:val="List Table 4 - Accent 5"/>
    <w:basedOn w:val="905"/>
    <w:uiPriority w:val="99"/>
    <w:qFormat/>
    <w:tblPr>
      <w:tblCellMar>
        <w:left w:w="0" w:type="dxa"/>
        <w:top w:w="0" w:type="dxa"/>
        <w:right w:w="0" w:type="dxa"/>
        <w:bottom w:w="0" w:type="dxa"/>
      </w:tblCellMar>
    </w:tblPr>
  </w:style>
  <w:style w:type="table" w:styleId="1061" w:customStyle="1">
    <w:name w:val="List Table 4 - Accent 6"/>
    <w:basedOn w:val="905"/>
    <w:uiPriority w:val="99"/>
    <w:qFormat/>
    <w:tblPr>
      <w:tblCellMar>
        <w:left w:w="0" w:type="dxa"/>
        <w:top w:w="0" w:type="dxa"/>
        <w:right w:w="0" w:type="dxa"/>
        <w:bottom w:w="0" w:type="dxa"/>
      </w:tblCellMar>
    </w:tblPr>
  </w:style>
  <w:style w:type="table" w:styleId="1062" w:customStyle="1">
    <w:name w:val="List Table 5 Dark"/>
    <w:basedOn w:val="905"/>
    <w:uiPriority w:val="99"/>
    <w:qFormat/>
    <w:tblPr>
      <w:tblCellMar>
        <w:left w:w="0" w:type="dxa"/>
        <w:top w:w="0" w:type="dxa"/>
        <w:right w:w="0" w:type="dxa"/>
        <w:bottom w:w="0" w:type="dxa"/>
      </w:tblCellMar>
    </w:tblPr>
  </w:style>
  <w:style w:type="table" w:styleId="1063" w:customStyle="1">
    <w:name w:val="List Table 5 Dark - Accent 1"/>
    <w:basedOn w:val="905"/>
    <w:uiPriority w:val="99"/>
    <w:qFormat/>
    <w:tblPr>
      <w:tblCellMar>
        <w:left w:w="0" w:type="dxa"/>
        <w:top w:w="0" w:type="dxa"/>
        <w:right w:w="0" w:type="dxa"/>
        <w:bottom w:w="0" w:type="dxa"/>
      </w:tblCellMar>
    </w:tblPr>
  </w:style>
  <w:style w:type="table" w:styleId="1064" w:customStyle="1">
    <w:name w:val="List Table 5 Dark - Accent 2"/>
    <w:basedOn w:val="905"/>
    <w:uiPriority w:val="99"/>
    <w:qFormat/>
    <w:tblPr>
      <w:tblCellMar>
        <w:left w:w="0" w:type="dxa"/>
        <w:top w:w="0" w:type="dxa"/>
        <w:right w:w="0" w:type="dxa"/>
        <w:bottom w:w="0" w:type="dxa"/>
      </w:tblCellMar>
    </w:tblPr>
  </w:style>
  <w:style w:type="table" w:styleId="1065" w:customStyle="1">
    <w:name w:val="List Table 5 Dark - Accent 3"/>
    <w:basedOn w:val="905"/>
    <w:uiPriority w:val="99"/>
    <w:qFormat/>
    <w:tblPr>
      <w:tblCellMar>
        <w:left w:w="0" w:type="dxa"/>
        <w:top w:w="0" w:type="dxa"/>
        <w:right w:w="0" w:type="dxa"/>
        <w:bottom w:w="0" w:type="dxa"/>
      </w:tblCellMar>
    </w:tblPr>
  </w:style>
  <w:style w:type="table" w:styleId="1066" w:customStyle="1">
    <w:name w:val="List Table 5 Dark - Accent 4"/>
    <w:basedOn w:val="905"/>
    <w:uiPriority w:val="99"/>
    <w:qFormat/>
    <w:tblPr>
      <w:tblCellMar>
        <w:left w:w="0" w:type="dxa"/>
        <w:top w:w="0" w:type="dxa"/>
        <w:right w:w="0" w:type="dxa"/>
        <w:bottom w:w="0" w:type="dxa"/>
      </w:tblCellMar>
    </w:tblPr>
  </w:style>
  <w:style w:type="table" w:styleId="1067" w:customStyle="1">
    <w:name w:val="List Table 5 Dark - Accent 5"/>
    <w:basedOn w:val="905"/>
    <w:uiPriority w:val="99"/>
    <w:qFormat/>
    <w:tblPr>
      <w:tblCellMar>
        <w:left w:w="0" w:type="dxa"/>
        <w:top w:w="0" w:type="dxa"/>
        <w:right w:w="0" w:type="dxa"/>
        <w:bottom w:w="0" w:type="dxa"/>
      </w:tblCellMar>
    </w:tblPr>
  </w:style>
  <w:style w:type="table" w:styleId="1068" w:customStyle="1">
    <w:name w:val="List Table 5 Dark - Accent 6"/>
    <w:basedOn w:val="905"/>
    <w:uiPriority w:val="99"/>
    <w:qFormat/>
    <w:tblPr>
      <w:tblCellMar>
        <w:left w:w="0" w:type="dxa"/>
        <w:top w:w="0" w:type="dxa"/>
        <w:right w:w="0" w:type="dxa"/>
        <w:bottom w:w="0" w:type="dxa"/>
      </w:tblCellMar>
    </w:tblPr>
  </w:style>
  <w:style w:type="table" w:styleId="1069" w:customStyle="1">
    <w:name w:val="List Table 6 Colorful"/>
    <w:basedOn w:val="905"/>
    <w:uiPriority w:val="99"/>
    <w:qFormat/>
    <w:tblPr>
      <w:tblCellMar>
        <w:left w:w="0" w:type="dxa"/>
        <w:top w:w="0" w:type="dxa"/>
        <w:right w:w="0" w:type="dxa"/>
        <w:bottom w:w="0" w:type="dxa"/>
      </w:tblCellMar>
    </w:tblPr>
  </w:style>
  <w:style w:type="table" w:styleId="1070" w:customStyle="1">
    <w:name w:val="List Table 6 Colorful - Accent 1"/>
    <w:basedOn w:val="905"/>
    <w:uiPriority w:val="99"/>
    <w:qFormat/>
    <w:tblPr>
      <w:tblCellMar>
        <w:left w:w="0" w:type="dxa"/>
        <w:top w:w="0" w:type="dxa"/>
        <w:right w:w="0" w:type="dxa"/>
        <w:bottom w:w="0" w:type="dxa"/>
      </w:tblCellMar>
    </w:tblPr>
  </w:style>
  <w:style w:type="table" w:styleId="1071" w:customStyle="1">
    <w:name w:val="List Table 6 Colorful - Accent 2"/>
    <w:basedOn w:val="905"/>
    <w:uiPriority w:val="99"/>
    <w:qFormat/>
    <w:tblPr>
      <w:tblCellMar>
        <w:left w:w="0" w:type="dxa"/>
        <w:top w:w="0" w:type="dxa"/>
        <w:right w:w="0" w:type="dxa"/>
        <w:bottom w:w="0" w:type="dxa"/>
      </w:tblCellMar>
    </w:tblPr>
  </w:style>
  <w:style w:type="table" w:styleId="1072" w:customStyle="1">
    <w:name w:val="List Table 6 Colorful - Accent 3"/>
    <w:basedOn w:val="905"/>
    <w:uiPriority w:val="99"/>
    <w:qFormat/>
    <w:tblPr>
      <w:tblCellMar>
        <w:left w:w="0" w:type="dxa"/>
        <w:top w:w="0" w:type="dxa"/>
        <w:right w:w="0" w:type="dxa"/>
        <w:bottom w:w="0" w:type="dxa"/>
      </w:tblCellMar>
    </w:tblPr>
  </w:style>
  <w:style w:type="table" w:styleId="1073" w:customStyle="1">
    <w:name w:val="List Table 6 Colorful - Accent 4"/>
    <w:basedOn w:val="905"/>
    <w:uiPriority w:val="99"/>
    <w:qFormat/>
    <w:tblPr>
      <w:tblCellMar>
        <w:left w:w="0" w:type="dxa"/>
        <w:top w:w="0" w:type="dxa"/>
        <w:right w:w="0" w:type="dxa"/>
        <w:bottom w:w="0" w:type="dxa"/>
      </w:tblCellMar>
    </w:tblPr>
  </w:style>
  <w:style w:type="table" w:styleId="1074" w:customStyle="1">
    <w:name w:val="List Table 6 Colorful - Accent 5"/>
    <w:basedOn w:val="905"/>
    <w:uiPriority w:val="99"/>
    <w:qFormat/>
    <w:tblPr>
      <w:tblCellMar>
        <w:left w:w="0" w:type="dxa"/>
        <w:top w:w="0" w:type="dxa"/>
        <w:right w:w="0" w:type="dxa"/>
        <w:bottom w:w="0" w:type="dxa"/>
      </w:tblCellMar>
    </w:tblPr>
  </w:style>
  <w:style w:type="table" w:styleId="1075" w:customStyle="1">
    <w:name w:val="List Table 6 Colorful - Accent 6"/>
    <w:basedOn w:val="905"/>
    <w:uiPriority w:val="99"/>
    <w:qFormat/>
    <w:tblPr>
      <w:tblCellMar>
        <w:left w:w="0" w:type="dxa"/>
        <w:top w:w="0" w:type="dxa"/>
        <w:right w:w="0" w:type="dxa"/>
        <w:bottom w:w="0" w:type="dxa"/>
      </w:tblCellMar>
    </w:tblPr>
  </w:style>
  <w:style w:type="table" w:styleId="1076" w:customStyle="1">
    <w:name w:val="List Table 7 Colorful"/>
    <w:basedOn w:val="905"/>
    <w:uiPriority w:val="99"/>
    <w:qFormat/>
    <w:tblPr>
      <w:tblCellMar>
        <w:left w:w="0" w:type="dxa"/>
        <w:top w:w="0" w:type="dxa"/>
        <w:right w:w="0" w:type="dxa"/>
        <w:bottom w:w="0" w:type="dxa"/>
      </w:tblCellMar>
    </w:tblPr>
  </w:style>
  <w:style w:type="table" w:styleId="1077" w:customStyle="1">
    <w:name w:val="List Table 7 Colorful - Accent 1"/>
    <w:basedOn w:val="905"/>
    <w:uiPriority w:val="99"/>
    <w:qFormat/>
    <w:tblPr>
      <w:tblCellMar>
        <w:left w:w="0" w:type="dxa"/>
        <w:top w:w="0" w:type="dxa"/>
        <w:right w:w="0" w:type="dxa"/>
        <w:bottom w:w="0" w:type="dxa"/>
      </w:tblCellMar>
    </w:tblPr>
  </w:style>
  <w:style w:type="table" w:styleId="1078" w:customStyle="1">
    <w:name w:val="List Table 7 Colorful - Accent 2"/>
    <w:basedOn w:val="905"/>
    <w:uiPriority w:val="99"/>
    <w:qFormat/>
    <w:tblPr>
      <w:tblCellMar>
        <w:left w:w="0" w:type="dxa"/>
        <w:top w:w="0" w:type="dxa"/>
        <w:right w:w="0" w:type="dxa"/>
        <w:bottom w:w="0" w:type="dxa"/>
      </w:tblCellMar>
    </w:tblPr>
  </w:style>
  <w:style w:type="table" w:styleId="1079" w:customStyle="1">
    <w:name w:val="List Table 7 Colorful - Accent 3"/>
    <w:basedOn w:val="905"/>
    <w:uiPriority w:val="99"/>
    <w:qFormat/>
    <w:tblPr>
      <w:tblCellMar>
        <w:left w:w="0" w:type="dxa"/>
        <w:top w:w="0" w:type="dxa"/>
        <w:right w:w="0" w:type="dxa"/>
        <w:bottom w:w="0" w:type="dxa"/>
      </w:tblCellMar>
    </w:tblPr>
  </w:style>
  <w:style w:type="table" w:styleId="1080" w:customStyle="1">
    <w:name w:val="List Table 7 Colorful - Accent 4"/>
    <w:basedOn w:val="905"/>
    <w:uiPriority w:val="99"/>
    <w:qFormat/>
    <w:tblPr>
      <w:tblCellMar>
        <w:left w:w="0" w:type="dxa"/>
        <w:top w:w="0" w:type="dxa"/>
        <w:right w:w="0" w:type="dxa"/>
        <w:bottom w:w="0" w:type="dxa"/>
      </w:tblCellMar>
    </w:tblPr>
  </w:style>
  <w:style w:type="table" w:styleId="1081" w:customStyle="1">
    <w:name w:val="List Table 7 Colorful - Accent 5"/>
    <w:basedOn w:val="905"/>
    <w:uiPriority w:val="99"/>
    <w:qFormat/>
    <w:tblPr>
      <w:tblCellMar>
        <w:left w:w="0" w:type="dxa"/>
        <w:top w:w="0" w:type="dxa"/>
        <w:right w:w="0" w:type="dxa"/>
        <w:bottom w:w="0" w:type="dxa"/>
      </w:tblCellMar>
    </w:tblPr>
  </w:style>
  <w:style w:type="table" w:styleId="1082" w:customStyle="1">
    <w:name w:val="List Table 7 Colorful - Accent 6"/>
    <w:basedOn w:val="905"/>
    <w:uiPriority w:val="99"/>
    <w:qFormat/>
    <w:tblPr>
      <w:tblCellMar>
        <w:left w:w="0" w:type="dxa"/>
        <w:top w:w="0" w:type="dxa"/>
        <w:right w:w="0" w:type="dxa"/>
        <w:bottom w:w="0" w:type="dxa"/>
      </w:tblCellMar>
    </w:tblPr>
  </w:style>
  <w:style w:type="table" w:styleId="1083" w:customStyle="1">
    <w:name w:val="Lined - Accent"/>
    <w:basedOn w:val="905"/>
    <w:uiPriority w:val="99"/>
    <w:qFormat/>
    <w:rPr>
      <w:color w:val="404040"/>
    </w:rPr>
    <w:tblPr>
      <w:tblCellMar>
        <w:left w:w="0" w:type="dxa"/>
        <w:top w:w="0" w:type="dxa"/>
        <w:right w:w="0" w:type="dxa"/>
        <w:bottom w:w="0" w:type="dxa"/>
      </w:tblCellMar>
    </w:tblPr>
  </w:style>
  <w:style w:type="table" w:styleId="1084" w:customStyle="1">
    <w:name w:val="Lined - Accent 1"/>
    <w:basedOn w:val="905"/>
    <w:uiPriority w:val="99"/>
    <w:qFormat/>
    <w:rPr>
      <w:color w:val="404040"/>
    </w:rPr>
    <w:tblPr>
      <w:tblCellMar>
        <w:left w:w="0" w:type="dxa"/>
        <w:top w:w="0" w:type="dxa"/>
        <w:right w:w="0" w:type="dxa"/>
        <w:bottom w:w="0" w:type="dxa"/>
      </w:tblCellMar>
    </w:tblPr>
  </w:style>
  <w:style w:type="table" w:styleId="1085" w:customStyle="1">
    <w:name w:val="Lined - Accent 2"/>
    <w:basedOn w:val="905"/>
    <w:uiPriority w:val="99"/>
    <w:qFormat/>
    <w:rPr>
      <w:color w:val="404040"/>
    </w:rPr>
    <w:tblPr>
      <w:tblCellMar>
        <w:left w:w="0" w:type="dxa"/>
        <w:top w:w="0" w:type="dxa"/>
        <w:right w:w="0" w:type="dxa"/>
        <w:bottom w:w="0" w:type="dxa"/>
      </w:tblCellMar>
    </w:tblPr>
  </w:style>
  <w:style w:type="table" w:styleId="1086" w:customStyle="1">
    <w:name w:val="Lined - Accent 3"/>
    <w:basedOn w:val="905"/>
    <w:uiPriority w:val="99"/>
    <w:qFormat/>
    <w:rPr>
      <w:color w:val="404040"/>
    </w:rPr>
    <w:tblPr>
      <w:tblCellMar>
        <w:left w:w="0" w:type="dxa"/>
        <w:top w:w="0" w:type="dxa"/>
        <w:right w:w="0" w:type="dxa"/>
        <w:bottom w:w="0" w:type="dxa"/>
      </w:tblCellMar>
    </w:tblPr>
  </w:style>
  <w:style w:type="table" w:styleId="1087" w:customStyle="1">
    <w:name w:val="Lined - Accent 4"/>
    <w:basedOn w:val="905"/>
    <w:uiPriority w:val="99"/>
    <w:qFormat/>
    <w:rPr>
      <w:color w:val="404040"/>
    </w:rPr>
    <w:tblPr>
      <w:tblCellMar>
        <w:left w:w="0" w:type="dxa"/>
        <w:top w:w="0" w:type="dxa"/>
        <w:right w:w="0" w:type="dxa"/>
        <w:bottom w:w="0" w:type="dxa"/>
      </w:tblCellMar>
    </w:tblPr>
  </w:style>
  <w:style w:type="table" w:styleId="1088" w:customStyle="1">
    <w:name w:val="Lined - Accent 5"/>
    <w:basedOn w:val="905"/>
    <w:uiPriority w:val="99"/>
    <w:qFormat/>
    <w:rPr>
      <w:color w:val="404040"/>
    </w:rPr>
    <w:tblPr>
      <w:tblCellMar>
        <w:left w:w="0" w:type="dxa"/>
        <w:top w:w="0" w:type="dxa"/>
        <w:right w:w="0" w:type="dxa"/>
        <w:bottom w:w="0" w:type="dxa"/>
      </w:tblCellMar>
    </w:tblPr>
  </w:style>
  <w:style w:type="table" w:styleId="1089" w:customStyle="1">
    <w:name w:val="Lined - Accent 6"/>
    <w:basedOn w:val="905"/>
    <w:uiPriority w:val="99"/>
    <w:qFormat/>
    <w:rPr>
      <w:color w:val="404040"/>
    </w:rPr>
    <w:tblPr>
      <w:tblCellMar>
        <w:left w:w="0" w:type="dxa"/>
        <w:top w:w="0" w:type="dxa"/>
        <w:right w:w="0" w:type="dxa"/>
        <w:bottom w:w="0" w:type="dxa"/>
      </w:tblCellMar>
    </w:tblPr>
  </w:style>
  <w:style w:type="table" w:styleId="1090" w:customStyle="1">
    <w:name w:val="Bordered &amp; Lined - Accent"/>
    <w:basedOn w:val="905"/>
    <w:uiPriority w:val="99"/>
    <w:qFormat/>
    <w:rPr>
      <w:color w:val="404040"/>
    </w:rPr>
    <w:tblPr>
      <w:tblCellMar>
        <w:left w:w="0" w:type="dxa"/>
        <w:top w:w="0" w:type="dxa"/>
        <w:right w:w="0" w:type="dxa"/>
        <w:bottom w:w="0" w:type="dxa"/>
      </w:tblCellMar>
    </w:tblPr>
  </w:style>
  <w:style w:type="table" w:styleId="1091" w:customStyle="1">
    <w:name w:val="Bordered &amp; Lined - Accent 1"/>
    <w:basedOn w:val="905"/>
    <w:uiPriority w:val="99"/>
    <w:qFormat/>
    <w:rPr>
      <w:color w:val="404040"/>
    </w:rPr>
    <w:tblPr>
      <w:tblCellMar>
        <w:left w:w="0" w:type="dxa"/>
        <w:top w:w="0" w:type="dxa"/>
        <w:right w:w="0" w:type="dxa"/>
        <w:bottom w:w="0" w:type="dxa"/>
      </w:tblCellMar>
    </w:tblPr>
  </w:style>
  <w:style w:type="table" w:styleId="1092" w:customStyle="1">
    <w:name w:val="Bordered &amp; Lined - Accent 2"/>
    <w:basedOn w:val="905"/>
    <w:uiPriority w:val="99"/>
    <w:qFormat/>
    <w:rPr>
      <w:color w:val="404040"/>
    </w:rPr>
    <w:tblPr>
      <w:tblCellMar>
        <w:left w:w="0" w:type="dxa"/>
        <w:top w:w="0" w:type="dxa"/>
        <w:right w:w="0" w:type="dxa"/>
        <w:bottom w:w="0" w:type="dxa"/>
      </w:tblCellMar>
    </w:tblPr>
  </w:style>
  <w:style w:type="table" w:styleId="1093" w:customStyle="1">
    <w:name w:val="Bordered &amp; Lined - Accent 3"/>
    <w:basedOn w:val="905"/>
    <w:uiPriority w:val="99"/>
    <w:qFormat/>
    <w:rPr>
      <w:color w:val="404040"/>
    </w:rPr>
    <w:tblPr>
      <w:tblCellMar>
        <w:left w:w="0" w:type="dxa"/>
        <w:top w:w="0" w:type="dxa"/>
        <w:right w:w="0" w:type="dxa"/>
        <w:bottom w:w="0" w:type="dxa"/>
      </w:tblCellMar>
    </w:tblPr>
  </w:style>
  <w:style w:type="table" w:styleId="1094" w:customStyle="1">
    <w:name w:val="Bordered &amp; Lined - Accent 4"/>
    <w:basedOn w:val="905"/>
    <w:uiPriority w:val="99"/>
    <w:qFormat/>
    <w:rPr>
      <w:color w:val="404040"/>
    </w:rPr>
    <w:tblPr>
      <w:tblCellMar>
        <w:left w:w="0" w:type="dxa"/>
        <w:top w:w="0" w:type="dxa"/>
        <w:right w:w="0" w:type="dxa"/>
        <w:bottom w:w="0" w:type="dxa"/>
      </w:tblCellMar>
    </w:tblPr>
  </w:style>
  <w:style w:type="table" w:styleId="1095" w:customStyle="1">
    <w:name w:val="Bordered &amp; Lined - Accent 5"/>
    <w:basedOn w:val="905"/>
    <w:uiPriority w:val="99"/>
    <w:qFormat/>
    <w:rPr>
      <w:color w:val="404040"/>
    </w:rPr>
    <w:tblPr>
      <w:tblCellMar>
        <w:left w:w="0" w:type="dxa"/>
        <w:top w:w="0" w:type="dxa"/>
        <w:right w:w="0" w:type="dxa"/>
        <w:bottom w:w="0" w:type="dxa"/>
      </w:tblCellMar>
    </w:tblPr>
  </w:style>
  <w:style w:type="table" w:styleId="1096" w:customStyle="1">
    <w:name w:val="Bordered &amp; Lined - Accent 6"/>
    <w:basedOn w:val="905"/>
    <w:uiPriority w:val="99"/>
    <w:qFormat/>
    <w:rPr>
      <w:color w:val="404040"/>
    </w:rPr>
    <w:tblPr>
      <w:tblCellMar>
        <w:left w:w="0" w:type="dxa"/>
        <w:top w:w="0" w:type="dxa"/>
        <w:right w:w="0" w:type="dxa"/>
        <w:bottom w:w="0" w:type="dxa"/>
      </w:tblCellMar>
    </w:tblPr>
  </w:style>
  <w:style w:type="table" w:styleId="1097" w:customStyle="1">
    <w:name w:val="Bordered"/>
    <w:basedOn w:val="905"/>
    <w:uiPriority w:val="99"/>
    <w:qFormat/>
    <w:tblPr>
      <w:tblCellMar>
        <w:left w:w="0" w:type="dxa"/>
        <w:top w:w="0" w:type="dxa"/>
        <w:right w:w="0" w:type="dxa"/>
        <w:bottom w:w="0" w:type="dxa"/>
      </w:tblCellMar>
    </w:tblPr>
  </w:style>
  <w:style w:type="table" w:styleId="1098" w:customStyle="1">
    <w:name w:val="Bordered - Accent 1"/>
    <w:basedOn w:val="905"/>
    <w:uiPriority w:val="99"/>
    <w:qFormat/>
    <w:tblPr>
      <w:tblCellMar>
        <w:left w:w="0" w:type="dxa"/>
        <w:top w:w="0" w:type="dxa"/>
        <w:right w:w="0" w:type="dxa"/>
        <w:bottom w:w="0" w:type="dxa"/>
      </w:tblCellMar>
    </w:tblPr>
  </w:style>
  <w:style w:type="table" w:styleId="1099" w:customStyle="1">
    <w:name w:val="Bordered - Accent 2"/>
    <w:basedOn w:val="905"/>
    <w:uiPriority w:val="99"/>
    <w:qFormat/>
    <w:tblPr>
      <w:tblCellMar>
        <w:left w:w="0" w:type="dxa"/>
        <w:top w:w="0" w:type="dxa"/>
        <w:right w:w="0" w:type="dxa"/>
        <w:bottom w:w="0" w:type="dxa"/>
      </w:tblCellMar>
    </w:tblPr>
  </w:style>
  <w:style w:type="table" w:styleId="1100" w:customStyle="1">
    <w:name w:val="Bordered - Accent 3"/>
    <w:basedOn w:val="905"/>
    <w:uiPriority w:val="99"/>
    <w:qFormat/>
    <w:tblPr>
      <w:tblCellMar>
        <w:left w:w="0" w:type="dxa"/>
        <w:top w:w="0" w:type="dxa"/>
        <w:right w:w="0" w:type="dxa"/>
        <w:bottom w:w="0" w:type="dxa"/>
      </w:tblCellMar>
    </w:tblPr>
  </w:style>
  <w:style w:type="table" w:styleId="1101" w:customStyle="1">
    <w:name w:val="Bordered - Accent 4"/>
    <w:basedOn w:val="905"/>
    <w:uiPriority w:val="99"/>
    <w:qFormat/>
    <w:tblPr>
      <w:tblCellMar>
        <w:left w:w="0" w:type="dxa"/>
        <w:top w:w="0" w:type="dxa"/>
        <w:right w:w="0" w:type="dxa"/>
        <w:bottom w:w="0" w:type="dxa"/>
      </w:tblCellMar>
    </w:tblPr>
  </w:style>
  <w:style w:type="table" w:styleId="1102" w:customStyle="1">
    <w:name w:val="Bordered - Accent 5"/>
    <w:basedOn w:val="905"/>
    <w:uiPriority w:val="99"/>
    <w:qFormat/>
    <w:tblPr>
      <w:tblCellMar>
        <w:left w:w="0" w:type="dxa"/>
        <w:top w:w="0" w:type="dxa"/>
        <w:right w:w="0" w:type="dxa"/>
        <w:bottom w:w="0" w:type="dxa"/>
      </w:tblCellMar>
    </w:tblPr>
  </w:style>
  <w:style w:type="table" w:styleId="1103" w:customStyle="1">
    <w:name w:val="Bordered - Accent 6"/>
    <w:basedOn w:val="905"/>
    <w:uiPriority w:val="99"/>
    <w:qFormat/>
    <w:tblPr>
      <w:tblCellMar>
        <w:left w:w="0" w:type="dxa"/>
        <w:top w:w="0" w:type="dxa"/>
        <w:right w:w="0" w:type="dxa"/>
        <w:bottom w:w="0" w:type="dxa"/>
      </w:tblCellMar>
    </w:tblPr>
  </w:style>
  <w:style w:type="paragraph" w:styleId="1104" w:customStyle="1">
    <w:name w:val="TOC 标题1"/>
    <w:uiPriority w:val="39"/>
    <w:unhideWhenUsed/>
    <w:qFormat/>
    <w:rPr>
      <w:rFonts w:hint="default" w:ascii="Times New Roman" w:hAnsi="Times New Roman" w:eastAsia="宋体" w:cs="Times New Roman"/>
      <w:lang w:val="en-US" w:eastAsia="zh-CN" w:bidi="ar-SA"/>
    </w:rPr>
  </w:style>
  <w:style w:type="character" w:styleId="1105" w:customStyle="1">
    <w:name w:val="标题 1 Char1"/>
    <w:link w:val="850"/>
    <w:uiPriority w:val="0"/>
    <w:qFormat/>
    <w:rPr>
      <w:rFonts w:ascii="Times New Roman" w:hAnsi="Times New Roman" w:eastAsia="宋体"/>
      <w:b/>
      <w:bCs/>
      <w:sz w:val="32"/>
      <w:szCs w:val="44"/>
      <w:lang w:val="en-US" w:eastAsia="zh-CN" w:bidi="ar-SA"/>
    </w:rPr>
  </w:style>
  <w:style w:type="character" w:styleId="1106" w:customStyle="1">
    <w:name w:val="标题 2 Char"/>
    <w:link w:val="851"/>
    <w:uiPriority w:val="0"/>
    <w:qFormat/>
    <w:rPr>
      <w:rFonts w:ascii="Cambria" w:hAnsi="Cambria" w:eastAsia="宋体"/>
      <w:b/>
      <w:sz w:val="32"/>
      <w:szCs w:val="24"/>
      <w:lang w:val="en-US" w:eastAsia="zh-CN" w:bidi="ar-SA"/>
    </w:rPr>
  </w:style>
  <w:style w:type="character" w:styleId="1107" w:customStyle="1">
    <w:name w:val="标题 3 Char"/>
    <w:link w:val="852"/>
    <w:uiPriority w:val="0"/>
    <w:semiHidden/>
    <w:qFormat/>
    <w:rPr>
      <w:b/>
      <w:bCs/>
      <w:sz w:val="32"/>
      <w:szCs w:val="32"/>
    </w:rPr>
  </w:style>
  <w:style w:type="character" w:styleId="1108" w:customStyle="1">
    <w:name w:val="标题 4 Char"/>
    <w:link w:val="853"/>
    <w:uiPriority w:val="0"/>
    <w:qFormat/>
    <w:rPr>
      <w:rFonts w:eastAsia="宋体"/>
      <w:b/>
      <w:bCs/>
      <w:sz w:val="28"/>
      <w:szCs w:val="28"/>
      <w:lang w:val="en-US" w:eastAsia="zh-CN" w:bidi="ar-SA"/>
    </w:rPr>
  </w:style>
  <w:style w:type="character" w:styleId="1109" w:customStyle="1">
    <w:name w:val="标题 5 Char"/>
    <w:link w:val="854"/>
    <w:uiPriority w:val="0"/>
    <w:qFormat/>
    <w:rPr>
      <w:rFonts w:eastAsia="宋体"/>
      <w:b/>
      <w:bCs/>
      <w:i/>
      <w:iCs/>
      <w:sz w:val="26"/>
      <w:szCs w:val="26"/>
      <w:lang w:val="en-US" w:eastAsia="zh-CN" w:bidi="ar-SA"/>
    </w:rPr>
  </w:style>
  <w:style w:type="paragraph" w:styleId="1110" w:customStyle="1">
    <w:name w:val="Footer1"/>
    <w:basedOn w:val="849"/>
    <w:link w:val="1111"/>
    <w:uiPriority w:val="99"/>
    <w:qFormat/>
    <w:pPr>
      <w:jc w:val="left"/>
      <w:tabs>
        <w:tab w:val="center" w:pos="4153" w:leader="none"/>
        <w:tab w:val="right" w:pos="8306" w:leader="none"/>
      </w:tabs>
    </w:pPr>
    <w:rPr>
      <w:sz w:val="18"/>
      <w:szCs w:val="18"/>
    </w:rPr>
  </w:style>
  <w:style w:type="character" w:styleId="1111" w:customStyle="1">
    <w:name w:val="页脚 字符"/>
    <w:link w:val="1110"/>
    <w:uiPriority w:val="99"/>
    <w:qFormat/>
    <w:rPr>
      <w:rFonts w:eastAsia="宋体"/>
      <w:sz w:val="18"/>
      <w:szCs w:val="18"/>
      <w:lang w:val="en-US" w:eastAsia="zh-CN" w:bidi="ar-SA"/>
    </w:rPr>
  </w:style>
  <w:style w:type="paragraph" w:styleId="1112" w:customStyle="1">
    <w:name w:val="Header1"/>
    <w:basedOn w:val="849"/>
    <w:link w:val="1113"/>
    <w:uiPriority w:val="99"/>
    <w:qFormat/>
    <w:pPr>
      <w:jc w:val="center"/>
      <w:tabs>
        <w:tab w:val="center" w:pos="4153" w:leader="none"/>
        <w:tab w:val="right" w:pos="8306" w:leader="none"/>
      </w:tabs>
      <w:pBdr>
        <w:bottom w:val="single" w:color="000000" w:sz="6" w:space="1"/>
      </w:pBdr>
    </w:pPr>
    <w:rPr>
      <w:sz w:val="18"/>
      <w:szCs w:val="18"/>
    </w:rPr>
  </w:style>
  <w:style w:type="character" w:styleId="1113" w:customStyle="1">
    <w:name w:val="页眉 字符"/>
    <w:link w:val="1112"/>
    <w:uiPriority w:val="99"/>
    <w:qFormat/>
    <w:rPr>
      <w:rFonts w:eastAsia="宋体"/>
      <w:sz w:val="18"/>
      <w:szCs w:val="18"/>
      <w:lang w:val="en-US" w:eastAsia="zh-CN" w:bidi="ar-SA"/>
    </w:rPr>
  </w:style>
  <w:style w:type="paragraph" w:styleId="1114" w:customStyle="1">
    <w:name w:val="首行缩进"/>
    <w:basedOn w:val="849"/>
    <w:uiPriority w:val="0"/>
    <w:qFormat/>
    <w:pPr>
      <w:ind w:firstLine="480"/>
    </w:pPr>
    <w:rPr>
      <w:szCs w:val="20"/>
      <w:lang w:val="zh-CN"/>
    </w:rPr>
  </w:style>
  <w:style w:type="paragraph" w:styleId="1115" w:customStyle="1">
    <w:name w:val="正文1"/>
    <w:next w:val="849"/>
    <w:uiPriority w:val="0"/>
    <w:qFormat/>
    <w:pPr>
      <w:ind w:firstLine="480"/>
      <w:jc w:val="both"/>
      <w:widowControl w:val="off"/>
    </w:pPr>
    <w:rPr>
      <w:rFonts w:hint="default" w:ascii="宋体" w:hAnsi="宋体" w:eastAsia="宋体" w:cs="Times New Roman"/>
      <w:sz w:val="24"/>
      <w:szCs w:val="24"/>
      <w:lang w:val="en-US" w:eastAsia="zh-CN" w:bidi="ar-SA"/>
    </w:rPr>
  </w:style>
  <w:style w:type="paragraph" w:styleId="1116" w:customStyle="1">
    <w:name w:val="Default"/>
    <w:uiPriority w:val="0"/>
    <w:qFormat/>
    <w:pPr>
      <w:widowControl w:val="off"/>
    </w:pPr>
    <w:rPr>
      <w:rFonts w:hint="default" w:ascii="仿宋v.萀" w:hAnsi="Times New Roman" w:eastAsia="仿宋v.萀" w:cs="仿宋v.萀"/>
      <w:color w:val="000000"/>
      <w:sz w:val="24"/>
      <w:szCs w:val="24"/>
      <w:lang w:val="en-US" w:eastAsia="zh-CN" w:bidi="ar-SA"/>
    </w:rPr>
  </w:style>
  <w:style w:type="paragraph" w:styleId="1117" w:customStyle="1">
    <w:name w:val="xl35"/>
    <w:next w:val="849"/>
    <w:uiPriority w:val="0"/>
    <w:qFormat/>
    <w:pPr>
      <w:spacing w:before="100" w:beforeAutospacing="1" w:after="100" w:afterAutospacing="1"/>
      <w:pBdr>
        <w:top w:val="single" w:color="000000" w:sz="4" w:space="0"/>
        <w:left w:val="single" w:color="000000" w:sz="4" w:space="0"/>
        <w:bottom w:val="single" w:color="000000" w:sz="8" w:space="0"/>
      </w:pBdr>
    </w:pPr>
    <w:rPr>
      <w:rFonts w:hint="default" w:ascii="宋体" w:hAnsi="宋体" w:eastAsia="宋体" w:cs="Times New Roman"/>
      <w:lang w:val="en-US" w:eastAsia="zh-CN" w:bidi="ar-SA"/>
    </w:rPr>
  </w:style>
  <w:style w:type="paragraph" w:styleId="1118"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9" w:customStyle="1">
    <w:name w:val="Char Char Char Char Char Char Char"/>
    <w:basedOn w:val="849"/>
    <w:uiPriority w:val="0"/>
    <w:qFormat/>
  </w:style>
  <w:style w:type="paragraph" w:styleId="1120" w:customStyle="1">
    <w:name w:val="p0"/>
    <w:basedOn w:val="849"/>
    <w:uiPriority w:val="0"/>
    <w:qFormat/>
    <w:pPr>
      <w:jc w:val="left"/>
      <w:widowControl/>
    </w:pPr>
    <w:rPr>
      <w:sz w:val="24"/>
    </w:rPr>
  </w:style>
  <w:style w:type="paragraph" w:styleId="1121" w:customStyle="1">
    <w:name w:val="Char Char Char Char Char Char Char Char Char1 Char Char Char Char"/>
    <w:basedOn w:val="911"/>
    <w:uiPriority w:val="0"/>
    <w:qFormat/>
    <w:rPr>
      <w:rFonts w:eastAsia="楷体_GB2312"/>
      <w:sz w:val="26"/>
      <w:szCs w:val="20"/>
    </w:rPr>
  </w:style>
  <w:style w:type="paragraph" w:styleId="1122" w:customStyle="1">
    <w:name w:val="格式３"/>
    <w:basedOn w:val="849"/>
    <w:uiPriority w:val="0"/>
    <w:qFormat/>
    <w:pPr>
      <w:ind w:left="600" w:hanging="600"/>
      <w:spacing w:line="420" w:lineRule="exact"/>
    </w:pPr>
    <w:rPr>
      <w:rFonts w:ascii="宋体" w:hAnsi="宋体"/>
      <w:color w:val="000000"/>
      <w:sz w:val="24"/>
      <w:szCs w:val="20"/>
    </w:rPr>
  </w:style>
  <w:style w:type="paragraph" w:styleId="1123" w:customStyle="1">
    <w:name w:val="正文2"/>
    <w:uiPriority w:val="0"/>
    <w:qFormat/>
    <w:pPr>
      <w:jc w:val="both"/>
      <w:spacing w:line="312" w:lineRule="atLeast"/>
      <w:widowControl w:val="off"/>
    </w:pPr>
    <w:rPr>
      <w:rFonts w:hint="default" w:ascii="宋体" w:hAnsi="Times New Roman" w:eastAsia="宋体" w:cs="Times New Roman"/>
      <w:sz w:val="34"/>
      <w:szCs w:val="22"/>
      <w:lang w:val="en-US" w:eastAsia="zh-CN" w:bidi="ar-SA"/>
    </w:rPr>
  </w:style>
  <w:style w:type="paragraph" w:styleId="1124" w:customStyle="1">
    <w:name w:val="Char1 Char Char Char"/>
    <w:basedOn w:val="849"/>
    <w:uiPriority w:val="0"/>
    <w:qFormat/>
    <w:rPr>
      <w:rFonts w:ascii="Tahoma" w:hAnsi="Tahoma"/>
      <w:sz w:val="24"/>
      <w:szCs w:val="20"/>
    </w:rPr>
  </w:style>
  <w:style w:type="paragraph" w:styleId="1125" w:customStyle="1">
    <w:name w:val="Char Char Char Char Char Char Char Char Char Char"/>
    <w:basedOn w:val="849"/>
    <w:uiPriority w:val="0"/>
    <w:qFormat/>
    <w:pPr>
      <w:ind w:left="420" w:hanging="420"/>
      <w:tabs>
        <w:tab w:val="left" w:pos="420" w:leader="none"/>
      </w:tabs>
    </w:pPr>
    <w:rPr>
      <w:sz w:val="24"/>
    </w:rPr>
  </w:style>
  <w:style w:type="paragraph" w:styleId="1126" w:customStyle="1">
    <w:name w:val="Char Char Char Char"/>
    <w:basedOn w:val="911"/>
    <w:uiPriority w:val="0"/>
    <w:qFormat/>
    <w:rPr>
      <w:sz w:val="24"/>
      <w:szCs w:val="20"/>
    </w:rPr>
  </w:style>
  <w:style w:type="paragraph" w:styleId="1127" w:customStyle="1">
    <w:name w:val="纯文本3"/>
    <w:basedOn w:val="849"/>
    <w:uiPriority w:val="0"/>
    <w:qFormat/>
    <w:rPr>
      <w:rFonts w:ascii="宋体" w:hAnsi="Courier New" w:eastAsia="楷体_GB2312"/>
      <w:sz w:val="28"/>
      <w:szCs w:val="20"/>
    </w:rPr>
  </w:style>
  <w:style w:type="paragraph" w:styleId="1128" w:customStyle="1">
    <w:name w:val="正文21"/>
    <w:basedOn w:val="849"/>
    <w:uiPriority w:val="0"/>
    <w:qFormat/>
    <w:pPr>
      <w:ind w:firstLine="200"/>
      <w:jc w:val="left"/>
      <w:spacing w:after="160"/>
      <w:widowControl/>
    </w:pPr>
    <w:rPr>
      <w:rFonts w:ascii="Verdana" w:hAnsi="Verdana" w:eastAsia="黑体"/>
      <w:szCs w:val="20"/>
      <w:lang w:eastAsia="en-US"/>
    </w:rPr>
  </w:style>
  <w:style w:type="paragraph" w:styleId="1129" w:customStyle="1">
    <w:name w:val="+标题2"/>
    <w:basedOn w:val="851"/>
    <w:link w:val="1130"/>
    <w:uiPriority w:val="0"/>
    <w:qFormat/>
    <w:pPr>
      <w:numPr>
        <w:ilvl w:val="1"/>
        <w:numId w:val="2"/>
      </w:numPr>
      <w:spacing w:before="120" w:after="120" w:line="360" w:lineRule="auto"/>
      <w:tabs>
        <w:tab w:val="left" w:pos="431" w:leader="none"/>
      </w:tabs>
    </w:pPr>
    <w:rPr>
      <w:rFonts w:ascii="Times New Roman" w:hAnsi="Times New Roman"/>
      <w:sz w:val="24"/>
      <w:szCs w:val="20"/>
    </w:rPr>
  </w:style>
  <w:style w:type="character" w:styleId="1130" w:customStyle="1">
    <w:name w:val="+标题2 Char Char"/>
    <w:link w:val="1129"/>
    <w:uiPriority w:val="0"/>
    <w:qFormat/>
    <w:rPr>
      <w:rFonts w:eastAsia="宋体"/>
      <w:b/>
      <w:sz w:val="24"/>
      <w:lang w:val="en-US" w:eastAsia="zh-CN" w:bidi="ar-SA"/>
    </w:rPr>
  </w:style>
  <w:style w:type="paragraph" w:styleId="1131" w:customStyle="1">
    <w:name w:val="财政-标题三"/>
    <w:basedOn w:val="849"/>
    <w:uiPriority w:val="0"/>
    <w:qFormat/>
    <w:pPr>
      <w:numPr>
        <w:ilvl w:val="2"/>
        <w:numId w:val="3"/>
      </w:numPr>
      <w:outlineLvl w:val="2"/>
    </w:pPr>
    <w:rPr>
      <w:b/>
      <w:sz w:val="32"/>
      <w:szCs w:val="21"/>
    </w:rPr>
  </w:style>
  <w:style w:type="paragraph" w:styleId="1132">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133" w:customStyle="1">
    <w:name w:val="Char Char Char"/>
    <w:basedOn w:val="911"/>
    <w:uiPriority w:val="0"/>
    <w:qFormat/>
    <w:rPr>
      <w:rFonts w:ascii="Tahoma" w:hAnsi="Tahoma"/>
      <w:sz w:val="24"/>
    </w:rPr>
  </w:style>
  <w:style w:type="paragraph" w:styleId="1134" w:customStyle="1">
    <w:name w:val="+正文"/>
    <w:basedOn w:val="849"/>
    <w:link w:val="1135"/>
    <w:uiPriority w:val="0"/>
    <w:qFormat/>
    <w:pPr>
      <w:ind w:firstLine="200"/>
    </w:pPr>
    <w:rPr>
      <w:sz w:val="24"/>
    </w:rPr>
  </w:style>
  <w:style w:type="character" w:styleId="1135" w:customStyle="1">
    <w:name w:val="+正文 Char3"/>
    <w:link w:val="1134"/>
    <w:uiPriority w:val="0"/>
    <w:qFormat/>
    <w:rPr>
      <w:sz w:val="24"/>
      <w:szCs w:val="24"/>
    </w:rPr>
  </w:style>
  <w:style w:type="paragraph" w:styleId="1136" w:customStyle="1">
    <w:name w:val="图名"/>
    <w:basedOn w:val="849"/>
    <w:uiPriority w:val="0"/>
    <w:qFormat/>
    <w:pPr>
      <w:jc w:val="center"/>
    </w:pPr>
    <w:rPr>
      <w:rFonts w:ascii="宋体" w:hAnsi="宋体"/>
      <w:b/>
      <w:szCs w:val="22"/>
    </w:rPr>
  </w:style>
  <w:style w:type="paragraph" w:styleId="1137" w:customStyle="1">
    <w:name w:val="图片"/>
    <w:basedOn w:val="849"/>
    <w:uiPriority w:val="0"/>
    <w:qFormat/>
    <w:pPr>
      <w:jc w:val="center"/>
    </w:pPr>
    <w:rPr>
      <w:b/>
      <w:szCs w:val="22"/>
    </w:rPr>
  </w:style>
  <w:style w:type="paragraph" w:styleId="1138" w:customStyle="1">
    <w:name w:val="表名"/>
    <w:basedOn w:val="1139"/>
    <w:uiPriority w:val="0"/>
    <w:qFormat/>
    <w:pPr>
      <w:jc w:val="right"/>
    </w:pPr>
    <w:rPr>
      <w:b/>
    </w:rPr>
  </w:style>
  <w:style w:type="paragraph" w:styleId="1139" w:customStyle="1">
    <w:name w:val="表格"/>
    <w:basedOn w:val="849"/>
    <w:uiPriority w:val="0"/>
    <w:qFormat/>
    <w:pPr>
      <w:jc w:val="center"/>
    </w:pPr>
    <w:rPr>
      <w:szCs w:val="22"/>
    </w:rPr>
  </w:style>
  <w:style w:type="paragraph" w:styleId="1140" w:customStyle="1">
    <w:name w:val="表"/>
    <w:basedOn w:val="849"/>
    <w:uiPriority w:val="0"/>
    <w:qFormat/>
    <w:pPr>
      <w:jc w:val="center"/>
    </w:pPr>
    <w:rPr>
      <w:szCs w:val="20"/>
    </w:rPr>
  </w:style>
  <w:style w:type="paragraph" w:styleId="1141" w:customStyle="1">
    <w:name w:val="+列表1"/>
    <w:basedOn w:val="849"/>
    <w:link w:val="1142"/>
    <w:uiPriority w:val="0"/>
    <w:qFormat/>
    <w:pPr>
      <w:jc w:val="center"/>
    </w:pPr>
    <w:rPr>
      <w:sz w:val="24"/>
    </w:rPr>
  </w:style>
  <w:style w:type="character" w:styleId="1142" w:customStyle="1">
    <w:name w:val="+列表1 Char Char Char Char Char Char"/>
    <w:link w:val="1141"/>
    <w:uiPriority w:val="0"/>
    <w:qFormat/>
    <w:rPr>
      <w:rFonts w:eastAsia="宋体"/>
      <w:sz w:val="24"/>
      <w:szCs w:val="24"/>
      <w:lang w:val="en-US" w:eastAsia="zh-CN" w:bidi="ar-SA"/>
    </w:rPr>
  </w:style>
  <w:style w:type="paragraph" w:styleId="1143" w:customStyle="1">
    <w:name w:val="纯文本1"/>
    <w:basedOn w:val="849"/>
    <w:next w:val="878"/>
    <w:uiPriority w:val="0"/>
    <w:qFormat/>
    <w:rPr>
      <w:rFonts w:ascii="宋体" w:hAnsi="Courier New" w:eastAsia="楷体_GB2312"/>
      <w:sz w:val="28"/>
      <w:szCs w:val="20"/>
    </w:rPr>
  </w:style>
  <w:style w:type="paragraph" w:styleId="1144" w:customStyle="1">
    <w:name w:val="Plain Text1"/>
    <w:basedOn w:val="849"/>
    <w:uiPriority w:val="0"/>
    <w:qFormat/>
    <w:rPr>
      <w:rFonts w:ascii="宋体" w:hAnsi="Courier New" w:eastAsia="楷体_GB2312"/>
      <w:sz w:val="26"/>
      <w:szCs w:val="20"/>
    </w:rPr>
  </w:style>
  <w:style w:type="paragraph" w:styleId="1145" w:customStyle="1">
    <w:name w:val="UserStyle_7"/>
    <w:next w:val="849"/>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1146" w:customStyle="1">
    <w:name w:val="xl44"/>
    <w:basedOn w:val="849"/>
    <w:uiPriority w:val="0"/>
    <w:qFormat/>
    <w:pPr>
      <w:jc w:val="center"/>
      <w:spacing w:before="100" w:beforeAutospacing="1" w:after="100" w:afterAutospacing="1"/>
      <w:widowControl/>
      <w:pBdr>
        <w:left w:val="single" w:color="000000" w:sz="6" w:space="0"/>
      </w:pBdr>
    </w:pPr>
    <w:rPr>
      <w:rFonts w:ascii="Arial Unicode MS" w:hAnsi="Arial Unicode MS" w:eastAsia="Arial Unicode MS"/>
      <w:sz w:val="24"/>
      <w:szCs w:val="20"/>
    </w:rPr>
  </w:style>
  <w:style w:type="paragraph" w:styleId="1147" w:customStyle="1">
    <w:name w:val="纯文本2"/>
    <w:basedOn w:val="849"/>
    <w:uiPriority w:val="0"/>
    <w:qFormat/>
    <w:pPr>
      <w:jc w:val="left"/>
      <w:widowControl/>
    </w:pPr>
    <w:rPr>
      <w:rFonts w:ascii="宋体" w:hAnsi="Courier New" w:eastAsia="楷体_GB2312"/>
      <w:sz w:val="26"/>
      <w:szCs w:val="20"/>
    </w:rPr>
  </w:style>
  <w:style w:type="paragraph" w:styleId="1148" w:customStyle="1">
    <w:name w:val="TOC 标题11"/>
    <w:basedOn w:val="850"/>
    <w:next w:val="849"/>
    <w:uiPriority w:val="0"/>
    <w:qFormat/>
    <w:pPr>
      <w:jc w:val="left"/>
      <w:spacing w:before="480" w:after="0" w:line="276" w:lineRule="auto"/>
      <w:widowControl/>
      <w:outlineLvl w:val="9"/>
    </w:pPr>
    <w:rPr>
      <w:rFonts w:ascii="Cambria" w:hAnsi="Cambria"/>
      <w:color w:val="365f91"/>
      <w:sz w:val="28"/>
      <w:szCs w:val="28"/>
    </w:rPr>
  </w:style>
  <w:style w:type="paragraph" w:styleId="1149" w:customStyle="1">
    <w:name w:val="Char Char Char Char Char Char Char Char Char1 Char"/>
    <w:basedOn w:val="911"/>
    <w:uiPriority w:val="0"/>
    <w:qFormat/>
    <w:rPr>
      <w:rFonts w:ascii="Tahoma" w:hAnsi="Tahoma"/>
      <w:sz w:val="24"/>
    </w:rPr>
  </w:style>
  <w:style w:type="paragraph" w:styleId="1150" w:customStyle="1">
    <w:name w:val="表文字"/>
    <w:uiPriority w:val="0"/>
    <w:qFormat/>
    <w:pPr>
      <w:jc w:val="center"/>
    </w:pPr>
    <w:rPr>
      <w:rFonts w:hint="default" w:ascii="Times New Roman" w:hAnsi="Times New Roman" w:eastAsia="宋体" w:cs="Times New Roman"/>
      <w:bCs/>
      <w:sz w:val="21"/>
      <w:szCs w:val="24"/>
      <w:lang w:val="en-US" w:eastAsia="zh-CN" w:bidi="ar-SA"/>
    </w:rPr>
  </w:style>
  <w:style w:type="paragraph" w:styleId="1151" w:customStyle="1">
    <w:name w:val="正文标准"/>
    <w:basedOn w:val="849"/>
    <w:uiPriority w:val="0"/>
    <w:qFormat/>
    <w:pPr>
      <w:ind w:firstLine="200"/>
    </w:pPr>
    <w:rPr>
      <w:rFonts w:hAnsi="宋体"/>
      <w:sz w:val="24"/>
    </w:rPr>
  </w:style>
  <w:style w:type="paragraph" w:styleId="1152" w:customStyle="1">
    <w:name w:val="纯文本4"/>
    <w:basedOn w:val="849"/>
    <w:link w:val="1153"/>
    <w:uiPriority w:val="0"/>
    <w:qFormat/>
    <w:rPr>
      <w:rFonts w:ascii="宋体" w:hAnsi="Courier New" w:eastAsia="楷体_GB2312"/>
      <w:sz w:val="28"/>
      <w:szCs w:val="20"/>
    </w:rPr>
  </w:style>
  <w:style w:type="character" w:styleId="1153" w:customStyle="1">
    <w:name w:val="Plain Text Char Char"/>
    <w:link w:val="1152"/>
    <w:uiPriority w:val="0"/>
    <w:qFormat/>
    <w:rPr>
      <w:rFonts w:ascii="宋体" w:hAnsi="Courier New" w:eastAsia="楷体_GB2312"/>
      <w:sz w:val="28"/>
      <w:lang w:val="en-US" w:eastAsia="zh-CN" w:bidi="ar-SA"/>
    </w:rPr>
  </w:style>
  <w:style w:type="paragraph" w:styleId="1154" w:customStyle="1">
    <w:name w:val="p25"/>
    <w:basedOn w:val="849"/>
    <w:uiPriority w:val="0"/>
    <w:qFormat/>
    <w:pPr>
      <w:jc w:val="left"/>
      <w:widowControl/>
    </w:pPr>
    <w:rPr>
      <w:rFonts w:ascii="黑体" w:hAnsi="黑体" w:eastAsia="黑体" w:cs="黑体"/>
      <w:sz w:val="26"/>
      <w:szCs w:val="26"/>
    </w:rPr>
  </w:style>
  <w:style w:type="paragraph" w:styleId="1155" w:customStyle="1">
    <w:name w:val="Char"/>
    <w:basedOn w:val="849"/>
    <w:uiPriority w:val="0"/>
    <w:qFormat/>
    <w:pPr>
      <w:ind w:left="420" w:hanging="420"/>
      <w:tabs>
        <w:tab w:val="left" w:pos="420" w:leader="none"/>
      </w:tabs>
    </w:pPr>
    <w:rPr>
      <w:sz w:val="24"/>
    </w:rPr>
  </w:style>
  <w:style w:type="paragraph" w:styleId="1156" w:customStyle="1">
    <w:name w:val="BodyTextIndent31"/>
    <w:basedOn w:val="849"/>
    <w:link w:val="1157"/>
    <w:uiPriority w:val="0"/>
    <w:semiHidden/>
    <w:qFormat/>
    <w:pPr>
      <w:ind w:left="420"/>
      <w:jc w:val="left"/>
      <w:spacing w:after="120"/>
      <w:widowControl/>
    </w:pPr>
    <w:rPr>
      <w:sz w:val="16"/>
      <w:szCs w:val="16"/>
    </w:rPr>
  </w:style>
  <w:style w:type="character" w:styleId="1157" w:customStyle="1">
    <w:name w:val="UserStyle_5"/>
    <w:link w:val="1156"/>
    <w:uiPriority w:val="0"/>
    <w:semiHidden/>
    <w:qFormat/>
    <w:rPr>
      <w:sz w:val="16"/>
      <w:szCs w:val="16"/>
    </w:rPr>
  </w:style>
  <w:style w:type="paragraph" w:styleId="1158" w:customStyle="1">
    <w:name w:val="列表段落1"/>
    <w:basedOn w:val="849"/>
    <w:uiPriority w:val="0"/>
    <w:qFormat/>
    <w:pPr>
      <w:ind w:firstLine="420"/>
      <w:jc w:val="left"/>
    </w:pPr>
    <w:rPr>
      <w:sz w:val="24"/>
      <w:szCs w:val="22"/>
    </w:rPr>
  </w:style>
  <w:style w:type="paragraph" w:styleId="1159" w:customStyle="1">
    <w:name w:val="+● Char Char Char"/>
    <w:basedOn w:val="849"/>
    <w:link w:val="1160"/>
    <w:uiPriority w:val="0"/>
    <w:qFormat/>
    <w:pPr>
      <w:numPr>
        <w:ilvl w:val="0"/>
        <w:numId w:val="4"/>
      </w:numPr>
      <w:ind w:firstLine="480"/>
      <w:tabs>
        <w:tab w:val="left" w:pos="958" w:leader="none"/>
      </w:tabs>
    </w:pPr>
    <w:rPr>
      <w:sz w:val="24"/>
      <w:szCs w:val="28"/>
    </w:rPr>
  </w:style>
  <w:style w:type="character" w:styleId="1160" w:customStyle="1">
    <w:name w:val="+● Char Char Char Char Char Char"/>
    <w:link w:val="1159"/>
    <w:uiPriority w:val="0"/>
    <w:qFormat/>
    <w:rPr>
      <w:rFonts w:eastAsia="宋体"/>
      <w:sz w:val="24"/>
      <w:szCs w:val="28"/>
      <w:lang w:val="en-US" w:eastAsia="zh-CN" w:bidi="ar-SA"/>
    </w:rPr>
  </w:style>
  <w:style w:type="paragraph" w:styleId="1161" w:customStyle="1">
    <w:name w:val="Char Char Char1 Char Char Char Char"/>
    <w:basedOn w:val="849"/>
    <w:uiPriority w:val="0"/>
    <w:qFormat/>
    <w:pPr>
      <w:jc w:val="left"/>
      <w:spacing w:after="160" w:line="240" w:lineRule="exact"/>
      <w:widowControl/>
    </w:pPr>
    <w:rPr>
      <w:sz w:val="24"/>
    </w:rPr>
  </w:style>
  <w:style w:type="paragraph" w:styleId="1162" w:customStyle="1">
    <w:name w:val="方案文档"/>
    <w:link w:val="1163"/>
    <w:uiPriority w:val="0"/>
    <w:qFormat/>
    <w:pPr>
      <w:ind w:firstLine="200"/>
      <w:spacing w:before="156" w:after="156" w:line="360" w:lineRule="auto"/>
    </w:pPr>
    <w:rPr>
      <w:rFonts w:hint="default" w:ascii="Times New Roman" w:hAnsi="Times New Roman" w:eastAsia="Times New Roman" w:cs="Times New Roman"/>
      <w:sz w:val="24"/>
      <w:szCs w:val="24"/>
      <w:lang w:val="en-US" w:eastAsia="zh-CN" w:bidi="ar-SA"/>
    </w:rPr>
  </w:style>
  <w:style w:type="character" w:styleId="1163" w:customStyle="1">
    <w:name w:val="方案文档 Char Char"/>
    <w:link w:val="1162"/>
    <w:uiPriority w:val="0"/>
    <w:qFormat/>
    <w:rPr>
      <w:rFonts w:eastAsia="Times New Roman"/>
      <w:sz w:val="24"/>
      <w:szCs w:val="24"/>
      <w:lang w:val="en-US" w:eastAsia="zh-CN" w:bidi="ar-SA"/>
    </w:rPr>
  </w:style>
  <w:style w:type="character" w:styleId="1164" w:customStyle="1">
    <w:name w:val="NormalCharacter1"/>
    <w:uiPriority w:val="0"/>
    <w:semiHidden/>
    <w:qFormat/>
  </w:style>
  <w:style w:type="character" w:styleId="1165" w:customStyle="1">
    <w:name w:val="Footer Char"/>
    <w:uiPriority w:val="0"/>
    <w:qFormat/>
    <w:rPr>
      <w:rFonts w:ascii="Times New Roman" w:hAnsi="Times New Roman" w:cs="Times New Roman"/>
      <w:sz w:val="18"/>
      <w:szCs w:val="18"/>
    </w:rPr>
  </w:style>
  <w:style w:type="character" w:styleId="1166" w:customStyle="1">
    <w:name w:val="纯文本 Char Char2"/>
    <w:uiPriority w:val="0"/>
    <w:qFormat/>
    <w:rPr>
      <w:rFonts w:ascii="宋体" w:hAnsi="Courier New" w:eastAsia="楷体_GB2312"/>
      <w:sz w:val="26"/>
      <w:szCs w:val="24"/>
      <w:lang w:val="en-US" w:eastAsia="zh-CN" w:bidi="ar-SA"/>
    </w:rPr>
  </w:style>
  <w:style w:type="character" w:styleId="1167" w:customStyle="1">
    <w:name w:val="首行缩进两字 Char2"/>
    <w:uiPriority w:val="0"/>
    <w:qFormat/>
    <w:rPr>
      <w:rFonts w:eastAsia="楷体_GB2312"/>
      <w:sz w:val="24"/>
      <w:lang w:val="en-US" w:eastAsia="zh-CN" w:bidi="ar-SA"/>
    </w:rPr>
  </w:style>
  <w:style w:type="character" w:styleId="1168" w:customStyle="1">
    <w:name w:val="正文缩进 字符"/>
    <w:uiPriority w:val="0"/>
    <w:qFormat/>
    <w:rPr>
      <w:rFonts w:eastAsia="楷体_GB2312"/>
      <w:sz w:val="24"/>
    </w:rPr>
  </w:style>
  <w:style w:type="character" w:styleId="1169" w:customStyle="1">
    <w:name w:val="Char Char17"/>
    <w:uiPriority w:val="0"/>
    <w:qFormat/>
    <w:rPr>
      <w:rFonts w:eastAsia="楷体_GB2312"/>
      <w:sz w:val="24"/>
      <w:lang w:val="en-US" w:eastAsia="zh-CN" w:bidi="ar-SA"/>
    </w:rPr>
  </w:style>
  <w:style w:type="character" w:styleId="1170" w:customStyle="1">
    <w:name w:val="Heading 4 Char"/>
    <w:uiPriority w:val="0"/>
    <w:qFormat/>
    <w:rPr>
      <w:rFonts w:ascii="Times New Roman" w:hAnsi="Times New Roman" w:eastAsia="宋体" w:cs="Times New Roman"/>
      <w:b/>
      <w:bCs/>
      <w:sz w:val="28"/>
      <w:szCs w:val="28"/>
    </w:rPr>
  </w:style>
  <w:style w:type="character" w:styleId="1171" w:customStyle="1">
    <w:name w:val="Header Char"/>
    <w:uiPriority w:val="0"/>
    <w:semiHidden/>
    <w:qFormat/>
    <w:rPr>
      <w:rFonts w:eastAsia="宋体" w:cs="Times New Roman"/>
      <w:sz w:val="18"/>
      <w:szCs w:val="24"/>
      <w:lang w:val="en-US" w:eastAsia="zh-CN"/>
    </w:rPr>
  </w:style>
  <w:style w:type="character" w:styleId="1172" w:customStyle="1">
    <w:name w:val="首行缩进两字 Char1"/>
    <w:uiPriority w:val="0"/>
    <w:qFormat/>
    <w:rPr>
      <w:rFonts w:eastAsia="楷体_GB2312"/>
      <w:sz w:val="24"/>
      <w:lang w:val="en-US" w:eastAsia="zh-CN" w:bidi="ar-SA"/>
    </w:rPr>
  </w:style>
  <w:style w:type="character" w:styleId="1173" w:customStyle="1">
    <w:name w:val="标题 Char1"/>
    <w:uiPriority w:val="0"/>
    <w:qFormat/>
    <w:rPr>
      <w:rFonts w:ascii="Cambria" w:hAnsi="Cambria" w:cs="Times New Roman"/>
      <w:b/>
      <w:bCs/>
      <w:sz w:val="32"/>
      <w:szCs w:val="32"/>
    </w:rPr>
  </w:style>
  <w:style w:type="character" w:styleId="1174" w:customStyle="1">
    <w:name w:val="Heading 3 Char"/>
    <w:uiPriority w:val="0"/>
    <w:qFormat/>
    <w:rPr>
      <w:rFonts w:ascii="Times New Roman" w:hAnsi="Times New Roman" w:cs="Times New Roman"/>
      <w:b/>
      <w:bCs/>
      <w:sz w:val="32"/>
      <w:szCs w:val="32"/>
    </w:rPr>
  </w:style>
  <w:style w:type="character" w:styleId="1175" w:customStyle="1">
    <w:name w:val="c lh15"/>
    <w:basedOn w:val="904"/>
    <w:uiPriority w:val="0"/>
    <w:qFormat/>
  </w:style>
  <w:style w:type="character" w:styleId="1176" w:customStyle="1">
    <w:name w:val="Heading 5 Char"/>
    <w:uiPriority w:val="0"/>
    <w:qFormat/>
    <w:rPr>
      <w:rFonts w:ascii="Times New Roman" w:hAnsi="Times New Roman" w:cs="Times New Roman"/>
      <w:b/>
      <w:bCs/>
      <w:sz w:val="28"/>
      <w:szCs w:val="28"/>
    </w:rPr>
  </w:style>
  <w:style w:type="character" w:styleId="1177" w:customStyle="1">
    <w:name w:val="font11"/>
    <w:basedOn w:val="904"/>
    <w:uiPriority w:val="0"/>
    <w:qFormat/>
    <w:rPr>
      <w:rFonts w:hint="eastAsia" w:ascii="宋体" w:hAnsi="宋体" w:eastAsia="宋体" w:cs="宋体"/>
      <w:color w:val="000000"/>
      <w:sz w:val="24"/>
      <w:szCs w:val="24"/>
      <w:u w:val="none"/>
    </w:rPr>
  </w:style>
  <w:style w:type="character" w:styleId="1178" w:customStyle="1">
    <w:name w:val="font21"/>
    <w:basedOn w:val="904"/>
    <w:uiPriority w:val="0"/>
    <w:qFormat/>
    <w:rPr>
      <w:rFonts w:hint="eastAsia" w:ascii="宋体" w:hAnsi="宋体" w:eastAsia="宋体" w:cs="宋体"/>
      <w:color w:val="000000"/>
      <w:sz w:val="24"/>
      <w:szCs w:val="24"/>
      <w:u w:val="none"/>
    </w:rPr>
  </w:style>
  <w:style w:type="paragraph" w:styleId="1179" w:customStyle="1">
    <w:name w:val="_Style 30"/>
    <w:basedOn w:val="849"/>
    <w:next w:val="1180"/>
    <w:uiPriority w:val="0"/>
    <w:qFormat/>
    <w:rPr>
      <w:rFonts w:ascii="宋体" w:hAnsi="Courier New"/>
    </w:rPr>
  </w:style>
  <w:style w:type="paragraph" w:styleId="1180" w:customStyle="1">
    <w:name w:val="纯文本12"/>
    <w:basedOn w:val="849"/>
    <w:uiPriority w:val="0"/>
    <w:qFormat/>
    <w:rPr>
      <w:rFonts w:ascii="宋体" w:hAnsi="Courier New"/>
    </w:rPr>
  </w:style>
  <w:style w:type="paragraph" w:styleId="1181" w:customStyle="1">
    <w:name w:val="Table Paragraph"/>
    <w:basedOn w:val="849"/>
    <w:uiPriority w:val="1"/>
    <w:qFormat/>
    <w:rPr>
      <w:rFonts w:ascii="宋体" w:hAnsi="宋体" w:cs="宋体"/>
      <w:lang w:val="zh-CN" w:bidi="zh-CN"/>
    </w:rPr>
  </w:style>
  <w:style w:type="paragraph" w:styleId="1182">
    <w:name w:val="List Paragraph"/>
    <w:basedOn w:val="849"/>
    <w:uiPriority w:val="1"/>
    <w:qFormat/>
    <w:pPr>
      <w:ind w:left="317" w:firstLine="480"/>
    </w:pPr>
    <w:rPr>
      <w:rFonts w:ascii="宋体" w:hAnsi="宋体" w:cs="宋体"/>
      <w:lang w:val="zh-CN" w:bidi="zh-CN"/>
    </w:rPr>
  </w:style>
  <w:style w:type="paragraph" w:styleId="1183" w:customStyle="1">
    <w:name w:val="+标题1"/>
    <w:basedOn w:val="850"/>
    <w:uiPriority w:val="0"/>
    <w:qFormat/>
    <w:pPr>
      <w:keepNext w:val="0"/>
      <w:pageBreakBefore/>
      <w:spacing w:before="240" w:after="240" w:line="240" w:lineRule="auto"/>
    </w:pPr>
    <w:rPr>
      <w:rFonts w:ascii="宋体" w:hAnsi="宋体"/>
      <w:color w:val="000000"/>
      <w:sz w:val="36"/>
    </w:rPr>
  </w:style>
  <w:style w:type="paragraph" w:styleId="1184" w:customStyle="1">
    <w:name w:val="纯文本5"/>
    <w:basedOn w:val="849"/>
    <w:uiPriority w:val="0"/>
    <w:qFormat/>
    <w:rPr>
      <w:rFonts w:ascii="宋体" w:hAnsi="Courier New" w:eastAsia="楷体_GB2312"/>
      <w:sz w:val="28"/>
      <w:szCs w:val="20"/>
    </w:rPr>
  </w:style>
  <w:style w:type="paragraph" w:styleId="1185" w:customStyle="1">
    <w:name w:val="WPSOffice手动目录 1"/>
    <w:uiPriority w:val="0"/>
    <w:qFormat/>
    <w:rPr>
      <w:rFonts w:hint="default" w:ascii="Times New Roman" w:hAnsi="Times New Roman" w:eastAsia="宋体" w:cs="Times New Roman"/>
      <w:lang w:val="en-US" w:eastAsia="zh-CN" w:bidi="ar-SA"/>
    </w:rPr>
  </w:style>
  <w:style w:type="paragraph" w:styleId="1186"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187" w:customStyle="1">
    <w:name w:val="纯文本51"/>
    <w:basedOn w:val="849"/>
    <w:uiPriority w:val="0"/>
    <w:qFormat/>
    <w:rPr>
      <w:rFonts w:ascii="宋体" w:hAnsi="Courier New"/>
    </w:rPr>
  </w:style>
  <w:style w:type="character" w:styleId="1188" w:customStyle="1">
    <w:name w:val="font41"/>
    <w:basedOn w:val="904"/>
    <w:uiPriority w:val="0"/>
    <w:qFormat/>
    <w:rPr>
      <w:rFonts w:hint="eastAsia" w:ascii="宋体" w:hAnsi="宋体" w:eastAsia="宋体" w:cs="宋体"/>
      <w:color w:val="000000"/>
      <w:sz w:val="21"/>
      <w:szCs w:val="21"/>
      <w:u w:val="none"/>
    </w:rPr>
  </w:style>
  <w:style w:type="paragraph" w:styleId="1189" w:customStyle="1">
    <w:name w:val="普通(网站)1"/>
    <w:basedOn w:val="849"/>
    <w:uiPriority w:val="0"/>
    <w:qFormat/>
    <w:pPr>
      <w:jc w:val="left"/>
      <w:spacing w:before="100" w:beforeAutospacing="1" w:after="100" w:afterAutospacing="1"/>
      <w:widowControl/>
    </w:pPr>
    <w:rPr>
      <w:rFonts w:ascii="宋体" w:hAnsi="宋体" w:cs="宋体"/>
      <w:sz w:val="24"/>
    </w:rPr>
  </w:style>
  <w:style w:type="paragraph" w:styleId="1190" w:customStyle="1">
    <w:name w:val="正文 A"/>
    <w:next w:val="901"/>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191" w:customStyle="1">
    <w:name w:val="正文缩进1"/>
    <w:basedOn w:val="849"/>
    <w:uiPriority w:val="0"/>
    <w:qFormat/>
    <w:pPr>
      <w:ind w:firstLine="420"/>
      <w:jc w:val="left"/>
    </w:pPr>
    <w:rPr>
      <w:sz w:val="24"/>
    </w:rPr>
  </w:style>
  <w:style w:type="character" w:styleId="1192" w:customStyle="1">
    <w:name w:val="批注引用1"/>
    <w:uiPriority w:val="0"/>
    <w:semiHidden/>
    <w:qFormat/>
    <w:rPr>
      <w:rFonts w:ascii="Times New Roman" w:hAnsi="Times New Roman" w:eastAsia="宋体" w:cs="Times New Roman"/>
      <w:sz w:val="21"/>
      <w:szCs w:val="24"/>
      <w:lang w:val="en-US" w:eastAsia="zh-CN" w:bidi="ar-SA"/>
    </w:rPr>
  </w:style>
  <w:style w:type="paragraph" w:styleId="1193" w:customStyle="1">
    <w:name w:val="正文文本1"/>
    <w:basedOn w:val="849"/>
    <w:next w:val="849"/>
    <w:uiPriority w:val="0"/>
    <w:qFormat/>
    <w:pPr>
      <w:spacing w:line="400" w:lineRule="exact"/>
    </w:pPr>
    <w:rPr>
      <w:rFonts w:ascii="楷体_GB2312"/>
      <w:sz w:val="28"/>
    </w:rPr>
  </w:style>
  <w:style w:type="character" w:styleId="1194" w:customStyle="1">
    <w:name w:val="NormalCharacter11"/>
    <w:uiPriority w:val="0"/>
    <w:qFormat/>
    <w:rPr>
      <w:rFonts w:ascii="Times New Roman" w:hAnsi="Times New Roman" w:eastAsia="宋体"/>
    </w:rPr>
  </w:style>
  <w:style w:type="paragraph" w:styleId="1195" w:customStyle="1">
    <w:name w:val="标题3"/>
    <w:basedOn w:val="1196"/>
    <w:uiPriority w:val="0"/>
    <w:qFormat/>
    <w:pPr>
      <w:contextualSpacing/>
      <w:jc w:val="center"/>
      <w:spacing w:before="100" w:after="100"/>
    </w:pPr>
    <w:rPr>
      <w:rFonts w:eastAsia="黑体" w:cs="宋体"/>
      <w:bCs/>
      <w:sz w:val="28"/>
    </w:rPr>
  </w:style>
  <w:style w:type="paragraph" w:styleId="1196" w:customStyle="1">
    <w:name w:val="标题 31"/>
    <w:basedOn w:val="849"/>
    <w:next w:val="849"/>
    <w:uiPriority w:val="0"/>
    <w:qFormat/>
    <w:pPr>
      <w:jc w:val="left"/>
      <w:keepLines/>
      <w:keepNext/>
      <w:outlineLvl w:val="2"/>
    </w:pPr>
    <w:rPr>
      <w:b/>
    </w:rPr>
  </w:style>
  <w:style w:type="paragraph" w:styleId="1197" w:customStyle="1">
    <w:name w:val="页眉1"/>
    <w:basedOn w:val="849"/>
    <w:uiPriority w:val="0"/>
    <w:qFormat/>
    <w:pPr>
      <w:tabs>
        <w:tab w:val="center" w:pos="4153" w:leader="none"/>
        <w:tab w:val="right" w:pos="8306" w:leader="none"/>
      </w:tabs>
      <w:pBdr>
        <w:bottom w:val="single" w:color="000000" w:sz="6" w:space="1"/>
      </w:pBdr>
    </w:pPr>
    <w:rPr>
      <w:sz w:val="18"/>
    </w:rPr>
  </w:style>
  <w:style w:type="paragraph" w:styleId="1198" w:customStyle="1">
    <w:name w:val="段落正文"/>
    <w:basedOn w:val="849"/>
    <w:uiPriority w:val="0"/>
    <w:qFormat/>
    <w:pPr>
      <w:ind w:firstLine="880"/>
    </w:pPr>
    <w:rPr>
      <w:szCs w:val="21"/>
    </w:rPr>
  </w:style>
  <w:style w:type="paragraph" w:styleId="1199" w:customStyle="1">
    <w:name w:val="表格正文"/>
    <w:uiPriority w:val="0"/>
    <w:qFormat/>
    <w:pPr>
      <w:spacing w:before="20" w:after="20"/>
    </w:pPr>
    <w:rPr>
      <w:rFonts w:hint="default" w:ascii="Times New Roman" w:hAnsi="Times New Roman" w:eastAsia="宋体" w:cs="Times New Roman"/>
      <w:i/>
      <w:iCs/>
      <w:color w:val="0070c0"/>
      <w:sz w:val="24"/>
      <w:szCs w:val="22"/>
      <w:lang w:val="en-US" w:eastAsia="zh-CN" w:bidi="ar-SA"/>
    </w:rPr>
  </w:style>
  <w:style w:type="paragraph" w:styleId="1200"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201" w:customStyle="1">
    <w:name w:val="纯文本6"/>
    <w:basedOn w:val="849"/>
    <w:uiPriority w:val="0"/>
    <w:qFormat/>
    <w:rPr>
      <w:rFonts w:ascii="宋体" w:hAnsi="Courier New" w:eastAsia="楷体_GB2312"/>
      <w:sz w:val="28"/>
      <w:szCs w:val="20"/>
    </w:rPr>
  </w:style>
  <w:style w:type="paragraph" w:styleId="1202" w:customStyle="1">
    <w:name w:val="Normal_23"/>
    <w:uiPriority w:val="0"/>
    <w:qFormat/>
    <w:rPr>
      <w:rFonts w:hint="default" w:ascii="Times New Roman" w:hAnsi="Times New Roman" w:eastAsia="Times New Roman" w:cs="Times New Roman"/>
      <w:sz w:val="24"/>
      <w:szCs w:val="24"/>
      <w:lang w:val="en-US" w:eastAsia="zh-CN" w:bidi="ar-SA"/>
    </w:rPr>
  </w:style>
  <w:style w:type="table" w:styleId="1203" w:customStyle="1">
    <w:name w:val="Table Normal"/>
    <w:uiPriority w:val="0"/>
    <w:semiHidden/>
    <w:unhideWhenUsed/>
    <w:qFormat/>
    <w:tblPr>
      <w:tblCellMar>
        <w:left w:w="0" w:type="dxa"/>
        <w:top w:w="0" w:type="dxa"/>
        <w:right w:w="0" w:type="dxa"/>
        <w:bottom w:w="0" w:type="dxa"/>
      </w:tblCellMar>
    </w:tblPr>
  </w:style>
  <w:style w:type="paragraph" w:styleId="1204" w:customStyle="1">
    <w:name w:val="Table Text"/>
    <w:basedOn w:val="849"/>
    <w:uiPriority w:val="0"/>
    <w:semiHidden/>
    <w:qFormat/>
    <w:rPr>
      <w:rFonts w:ascii="Arial" w:hAnsi="Arial" w:eastAsia="Arial" w:cs="Arial"/>
      <w:szCs w:val="21"/>
      <w:lang w:eastAsia="en-US"/>
    </w:rPr>
  </w:style>
  <w:style w:type="paragraph" w:styleId="1205" w:customStyle="1">
    <w:name w:val="列出段落1"/>
    <w:basedOn w:val="849"/>
    <w:uiPriority w:val="34"/>
    <w:qFormat/>
    <w:pPr>
      <w:ind w:firstLine="420"/>
    </w:pPr>
    <w:rPr>
      <w:rFonts w:ascii="Calibri" w:hAnsi="Calibri"/>
      <w:szCs w:val="20"/>
    </w:rPr>
  </w:style>
  <w:style w:type="paragraph" w:styleId="1206" w:customStyle="1">
    <w:name w:val="目录1"/>
    <w:basedOn w:val="849"/>
    <w:next w:val="849"/>
    <w:uiPriority w:val="0"/>
    <w:qFormat/>
    <w:pPr>
      <w:ind w:firstLine="419"/>
      <w:jc w:val="left"/>
      <w:spacing w:after="102" w:line="646" w:lineRule="atLeast"/>
      <w:widowControl/>
      <w:tabs>
        <w:tab w:val="left" w:pos="8492" w:leader="dot"/>
      </w:tabs>
    </w:pPr>
    <w:rPr>
      <w:color w:val="000000"/>
      <w:szCs w:val="20"/>
    </w:rPr>
  </w:style>
  <w:style w:type="paragraph" w:styleId="1207" w:customStyle="1">
    <w:name w:val="节标题"/>
    <w:basedOn w:val="849"/>
    <w:next w:val="849"/>
    <w:uiPriority w:val="0"/>
    <w:qFormat/>
    <w:pPr>
      <w:jc w:val="center"/>
      <w:spacing w:line="867" w:lineRule="atLeast"/>
      <w:widowControl/>
    </w:pPr>
    <w:rPr>
      <w:color w:val="000000"/>
      <w:sz w:val="28"/>
      <w:szCs w:val="20"/>
    </w:rPr>
  </w:style>
  <w:style w:type="character" w:styleId="1208" w:customStyle="1">
    <w:name w:val="font01"/>
    <w:basedOn w:val="859"/>
    <w:uiPriority w:val="0"/>
    <w:qFormat/>
    <w:rPr>
      <w:rFonts w:hint="eastAsia" w:ascii="宋体" w:hAnsi="宋体" w:eastAsia="宋体" w:cs="宋体"/>
      <w:color w:val="000000"/>
      <w:sz w:val="22"/>
      <w:szCs w:val="22"/>
      <w:u w:val="none"/>
    </w:rPr>
  </w:style>
  <w:style w:type="character" w:styleId="1209" w:customStyle="1">
    <w:name w:val="font31"/>
    <w:basedOn w:val="859"/>
    <w:uiPriority w:val="0"/>
    <w:qFormat/>
    <w:rPr>
      <w:rFonts w:ascii="Times New Roman" w:hAnsi="Times New Roman" w:cs="Times New Roman"/>
      <w:b/>
      <w:bCs/>
      <w:color w:val="000000"/>
      <w:sz w:val="21"/>
      <w:szCs w:val="21"/>
      <w:u w:val="none"/>
    </w:rPr>
  </w:style>
  <w:style w:type="character" w:styleId="1210" w:customStyle="1">
    <w:name w:val="纯文本 Char"/>
    <w:basedOn w:val="859"/>
    <w:link w:val="870"/>
    <w:uiPriority w:val="0"/>
    <w:qFormat/>
    <w:rPr>
      <w:rFonts w:ascii="宋体" w:hAnsi="Courier New" w:eastAsia="楷体_GB2312" w:cs="宋体"/>
      <w:sz w:val="28"/>
    </w:rPr>
  </w:style>
  <w:style w:type="numbering" w:styleId="12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秋裤小王子๛ก(</dc:creator>
  <cp:lastModifiedBy>朱雪芬</cp:lastModifiedBy>
  <cp:revision>17</cp:revision>
  <dcterms:created xsi:type="dcterms:W3CDTF">2025-09-10T04:58:00Z</dcterms:created>
  <dcterms:modified xsi:type="dcterms:W3CDTF">2026-09-08T10:40:15Z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A7B017DBCF0245318A213CFEBF16EFDE_13</vt:lpwstr>
  </property>
  <property fmtid="{D5CDD505-2E9C-101B-9397-08002B2CF9AE}" pid="4" name="KSOTemplateDocerSaveRecord">
    <vt:lpwstr>eyJoZGlkIjoiNGU4YWMwMWM2MDc4MGY3YzFkYWZkZjkzOGMzMTA5NjQiLCJ1c2VySWQiOiI0OTY3NDE1NjEifQ==</vt:lpwstr>
  </property>
</Properties>
</file>