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3409A">
      <w:pPr>
        <w:jc w:val="center"/>
        <w:rPr>
          <w:rFonts w:hint="eastAsia" w:ascii="宋体" w:hAnsi="宋体" w:cs="宋体"/>
          <w:bCs/>
          <w:kern w:val="0"/>
          <w:sz w:val="24"/>
          <w:szCs w:val="24"/>
        </w:rPr>
      </w:pPr>
      <w:r>
        <w:rPr>
          <w:rFonts w:hint="eastAsia" w:ascii="宋体" w:hAnsi="宋体"/>
          <w:b/>
          <w:sz w:val="30"/>
          <w:szCs w:val="30"/>
          <w:lang w:eastAsia="zh-CN"/>
        </w:rPr>
        <w:t>丹阳市市场监督管理局物业管理服务采购项目</w:t>
      </w:r>
      <w:r>
        <w:rPr>
          <w:rFonts w:hint="eastAsia" w:ascii="宋体" w:hAnsi="宋体"/>
          <w:b/>
          <w:sz w:val="30"/>
          <w:szCs w:val="30"/>
        </w:rPr>
        <w:t>变更内容</w:t>
      </w:r>
    </w:p>
    <w:tbl>
      <w:tblPr>
        <w:tblStyle w:val="5"/>
        <w:tblpPr w:leftFromText="180" w:rightFromText="180" w:vertAnchor="text" w:horzAnchor="page" w:tblpX="1692" w:tblpY="370"/>
        <w:tblOverlap w:val="never"/>
        <w:tblW w:w="50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1704"/>
        <w:gridCol w:w="3169"/>
        <w:gridCol w:w="3265"/>
      </w:tblGrid>
      <w:tr w14:paraId="15A4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95" w:type="pct"/>
            <w:vAlign w:val="top"/>
          </w:tcPr>
          <w:p w14:paraId="487E225C">
            <w:pPr>
              <w:spacing w:line="240" w:lineRule="auto"/>
              <w:jc w:val="both"/>
              <w:rPr>
                <w:rFonts w:cs="宋体" w:asciiTheme="minorEastAsia" w:hAnsiTheme="minorEastAsia"/>
                <w:b w:val="0"/>
                <w:bCs w:val="0"/>
                <w:kern w:val="0"/>
                <w:sz w:val="16"/>
                <w:szCs w:val="18"/>
              </w:rPr>
            </w:pPr>
            <w:r>
              <w:rPr>
                <w:rFonts w:hint="eastAsia" w:asciiTheme="minorEastAsia" w:hAnsiTheme="minorEastAsia"/>
                <w:b w:val="0"/>
                <w:bCs w:val="0"/>
                <w:kern w:val="0"/>
                <w:sz w:val="16"/>
                <w:szCs w:val="18"/>
              </w:rPr>
              <w:t>序号</w:t>
            </w:r>
          </w:p>
        </w:tc>
        <w:tc>
          <w:tcPr>
            <w:tcW w:w="985" w:type="pct"/>
            <w:vAlign w:val="top"/>
          </w:tcPr>
          <w:p w14:paraId="0C024B3B">
            <w:pPr>
              <w:spacing w:line="240" w:lineRule="auto"/>
              <w:jc w:val="both"/>
              <w:rPr>
                <w:rFonts w:cs="宋体" w:asciiTheme="minorEastAsia" w:hAnsiTheme="minorEastAsia"/>
                <w:b w:val="0"/>
                <w:bCs w:val="0"/>
                <w:kern w:val="0"/>
                <w:sz w:val="16"/>
                <w:szCs w:val="18"/>
              </w:rPr>
            </w:pPr>
            <w:r>
              <w:rPr>
                <w:rFonts w:hint="eastAsia" w:asciiTheme="minorEastAsia" w:hAnsiTheme="minorEastAsia"/>
                <w:b w:val="0"/>
                <w:bCs w:val="0"/>
                <w:kern w:val="0"/>
                <w:sz w:val="16"/>
                <w:szCs w:val="18"/>
              </w:rPr>
              <w:t>更正项</w:t>
            </w:r>
          </w:p>
        </w:tc>
        <w:tc>
          <w:tcPr>
            <w:tcW w:w="1832" w:type="pct"/>
            <w:vAlign w:val="top"/>
          </w:tcPr>
          <w:p w14:paraId="30A60FC5">
            <w:pPr>
              <w:spacing w:line="240" w:lineRule="auto"/>
              <w:jc w:val="both"/>
              <w:rPr>
                <w:rFonts w:cs="宋体" w:asciiTheme="minorEastAsia" w:hAnsiTheme="minorEastAsia"/>
                <w:b w:val="0"/>
                <w:bCs w:val="0"/>
                <w:kern w:val="0"/>
                <w:sz w:val="16"/>
                <w:szCs w:val="18"/>
              </w:rPr>
            </w:pPr>
            <w:r>
              <w:rPr>
                <w:rFonts w:hint="eastAsia" w:asciiTheme="minorEastAsia" w:hAnsiTheme="minorEastAsia"/>
                <w:b w:val="0"/>
                <w:bCs w:val="0"/>
                <w:kern w:val="0"/>
                <w:sz w:val="16"/>
                <w:szCs w:val="18"/>
              </w:rPr>
              <w:t>更正前内容</w:t>
            </w:r>
          </w:p>
        </w:tc>
        <w:tc>
          <w:tcPr>
            <w:tcW w:w="1887" w:type="pct"/>
            <w:vAlign w:val="top"/>
          </w:tcPr>
          <w:p w14:paraId="2105B261">
            <w:pPr>
              <w:spacing w:line="240" w:lineRule="auto"/>
              <w:jc w:val="both"/>
              <w:rPr>
                <w:rFonts w:cs="宋体" w:asciiTheme="minorEastAsia" w:hAnsiTheme="minorEastAsia"/>
                <w:b w:val="0"/>
                <w:bCs w:val="0"/>
                <w:kern w:val="0"/>
                <w:sz w:val="16"/>
                <w:szCs w:val="18"/>
              </w:rPr>
            </w:pPr>
            <w:r>
              <w:rPr>
                <w:rFonts w:hint="eastAsia" w:asciiTheme="minorEastAsia" w:hAnsiTheme="minorEastAsia"/>
                <w:b w:val="0"/>
                <w:bCs w:val="0"/>
                <w:kern w:val="0"/>
                <w:sz w:val="16"/>
                <w:szCs w:val="18"/>
              </w:rPr>
              <w:t>更正后内容</w:t>
            </w:r>
          </w:p>
        </w:tc>
      </w:tr>
      <w:tr w14:paraId="7984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95" w:type="pct"/>
            <w:vAlign w:val="top"/>
          </w:tcPr>
          <w:p w14:paraId="772E112C">
            <w:pPr>
              <w:spacing w:line="240" w:lineRule="auto"/>
              <w:jc w:val="both"/>
              <w:rPr>
                <w:rFonts w:hint="default" w:asciiTheme="minorEastAsia" w:hAnsiTheme="minorEastAsia" w:eastAsiaTheme="minorEastAsia" w:cstheme="minorEastAsia"/>
                <w:b w:val="0"/>
                <w:bCs w:val="0"/>
                <w:kern w:val="0"/>
                <w:sz w:val="18"/>
                <w:szCs w:val="18"/>
                <w:highlight w:val="none"/>
                <w:lang w:val="en-US" w:eastAsia="zh-CN"/>
              </w:rPr>
            </w:pPr>
            <w:r>
              <w:rPr>
                <w:rFonts w:hint="eastAsia" w:asciiTheme="minorEastAsia" w:hAnsiTheme="minorEastAsia" w:cstheme="minorEastAsia"/>
                <w:b w:val="0"/>
                <w:bCs w:val="0"/>
                <w:kern w:val="0"/>
                <w:sz w:val="18"/>
                <w:szCs w:val="18"/>
                <w:highlight w:val="none"/>
                <w:lang w:val="en-US" w:eastAsia="zh-CN"/>
              </w:rPr>
              <w:t>1</w:t>
            </w:r>
          </w:p>
        </w:tc>
        <w:tc>
          <w:tcPr>
            <w:tcW w:w="985" w:type="pct"/>
            <w:shd w:val="clear" w:color="auto" w:fill="auto"/>
            <w:vAlign w:val="top"/>
          </w:tcPr>
          <w:p w14:paraId="0FA7C553">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bidi="ar-SA"/>
              </w:rPr>
            </w:pPr>
            <w:r>
              <w:rPr>
                <w:rFonts w:hint="eastAsia" w:asciiTheme="minorEastAsia" w:hAnsiTheme="minorEastAsia" w:eastAsiaTheme="minorEastAsia" w:cstheme="minorEastAsia"/>
                <w:b w:val="0"/>
                <w:bCs w:val="0"/>
                <w:kern w:val="0"/>
                <w:sz w:val="16"/>
                <w:szCs w:val="16"/>
                <w:highlight w:val="none"/>
                <w:lang w:val="en-US" w:eastAsia="zh-CN"/>
              </w:rPr>
              <w:t>招标文件“第五部分    评标办法和标准”“8.本项目采用综合评分法”“（三）价格评估”“1.1投标报价”</w:t>
            </w:r>
          </w:p>
        </w:tc>
        <w:tc>
          <w:tcPr>
            <w:tcW w:w="1832" w:type="pct"/>
            <w:shd w:val="clear" w:color="auto" w:fill="auto"/>
            <w:vAlign w:val="center"/>
          </w:tcPr>
          <w:p w14:paraId="777F835B">
            <w:pPr>
              <w:widowControl/>
              <w:numPr>
                <w:ilvl w:val="0"/>
                <w:numId w:val="0"/>
              </w:numPr>
              <w:spacing w:line="240" w:lineRule="auto"/>
              <w:jc w:val="both"/>
              <w:rPr>
                <w:rFonts w:hint="eastAsia" w:ascii="宋体" w:hAnsi="宋体" w:eastAsia="宋体" w:cs="宋体"/>
                <w:kern w:val="2"/>
                <w:sz w:val="21"/>
                <w:szCs w:val="24"/>
                <w:lang w:val="en-US" w:eastAsia="zh-CN" w:bidi="ar-SA"/>
              </w:rPr>
            </w:pPr>
            <w:r>
              <w:rPr>
                <w:rFonts w:hint="eastAsia" w:asciiTheme="minorEastAsia" w:hAnsiTheme="minorEastAsia" w:eastAsiaTheme="minorEastAsia" w:cstheme="minorEastAsia"/>
                <w:b w:val="0"/>
                <w:bCs w:val="0"/>
                <w:kern w:val="0"/>
                <w:sz w:val="16"/>
                <w:szCs w:val="16"/>
                <w:highlight w:val="none"/>
                <w:lang w:val="en-US" w:eastAsia="zh-CN"/>
              </w:rPr>
              <w:t>综合评分法中的价格分采用低价优先法计算，即满足招标文件要求且投标价格最低的投标报价为评标基准价，其价格分为满分30分。其他投标人的价格分统一按照下列公式计算：投标报价得分= (评标基准价／投标报价)×30。</w:t>
            </w:r>
          </w:p>
        </w:tc>
        <w:tc>
          <w:tcPr>
            <w:tcW w:w="1887" w:type="pct"/>
            <w:shd w:val="clear" w:color="auto" w:fill="auto"/>
            <w:vAlign w:val="center"/>
          </w:tcPr>
          <w:p w14:paraId="39AF8A37">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bidi="ar-SA"/>
              </w:rPr>
            </w:pPr>
            <w:r>
              <w:rPr>
                <w:rFonts w:hint="eastAsia" w:asciiTheme="minorEastAsia" w:hAnsiTheme="minorEastAsia" w:eastAsiaTheme="minorEastAsia" w:cstheme="minorEastAsia"/>
                <w:b w:val="0"/>
                <w:bCs w:val="0"/>
                <w:kern w:val="0"/>
                <w:sz w:val="16"/>
                <w:szCs w:val="16"/>
                <w:highlight w:val="none"/>
                <w:lang w:val="en-US" w:eastAsia="zh-CN"/>
              </w:rPr>
              <w:t>综合评分法中的价格分采用低价优先法计算，即满足招标文件要求且投标价格最低的投标报价为评标基准价，其价格分为满分40分。其他投标人的价格分统一按照下列公式计算：投标报价得分= (评标基准价／投标报价)×40。</w:t>
            </w:r>
          </w:p>
        </w:tc>
      </w:tr>
      <w:tr w14:paraId="7260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95" w:type="pct"/>
            <w:vAlign w:val="top"/>
          </w:tcPr>
          <w:p w14:paraId="7E05945A">
            <w:pPr>
              <w:spacing w:line="240" w:lineRule="auto"/>
              <w:jc w:val="both"/>
              <w:rPr>
                <w:rFonts w:hint="default" w:asciiTheme="minorEastAsia" w:hAnsiTheme="minorEastAsia" w:cstheme="minorEastAsia"/>
                <w:b w:val="0"/>
                <w:bCs w:val="0"/>
                <w:kern w:val="0"/>
                <w:sz w:val="18"/>
                <w:szCs w:val="18"/>
                <w:highlight w:val="none"/>
                <w:lang w:val="en-US" w:eastAsia="zh-CN"/>
              </w:rPr>
            </w:pPr>
            <w:r>
              <w:rPr>
                <w:rFonts w:hint="eastAsia" w:asciiTheme="minorEastAsia" w:hAnsiTheme="minorEastAsia" w:cstheme="minorEastAsia"/>
                <w:b w:val="0"/>
                <w:bCs w:val="0"/>
                <w:kern w:val="0"/>
                <w:sz w:val="18"/>
                <w:szCs w:val="18"/>
                <w:highlight w:val="none"/>
                <w:lang w:val="en-US" w:eastAsia="zh-CN"/>
              </w:rPr>
              <w:t>2</w:t>
            </w:r>
          </w:p>
        </w:tc>
        <w:tc>
          <w:tcPr>
            <w:tcW w:w="985" w:type="pct"/>
            <w:vAlign w:val="top"/>
          </w:tcPr>
          <w:p w14:paraId="5C2F5199">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rPr>
            </w:pPr>
            <w:r>
              <w:rPr>
                <w:rFonts w:hint="eastAsia" w:asciiTheme="minorEastAsia" w:hAnsiTheme="minorEastAsia" w:eastAsiaTheme="minorEastAsia" w:cstheme="minorEastAsia"/>
                <w:b w:val="0"/>
                <w:bCs w:val="0"/>
                <w:kern w:val="0"/>
                <w:sz w:val="16"/>
                <w:szCs w:val="16"/>
                <w:highlight w:val="none"/>
              </w:rPr>
              <w:t>招标文件“第四部分采购需求”</w:t>
            </w:r>
            <w:r>
              <w:rPr>
                <w:rFonts w:hint="eastAsia" w:asciiTheme="minorEastAsia" w:hAnsiTheme="minorEastAsia" w:eastAsiaTheme="minorEastAsia" w:cstheme="minorEastAsia"/>
                <w:b w:val="0"/>
                <w:bCs w:val="0"/>
                <w:kern w:val="0"/>
                <w:sz w:val="16"/>
                <w:szCs w:val="16"/>
                <w:highlight w:val="none"/>
                <w:lang w:val="en-US" w:eastAsia="zh-CN"/>
              </w:rPr>
              <w:t xml:space="preserve"> </w:t>
            </w:r>
            <w:r>
              <w:rPr>
                <w:rFonts w:hint="eastAsia" w:asciiTheme="minorEastAsia" w:hAnsiTheme="minorEastAsia" w:eastAsiaTheme="minorEastAsia" w:cstheme="minorEastAsia"/>
                <w:b w:val="0"/>
                <w:bCs w:val="0"/>
                <w:kern w:val="0"/>
                <w:sz w:val="16"/>
                <w:szCs w:val="16"/>
                <w:highlight w:val="none"/>
              </w:rPr>
              <w:t>“</w:t>
            </w:r>
            <w:r>
              <w:rPr>
                <w:rFonts w:hint="eastAsia" w:asciiTheme="minorEastAsia" w:hAnsiTheme="minorEastAsia" w:eastAsiaTheme="minorEastAsia" w:cstheme="minorEastAsia"/>
                <w:b w:val="0"/>
                <w:bCs w:val="0"/>
                <w:kern w:val="0"/>
                <w:sz w:val="16"/>
                <w:szCs w:val="16"/>
                <w:highlight w:val="none"/>
                <w:lang w:val="en-US" w:eastAsia="zh-CN"/>
              </w:rPr>
              <w:t>商务要求</w:t>
            </w:r>
            <w:r>
              <w:rPr>
                <w:rFonts w:hint="eastAsia" w:asciiTheme="minorEastAsia" w:hAnsiTheme="minorEastAsia" w:eastAsiaTheme="minorEastAsia" w:cstheme="minorEastAsia"/>
                <w:b w:val="0"/>
                <w:bCs w:val="0"/>
                <w:kern w:val="0"/>
                <w:sz w:val="16"/>
                <w:szCs w:val="16"/>
                <w:highlight w:val="none"/>
              </w:rPr>
              <w:t>3.付款方式”</w:t>
            </w:r>
          </w:p>
        </w:tc>
        <w:tc>
          <w:tcPr>
            <w:tcW w:w="1832" w:type="pct"/>
            <w:vAlign w:val="top"/>
          </w:tcPr>
          <w:p w14:paraId="42BD32C1">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rPr>
            </w:pPr>
            <w:r>
              <w:rPr>
                <w:rFonts w:hint="eastAsia" w:asciiTheme="minorEastAsia" w:hAnsiTheme="minorEastAsia" w:eastAsiaTheme="minorEastAsia" w:cstheme="minorEastAsia"/>
                <w:b w:val="0"/>
                <w:bCs w:val="0"/>
                <w:kern w:val="0"/>
                <w:sz w:val="16"/>
                <w:szCs w:val="16"/>
                <w:highlight w:val="none"/>
              </w:rPr>
              <w:t>3.付款方式：</w:t>
            </w:r>
          </w:p>
          <w:p w14:paraId="40020B7D">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rPr>
            </w:pPr>
            <w:r>
              <w:rPr>
                <w:rFonts w:hint="eastAsia" w:asciiTheme="minorEastAsia" w:hAnsiTheme="minorEastAsia" w:eastAsiaTheme="minorEastAsia" w:cstheme="minorEastAsia"/>
                <w:b w:val="0"/>
                <w:bCs w:val="0"/>
                <w:kern w:val="0"/>
                <w:sz w:val="16"/>
                <w:szCs w:val="16"/>
                <w:highlight w:val="none"/>
              </w:rPr>
              <w:t>3.1.合同签订后，采购人在收到中标人提供相应金额的正规发票后</w:t>
            </w:r>
            <w:r>
              <w:rPr>
                <w:rFonts w:hint="eastAsia" w:asciiTheme="minorEastAsia" w:hAnsiTheme="minorEastAsia" w:cstheme="minorEastAsia"/>
                <w:b w:val="0"/>
                <w:bCs w:val="0"/>
                <w:kern w:val="0"/>
                <w:sz w:val="16"/>
                <w:szCs w:val="16"/>
                <w:highlight w:val="none"/>
                <w:lang w:val="en-US" w:eastAsia="zh-CN"/>
              </w:rPr>
              <w:t>15日</w:t>
            </w:r>
            <w:r>
              <w:rPr>
                <w:rFonts w:hint="eastAsia" w:asciiTheme="minorEastAsia" w:hAnsiTheme="minorEastAsia" w:eastAsiaTheme="minorEastAsia" w:cstheme="minorEastAsia"/>
                <w:b w:val="0"/>
                <w:bCs w:val="0"/>
                <w:kern w:val="0"/>
                <w:sz w:val="16"/>
                <w:szCs w:val="16"/>
                <w:highlight w:val="none"/>
              </w:rPr>
              <w:t>内，支付年度合同金额的10%作为预付款。</w:t>
            </w:r>
          </w:p>
          <w:p w14:paraId="07B4F80F">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rPr>
            </w:pPr>
            <w:r>
              <w:rPr>
                <w:rFonts w:hint="eastAsia" w:asciiTheme="minorEastAsia" w:hAnsiTheme="minorEastAsia" w:eastAsiaTheme="minorEastAsia" w:cstheme="minorEastAsia"/>
                <w:b w:val="0"/>
                <w:bCs w:val="0"/>
                <w:kern w:val="0"/>
                <w:sz w:val="16"/>
                <w:szCs w:val="16"/>
                <w:highlight w:val="none"/>
              </w:rPr>
              <w:t>3.2在物业管理服务期内，采购人按季度等额支付管理服务费给中标人。每次支付季服务费的90％，扣季服务费的10％作为考核金。如果考核合格，下季支付管理费时补齐上季度扣的考核金。如果考核不合格，考核金予以扣除。最后一季物业考核金，如果管理过程中考核合格随季度服务费一并支付。</w:t>
            </w:r>
          </w:p>
        </w:tc>
        <w:tc>
          <w:tcPr>
            <w:tcW w:w="1887" w:type="pct"/>
            <w:vAlign w:val="top"/>
          </w:tcPr>
          <w:p w14:paraId="2F2D73FC">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3.付款方式：</w:t>
            </w:r>
          </w:p>
          <w:p w14:paraId="7CE40CD5">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3.1.合同签订后，采购人在收到中标人提供相应金额的正规发票后10个工作日内，支付年度合同金额的10%作为预付款。</w:t>
            </w:r>
          </w:p>
          <w:p w14:paraId="3C98FD67">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3.2在物业管理服务期内，采购人按季度等额支付管理服务费给中标人。每次支付季服务费的90％，扣季服务费的10％作为考核金。如果考核合格，下季支付管理费时补齐上季度扣的考核金。如果考核不合格，考核金予以扣除。最后一季物业考核金，如果管理过程中考核合格随季度服务费一并支付。</w:t>
            </w:r>
          </w:p>
        </w:tc>
      </w:tr>
      <w:tr w14:paraId="210A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95" w:type="pct"/>
            <w:vAlign w:val="top"/>
          </w:tcPr>
          <w:p w14:paraId="4F41976A">
            <w:pPr>
              <w:spacing w:line="240" w:lineRule="auto"/>
              <w:jc w:val="both"/>
              <w:rPr>
                <w:rFonts w:hint="eastAsia" w:asciiTheme="minorEastAsia" w:hAnsiTheme="minorEastAsia" w:eastAsiaTheme="minorEastAsia" w:cstheme="minorEastAsia"/>
                <w:b w:val="0"/>
                <w:bCs w:val="0"/>
                <w:kern w:val="0"/>
                <w:sz w:val="18"/>
                <w:szCs w:val="18"/>
                <w:highlight w:val="none"/>
                <w:lang w:eastAsia="zh-CN"/>
              </w:rPr>
            </w:pPr>
            <w:r>
              <w:rPr>
                <w:rFonts w:hint="eastAsia" w:asciiTheme="minorEastAsia" w:hAnsiTheme="minorEastAsia" w:cstheme="minorEastAsia"/>
                <w:b w:val="0"/>
                <w:bCs w:val="0"/>
                <w:kern w:val="0"/>
                <w:sz w:val="18"/>
                <w:szCs w:val="18"/>
                <w:highlight w:val="none"/>
                <w:lang w:val="en-US" w:eastAsia="zh-CN"/>
              </w:rPr>
              <w:t>3</w:t>
            </w:r>
          </w:p>
        </w:tc>
        <w:tc>
          <w:tcPr>
            <w:tcW w:w="985" w:type="pct"/>
            <w:vAlign w:val="top"/>
          </w:tcPr>
          <w:p w14:paraId="4A61DCB2">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rPr>
            </w:pPr>
            <w:r>
              <w:rPr>
                <w:rFonts w:hint="eastAsia" w:asciiTheme="minorEastAsia" w:hAnsiTheme="minorEastAsia" w:eastAsiaTheme="minorEastAsia" w:cstheme="minorEastAsia"/>
                <w:b w:val="0"/>
                <w:bCs w:val="0"/>
                <w:kern w:val="0"/>
                <w:sz w:val="16"/>
                <w:szCs w:val="16"/>
                <w:highlight w:val="none"/>
              </w:rPr>
              <w:t>招标文件“第四部分采购需求”</w:t>
            </w:r>
            <w:r>
              <w:rPr>
                <w:rFonts w:hint="eastAsia" w:asciiTheme="minorEastAsia" w:hAnsiTheme="minorEastAsia" w:eastAsiaTheme="minorEastAsia" w:cstheme="minorEastAsia"/>
                <w:b w:val="0"/>
                <w:bCs w:val="0"/>
                <w:kern w:val="0"/>
                <w:sz w:val="16"/>
                <w:szCs w:val="16"/>
                <w:highlight w:val="none"/>
                <w:lang w:val="en-US" w:eastAsia="zh-CN"/>
              </w:rPr>
              <w:t xml:space="preserve"> </w:t>
            </w:r>
            <w:r>
              <w:rPr>
                <w:rFonts w:hint="eastAsia" w:asciiTheme="minorEastAsia" w:hAnsiTheme="minorEastAsia" w:eastAsiaTheme="minorEastAsia" w:cstheme="minorEastAsia"/>
                <w:b w:val="0"/>
                <w:bCs w:val="0"/>
                <w:kern w:val="0"/>
                <w:sz w:val="16"/>
                <w:szCs w:val="16"/>
                <w:highlight w:val="none"/>
              </w:rPr>
              <w:t>“</w:t>
            </w:r>
            <w:r>
              <w:rPr>
                <w:rFonts w:hint="eastAsia" w:asciiTheme="minorEastAsia" w:hAnsiTheme="minorEastAsia" w:cstheme="minorEastAsia"/>
                <w:b w:val="0"/>
                <w:bCs w:val="0"/>
                <w:kern w:val="0"/>
                <w:sz w:val="16"/>
                <w:szCs w:val="16"/>
                <w:highlight w:val="none"/>
                <w:lang w:val="en-US" w:eastAsia="zh-CN"/>
              </w:rPr>
              <w:t>商务要求</w:t>
            </w:r>
            <w:r>
              <w:rPr>
                <w:rFonts w:hint="eastAsia" w:asciiTheme="minorEastAsia" w:hAnsiTheme="minorEastAsia" w:eastAsiaTheme="minorEastAsia" w:cstheme="minorEastAsia"/>
                <w:b w:val="0"/>
                <w:bCs w:val="0"/>
                <w:kern w:val="0"/>
                <w:sz w:val="16"/>
                <w:szCs w:val="16"/>
                <w:highlight w:val="none"/>
                <w:lang w:val="en-US" w:eastAsia="zh-CN"/>
              </w:rPr>
              <w:t>4.1、社保测算基数</w:t>
            </w:r>
            <w:r>
              <w:rPr>
                <w:rFonts w:hint="eastAsia" w:asciiTheme="minorEastAsia" w:hAnsiTheme="minorEastAsia" w:eastAsiaTheme="minorEastAsia" w:cstheme="minorEastAsia"/>
                <w:b w:val="0"/>
                <w:bCs w:val="0"/>
                <w:kern w:val="0"/>
                <w:sz w:val="16"/>
                <w:szCs w:val="16"/>
                <w:highlight w:val="none"/>
              </w:rPr>
              <w:t>”</w:t>
            </w:r>
          </w:p>
        </w:tc>
        <w:tc>
          <w:tcPr>
            <w:tcW w:w="1832" w:type="pct"/>
            <w:vAlign w:val="top"/>
          </w:tcPr>
          <w:p w14:paraId="6DD64860">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4.1、社保测算基数：“五险”（即养老、医疗、工伤、生育险、失业保险）以4952元为缴费基数测算；“住房公积金”以最低工资标准（丹阳市执行江苏省一类地区标准：2660元/月）的5%测算。</w:t>
            </w:r>
          </w:p>
          <w:p w14:paraId="2832556A">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rPr>
            </w:pPr>
          </w:p>
        </w:tc>
        <w:tc>
          <w:tcPr>
            <w:tcW w:w="1887" w:type="pct"/>
            <w:vAlign w:val="top"/>
          </w:tcPr>
          <w:p w14:paraId="4F4AB727">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zh-CN" w:eastAsia="zh-CN"/>
              </w:rPr>
            </w:pPr>
            <w:r>
              <w:rPr>
                <w:rFonts w:hint="eastAsia" w:asciiTheme="minorEastAsia" w:hAnsiTheme="minorEastAsia" w:eastAsiaTheme="minorEastAsia" w:cstheme="minorEastAsia"/>
                <w:b w:val="0"/>
                <w:bCs w:val="0"/>
                <w:kern w:val="0"/>
                <w:sz w:val="16"/>
                <w:szCs w:val="16"/>
                <w:highlight w:val="none"/>
                <w:lang w:val="en-US" w:eastAsia="zh-CN"/>
              </w:rPr>
              <w:t>4.1、社保测算基数：“五险”（即养老、医疗、工伤、生育险、失业保险）投标报价按缴费基数 4952 元测算。物业服务人员住房公积金投标报价按下限口径测算，测算基数为丹阳市执行的江苏省一类地区最低工资标准 2660 元</w:t>
            </w:r>
            <w:r>
              <w:rPr>
                <w:rFonts w:hint="eastAsia" w:asciiTheme="minorEastAsia" w:hAnsiTheme="minorEastAsia" w:cstheme="minorEastAsia"/>
                <w:b w:val="0"/>
                <w:bCs w:val="0"/>
                <w:kern w:val="0"/>
                <w:sz w:val="16"/>
                <w:szCs w:val="16"/>
                <w:highlight w:val="none"/>
                <w:lang w:val="en-US" w:eastAsia="zh-CN"/>
              </w:rPr>
              <w:t>/</w:t>
            </w:r>
            <w:r>
              <w:rPr>
                <w:rFonts w:hint="eastAsia" w:asciiTheme="minorEastAsia" w:hAnsiTheme="minorEastAsia" w:eastAsiaTheme="minorEastAsia" w:cstheme="minorEastAsia"/>
                <w:b w:val="0"/>
                <w:bCs w:val="0"/>
                <w:kern w:val="0"/>
                <w:sz w:val="16"/>
                <w:szCs w:val="16"/>
                <w:highlight w:val="none"/>
                <w:lang w:val="en-US" w:eastAsia="zh-CN"/>
              </w:rPr>
              <w:t>月，缴存比例 5%。依据苏人社规〔2025〕3 号，对于实际执行最低工资标准、按下限缴存住房公积金的劳动者，该部分住房公积金不作为最低工资的组成部分</w:t>
            </w:r>
            <w:r>
              <w:rPr>
                <w:rFonts w:hint="eastAsia" w:asciiTheme="minorEastAsia" w:hAnsiTheme="minorEastAsia" w:cstheme="minorEastAsia"/>
                <w:b w:val="0"/>
                <w:bCs w:val="0"/>
                <w:kern w:val="0"/>
                <w:sz w:val="16"/>
                <w:szCs w:val="16"/>
                <w:highlight w:val="none"/>
                <w:lang w:val="en-US" w:eastAsia="zh-CN"/>
              </w:rPr>
              <w:t>,</w:t>
            </w:r>
            <w:r>
              <w:rPr>
                <w:rFonts w:hint="eastAsia" w:asciiTheme="minorEastAsia" w:hAnsiTheme="minorEastAsia" w:eastAsiaTheme="minorEastAsia" w:cstheme="minorEastAsia"/>
                <w:b w:val="0"/>
                <w:bCs w:val="0"/>
                <w:kern w:val="0"/>
                <w:sz w:val="16"/>
                <w:szCs w:val="16"/>
                <w:highlight w:val="none"/>
                <w:lang w:val="en-US" w:eastAsia="zh-CN"/>
              </w:rPr>
              <w:t>不得从最低工资中扣除</w:t>
            </w:r>
            <w:r>
              <w:rPr>
                <w:rFonts w:hint="eastAsia" w:asciiTheme="minorEastAsia" w:hAnsiTheme="minorEastAsia" w:cstheme="minorEastAsia"/>
                <w:b w:val="0"/>
                <w:bCs w:val="0"/>
                <w:kern w:val="0"/>
                <w:sz w:val="16"/>
                <w:szCs w:val="16"/>
                <w:highlight w:val="none"/>
                <w:lang w:val="en-US" w:eastAsia="zh-CN"/>
              </w:rPr>
              <w:t>,</w:t>
            </w:r>
            <w:r>
              <w:rPr>
                <w:rFonts w:hint="eastAsia" w:asciiTheme="minorEastAsia" w:hAnsiTheme="minorEastAsia" w:eastAsiaTheme="minorEastAsia" w:cstheme="minorEastAsia"/>
                <w:b w:val="0"/>
                <w:bCs w:val="0"/>
                <w:kern w:val="0"/>
                <w:sz w:val="16"/>
                <w:szCs w:val="16"/>
                <w:highlight w:val="none"/>
                <w:lang w:val="en-US" w:eastAsia="zh-CN"/>
              </w:rPr>
              <w:t>由中标单位另行承担</w:t>
            </w:r>
            <w:r>
              <w:rPr>
                <w:rFonts w:hint="eastAsia" w:asciiTheme="minorEastAsia" w:hAnsiTheme="minorEastAsia" w:cstheme="minorEastAsia"/>
                <w:b w:val="0"/>
                <w:bCs w:val="0"/>
                <w:kern w:val="0"/>
                <w:sz w:val="16"/>
                <w:szCs w:val="16"/>
                <w:highlight w:val="none"/>
                <w:lang w:val="en-US" w:eastAsia="zh-CN"/>
              </w:rPr>
              <w:t>。</w:t>
            </w:r>
            <w:r>
              <w:rPr>
                <w:rFonts w:hint="eastAsia" w:asciiTheme="minorEastAsia" w:hAnsiTheme="minorEastAsia" w:eastAsiaTheme="minorEastAsia" w:cstheme="minorEastAsia"/>
                <w:b w:val="0"/>
                <w:bCs w:val="0"/>
                <w:kern w:val="0"/>
                <w:sz w:val="16"/>
                <w:szCs w:val="16"/>
                <w:highlight w:val="none"/>
                <w:lang w:val="en-US" w:eastAsia="zh-CN"/>
              </w:rPr>
              <w:t>上述基数仅为报价测算下限</w:t>
            </w:r>
            <w:r>
              <w:rPr>
                <w:rFonts w:hint="eastAsia" w:asciiTheme="minorEastAsia" w:hAnsiTheme="minorEastAsia" w:cstheme="minorEastAsia"/>
                <w:b w:val="0"/>
                <w:bCs w:val="0"/>
                <w:kern w:val="0"/>
                <w:sz w:val="16"/>
                <w:szCs w:val="16"/>
                <w:highlight w:val="none"/>
                <w:lang w:val="en-US" w:eastAsia="zh-CN"/>
              </w:rPr>
              <w:t>，</w:t>
            </w:r>
            <w:r>
              <w:rPr>
                <w:rFonts w:hint="eastAsia" w:asciiTheme="minorEastAsia" w:hAnsiTheme="minorEastAsia" w:eastAsiaTheme="minorEastAsia" w:cstheme="minorEastAsia"/>
                <w:b w:val="0"/>
                <w:bCs w:val="0"/>
                <w:kern w:val="0"/>
                <w:sz w:val="16"/>
                <w:szCs w:val="16"/>
                <w:highlight w:val="none"/>
                <w:lang w:val="en-US" w:eastAsia="zh-CN"/>
              </w:rPr>
              <w:t>实际缴存按国家相关法规据实执行。</w:t>
            </w:r>
          </w:p>
        </w:tc>
      </w:tr>
      <w:tr w14:paraId="3E9E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4" w:hRule="atLeast"/>
        </w:trPr>
        <w:tc>
          <w:tcPr>
            <w:tcW w:w="295" w:type="pct"/>
            <w:vAlign w:val="top"/>
          </w:tcPr>
          <w:p w14:paraId="19696DC3">
            <w:pPr>
              <w:spacing w:line="240" w:lineRule="auto"/>
              <w:jc w:val="both"/>
              <w:rPr>
                <w:rFonts w:hint="default" w:asciiTheme="minorEastAsia" w:hAnsiTheme="minorEastAsia" w:eastAsiaTheme="minorEastAsia" w:cstheme="minorEastAsia"/>
                <w:b w:val="0"/>
                <w:bCs w:val="0"/>
                <w:kern w:val="0"/>
                <w:sz w:val="18"/>
                <w:szCs w:val="18"/>
                <w:highlight w:val="none"/>
                <w:lang w:val="en-US" w:eastAsia="zh-CN"/>
              </w:rPr>
            </w:pPr>
            <w:r>
              <w:rPr>
                <w:rFonts w:hint="eastAsia" w:asciiTheme="minorEastAsia" w:hAnsiTheme="minorEastAsia" w:cstheme="minorEastAsia"/>
                <w:b w:val="0"/>
                <w:bCs w:val="0"/>
                <w:kern w:val="0"/>
                <w:sz w:val="18"/>
                <w:szCs w:val="18"/>
                <w:highlight w:val="none"/>
                <w:lang w:val="en-US" w:eastAsia="zh-CN"/>
              </w:rPr>
              <w:t>4</w:t>
            </w:r>
          </w:p>
        </w:tc>
        <w:tc>
          <w:tcPr>
            <w:tcW w:w="985" w:type="pct"/>
            <w:vAlign w:val="top"/>
          </w:tcPr>
          <w:p w14:paraId="4BB73B26">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招标文件“第五部分    评标办法和标准”“8.本项目采用综合评分法”“（一）技术评估”“1.8突发事件应急预案评价”</w:t>
            </w:r>
          </w:p>
        </w:tc>
        <w:tc>
          <w:tcPr>
            <w:tcW w:w="1832" w:type="pct"/>
            <w:vAlign w:val="top"/>
          </w:tcPr>
          <w:p w14:paraId="3DDD8E87">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1.8突发事件应急预案评价</w:t>
            </w:r>
            <w:r>
              <w:rPr>
                <w:rFonts w:hint="eastAsia" w:asciiTheme="minorEastAsia" w:hAnsiTheme="minorEastAsia" w:cstheme="minorEastAsia"/>
                <w:b w:val="0"/>
                <w:bCs w:val="0"/>
                <w:kern w:val="0"/>
                <w:sz w:val="16"/>
                <w:szCs w:val="16"/>
                <w:highlight w:val="none"/>
                <w:lang w:val="en-US" w:eastAsia="zh-CN"/>
              </w:rPr>
              <w:t>：</w:t>
            </w:r>
            <w:r>
              <w:rPr>
                <w:rFonts w:hint="eastAsia" w:asciiTheme="minorEastAsia" w:hAnsiTheme="minorEastAsia" w:eastAsiaTheme="minorEastAsia" w:cstheme="minorEastAsia"/>
                <w:b w:val="0"/>
                <w:bCs w:val="0"/>
                <w:kern w:val="0"/>
                <w:sz w:val="16"/>
                <w:szCs w:val="16"/>
                <w:highlight w:val="none"/>
                <w:lang w:val="en-US" w:eastAsia="zh-CN"/>
              </w:rPr>
              <w:t>评委根据投标人提供的各类突发事件处理方案，考察其是否具有①恶劣天气、②停电停水、③火灾、④治安事件、⑤设备设施故障、⑥公共卫生突发事件处置。方案每提供一条上述要点，且经评委认定符合采购文件要求的，得1分，最高得6分，未提供的不得分。</w:t>
            </w:r>
          </w:p>
        </w:tc>
        <w:tc>
          <w:tcPr>
            <w:tcW w:w="1887" w:type="pct"/>
            <w:vAlign w:val="top"/>
          </w:tcPr>
          <w:p w14:paraId="1BE90D9D">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1.8突发事件应急预案评价：评委根据投标人提供的各类突发事件处理方案，考察其是否具有①恶劣天气、②停电停水、③火灾、④治安事件、⑤设备设施故障、⑥公共卫生突发事件处置。方案每提供一条上述要点，且经评委认定符合采购文件要求的，得0.5分，最高得3分，未提供的不得分。</w:t>
            </w:r>
          </w:p>
        </w:tc>
      </w:tr>
      <w:tr w14:paraId="4E2D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95" w:type="pct"/>
            <w:vAlign w:val="top"/>
          </w:tcPr>
          <w:p w14:paraId="36BF7B78">
            <w:pPr>
              <w:spacing w:line="240" w:lineRule="auto"/>
              <w:jc w:val="both"/>
              <w:rPr>
                <w:rFonts w:hint="default" w:asciiTheme="minorEastAsia" w:hAnsiTheme="minorEastAsia" w:eastAsiaTheme="minorEastAsia" w:cstheme="minorEastAsia"/>
                <w:b w:val="0"/>
                <w:bCs w:val="0"/>
                <w:kern w:val="0"/>
                <w:sz w:val="18"/>
                <w:szCs w:val="18"/>
                <w:highlight w:val="none"/>
                <w:lang w:val="en-US" w:eastAsia="zh-CN"/>
              </w:rPr>
            </w:pPr>
            <w:r>
              <w:rPr>
                <w:rFonts w:hint="eastAsia" w:asciiTheme="minorEastAsia" w:hAnsiTheme="minorEastAsia" w:cstheme="minorEastAsia"/>
                <w:b w:val="0"/>
                <w:bCs w:val="0"/>
                <w:kern w:val="0"/>
                <w:sz w:val="18"/>
                <w:szCs w:val="18"/>
                <w:highlight w:val="none"/>
                <w:lang w:val="en-US" w:eastAsia="zh-CN"/>
              </w:rPr>
              <w:t>5</w:t>
            </w:r>
          </w:p>
        </w:tc>
        <w:tc>
          <w:tcPr>
            <w:tcW w:w="985" w:type="pct"/>
            <w:vAlign w:val="top"/>
          </w:tcPr>
          <w:p w14:paraId="6A880788">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招标文件“第五部分    评标办法和标准”“8.本项目采用综合评分法”“（一）技术评估”“1.9装备物资投入方案评价”</w:t>
            </w:r>
          </w:p>
        </w:tc>
        <w:tc>
          <w:tcPr>
            <w:tcW w:w="1832" w:type="pct"/>
            <w:shd w:val="clear" w:color="auto" w:fill="auto"/>
            <w:vAlign w:val="center"/>
          </w:tcPr>
          <w:p w14:paraId="5AA10482">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1.9装备物资投入方案评价：根据投标人提供的装备物资等投入计划方案，考察其是否针对①物资基础配置测算逻辑、②物资维护与更新计划进行了响应，每提供一条上述要点且经评委认定符合采购文件要求的，得1分，最高得2分，未提供的不得分。</w:t>
            </w:r>
          </w:p>
          <w:p w14:paraId="3EAD2AA6">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方案提供应急储备与供应链保障，且经评委认定符合采购文件要求的，加1分；</w:t>
            </w:r>
          </w:p>
          <w:p w14:paraId="6603C094">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物资装备均衡、与服务需求适配，且经评委认定符合采购文件要求的，加1分。</w:t>
            </w:r>
          </w:p>
        </w:tc>
        <w:tc>
          <w:tcPr>
            <w:tcW w:w="1887" w:type="pct"/>
            <w:vAlign w:val="center"/>
          </w:tcPr>
          <w:p w14:paraId="1FADE598">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1.9装备物资投入方案评价：根据投标人提供的装备物资等投入计划方案，考察其是否针对①物资基础配置测算逻辑、②物资维护与更新计划进行了响应，每提供一条上述要点且经评委认定符合采购文件要求的，得0.5分，最高得1分，未提供的不得分。</w:t>
            </w:r>
          </w:p>
          <w:p w14:paraId="78753014">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方案提供应急储备与供应链保障，且经评委认定符合采购文件要求的，加1分；</w:t>
            </w:r>
          </w:p>
          <w:p w14:paraId="0AACC1DB">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物资装备均衡、与服务需求适配，且经评委认定符合采购文件要求的，加1分。</w:t>
            </w:r>
          </w:p>
        </w:tc>
      </w:tr>
      <w:tr w14:paraId="09AD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95" w:type="pct"/>
            <w:vAlign w:val="top"/>
          </w:tcPr>
          <w:p w14:paraId="7F1CF464">
            <w:pPr>
              <w:spacing w:line="240" w:lineRule="auto"/>
              <w:jc w:val="both"/>
              <w:rPr>
                <w:rFonts w:hint="default" w:asciiTheme="minorEastAsia" w:hAnsiTheme="minorEastAsia" w:cstheme="minorEastAsia"/>
                <w:b w:val="0"/>
                <w:bCs w:val="0"/>
                <w:kern w:val="0"/>
                <w:sz w:val="18"/>
                <w:szCs w:val="18"/>
                <w:highlight w:val="none"/>
                <w:lang w:val="en-US" w:eastAsia="zh-CN"/>
              </w:rPr>
            </w:pPr>
            <w:r>
              <w:rPr>
                <w:rFonts w:hint="eastAsia" w:asciiTheme="minorEastAsia" w:hAnsiTheme="minorEastAsia" w:cstheme="minorEastAsia"/>
                <w:b w:val="0"/>
                <w:bCs w:val="0"/>
                <w:kern w:val="0"/>
                <w:sz w:val="18"/>
                <w:szCs w:val="18"/>
                <w:highlight w:val="none"/>
                <w:lang w:val="en-US" w:eastAsia="zh-CN"/>
              </w:rPr>
              <w:t>6</w:t>
            </w:r>
          </w:p>
        </w:tc>
        <w:tc>
          <w:tcPr>
            <w:tcW w:w="985" w:type="pct"/>
            <w:vAlign w:val="top"/>
          </w:tcPr>
          <w:p w14:paraId="50A1DBA7">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招标文件“第五部分    评标办法和标准”“8.本项目采用综合评分法”“（二）商务评估”“1.1投标人资质荣誉”</w:t>
            </w:r>
          </w:p>
        </w:tc>
        <w:tc>
          <w:tcPr>
            <w:tcW w:w="1832" w:type="pct"/>
            <w:shd w:val="clear" w:color="auto" w:fill="auto"/>
            <w:vAlign w:val="center"/>
          </w:tcPr>
          <w:p w14:paraId="3345C3A8">
            <w:pPr>
              <w:widowControl/>
              <w:numPr>
                <w:ilvl w:val="0"/>
                <w:numId w:val="0"/>
              </w:numPr>
              <w:spacing w:line="240" w:lineRule="auto"/>
              <w:jc w:val="both"/>
              <w:rPr>
                <w:rFonts w:hint="default"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根据各投标人2023年1月1日以来，在非住宅类物业管理服务项目上获得县级及以上行政部门颁发的荣誉奖项的，每有1个获奖项目的，得2 分，本项最高得 6分。</w:t>
            </w:r>
          </w:p>
          <w:p w14:paraId="68E60A2A">
            <w:pPr>
              <w:widowControl/>
              <w:numPr>
                <w:ilvl w:val="0"/>
                <w:numId w:val="0"/>
              </w:numPr>
              <w:spacing w:line="240" w:lineRule="auto"/>
              <w:jc w:val="both"/>
              <w:rPr>
                <w:rFonts w:hint="eastAsia"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eastAsiaTheme="minorEastAsia" w:cstheme="minorEastAsia"/>
                <w:b w:val="0"/>
                <w:bCs w:val="0"/>
                <w:kern w:val="0"/>
                <w:sz w:val="16"/>
                <w:szCs w:val="16"/>
                <w:highlight w:val="none"/>
                <w:lang w:val="en-US" w:eastAsia="zh-CN"/>
              </w:rPr>
              <w:t>注：须提供荣誉证书原件扫描件或政府发文（或公示）截图，并加盖投标人公章，未按要求提供不得分。</w:t>
            </w:r>
          </w:p>
        </w:tc>
        <w:tc>
          <w:tcPr>
            <w:tcW w:w="1887" w:type="pct"/>
            <w:vAlign w:val="center"/>
          </w:tcPr>
          <w:p w14:paraId="12463EC0">
            <w:pPr>
              <w:widowControl/>
              <w:numPr>
                <w:ilvl w:val="0"/>
                <w:numId w:val="0"/>
              </w:numPr>
              <w:spacing w:line="360" w:lineRule="auto"/>
              <w:ind w:left="0" w:leftChars="0" w:firstLine="0" w:firstLineChars="0"/>
              <w:jc w:val="center"/>
              <w:rPr>
                <w:rFonts w:hint="default" w:asciiTheme="minorEastAsia" w:hAnsiTheme="minorEastAsia" w:eastAsiaTheme="minorEastAsia" w:cstheme="minorEastAsia"/>
                <w:b w:val="0"/>
                <w:bCs w:val="0"/>
                <w:kern w:val="0"/>
                <w:sz w:val="16"/>
                <w:szCs w:val="16"/>
                <w:highlight w:val="none"/>
                <w:lang w:val="en-US" w:eastAsia="zh-CN"/>
              </w:rPr>
            </w:pPr>
            <w:r>
              <w:rPr>
                <w:rFonts w:hint="eastAsia" w:asciiTheme="minorEastAsia" w:hAnsiTheme="minorEastAsia" w:cstheme="minorEastAsia"/>
                <w:b w:val="0"/>
                <w:bCs w:val="0"/>
                <w:kern w:val="0"/>
                <w:sz w:val="16"/>
                <w:szCs w:val="16"/>
                <w:highlight w:val="none"/>
                <w:lang w:val="en-US" w:eastAsia="zh-CN"/>
              </w:rPr>
              <w:t>删除</w:t>
            </w:r>
          </w:p>
        </w:tc>
      </w:tr>
      <w:tr w14:paraId="21E5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95" w:type="pct"/>
            <w:vAlign w:val="top"/>
          </w:tcPr>
          <w:p w14:paraId="6B322A15">
            <w:pPr>
              <w:spacing w:line="240" w:lineRule="auto"/>
              <w:jc w:val="both"/>
              <w:rPr>
                <w:rFonts w:hint="default" w:asciiTheme="minorEastAsia" w:hAnsiTheme="minorEastAsia" w:cstheme="minorEastAsia"/>
                <w:b w:val="0"/>
                <w:bCs w:val="0"/>
                <w:kern w:val="0"/>
                <w:sz w:val="18"/>
                <w:szCs w:val="18"/>
                <w:highlight w:val="none"/>
                <w:lang w:val="en-US" w:eastAsia="zh-CN"/>
              </w:rPr>
            </w:pPr>
            <w:r>
              <w:rPr>
                <w:rFonts w:hint="eastAsia" w:asciiTheme="minorEastAsia" w:hAnsiTheme="minorEastAsia" w:cstheme="minorEastAsia"/>
                <w:b w:val="0"/>
                <w:bCs w:val="0"/>
                <w:kern w:val="0"/>
                <w:sz w:val="18"/>
                <w:szCs w:val="18"/>
                <w:highlight w:val="none"/>
                <w:lang w:val="en-US" w:eastAsia="zh-CN"/>
              </w:rPr>
              <w:t>7</w:t>
            </w:r>
          </w:p>
        </w:tc>
        <w:tc>
          <w:tcPr>
            <w:tcW w:w="4704" w:type="pct"/>
            <w:gridSpan w:val="3"/>
            <w:vAlign w:val="top"/>
          </w:tcPr>
          <w:p w14:paraId="346360E8">
            <w:pPr>
              <w:widowControl/>
              <w:numPr>
                <w:ilvl w:val="0"/>
                <w:numId w:val="0"/>
              </w:numPr>
              <w:spacing w:line="360" w:lineRule="auto"/>
              <w:ind w:left="0" w:leftChars="0" w:firstLine="0" w:firstLineChars="0"/>
              <w:jc w:val="center"/>
              <w:rPr>
                <w:rFonts w:hint="eastAsia" w:asciiTheme="minorEastAsia" w:hAnsiTheme="minorEastAsia" w:cstheme="minorEastAsia"/>
                <w:b w:val="0"/>
                <w:bCs w:val="0"/>
                <w:kern w:val="0"/>
                <w:sz w:val="16"/>
                <w:szCs w:val="16"/>
                <w:highlight w:val="none"/>
                <w:lang w:val="en-US" w:eastAsia="zh-CN"/>
              </w:rPr>
            </w:pPr>
            <w:bookmarkStart w:id="0" w:name="_GoBack"/>
            <w:r>
              <w:rPr>
                <w:rFonts w:hint="eastAsia" w:asciiTheme="minorEastAsia" w:hAnsiTheme="minorEastAsia" w:cstheme="minorEastAsia"/>
                <w:b w:val="0"/>
                <w:bCs w:val="0"/>
                <w:kern w:val="0"/>
                <w:sz w:val="16"/>
                <w:szCs w:val="16"/>
                <w:highlight w:val="none"/>
                <w:lang w:val="en-US" w:eastAsia="zh-CN"/>
              </w:rPr>
              <w:t>技术评估、商务评估及价格评估的总分值，以及清单及明细报价表做相应调整，以变更后的采购文件为准。</w:t>
            </w:r>
            <w:bookmarkEnd w:id="0"/>
          </w:p>
        </w:tc>
      </w:tr>
    </w:tbl>
    <w:p w14:paraId="66EECBD2">
      <w:pPr>
        <w:rPr>
          <w:rFonts w:hint="eastAsia" w:asciiTheme="minorEastAsia" w:hAnsiTheme="minorEastAsia" w:eastAsiaTheme="minorEastAsia" w:cstheme="minorEastAsia"/>
          <w:sz w:val="21"/>
          <w:szCs w:val="21"/>
          <w:highlight w:val="none"/>
        </w:rPr>
      </w:pPr>
    </w:p>
    <w:p w14:paraId="54DEAB4E"/>
    <w:p w14:paraId="3117BC55">
      <w:pPr>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5731132"/>
    </w:sdtPr>
    <w:sdtContent>
      <w:p w14:paraId="0ABF1B77">
        <w:pPr>
          <w:pStyle w:val="3"/>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D03D7A"/>
    <w:rsid w:val="03E046C9"/>
    <w:rsid w:val="15D23F79"/>
    <w:rsid w:val="18D03D7A"/>
    <w:rsid w:val="1CA31C73"/>
    <w:rsid w:val="20B55EBE"/>
    <w:rsid w:val="2591683F"/>
    <w:rsid w:val="3FD16F41"/>
    <w:rsid w:val="519A0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索引 41"/>
    <w:basedOn w:val="1"/>
    <w:next w:val="1"/>
    <w:unhideWhenUsed/>
    <w:qFormat/>
    <w:uiPriority w:val="0"/>
    <w:pPr>
      <w:ind w:left="600"/>
    </w:pPr>
    <w:rPr>
      <w:rFonts w:ascii="Times New Roman" w:hAnsi="Times New Roman" w:eastAsia="宋体" w:cs="Times New Roman"/>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 w:type="paragraph" w:customStyle="1" w:styleId="8">
    <w:name w:val="Normal_0"/>
    <w:qFormat/>
    <w:uiPriority w:val="0"/>
    <w:rPr>
      <w:rFonts w:ascii="Times New Roman" w:hAnsi="Times New Roman" w:eastAsia="Times New Roman" w:cs="Times New Roman"/>
      <w:sz w:val="24"/>
      <w:szCs w:val="24"/>
      <w:lang w:val="en-US" w:eastAsia="zh-CN" w:bidi="ar-SA"/>
    </w:rPr>
  </w:style>
  <w:style w:type="paragraph" w:customStyle="1" w:styleId="9">
    <w:name w:val="Normal_4"/>
    <w:qFormat/>
    <w:uiPriority w:val="0"/>
    <w:rPr>
      <w:rFonts w:ascii="Times New Roman" w:hAnsi="Times New Roman" w:eastAsia="Times New Roman" w:cs="Times New Roman"/>
      <w:sz w:val="24"/>
      <w:szCs w:val="24"/>
      <w:lang w:val="en-US" w:eastAsia="zh-CN" w:bidi="ar-SA"/>
    </w:rPr>
  </w:style>
  <w:style w:type="paragraph" w:customStyle="1" w:styleId="10">
    <w:name w:val="Normal_5"/>
    <w:qFormat/>
    <w:uiPriority w:val="0"/>
    <w:rPr>
      <w:rFonts w:ascii="Times New Roman" w:hAnsi="Times New Roman" w:eastAsia="Times New Roman" w:cs="Times New Roman"/>
      <w:sz w:val="24"/>
      <w:szCs w:val="24"/>
      <w:lang w:val="en-US" w:eastAsia="zh-CN" w:bidi="ar-SA"/>
    </w:rPr>
  </w:style>
  <w:style w:type="paragraph" w:customStyle="1" w:styleId="11">
    <w:name w:val="Normal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1905</Words>
  <Characters>1982</Characters>
  <Lines>0</Lines>
  <Paragraphs>0</Paragraphs>
  <TotalTime>2</TotalTime>
  <ScaleCrop>false</ScaleCrop>
  <LinksUpToDate>false</LinksUpToDate>
  <CharactersWithSpaces>2010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2026-07-29T06:00:00Z</dcterms:created>
  <dc:creator>wan</dc:creator>
  <cp:lastModifiedBy>周洋</cp:lastModifiedBy>
  <dcterms:modified xsi:type="dcterms:W3CDTF">2026-09-07T01:45:11Z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C01CA040B58449F58127BBF7B01661E2_13</vt:lpwstr>
  </property>
  <property fmtid="{D5CDD505-2E9C-101B-9397-08002B2CF9AE}" pid="4" name="KSOTemplateDocerSaveRecord">
    <vt:lpwstr>eyJoZGlkIjoiZWQ1NmQ2MTQ0ZTMyYThiZjhjZDJiNjlhN2ZhYThhODAiLCJ1c2VySWQiOiIxMTQ0MjQwMzEzIn0=</vt:lpwstr>
  </property>
</Properties>
</file>