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7"/>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pStyle w:val="1137"/>
        <w:ind w:firstLine="300"/>
        <w:spacing w:line="360" w:lineRule="auto"/>
        <w:rPr>
          <w:sz w:val="60"/>
          <w:szCs w:val="60"/>
          <w:highlight w:val="none"/>
        </w:rPr>
      </w:pPr>
      <w:r>
        <w:rPr>
          <w:sz w:val="60"/>
          <w:szCs w:val="60"/>
          <w:highlight w:val="none"/>
        </w:rPr>
      </w:r>
      <w:r/>
    </w:p>
    <w:p>
      <w:pPr>
        <w:pStyle w:val="1137"/>
        <w:jc w:val="center"/>
        <w:spacing w:line="360" w:lineRule="auto"/>
        <w:rPr>
          <w:b/>
          <w:bCs/>
          <w:sz w:val="60"/>
          <w:szCs w:val="60"/>
          <w:highlight w:val="none"/>
        </w:rPr>
      </w:pPr>
      <w:r>
        <w:rPr>
          <w:b/>
          <w:bCs/>
          <w:sz w:val="60"/>
          <w:szCs w:val="60"/>
          <w:highlight w:val="none"/>
        </w:rPr>
        <w:t xml:space="preserve">常州市政府采购项目</w:t>
      </w:r>
      <w:r>
        <w:rPr>
          <w:b/>
          <w:bCs/>
          <w:sz w:val="60"/>
          <w:szCs w:val="60"/>
          <w:highlight w:val="none"/>
        </w:rPr>
      </w:r>
      <w:r/>
    </w:p>
    <w:p>
      <w:pPr>
        <w:pStyle w:val="1137"/>
        <w:jc w:val="center"/>
        <w:spacing w:line="360" w:lineRule="auto"/>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1137"/>
        <w:jc w:val="center"/>
        <w:rPr>
          <w:b/>
          <w:bCs/>
          <w:sz w:val="60"/>
          <w:szCs w:val="60"/>
          <w:highlight w:val="none"/>
        </w:rPr>
      </w:pPr>
      <w:r>
        <w:rPr>
          <w:b/>
          <w:bCs/>
          <w:sz w:val="60"/>
          <w:szCs w:val="60"/>
          <w:highlight w:val="none"/>
        </w:rPr>
      </w:r>
      <w:r/>
    </w:p>
    <w:p>
      <w:pPr>
        <w:pStyle w:val="1137"/>
        <w:jc w:val="center"/>
        <w:spacing w:line="360" w:lineRule="auto"/>
        <w:rPr>
          <w:sz w:val="60"/>
          <w:szCs w:val="60"/>
          <w:highlight w:val="none"/>
        </w:rPr>
      </w:pPr>
      <w:r>
        <w:rPr>
          <w:sz w:val="60"/>
          <w:szCs w:val="60"/>
          <w:highlight w:val="none"/>
        </w:rPr>
      </w:r>
      <w:r/>
    </w:p>
    <w:p>
      <w:pPr>
        <w:pStyle w:val="1137"/>
        <w:ind w:left="2159" w:hanging="1800"/>
        <w:jc w:val="left"/>
        <w:spacing w:line="360" w:lineRule="auto"/>
        <w:tabs>
          <w:tab w:val="left" w:pos="3240" w:leader="none"/>
          <w:tab w:val="left" w:pos="3420" w:leader="none"/>
        </w:tabs>
        <w:rPr>
          <w:rFonts w:hint="eastAsia" w:ascii="宋体" w:hAnsi="宋体" w:cs="宋体"/>
          <w:bCs/>
          <w:sz w:val="36"/>
          <w:szCs w:val="36"/>
          <w:highlight w:val="none"/>
        </w:rPr>
      </w:pPr>
      <w:r>
        <w:rPr>
          <w:bCs/>
          <w:sz w:val="36"/>
          <w:szCs w:val="36"/>
          <w:highlight w:val="none"/>
        </w:rPr>
        <w:t xml:space="preserve">项目名称：</w:t>
      </w:r>
      <w:r>
        <w:rPr>
          <w:rFonts w:hint="eastAsia"/>
          <w:bCs/>
          <w:sz w:val="36"/>
          <w:szCs w:val="36"/>
          <w:highlight w:val="none"/>
        </w:rPr>
        <w:t xml:space="preserve">常州市地表水环境质量自动监测站优化调整及运维服务项目</w:t>
      </w:r>
      <w:r>
        <w:rPr>
          <w:rFonts w:hint="eastAsia" w:ascii="宋体" w:hAnsi="宋体" w:cs="宋体"/>
          <w:bCs/>
          <w:sz w:val="36"/>
          <w:szCs w:val="36"/>
          <w:highlight w:val="none"/>
        </w:rPr>
      </w:r>
      <w:r/>
    </w:p>
    <w:p>
      <w:pPr>
        <w:pStyle w:val="1137"/>
        <w:ind w:firstLine="360"/>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项目编号：JSZC-320400-CZRB-G2026-0021</w:t>
      </w:r>
      <w:r>
        <w:rPr>
          <w:rFonts w:ascii="宋体" w:hAnsi="宋体" w:cs="宋体"/>
          <w:bCs/>
          <w:sz w:val="36"/>
          <w:szCs w:val="36"/>
          <w:highlight w:val="none"/>
        </w:rPr>
      </w:r>
      <w:r/>
    </w:p>
    <w:p>
      <w:pPr>
        <w:pStyle w:val="1137"/>
        <w:ind w:firstLine="360"/>
        <w:jc w:val="left"/>
        <w:spacing w:line="360" w:lineRule="auto"/>
        <w:tabs>
          <w:tab w:val="left" w:pos="3240" w:leader="none"/>
          <w:tab w:val="left" w:pos="3420" w:leader="none"/>
        </w:tabs>
        <w:rPr>
          <w:rFonts w:hint="eastAsia"/>
          <w:bCs/>
          <w:sz w:val="36"/>
          <w:szCs w:val="36"/>
          <w:highlight w:val="none"/>
        </w:rPr>
      </w:pPr>
      <w:r>
        <w:rPr>
          <w:rFonts w:hint="eastAsia" w:ascii="宋体" w:hAnsi="宋体" w:cs="宋体"/>
          <w:bCs/>
          <w:sz w:val="36"/>
          <w:szCs w:val="36"/>
          <w:highlight w:val="none"/>
        </w:rPr>
        <w:t xml:space="preserve">采 购 人：常州市生态环境监控中心</w:t>
      </w:r>
      <w:r>
        <w:rPr>
          <w:rFonts w:hint="eastAsia"/>
          <w:bCs/>
          <w:sz w:val="36"/>
          <w:szCs w:val="36"/>
          <w:highlight w:val="none"/>
        </w:rPr>
      </w:r>
      <w:r/>
    </w:p>
    <w:p>
      <w:pPr>
        <w:pStyle w:val="1137"/>
        <w:ind w:firstLine="36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常州润邦招标代理有限公司</w:t>
      </w:r>
      <w:r>
        <w:rPr>
          <w:rFonts w:hint="eastAsia"/>
          <w:bCs/>
          <w:sz w:val="36"/>
          <w:szCs w:val="36"/>
          <w:highlight w:val="none"/>
        </w:rPr>
      </w:r>
      <w:r/>
    </w:p>
    <w:p>
      <w:pPr>
        <w:pStyle w:val="1137"/>
        <w:ind w:firstLine="1446"/>
        <w:jc w:val="center"/>
        <w:spacing w:line="500" w:lineRule="exact"/>
        <w:rPr>
          <w:b/>
          <w:sz w:val="72"/>
          <w:highlight w:val="none"/>
        </w:rPr>
      </w:pPr>
      <w:r>
        <w:rPr>
          <w:b/>
          <w:sz w:val="72"/>
          <w:highlight w:val="none"/>
        </w:rPr>
      </w:r>
      <w:r/>
    </w:p>
    <w:p>
      <w:pPr>
        <w:pStyle w:val="1137"/>
        <w:ind w:firstLine="1446"/>
        <w:jc w:val="center"/>
        <w:spacing w:line="500" w:lineRule="exact"/>
        <w:rPr>
          <w:b/>
          <w:sz w:val="7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Column"/>
          <w:pgSz w:w="11907" w:h="16840" w:orient="portrait"/>
          <w:pgMar w:top="1440" w:right="1417" w:bottom="1440" w:left="1417" w:header="851" w:footer="850" w:gutter="0"/>
          <w:pgNumType w:start="1"/>
          <w:cols w:num="1" w:sep="0" w:space="1701" w:equalWidth="1"/>
          <w:docGrid w:linePitch="360"/>
          <w:titlePg/>
        </w:sectPr>
      </w:pPr>
      <w:r>
        <w:rPr>
          <w:b/>
          <w:sz w:val="72"/>
          <w:highlight w:val="none"/>
        </w:rPr>
        <w:br w:type="page" w:clear="all"/>
      </w:r>
      <w:r/>
    </w:p>
    <w:p>
      <w:pPr>
        <w:pStyle w:val="1137"/>
        <w:jc w:val="center"/>
        <w:spacing w:line="360" w:lineRule="auto"/>
        <w:rPr>
          <w:b/>
          <w:sz w:val="44"/>
          <w:szCs w:val="44"/>
          <w:highlight w:val="none"/>
        </w:rPr>
        <w:outlineLvl w:val="0"/>
      </w:pPr>
      <w:r/>
      <w:bookmarkStart w:id="0" w:name="_Toc17344"/>
      <w:r/>
      <w:bookmarkStart w:id="1" w:name="_Toc99301418"/>
      <w:r>
        <w:rPr>
          <w:b/>
          <w:sz w:val="44"/>
          <w:szCs w:val="44"/>
          <w:highlight w:val="none"/>
        </w:rPr>
        <w:t xml:space="preserve">目  录</w:t>
      </w:r>
      <w:bookmarkEnd w:id="0"/>
      <w:r/>
      <w:bookmarkEnd w:id="1"/>
      <w:r>
        <w:rPr>
          <w:b/>
          <w:sz w:val="44"/>
          <w:szCs w:val="44"/>
          <w:highlight w:val="none"/>
        </w:rPr>
      </w:r>
      <w:r/>
    </w:p>
    <w:p>
      <w:pPr>
        <w:pStyle w:val="1190"/>
        <w:spacing w:line="360" w:lineRule="auto"/>
        <w:tabs>
          <w:tab w:val="left" w:pos="1050" w:leader="none"/>
          <w:tab w:val="right" w:pos="8307" w:leader="dot"/>
          <w:tab w:val="right" w:pos="8937" w:leader="dot"/>
        </w:tabs>
        <w:rPr>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highlight w:val="none"/>
        </w:rPr>
        <w:fldChar w:fldCharType="begin"/>
      </w:r>
      <w:r>
        <w:rPr>
          <w:highlight w:val="none"/>
        </w:rPr>
        <w:instrText xml:space="preserve"> HYPERLINK \l "_Toc10285" </w:instrText>
      </w:r>
      <w:r>
        <w:rPr>
          <w:highlight w:val="none"/>
        </w:rPr>
        <w:fldChar w:fldCharType="separate"/>
      </w:r>
      <w:r>
        <w:rPr>
          <w:sz w:val="32"/>
          <w:szCs w:val="3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_Toc10285 \h </w:instrText>
      </w:r>
      <w:r>
        <w:rPr>
          <w:sz w:val="32"/>
          <w:szCs w:val="32"/>
          <w:highlight w:val="none"/>
        </w:rPr>
        <w:fldChar w:fldCharType="separate"/>
      </w:r>
      <w:r>
        <w:rPr>
          <w:sz w:val="32"/>
          <w:szCs w:val="32"/>
          <w:highlight w:val="none"/>
        </w:rPr>
        <w:t xml:space="preserve">2</w:t>
      </w:r>
      <w:r>
        <w:rPr>
          <w:sz w:val="32"/>
          <w:szCs w:val="32"/>
          <w:highlight w:val="none"/>
        </w:rPr>
        <w:fldChar w:fldCharType="end"/>
      </w:r>
      <w:r>
        <w:rPr>
          <w:sz w:val="32"/>
          <w:szCs w:val="32"/>
          <w:highlight w:val="none"/>
        </w:rPr>
        <w:fldChar w:fldCharType="end"/>
      </w:r>
      <w:r>
        <w:rPr>
          <w:sz w:val="32"/>
          <w:szCs w:val="32"/>
          <w:highlight w:val="none"/>
        </w:rPr>
      </w:r>
      <w:r/>
    </w:p>
    <w:p>
      <w:pPr>
        <w:pStyle w:val="1190"/>
        <w:spacing w:line="360" w:lineRule="auto"/>
        <w:tabs>
          <w:tab w:val="left" w:pos="1050" w:leader="none"/>
          <w:tab w:val="right" w:pos="8307" w:leader="dot"/>
          <w:tab w:val="right" w:pos="8937" w:leader="dot"/>
        </w:tabs>
        <w:rPr>
          <w:sz w:val="32"/>
          <w:szCs w:val="32"/>
          <w:highlight w:val="none"/>
        </w:rPr>
      </w:pPr>
      <w:r>
        <w:rPr>
          <w:highlight w:val="none"/>
        </w:rPr>
        <w:fldChar w:fldCharType="begin"/>
      </w:r>
      <w:r>
        <w:rPr>
          <w:highlight w:val="none"/>
        </w:rPr>
        <w:instrText xml:space="preserve"> HYPERLINK \l "_Toc8972" </w:instrText>
      </w:r>
      <w:r>
        <w:rPr>
          <w:highlight w:val="none"/>
        </w:rPr>
        <w:fldChar w:fldCharType="separate"/>
      </w:r>
      <w:r>
        <w:rPr>
          <w:sz w:val="32"/>
          <w:szCs w:val="3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_Toc8972 \h </w:instrText>
      </w:r>
      <w:r>
        <w:rPr>
          <w:sz w:val="32"/>
          <w:szCs w:val="32"/>
          <w:highlight w:val="none"/>
        </w:rPr>
        <w:fldChar w:fldCharType="separate"/>
      </w:r>
      <w:r>
        <w:rPr>
          <w:sz w:val="32"/>
          <w:szCs w:val="32"/>
          <w:highlight w:val="none"/>
        </w:rPr>
        <w:t xml:space="preserve">5</w:t>
      </w:r>
      <w:r>
        <w:rPr>
          <w:sz w:val="32"/>
          <w:szCs w:val="32"/>
          <w:highlight w:val="none"/>
        </w:rPr>
        <w:fldChar w:fldCharType="end"/>
      </w:r>
      <w:r>
        <w:rPr>
          <w:sz w:val="32"/>
          <w:szCs w:val="32"/>
          <w:highlight w:val="none"/>
        </w:rPr>
        <w:fldChar w:fldCharType="end"/>
      </w:r>
      <w:r>
        <w:rPr>
          <w:sz w:val="32"/>
          <w:szCs w:val="32"/>
          <w:highlight w:val="none"/>
        </w:rPr>
      </w:r>
      <w:r/>
    </w:p>
    <w:p>
      <w:pPr>
        <w:pStyle w:val="1190"/>
        <w:spacing w:line="360" w:lineRule="auto"/>
        <w:tabs>
          <w:tab w:val="left" w:pos="1050" w:leader="none"/>
          <w:tab w:val="right" w:pos="8307" w:leader="dot"/>
          <w:tab w:val="right" w:pos="8937" w:leader="dot"/>
        </w:tabs>
        <w:rPr>
          <w:sz w:val="32"/>
          <w:szCs w:val="32"/>
          <w:highlight w:val="none"/>
        </w:rPr>
      </w:pPr>
      <w:r>
        <w:rPr>
          <w:highlight w:val="none"/>
        </w:rPr>
        <w:fldChar w:fldCharType="begin"/>
      </w:r>
      <w:r>
        <w:rPr>
          <w:highlight w:val="none"/>
        </w:rPr>
        <w:instrText xml:space="preserve"> HYPERLINK \l "_Toc2283" </w:instrText>
      </w:r>
      <w:r>
        <w:rPr>
          <w:highlight w:val="none"/>
        </w:rPr>
        <w:fldChar w:fldCharType="separate"/>
      </w:r>
      <w:r>
        <w:rPr>
          <w:sz w:val="32"/>
          <w:szCs w:val="32"/>
          <w:highlight w:val="none"/>
        </w:rPr>
        <w:t xml:space="preserve">第三章   资格审查</w:t>
      </w:r>
      <w:r>
        <w:rPr>
          <w:sz w:val="32"/>
          <w:szCs w:val="32"/>
          <w:highlight w:val="none"/>
        </w:rPr>
        <w:tab/>
      </w:r>
      <w:r>
        <w:rPr>
          <w:sz w:val="32"/>
          <w:szCs w:val="32"/>
          <w:highlight w:val="none"/>
        </w:rPr>
        <w:fldChar w:fldCharType="begin"/>
      </w:r>
      <w:r>
        <w:rPr>
          <w:sz w:val="32"/>
          <w:szCs w:val="32"/>
          <w:highlight w:val="none"/>
        </w:rPr>
        <w:instrText xml:space="preserve"> PAGEREF _Toc2283 \h </w:instrText>
      </w:r>
      <w:r>
        <w:rPr>
          <w:sz w:val="32"/>
          <w:szCs w:val="32"/>
          <w:highlight w:val="none"/>
        </w:rPr>
        <w:fldChar w:fldCharType="separate"/>
      </w:r>
      <w:r>
        <w:rPr>
          <w:sz w:val="32"/>
          <w:szCs w:val="32"/>
          <w:highlight w:val="none"/>
        </w:rPr>
        <w:t xml:space="preserve">17</w:t>
      </w:r>
      <w:r>
        <w:rPr>
          <w:sz w:val="32"/>
          <w:szCs w:val="32"/>
          <w:highlight w:val="none"/>
        </w:rPr>
        <w:fldChar w:fldCharType="end"/>
      </w:r>
      <w:r>
        <w:rPr>
          <w:sz w:val="32"/>
          <w:szCs w:val="32"/>
          <w:highlight w:val="none"/>
        </w:rPr>
        <w:fldChar w:fldCharType="end"/>
      </w:r>
      <w:r>
        <w:rPr>
          <w:sz w:val="32"/>
          <w:szCs w:val="32"/>
          <w:highlight w:val="none"/>
        </w:rPr>
      </w:r>
      <w:r/>
    </w:p>
    <w:p>
      <w:pPr>
        <w:pStyle w:val="1190"/>
        <w:spacing w:line="360" w:lineRule="auto"/>
        <w:tabs>
          <w:tab w:val="left" w:pos="1050" w:leader="none"/>
          <w:tab w:val="right" w:pos="8307" w:leader="dot"/>
          <w:tab w:val="right" w:pos="8937" w:leader="dot"/>
        </w:tabs>
        <w:rPr>
          <w:sz w:val="32"/>
          <w:szCs w:val="32"/>
          <w:highlight w:val="none"/>
        </w:rPr>
      </w:pPr>
      <w:r>
        <w:rPr>
          <w:highlight w:val="none"/>
        </w:rPr>
        <w:fldChar w:fldCharType="begin"/>
      </w:r>
      <w:r>
        <w:rPr>
          <w:highlight w:val="none"/>
        </w:rPr>
        <w:instrText xml:space="preserve"> HYPERLINK \l "_Toc9995" </w:instrText>
      </w:r>
      <w:r>
        <w:rPr>
          <w:highlight w:val="none"/>
        </w:rPr>
        <w:fldChar w:fldCharType="separate"/>
      </w:r>
      <w:r>
        <w:rPr>
          <w:sz w:val="32"/>
          <w:szCs w:val="32"/>
          <w:highlight w:val="none"/>
        </w:rPr>
        <w:t xml:space="preserve">第四章   评标程序、评标方法和评标标准</w:t>
      </w:r>
      <w:r>
        <w:rPr>
          <w:sz w:val="32"/>
          <w:szCs w:val="32"/>
          <w:highlight w:val="none"/>
        </w:rPr>
        <w:tab/>
      </w:r>
      <w:r>
        <w:rPr>
          <w:sz w:val="32"/>
          <w:szCs w:val="32"/>
          <w:highlight w:val="none"/>
        </w:rPr>
        <w:fldChar w:fldCharType="begin"/>
      </w:r>
      <w:r>
        <w:rPr>
          <w:sz w:val="32"/>
          <w:szCs w:val="32"/>
          <w:highlight w:val="none"/>
        </w:rPr>
        <w:instrText xml:space="preserve"> PAGEREF _Toc9995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sz w:val="32"/>
          <w:szCs w:val="32"/>
          <w:highlight w:val="none"/>
        </w:rPr>
        <w:fldChar w:fldCharType="end"/>
      </w:r>
      <w:r>
        <w:rPr>
          <w:sz w:val="32"/>
          <w:szCs w:val="32"/>
          <w:highlight w:val="none"/>
        </w:rPr>
      </w:r>
      <w:r/>
    </w:p>
    <w:p>
      <w:pPr>
        <w:pStyle w:val="1190"/>
        <w:spacing w:line="360" w:lineRule="auto"/>
        <w:tabs>
          <w:tab w:val="left" w:pos="1050" w:leader="none"/>
          <w:tab w:val="right" w:pos="8307" w:leader="dot"/>
          <w:tab w:val="right" w:pos="8937" w:leader="dot"/>
        </w:tabs>
        <w:rPr>
          <w:sz w:val="32"/>
          <w:szCs w:val="32"/>
          <w:highlight w:val="none"/>
        </w:rPr>
      </w:pPr>
      <w:r>
        <w:rPr>
          <w:highlight w:val="none"/>
        </w:rPr>
        <w:fldChar w:fldCharType="begin"/>
      </w:r>
      <w:r>
        <w:rPr>
          <w:highlight w:val="none"/>
        </w:rPr>
        <w:instrText xml:space="preserve"> HYPERLINK \l "_Toc9184" </w:instrText>
      </w:r>
      <w:r>
        <w:rPr>
          <w:highlight w:val="none"/>
        </w:rPr>
        <w:fldChar w:fldCharType="separate"/>
      </w:r>
      <w:r>
        <w:rPr>
          <w:sz w:val="32"/>
          <w:szCs w:val="32"/>
          <w:highlight w:val="none"/>
        </w:rPr>
        <w:t xml:space="preserve">第五章   采购需求</w:t>
      </w:r>
      <w:r>
        <w:rPr>
          <w:sz w:val="32"/>
          <w:szCs w:val="32"/>
          <w:highlight w:val="none"/>
        </w:rPr>
        <w:tab/>
      </w:r>
      <w:r>
        <w:rPr>
          <w:sz w:val="32"/>
          <w:szCs w:val="32"/>
          <w:highlight w:val="none"/>
        </w:rPr>
        <w:fldChar w:fldCharType="begin"/>
      </w:r>
      <w:r>
        <w:rPr>
          <w:sz w:val="32"/>
          <w:szCs w:val="32"/>
          <w:highlight w:val="none"/>
        </w:rPr>
        <w:instrText xml:space="preserve"> PAGEREF _Toc9184 \h </w:instrText>
      </w:r>
      <w:r>
        <w:rPr>
          <w:sz w:val="32"/>
          <w:szCs w:val="32"/>
          <w:highlight w:val="none"/>
        </w:rPr>
        <w:fldChar w:fldCharType="separate"/>
      </w:r>
      <w:r>
        <w:rPr>
          <w:sz w:val="32"/>
          <w:szCs w:val="32"/>
          <w:highlight w:val="none"/>
        </w:rPr>
        <w:t xml:space="preserve">25</w:t>
      </w:r>
      <w:r>
        <w:rPr>
          <w:sz w:val="32"/>
          <w:szCs w:val="32"/>
          <w:highlight w:val="none"/>
        </w:rPr>
        <w:fldChar w:fldCharType="end"/>
      </w:r>
      <w:r>
        <w:rPr>
          <w:sz w:val="32"/>
          <w:szCs w:val="32"/>
          <w:highlight w:val="none"/>
        </w:rPr>
        <w:fldChar w:fldCharType="end"/>
      </w:r>
      <w:r>
        <w:rPr>
          <w:sz w:val="32"/>
          <w:szCs w:val="32"/>
          <w:highlight w:val="none"/>
        </w:rPr>
      </w:r>
      <w:r/>
    </w:p>
    <w:p>
      <w:pPr>
        <w:pStyle w:val="1190"/>
        <w:spacing w:line="360" w:lineRule="auto"/>
        <w:tabs>
          <w:tab w:val="left" w:pos="1050" w:leader="none"/>
          <w:tab w:val="right" w:pos="8307" w:leader="dot"/>
          <w:tab w:val="right" w:pos="8937" w:leader="dot"/>
        </w:tabs>
        <w:rPr>
          <w:sz w:val="32"/>
          <w:szCs w:val="32"/>
          <w:highlight w:val="none"/>
        </w:rPr>
      </w:pPr>
      <w:r>
        <w:rPr>
          <w:highlight w:val="none"/>
        </w:rPr>
        <w:fldChar w:fldCharType="begin"/>
      </w:r>
      <w:r>
        <w:rPr>
          <w:highlight w:val="none"/>
        </w:rPr>
        <w:instrText xml:space="preserve"> HYPERLINK \l "_Toc5239" </w:instrText>
      </w:r>
      <w:r>
        <w:rPr>
          <w:highlight w:val="none"/>
        </w:rPr>
        <w:fldChar w:fldCharType="separate"/>
      </w:r>
      <w:r>
        <w:rPr>
          <w:sz w:val="32"/>
          <w:szCs w:val="32"/>
          <w:highlight w:val="none"/>
        </w:rPr>
        <w:t xml:space="preserve">第六章   拟签订的合同文本</w:t>
      </w:r>
      <w:r>
        <w:rPr>
          <w:sz w:val="32"/>
          <w:szCs w:val="32"/>
          <w:highlight w:val="none"/>
        </w:rPr>
        <w:tab/>
      </w:r>
      <w:r>
        <w:rPr>
          <w:sz w:val="32"/>
          <w:szCs w:val="32"/>
          <w:highlight w:val="none"/>
        </w:rPr>
        <w:fldChar w:fldCharType="begin"/>
      </w:r>
      <w:r>
        <w:rPr>
          <w:sz w:val="32"/>
          <w:szCs w:val="32"/>
          <w:highlight w:val="none"/>
        </w:rPr>
        <w:instrText xml:space="preserve"> PAGEREF _Toc5239 \h </w:instrText>
      </w:r>
      <w:r>
        <w:rPr>
          <w:sz w:val="32"/>
          <w:szCs w:val="32"/>
          <w:highlight w:val="none"/>
        </w:rPr>
        <w:fldChar w:fldCharType="separate"/>
      </w:r>
      <w:r>
        <w:rPr>
          <w:sz w:val="32"/>
          <w:szCs w:val="32"/>
          <w:highlight w:val="none"/>
        </w:rPr>
        <w:t xml:space="preserve">29</w:t>
      </w:r>
      <w:r>
        <w:rPr>
          <w:sz w:val="32"/>
          <w:szCs w:val="32"/>
          <w:highlight w:val="none"/>
        </w:rPr>
        <w:fldChar w:fldCharType="end"/>
      </w:r>
      <w:r>
        <w:rPr>
          <w:sz w:val="32"/>
          <w:szCs w:val="32"/>
          <w:highlight w:val="none"/>
        </w:rPr>
        <w:fldChar w:fldCharType="end"/>
      </w:r>
      <w:r>
        <w:rPr>
          <w:sz w:val="32"/>
          <w:szCs w:val="32"/>
          <w:highlight w:val="none"/>
        </w:rPr>
      </w:r>
      <w:r/>
    </w:p>
    <w:p>
      <w:pPr>
        <w:pStyle w:val="1190"/>
        <w:spacing w:line="360" w:lineRule="auto"/>
        <w:tabs>
          <w:tab w:val="left" w:pos="1050" w:leader="none"/>
          <w:tab w:val="right" w:pos="8307" w:leader="dot"/>
          <w:tab w:val="right" w:pos="8937" w:leader="dot"/>
        </w:tabs>
        <w:rPr>
          <w:sz w:val="32"/>
          <w:szCs w:val="32"/>
          <w:highlight w:val="none"/>
        </w:rPr>
      </w:pPr>
      <w:r>
        <w:rPr>
          <w:highlight w:val="none"/>
        </w:rPr>
        <w:fldChar w:fldCharType="begin"/>
      </w:r>
      <w:r>
        <w:rPr>
          <w:highlight w:val="none"/>
        </w:rPr>
        <w:instrText xml:space="preserve"> HYPERLINK \l "_Toc1889" </w:instrText>
      </w:r>
      <w:r>
        <w:rPr>
          <w:highlight w:val="none"/>
        </w:rPr>
        <w:fldChar w:fldCharType="separate"/>
      </w:r>
      <w:r>
        <w:rPr>
          <w:sz w:val="32"/>
          <w:szCs w:val="32"/>
          <w:highlight w:val="none"/>
        </w:rPr>
        <w:t xml:space="preserve">第七章   投标文件格式</w:t>
      </w:r>
      <w:r>
        <w:rPr>
          <w:sz w:val="32"/>
          <w:szCs w:val="32"/>
          <w:highlight w:val="none"/>
        </w:rPr>
        <w:tab/>
      </w:r>
      <w:r>
        <w:rPr>
          <w:sz w:val="32"/>
          <w:szCs w:val="32"/>
          <w:highlight w:val="none"/>
        </w:rPr>
        <w:fldChar w:fldCharType="begin"/>
      </w:r>
      <w:r>
        <w:rPr>
          <w:sz w:val="32"/>
          <w:szCs w:val="32"/>
          <w:highlight w:val="none"/>
        </w:rPr>
        <w:instrText xml:space="preserve"> PAGEREF _Toc1889 \h </w:instrText>
      </w:r>
      <w:r>
        <w:rPr>
          <w:sz w:val="32"/>
          <w:szCs w:val="32"/>
          <w:highlight w:val="none"/>
        </w:rPr>
        <w:fldChar w:fldCharType="separate"/>
      </w:r>
      <w:r>
        <w:rPr>
          <w:sz w:val="32"/>
          <w:szCs w:val="32"/>
          <w:highlight w:val="none"/>
        </w:rPr>
        <w:t xml:space="preserve">42</w:t>
      </w:r>
      <w:r>
        <w:rPr>
          <w:sz w:val="32"/>
          <w:szCs w:val="32"/>
          <w:highlight w:val="none"/>
        </w:rPr>
        <w:fldChar w:fldCharType="end"/>
      </w:r>
      <w:r>
        <w:rPr>
          <w:sz w:val="32"/>
          <w:szCs w:val="32"/>
          <w:highlight w:val="none"/>
        </w:rPr>
        <w:fldChar w:fldCharType="end"/>
      </w:r>
      <w:r>
        <w:rPr>
          <w:sz w:val="32"/>
          <w:szCs w:val="32"/>
          <w:highlight w:val="none"/>
        </w:rPr>
      </w:r>
      <w:r/>
    </w:p>
    <w:p>
      <w:pPr>
        <w:pStyle w:val="1190"/>
        <w:spacing w:line="360" w:lineRule="auto"/>
        <w:tabs>
          <w:tab w:val="left" w:pos="1050" w:leader="none"/>
          <w:tab w:val="right" w:pos="8937" w:leader="dot"/>
        </w:tabs>
        <w:rPr>
          <w:rFonts w:ascii="Times New Roman" w:hAnsi="Times New Roman"/>
          <w:b w:val="0"/>
          <w:highlight w:val="none"/>
        </w:rPr>
      </w:pPr>
      <w:r>
        <w:rPr>
          <w:rFonts w:hint="eastAsia" w:cs="宋体"/>
          <w:sz w:val="32"/>
          <w:szCs w:val="32"/>
          <w:highlight w:val="none"/>
        </w:rPr>
        <w:fldChar w:fldCharType="end"/>
      </w:r>
      <w:r>
        <w:rPr>
          <w:rFonts w:ascii="Times New Roman" w:hAnsi="Times New Roman"/>
          <w:b w:val="0"/>
          <w:highlight w:val="none"/>
        </w:rPr>
      </w:r>
      <w:r/>
    </w:p>
    <w:p>
      <w:pPr>
        <w:pStyle w:val="1137"/>
        <w:jc w:val="center"/>
        <w:spacing w:line="400" w:lineRule="exact"/>
        <w:rPr>
          <w:b/>
          <w:sz w:val="36"/>
          <w:szCs w:val="36"/>
          <w:highlight w:val="none"/>
        </w:rPr>
        <w:outlineLvl w:val="0"/>
      </w:pPr>
      <w:r>
        <w:rPr>
          <w:sz w:val="24"/>
          <w:highlight w:val="none"/>
        </w:rPr>
        <w:br w:type="page" w:clear="all"/>
      </w:r>
      <w:bookmarkStart w:id="2" w:name="_Toc10285"/>
      <w:r>
        <w:rPr>
          <w:b/>
          <w:sz w:val="36"/>
          <w:szCs w:val="36"/>
          <w:highlight w:val="none"/>
        </w:rPr>
        <w:t xml:space="preserve">第一章   投标邀请</w:t>
      </w:r>
      <w:bookmarkEnd w:id="2"/>
      <w:r>
        <w:rPr>
          <w:b/>
          <w:sz w:val="36"/>
          <w:szCs w:val="36"/>
          <w:highlight w:val="none"/>
        </w:rPr>
      </w:r>
      <w:r/>
    </w:p>
    <w:p>
      <w:pPr>
        <w:pStyle w:val="1137"/>
        <w:ind w:firstLine="482"/>
        <w:spacing w:line="400" w:lineRule="exact"/>
        <w:rPr>
          <w:rFonts w:ascii="宋体" w:hAnsi="宋体" w:cs="宋体"/>
          <w:b/>
          <w:bCs/>
          <w:sz w:val="24"/>
          <w:highlight w:val="none"/>
        </w:rPr>
      </w:pPr>
      <w:r/>
      <w:bookmarkStart w:id="3" w:name="_Toc28359002"/>
      <w:r/>
      <w:bookmarkStart w:id="4" w:name="_Toc28359079"/>
      <w:r/>
      <w:bookmarkStart w:id="5" w:name="_Toc35393621"/>
      <w:r/>
      <w:bookmarkStart w:id="6" w:name="_Toc35393790"/>
      <w:r/>
      <w:bookmarkStart w:id="7" w:name="_Hlk24379207"/>
      <w:r>
        <w:rPr>
          <w:rFonts w:hint="eastAsia" w:ascii="宋体" w:hAnsi="宋体" w:cs="宋体"/>
          <w:b/>
          <w:bCs/>
          <w:sz w:val="24"/>
          <w:highlight w:val="none"/>
        </w:rPr>
        <w:t xml:space="preserve">一、项目基本情况</w:t>
      </w:r>
      <w:bookmarkEnd w:id="3"/>
      <w:r/>
      <w:bookmarkEnd w:id="4"/>
      <w:r/>
      <w:bookmarkEnd w:id="5"/>
      <w:r/>
      <w:bookmarkEnd w:id="6"/>
      <w:r>
        <w:rPr>
          <w:rFonts w:ascii="宋体" w:hAnsi="宋体" w:cs="宋体"/>
          <w:b/>
          <w:bCs/>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1.项目编号/包号：JSZC-320400-CZRB-G2026-0021</w:t>
      </w:r>
      <w:r>
        <w:rPr>
          <w:rFonts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2.项目名称：常州市地表水环境质量自动监测站优化调整及运维服务项目</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bookmarkEnd w:id="7"/>
      <w:r/>
      <w:bookmarkStart w:id="8" w:name="_Toc28359080"/>
      <w:r/>
      <w:bookmarkStart w:id="9" w:name="_Toc28359003"/>
      <w:r/>
      <w:bookmarkStart w:id="10" w:name="_Toc35393622"/>
      <w:r/>
      <w:bookmarkStart w:id="11" w:name="_Toc35393791"/>
      <w:r>
        <w:rPr>
          <w:rFonts w:hint="eastAsia" w:ascii="宋体" w:hAnsi="宋体" w:cs="宋体"/>
          <w:sz w:val="24"/>
          <w:highlight w:val="none"/>
        </w:rPr>
        <w:t xml:space="preserve">3.项目预算金额：人民币386万元（采购包1：135.5万元；采购包2:121.5万元；采购包3：129万元）；最高限价（如有）：人民币386万元（采购包1：135.5万元；采购包2:121.5万元；采购包3：129万元）。</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4.采购需求：对</w:t>
      </w:r>
      <w:r>
        <w:rPr>
          <w:rFonts w:hint="eastAsia" w:ascii="宋体" w:hAnsi="宋体" w:cs="宋体"/>
          <w:color w:val="000000"/>
          <w:sz w:val="24"/>
          <w:highlight w:val="none"/>
        </w:rPr>
        <w:t xml:space="preserve">7个常州市建水站进行搬迁及开展水站全托管运行维护（运维站点详见各采购包需求），为</w:t>
      </w:r>
      <w:r>
        <w:rPr>
          <w:rFonts w:hint="eastAsia" w:ascii="宋体" w:hAnsi="宋体" w:cs="宋体"/>
          <w:sz w:val="24"/>
          <w:highlight w:val="none"/>
        </w:rPr>
        <w:t xml:space="preserve">区域水环境治理、水</w:t>
      </w:r>
      <w:r>
        <w:rPr>
          <w:rFonts w:hint="eastAsia" w:ascii="宋体" w:hAnsi="宋体" w:cs="宋体"/>
          <w:sz w:val="24"/>
          <w:highlight w:val="none"/>
        </w:rPr>
        <w:t xml:space="preserve">质监控、应急防控等提供稳定有效的数据支撑，现采购站点搬迁及第三</w:t>
      </w:r>
      <w:r>
        <w:rPr>
          <w:rFonts w:hint="eastAsia" w:ascii="宋体" w:hAnsi="宋体" w:cs="宋体"/>
          <w:sz w:val="24"/>
          <w:highlight w:val="none"/>
        </w:rPr>
        <w:t xml:space="preserve">方全托管运行维护服务。</w:t>
      </w:r>
      <w:r>
        <w:rPr>
          <w:rFonts w:hint="eastAsia" w:ascii="宋体" w:hAnsi="宋体" w:cs="宋体"/>
          <w:sz w:val="24"/>
          <w:highlight w:val="none"/>
        </w:rPr>
      </w:r>
      <w:r/>
    </w:p>
    <w:p>
      <w:pPr>
        <w:pStyle w:val="1137"/>
        <w:ind w:firstLine="480"/>
        <w:spacing w:line="400" w:lineRule="exact"/>
        <w:rPr>
          <w:sz w:val="24"/>
          <w:highlight w:val="none"/>
        </w:rPr>
      </w:pPr>
      <w:r>
        <w:rPr>
          <w:rFonts w:hint="eastAsia" w:ascii="宋体" w:hAnsi="宋体" w:cs="宋体"/>
          <w:sz w:val="24"/>
          <w:highlight w:val="none"/>
        </w:rPr>
        <w:t xml:space="preserve">本项目根据站点的地域分布，分为3个采购包，供应商可选择1个采购包或多个采购包进行响应，兼投不兼中，1家供应商只能成交1个采购包。本项目按采购包1、包2、包3的顺序进行评审并确定中标（成交）候选人,供应商如在前面的采购包中标（成交），后续采购包不再参加评审且不计入有效响应家数。</w:t>
      </w:r>
      <w:r>
        <w:rPr>
          <w:rFonts w:hint="eastAsia"/>
          <w:sz w:val="24"/>
          <w:highlight w:val="none"/>
        </w:rPr>
        <w:t xml:space="preserve">具体采购包情况如下：</w:t>
      </w:r>
      <w:r>
        <w:rPr>
          <w:sz w:val="24"/>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10"/>
        <w:gridCol w:w="1304"/>
        <w:gridCol w:w="6207"/>
        <w:gridCol w:w="1632"/>
      </w:tblGrid>
      <w:tr>
        <w:trPr>
          <w:trHeight w:val="530"/>
          <w:tblHeader/>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序号</w:t>
            </w:r>
            <w:r>
              <w:rPr>
                <w:rFonts w:hint="eastAsia" w:ascii="宋体" w:hAnsi="宋体" w:cs="宋体"/>
                <w:b/>
                <w:bCs/>
                <w:highlight w:val="none"/>
              </w:rPr>
            </w:r>
            <w:r/>
          </w:p>
        </w:tc>
        <w:tc>
          <w:tcPr>
            <w:tcBorders>
              <w:top w:val="single" w:color="000000" w:sz="4" w:space="0"/>
              <w:left w:val="none" w:color="000000" w:sz="4" w:space="0"/>
              <w:bottom w:val="single" w:color="000000" w:sz="4" w:space="0"/>
              <w:right w:val="single" w:color="000000" w:sz="4" w:space="0"/>
            </w:tcBorders>
            <w:tcW w:w="655" w:type="dxa"/>
            <w:vAlign w:val="center"/>
            <w:textDirection w:val="lrTb"/>
            <w:noWrap/>
          </w:tcPr>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采购包</w:t>
            </w:r>
            <w:r>
              <w:rPr>
                <w:rFonts w:hint="eastAsia" w:ascii="宋体" w:hAnsi="宋体" w:cs="宋体"/>
                <w:b/>
                <w:bCs/>
                <w:highlight w:val="none"/>
              </w:rPr>
            </w:r>
            <w:r/>
          </w:p>
        </w:tc>
        <w:tc>
          <w:tcPr>
            <w:tcBorders>
              <w:top w:val="single" w:color="000000" w:sz="4" w:space="0"/>
              <w:left w:val="none" w:color="000000" w:sz="4" w:space="0"/>
              <w:bottom w:val="single" w:color="000000" w:sz="4" w:space="0"/>
              <w:right w:val="single" w:color="000000" w:sz="4" w:space="0"/>
            </w:tcBorders>
            <w:tcW w:w="3117" w:type="dxa"/>
            <w:vAlign w:val="center"/>
            <w:textDirection w:val="lrTb"/>
            <w:noWrap w:val="false"/>
          </w:tcPr>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采购内容</w:t>
            </w:r>
            <w:r>
              <w:rPr>
                <w:rFonts w:hint="eastAsia" w:ascii="宋体" w:hAnsi="宋体" w:cs="宋体"/>
                <w:b/>
                <w:bCs/>
                <w:highlight w:val="none"/>
              </w:rPr>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采购预算</w:t>
            </w:r>
            <w:r>
              <w:rPr>
                <w:rFonts w:hint="eastAsia" w:ascii="宋体" w:hAnsi="宋体" w:cs="宋体"/>
                <w:b/>
                <w:bCs/>
                <w:highlight w:val="none"/>
              </w:rPr>
            </w:r>
            <w:r/>
          </w:p>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（万元）</w:t>
            </w:r>
            <w:r>
              <w:rPr>
                <w:rFonts w:hint="eastAsia" w:ascii="宋体" w:hAnsi="宋体" w:cs="宋体"/>
                <w:b/>
                <w:bCs/>
                <w:highlight w:val="none"/>
              </w:rPr>
            </w:r>
            <w:r/>
          </w:p>
        </w:tc>
      </w:tr>
      <w:tr>
        <w:trPr>
          <w:trHeight w:val="680" w:hRule="exact"/>
        </w:trPr>
        <w:tc>
          <w:tcPr>
            <w:tcBorders>
              <w:top w:val="none" w:color="000000" w:sz="4" w:space="0"/>
              <w:left w:val="single" w:color="000000" w:sz="4" w:space="0"/>
              <w:bottom w:val="single" w:color="000000" w:sz="4" w:space="0"/>
              <w:right w:val="single" w:color="000000" w:sz="4" w:space="0"/>
            </w:tcBorders>
            <w:tcW w:w="407"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采购包1</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3117" w:type="dxa"/>
            <w:vAlign w:val="center"/>
            <w:textDirection w:val="lrTb"/>
            <w:noWrap w:val="false"/>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三号桥等11个水站优化调整及全托管运维项目</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135.5</w:t>
            </w:r>
            <w:r>
              <w:rPr>
                <w:rFonts w:hint="eastAsia" w:ascii="宋体" w:hAnsi="宋体" w:cs="宋体"/>
                <w:highlight w:val="none"/>
              </w:rPr>
            </w:r>
            <w:r/>
          </w:p>
        </w:tc>
      </w:tr>
      <w:tr>
        <w:trPr>
          <w:trHeight w:val="680" w:hRule="exact"/>
        </w:trPr>
        <w:tc>
          <w:tcPr>
            <w:tcBorders>
              <w:top w:val="none" w:color="000000" w:sz="4" w:space="0"/>
              <w:left w:val="single" w:color="000000" w:sz="4" w:space="0"/>
              <w:bottom w:val="single" w:color="000000" w:sz="4" w:space="0"/>
              <w:right w:val="single" w:color="000000" w:sz="4" w:space="0"/>
            </w:tcBorders>
            <w:tcW w:w="407"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采购包2</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3117" w:type="dxa"/>
            <w:vAlign w:val="center"/>
            <w:textDirection w:val="lrTb"/>
            <w:noWrap w:val="false"/>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扁担河桥等9个水站优化调整及全托管运维项目</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121.5</w:t>
            </w:r>
            <w:r>
              <w:rPr>
                <w:rFonts w:hint="eastAsia" w:ascii="宋体" w:hAnsi="宋体" w:cs="宋体"/>
                <w:highlight w:val="none"/>
              </w:rPr>
            </w:r>
            <w:r/>
          </w:p>
        </w:tc>
      </w:tr>
      <w:tr>
        <w:trPr>
          <w:trHeight w:val="680" w:hRule="exact"/>
        </w:trPr>
        <w:tc>
          <w:tcPr>
            <w:tcBorders>
              <w:top w:val="none" w:color="000000" w:sz="4" w:space="0"/>
              <w:left w:val="single" w:color="000000" w:sz="4" w:space="0"/>
              <w:bottom w:val="single" w:color="000000" w:sz="4" w:space="0"/>
              <w:right w:val="single" w:color="000000" w:sz="4" w:space="0"/>
            </w:tcBorders>
            <w:tcW w:w="407"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采购包3</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3117" w:type="dxa"/>
            <w:vAlign w:val="center"/>
            <w:textDirection w:val="lrTb"/>
            <w:noWrap w:val="false"/>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粮庄桥等9个水站优化调整及全托管运维项目</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129</w:t>
            </w:r>
            <w:r>
              <w:rPr>
                <w:rFonts w:hint="eastAsia" w:ascii="宋体" w:hAnsi="宋体" w:cs="宋体"/>
                <w:highlight w:val="none"/>
              </w:rPr>
            </w:r>
            <w:r/>
          </w:p>
        </w:tc>
      </w:tr>
    </w:tbl>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5.合同履行期限：采购包1、包2、包3运维周期均为1年，自合同签订之日起生效，搬迁站点及仪器运行时间包含在运维周期内，运维费根据实际运维时长进行核算支付。采购包1中张塘村(四号桥)、河北桥与采购包2中城巷桥、乌拉基四个站点由原运维单位运维至2026年12月5日，运维到期后交接本次中标人，相关运维费用按实际运维时间核算。</w:t>
      </w:r>
      <w:r>
        <w:rPr>
          <w:rFonts w:hint="eastAsia"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6.本项目是否接受联合体：否。</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7.本项目是否接受进口产品响应：否。</w:t>
      </w:r>
      <w:r>
        <w:rPr>
          <w:rFonts w:ascii="宋体" w:hAnsi="宋体" w:cs="宋体"/>
          <w:sz w:val="24"/>
          <w:highlight w:val="none"/>
        </w:rPr>
      </w:r>
      <w:r/>
    </w:p>
    <w:p>
      <w:pPr>
        <w:pStyle w:val="1137"/>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二、申请人的资格要求（须同时满足）</w:t>
      </w:r>
      <w:bookmarkEnd w:id="8"/>
      <w:r/>
      <w:bookmarkEnd w:id="9"/>
      <w:r/>
      <w:bookmarkEnd w:id="10"/>
      <w:r/>
      <w:bookmarkEnd w:id="11"/>
      <w:r>
        <w:rPr>
          <w:rFonts w:ascii="宋体" w:hAnsi="宋体" w:cs="宋体"/>
          <w:b/>
          <w:bCs/>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1.满足《中华人民共和国政府采购法》第二十二条规定以及下列情形：</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highlight w:val="none"/>
        </w:rPr>
      </w:r>
      <w:r/>
    </w:p>
    <w:p>
      <w:pPr>
        <w:pStyle w:val="1137"/>
        <w:ind w:firstLine="480"/>
        <w:spacing w:line="400" w:lineRule="exact"/>
        <w:rPr>
          <w:rFonts w:ascii="宋体" w:hAnsi="宋体" w:cs="宋体"/>
          <w:sz w:val="24"/>
          <w:highlight w:val="none"/>
        </w:rPr>
      </w:pPr>
      <w:r/>
      <w:bookmarkStart w:id="12" w:name="_Toc28359081"/>
      <w:r/>
      <w:bookmarkStart w:id="13" w:name="_Toc28359004"/>
      <w:r>
        <w:rPr>
          <w:rFonts w:hint="eastAsia" w:ascii="宋体" w:hAnsi="宋体" w:cs="宋体"/>
          <w:sz w:val="24"/>
          <w:highlight w:val="none"/>
        </w:rPr>
        <w:t xml:space="preserve">2.落实政府采购政</w:t>
      </w:r>
      <w:r>
        <w:rPr>
          <w:rFonts w:hint="eastAsia" w:ascii="宋体" w:hAnsi="宋体" w:cs="宋体"/>
          <w:sz w:val="24"/>
          <w:highlight w:val="none"/>
        </w:rPr>
        <w:t xml:space="preserve">策需满足的资格要求：</w:t>
      </w:r>
      <w:r>
        <w:rPr>
          <w:rFonts w:hint="eastAsia" w:ascii="宋体" w:hAnsi="宋体" w:cs="宋体"/>
          <w:b/>
          <w:bCs/>
          <w:sz w:val="24"/>
          <w:highlight w:val="none"/>
          <w:u w:val="single"/>
        </w:rPr>
        <w:t xml:space="preserve">本项目采购包1、采购包2、采购包3专门面向中小企业采购。</w:t>
      </w:r>
      <w:r>
        <w:rPr>
          <w:rFonts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3.本项目的特定资格要求：</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3.1本项目是否接受分支机构参与投标：否。</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3.2本项目是否属于政府购买服务：否。</w:t>
      </w:r>
      <w:r>
        <w:rPr>
          <w:rFonts w:hint="eastAsia" w:ascii="宋体" w:hAnsi="宋体" w:cs="宋体"/>
          <w:sz w:val="24"/>
          <w:highlight w:val="none"/>
        </w:rPr>
      </w:r>
      <w:r/>
    </w:p>
    <w:p>
      <w:pPr>
        <w:pStyle w:val="1137"/>
        <w:ind w:firstLine="480"/>
        <w:spacing w:line="400" w:lineRule="exact"/>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cs="宋体"/>
          <w:sz w:val="24"/>
          <w:highlight w:val="none"/>
        </w:rPr>
        <w:t xml:space="preserve">3.3其他特定资格要求：</w:t>
      </w:r>
      <w:bookmarkEnd w:id="12"/>
      <w:r/>
      <w:bookmarkEnd w:id="13"/>
      <w:r/>
      <w:bookmarkStart w:id="14" w:name="_Toc35393623"/>
      <w:r/>
      <w:bookmarkStart w:id="15" w:name="_Toc35393792"/>
      <w:r>
        <w:rPr>
          <w:rFonts w:hint="eastAsia" w:ascii="宋体" w:hAnsi="宋体" w:cs="宋体"/>
          <w:sz w:val="24"/>
          <w:highlight w:val="none"/>
        </w:rPr>
        <w:t xml:space="preserve">无。</w:t>
      </w:r>
      <w:r>
        <w:rPr>
          <w:rFonts w:hint="eastAsia" w:ascii="宋体" w:hAnsi="宋体"/>
          <w:sz w:val="24"/>
          <w:highlight w:val="none"/>
        </w:rPr>
      </w:r>
      <w:r/>
    </w:p>
    <w:p>
      <w:pPr>
        <w:pStyle w:val="1137"/>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三、获取招标文件</w:t>
      </w:r>
      <w:bookmarkEnd w:id="14"/>
      <w:r/>
      <w:bookmarkEnd w:id="15"/>
      <w:r>
        <w:rPr>
          <w:rFonts w:ascii="宋体" w:hAnsi="宋体" w:cs="宋体"/>
          <w:b/>
          <w:bCs/>
          <w:sz w:val="24"/>
          <w:highlight w:val="none"/>
        </w:rPr>
      </w:r>
      <w:r/>
    </w:p>
    <w:p>
      <w:pPr>
        <w:pStyle w:val="1137"/>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1.时间：自招标文件公告发布之日起5个工作日</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137"/>
        <w:ind w:firstLine="480"/>
        <w:spacing w:line="400" w:lineRule="exact"/>
        <w:rPr>
          <w:rFonts w:hint="eastAsia" w:ascii="宋体" w:hAnsi="宋体" w:cs="宋体"/>
          <w:sz w:val="24"/>
          <w:highlight w:val="none"/>
        </w:rPr>
      </w:pPr>
      <w:r/>
      <w:bookmarkStart w:id="16" w:name="_Toc28359005"/>
      <w:r/>
      <w:bookmarkStart w:id="17" w:name="_Toc28359082"/>
      <w:r/>
      <w:bookmarkStart w:id="18" w:name="_Toc35393793"/>
      <w:r/>
      <w:bookmarkStart w:id="19" w:name="_Toc35393624"/>
      <w:r>
        <w:rPr>
          <w:rFonts w:hint="eastAsia" w:ascii="宋体" w:hAnsi="宋体" w:cs="宋体"/>
          <w:sz w:val="24"/>
          <w:highlight w:val="none"/>
        </w:rPr>
        <w:t xml:space="preserve">2.地点：“苏采云”政府采购一体化平台</w:t>
      </w:r>
      <w:r>
        <w:rPr>
          <w:rFonts w:hint="eastAsia"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3.方式：在“苏采云”政府采购一体化平台自行免费下载</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4.售价：0元</w:t>
      </w:r>
      <w:r>
        <w:rPr>
          <w:rFonts w:ascii="宋体" w:hAnsi="宋体" w:cs="宋体"/>
          <w:sz w:val="24"/>
          <w:highlight w:val="none"/>
        </w:rPr>
      </w:r>
      <w:r/>
    </w:p>
    <w:p>
      <w:pPr>
        <w:pStyle w:val="1137"/>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四、提交投标文件</w:t>
      </w:r>
      <w:bookmarkEnd w:id="16"/>
      <w:r/>
      <w:bookmarkEnd w:id="17"/>
      <w:r>
        <w:rPr>
          <w:rFonts w:hint="eastAsia" w:ascii="宋体" w:hAnsi="宋体" w:cs="宋体"/>
          <w:b/>
          <w:bCs/>
          <w:sz w:val="24"/>
          <w:highlight w:val="none"/>
        </w:rPr>
        <w:t xml:space="preserve">截止时间、开标时间和地点</w:t>
      </w:r>
      <w:bookmarkEnd w:id="18"/>
      <w:r/>
      <w:bookmarkEnd w:id="19"/>
      <w:r>
        <w:rPr>
          <w:rFonts w:ascii="宋体" w:hAnsi="宋体" w:cs="宋体"/>
          <w:b/>
          <w:bCs/>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投标截止时间、开标时间：</w:t>
      </w:r>
      <w:r>
        <w:rPr>
          <w:rFonts w:hint="eastAsia" w:ascii="宋体" w:hAnsi="宋体" w:cs="宋体"/>
          <w:b/>
          <w:bCs/>
          <w:sz w:val="24"/>
          <w:highlight w:val="none"/>
          <w:u w:val="single"/>
        </w:rPr>
        <w:t xml:space="preserve">2026年9月22</w:t>
      </w:r>
      <w:r>
        <w:rPr>
          <w:rFonts w:hint="eastAsia" w:ascii="宋体" w:hAnsi="宋体" w:cs="宋体"/>
          <w:b/>
          <w:bCs/>
          <w:sz w:val="24"/>
          <w:highlight w:val="none"/>
          <w:u w:val="single"/>
        </w:rPr>
        <w:t xml:space="preserve">日</w:t>
      </w:r>
      <w:r>
        <w:rPr>
          <w:rFonts w:hint="eastAsia" w:ascii="宋体" w:hAnsi="宋体" w:cs="宋体"/>
          <w:b/>
          <w:bCs/>
          <w:sz w:val="24"/>
          <w:highlight w:val="none"/>
          <w:u w:val="single"/>
          <w:lang w:val="en-US" w:eastAsia="zh-CN"/>
        </w:rPr>
        <w:t xml:space="preserve">9</w:t>
      </w:r>
      <w:r>
        <w:rPr>
          <w:rFonts w:hint="eastAsia" w:ascii="宋体" w:hAnsi="宋体" w:cs="宋体"/>
          <w:b/>
          <w:bCs/>
          <w:sz w:val="24"/>
          <w:highlight w:val="none"/>
          <w:u w:val="single"/>
        </w:rPr>
        <w:t xml:space="preserve">点00分</w:t>
      </w:r>
      <w:r>
        <w:rPr>
          <w:rFonts w:hint="eastAsia" w:ascii="宋体" w:hAnsi="宋体" w:cs="宋体"/>
          <w:b/>
          <w:bCs/>
          <w:sz w:val="24"/>
          <w:highlight w:val="none"/>
          <w:u w:val="single"/>
        </w:rPr>
        <w:t xml:space="preserve">（北京时间）</w:t>
      </w:r>
      <w:r>
        <w:rPr>
          <w:rFonts w:hint="eastAsia" w:ascii="宋体" w:hAnsi="宋体" w:cs="宋体"/>
          <w:sz w:val="24"/>
          <w:highlight w:val="none"/>
        </w:rPr>
        <w:t xml:space="preserve">。</w:t>
      </w:r>
      <w:r>
        <w:rPr>
          <w:rFonts w:ascii="宋体" w:hAnsi="宋体" w:cs="宋体"/>
          <w:sz w:val="24"/>
          <w:highlight w:val="none"/>
        </w:rPr>
      </w:r>
      <w:r/>
    </w:p>
    <w:p>
      <w:pPr>
        <w:pStyle w:val="1137"/>
        <w:ind w:firstLine="480"/>
        <w:spacing w:line="400" w:lineRule="exact"/>
        <w:rPr>
          <w:rFonts w:ascii="宋体" w:hAnsi="宋体" w:cs="宋体"/>
          <w:sz w:val="24"/>
          <w:highlight w:val="none"/>
          <w:lang w:val="zh-TW"/>
        </w:rPr>
      </w:pPr>
      <w:r>
        <w:rPr>
          <w:rFonts w:hint="eastAsia" w:ascii="宋体" w:hAnsi="宋体" w:cs="宋体"/>
          <w:sz w:val="24"/>
          <w:highlight w:val="none"/>
        </w:rPr>
        <w:t xml:space="preserve">地点：“苏采云”政府采购一体化平台</w:t>
      </w:r>
      <w:r>
        <w:rPr>
          <w:rFonts w:ascii="宋体" w:hAnsi="宋体" w:cs="宋体"/>
          <w:sz w:val="24"/>
          <w:highlight w:val="none"/>
          <w:lang w:val="zh-TW"/>
        </w:rPr>
      </w:r>
      <w:r/>
    </w:p>
    <w:p>
      <w:pPr>
        <w:pStyle w:val="1137"/>
        <w:ind w:firstLine="482"/>
        <w:spacing w:line="400" w:lineRule="exact"/>
        <w:rPr>
          <w:rFonts w:ascii="宋体" w:hAnsi="宋体" w:cs="宋体"/>
          <w:b/>
          <w:bCs/>
          <w:sz w:val="24"/>
          <w:highlight w:val="none"/>
        </w:rPr>
      </w:pPr>
      <w:r/>
      <w:bookmarkStart w:id="20" w:name="_Toc28359084"/>
      <w:r/>
      <w:bookmarkStart w:id="21" w:name="_Toc35393794"/>
      <w:r/>
      <w:bookmarkStart w:id="22" w:name="_Toc28359007"/>
      <w:r/>
      <w:bookmarkStart w:id="23" w:name="_Toc35393625"/>
      <w:r>
        <w:rPr>
          <w:rFonts w:hint="eastAsia" w:ascii="宋体" w:hAnsi="宋体" w:cs="宋体"/>
          <w:b/>
          <w:bCs/>
          <w:sz w:val="24"/>
          <w:highlight w:val="none"/>
        </w:rPr>
        <w:t xml:space="preserve">五、公告期限</w:t>
      </w:r>
      <w:bookmarkEnd w:id="20"/>
      <w:r/>
      <w:bookmarkEnd w:id="21"/>
      <w:r/>
      <w:bookmarkEnd w:id="22"/>
      <w:r/>
      <w:bookmarkEnd w:id="23"/>
      <w:r>
        <w:rPr>
          <w:rFonts w:ascii="宋体" w:hAnsi="宋体" w:cs="宋体"/>
          <w:b/>
          <w:bCs/>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自本公告发布之日起5个工作日。</w:t>
      </w:r>
      <w:r>
        <w:rPr>
          <w:rFonts w:ascii="宋体" w:hAnsi="宋体" w:cs="宋体"/>
          <w:sz w:val="24"/>
          <w:highlight w:val="none"/>
        </w:rPr>
      </w:r>
      <w:r/>
    </w:p>
    <w:p>
      <w:pPr>
        <w:pStyle w:val="1137"/>
        <w:ind w:firstLine="482"/>
        <w:spacing w:line="400" w:lineRule="exact"/>
        <w:rPr>
          <w:rFonts w:ascii="宋体" w:hAnsi="宋体" w:cs="宋体"/>
          <w:b/>
          <w:bCs/>
          <w:sz w:val="24"/>
          <w:highlight w:val="none"/>
        </w:rPr>
      </w:pPr>
      <w:r/>
      <w:bookmarkStart w:id="24" w:name="_Toc35393795"/>
      <w:r/>
      <w:bookmarkStart w:id="25" w:name="_Toc35393626"/>
      <w:r>
        <w:rPr>
          <w:rFonts w:hint="eastAsia" w:ascii="宋体" w:hAnsi="宋体" w:cs="宋体"/>
          <w:b/>
          <w:bCs/>
          <w:sz w:val="24"/>
          <w:highlight w:val="none"/>
        </w:rPr>
        <w:t xml:space="preserve">六、其他补充事宜</w:t>
      </w:r>
      <w:bookmarkEnd w:id="24"/>
      <w:r/>
      <w:bookmarkEnd w:id="25"/>
      <w:r>
        <w:rPr>
          <w:rFonts w:ascii="宋体" w:hAnsi="宋体" w:cs="宋体"/>
          <w:b/>
          <w:bCs/>
          <w:sz w:val="24"/>
          <w:highlight w:val="none"/>
        </w:rPr>
      </w:r>
      <w:r/>
    </w:p>
    <w:p>
      <w:pPr>
        <w:pStyle w:val="1137"/>
        <w:ind w:firstLine="480"/>
        <w:spacing w:line="400" w:lineRule="exact"/>
        <w:rPr>
          <w:rFonts w:ascii="宋体" w:hAnsi="宋体" w:cs="宋体"/>
          <w:sz w:val="24"/>
          <w:highlight w:val="none"/>
        </w:rPr>
      </w:pPr>
      <w:r/>
      <w:bookmarkStart w:id="26" w:name="_Toc35393796"/>
      <w:r/>
      <w:bookmarkStart w:id="27" w:name="_Toc28359008"/>
      <w:r/>
      <w:bookmarkStart w:id="28" w:name="_Toc35393627"/>
      <w:r/>
      <w:bookmarkStart w:id="29" w:name="_Toc28359085"/>
      <w:r>
        <w:rPr>
          <w:rFonts w:hint="eastAsia" w:ascii="宋体" w:hAnsi="宋体" w:cs="宋体"/>
          <w:sz w:val="24"/>
          <w:highlight w:val="none"/>
        </w:rPr>
        <w:t xml:space="preserve">1.本项目需要落实的政府采购政策：</w:t>
      </w:r>
      <w:r>
        <w:rPr>
          <w:rFonts w:hint="eastAsia" w:ascii="宋体" w:hAnsi="宋体" w:cs="宋体"/>
          <w:b/>
          <w:bCs/>
          <w:sz w:val="24"/>
          <w:highlight w:val="none"/>
          <w:u w:val="single"/>
        </w:rPr>
        <w:t xml:space="preserve">本项目采购包1、采购包2、采购包3专门面向中小企业采购。</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技术支持服务热线    0519-85588210</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CA认证证书办理  联系电话   0519-85588120</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2.1办理CA认证证书</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供应商登录“苏采云”政府采购一体化平台“新CA办理指南”，按照程序要求办理</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2.2注册</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供应商登录“苏采云”政府采购一体化平台 下载“ 用户注册”查阅后进行自助注册。</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2.3控件、客户端下载</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供应商登录“苏采云”政府采购一体化平台 下载“驱动下载”，安装驱动。</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2.4 获取电子招标文件</w:t>
      </w:r>
      <w:r>
        <w:rPr>
          <w:rFonts w:ascii="宋体" w:hAnsi="宋体" w:cs="宋体"/>
          <w:sz w:val="24"/>
          <w:highlight w:val="none"/>
        </w:rPr>
      </w:r>
      <w:r/>
    </w:p>
    <w:p>
      <w:pPr>
        <w:pStyle w:val="1137"/>
        <w:ind w:firstLine="480"/>
        <w:spacing w:line="390" w:lineRule="exact"/>
        <w:rPr>
          <w:rFonts w:ascii="宋体" w:hAnsi="宋体" w:cs="宋体"/>
          <w:sz w:val="24"/>
          <w:highlight w:val="none"/>
        </w:rPr>
      </w:pPr>
      <w:r>
        <w:rPr>
          <w:rFonts w:hint="eastAsia" w:ascii="宋体" w:hAnsi="宋体" w:cs="宋体"/>
          <w:sz w:val="24"/>
          <w:highlight w:val="none"/>
        </w:rPr>
        <w:t xml:space="preserve">供应商持CA数字认证证书登录“苏采云”政府采购一体化平台获取电子招标文件。未在规定期限内通过“苏采云”政府采购一体化平台获取招标文件的投标无效。</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2.5编制电子投标文件</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2.6提交电子投标文件</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供应商应于投标截止时间前在“苏采云”政府采购一体化平台提交电子投标文件，上传电子投标文件过程中请保持与互联网的连接畅通。</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2.7电子开标</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供应商使用CA认证证书登录“苏采云”政府采购一体化平台进行电子化不见面开标。</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2.8注意事项</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3.关于常州市中小企业政府采购信用融资：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sz w:val="24"/>
          <w:highlight w:val="none"/>
        </w:rPr>
      </w:r>
      <w:r/>
    </w:p>
    <w:p>
      <w:pPr>
        <w:pStyle w:val="1137"/>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七、对本次招标提出询问，请按以下方式联系。</w:t>
      </w:r>
      <w:bookmarkEnd w:id="26"/>
      <w:r/>
      <w:bookmarkEnd w:id="27"/>
      <w:r/>
      <w:bookmarkEnd w:id="28"/>
      <w:r/>
      <w:bookmarkEnd w:id="29"/>
      <w:r>
        <w:rPr>
          <w:rFonts w:ascii="宋体" w:hAnsi="宋体" w:cs="宋体"/>
          <w:b/>
          <w:bCs/>
          <w:sz w:val="24"/>
          <w:highlight w:val="none"/>
        </w:rPr>
      </w:r>
      <w:r/>
    </w:p>
    <w:p>
      <w:pPr>
        <w:pStyle w:val="1137"/>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1.采购人信息</w:t>
      </w:r>
      <w:r>
        <w:rPr>
          <w:rFonts w:ascii="宋体" w:hAnsi="宋体" w:cs="宋体"/>
          <w:b/>
          <w:bCs/>
          <w:sz w:val="24"/>
          <w:highlight w:val="none"/>
        </w:rPr>
      </w:r>
      <w:r/>
    </w:p>
    <w:p>
      <w:pPr>
        <w:pStyle w:val="1137"/>
        <w:ind w:firstLine="480"/>
        <w:spacing w:line="400" w:lineRule="exact"/>
        <w:rPr>
          <w:rFonts w:hint="eastAsia" w:ascii="宋体" w:hAnsi="宋体" w:cs="宋体"/>
          <w:sz w:val="24"/>
          <w:highlight w:val="none"/>
        </w:rPr>
      </w:pPr>
      <w:r/>
      <w:bookmarkStart w:id="30" w:name="_Toc28359009"/>
      <w:r/>
      <w:bookmarkStart w:id="31" w:name="_Toc28359086"/>
      <w:r>
        <w:rPr>
          <w:rFonts w:hint="eastAsia" w:ascii="宋体" w:hAnsi="宋体" w:cs="宋体"/>
          <w:sz w:val="24"/>
          <w:highlight w:val="none"/>
        </w:rPr>
        <w:t xml:space="preserve">名称：常州市生态环境监控中心</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地址：常州市天宁区河海东路9号</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联系方式：0519-85136926</w:t>
      </w:r>
      <w:r>
        <w:rPr>
          <w:rFonts w:hint="eastAsia" w:ascii="宋体" w:hAnsi="宋体" w:cs="宋体"/>
          <w:sz w:val="24"/>
          <w:highlight w:val="none"/>
        </w:rPr>
      </w:r>
      <w:r/>
    </w:p>
    <w:p>
      <w:pPr>
        <w:pStyle w:val="1137"/>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2.采购代理机构信息</w:t>
      </w:r>
      <w:bookmarkEnd w:id="30"/>
      <w:r/>
      <w:bookmarkEnd w:id="31"/>
      <w:r>
        <w:rPr>
          <w:rFonts w:ascii="宋体" w:hAnsi="宋体" w:cs="宋体"/>
          <w:b/>
          <w:bCs/>
          <w:sz w:val="24"/>
          <w:highlight w:val="none"/>
        </w:rPr>
      </w:r>
      <w:r/>
    </w:p>
    <w:p>
      <w:pPr>
        <w:pStyle w:val="1137"/>
        <w:ind w:firstLine="480"/>
        <w:spacing w:line="400" w:lineRule="exact"/>
        <w:rPr>
          <w:rFonts w:hint="eastAsia" w:ascii="宋体" w:hAnsi="宋体" w:cs="宋体"/>
          <w:sz w:val="24"/>
          <w:highlight w:val="none"/>
        </w:rPr>
      </w:pPr>
      <w:r/>
      <w:bookmarkStart w:id="32" w:name="_Toc28359010"/>
      <w:r/>
      <w:bookmarkStart w:id="33" w:name="_Toc28359087"/>
      <w:r>
        <w:rPr>
          <w:rFonts w:hint="eastAsia" w:ascii="宋体" w:hAnsi="宋体" w:cs="宋体"/>
          <w:sz w:val="24"/>
          <w:highlight w:val="none"/>
        </w:rPr>
        <w:t xml:space="preserve">名称：常州润邦招标代理有限公司</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地址：常州市飞龙东路108号-304室（翠园世家商业街三楼）</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联系方式：0519-81881991</w:t>
      </w:r>
      <w:r>
        <w:rPr>
          <w:rFonts w:hint="eastAsia" w:ascii="宋体" w:hAnsi="宋体" w:cs="宋体"/>
          <w:sz w:val="24"/>
          <w:highlight w:val="none"/>
        </w:rPr>
      </w:r>
      <w:r/>
    </w:p>
    <w:p>
      <w:pPr>
        <w:pStyle w:val="1137"/>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3.项目联系方式</w:t>
      </w:r>
      <w:bookmarkEnd w:id="32"/>
      <w:r/>
      <w:bookmarkEnd w:id="33"/>
      <w:r>
        <w:rPr>
          <w:rFonts w:ascii="宋体" w:hAnsi="宋体" w:cs="宋体"/>
          <w:b/>
          <w:bCs/>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项目联系人：邓家圆</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电话：0519-81881991</w:t>
      </w:r>
      <w:r>
        <w:rPr>
          <w:rFonts w:hint="eastAsia" w:ascii="宋体" w:hAnsi="宋体" w:cs="宋体"/>
          <w:sz w:val="24"/>
          <w:highlight w:val="none"/>
        </w:rPr>
      </w:r>
      <w:r/>
    </w:p>
    <w:p>
      <w:pPr>
        <w:pStyle w:val="1137"/>
        <w:ind w:left="1080" w:hanging="301"/>
        <w:jc w:val="left"/>
        <w:spacing w:line="360" w:lineRule="auto"/>
        <w:rPr>
          <w:rFonts w:hint="eastAsia"/>
          <w:b/>
          <w:bCs/>
          <w:sz w:val="24"/>
          <w:highlight w:val="none"/>
        </w:rPr>
      </w:pPr>
      <w:r>
        <w:rPr>
          <w:rFonts w:hint="eastAsia"/>
          <w:b/>
          <w:bCs/>
          <w:sz w:val="24"/>
          <w:highlight w:val="none"/>
        </w:rPr>
      </w:r>
      <w:r/>
    </w:p>
    <w:p>
      <w:pPr>
        <w:pStyle w:val="1137"/>
        <w:ind w:firstLine="482"/>
        <w:jc w:val="left"/>
        <w:spacing w:line="360" w:lineRule="auto"/>
        <w:rPr>
          <w:rFonts w:hint="eastAsia"/>
          <w:b/>
          <w:bCs/>
          <w:sz w:val="24"/>
          <w:highlight w:val="none"/>
          <w:u w:val="single"/>
        </w:rPr>
      </w:pPr>
      <w:r>
        <w:rPr>
          <w:rFonts w:hint="eastAsia"/>
          <w:b/>
          <w:bCs/>
          <w:sz w:val="24"/>
          <w:highlight w:val="none"/>
          <w:u w:val="single"/>
        </w:rPr>
      </w:r>
      <w:r/>
    </w:p>
    <w:p>
      <w:pPr>
        <w:pStyle w:val="1137"/>
        <w:ind w:firstLine="482"/>
        <w:jc w:val="left"/>
        <w:spacing w:line="360" w:lineRule="auto"/>
        <w:rPr>
          <w:rFonts w:ascii="宋体" w:hAnsi="宋体"/>
          <w:b/>
          <w:bCs/>
          <w:sz w:val="24"/>
          <w:highlight w:val="none"/>
          <w:u w:val="single"/>
        </w:rPr>
      </w:pPr>
      <w:r>
        <w:rPr>
          <w:rFonts w:hint="eastAsia"/>
          <w:b/>
          <w:bCs/>
          <w:sz w:val="24"/>
          <w:highlight w:val="none"/>
          <w:u w:val="single"/>
        </w:rPr>
        <w:t xml:space="preserve">注：以上个人信息，由于工作需要经机构或本人同意对外公布。</w:t>
      </w:r>
      <w:r>
        <w:rPr>
          <w:rFonts w:ascii="宋体" w:hAnsi="宋体"/>
          <w:b/>
          <w:bCs/>
          <w:sz w:val="24"/>
          <w:highlight w:val="none"/>
          <w:u w:val="single"/>
        </w:rPr>
      </w:r>
      <w:r/>
    </w:p>
    <w:p>
      <w:pPr>
        <w:pStyle w:val="1137"/>
        <w:jc w:val="center"/>
        <w:spacing w:line="360" w:lineRule="auto"/>
        <w:rPr>
          <w:b/>
          <w:sz w:val="32"/>
          <w:szCs w:val="32"/>
          <w:highlight w:val="none"/>
        </w:rPr>
        <w:outlineLvl w:val="0"/>
      </w:pPr>
      <w:r>
        <w:rPr>
          <w:sz w:val="24"/>
          <w:highlight w:val="none"/>
        </w:rPr>
        <w:br w:type="page" w:clear="all"/>
      </w:r>
      <w:bookmarkStart w:id="34" w:name="_Toc264969275"/>
      <w:r/>
      <w:bookmarkStart w:id="35" w:name="_Toc127161488"/>
      <w:r/>
      <w:bookmarkStart w:id="36" w:name="_Toc8972"/>
      <w:r/>
      <w:bookmarkStart w:id="37" w:name="_Toc195842950"/>
      <w:r/>
      <w:bookmarkStart w:id="38" w:name="_Toc265228423"/>
      <w:r/>
      <w:bookmarkStart w:id="39" w:name="_Toc512937850"/>
      <w:r/>
      <w:bookmarkStart w:id="40" w:name="_Toc305158928"/>
      <w:r/>
      <w:bookmarkStart w:id="41" w:name="_Toc305158854"/>
      <w:r/>
      <w:bookmarkStart w:id="42" w:name="_Toc353825548"/>
      <w:r/>
      <w:bookmarkStart w:id="43" w:name="_Toc127151777"/>
      <w:r/>
      <w:bookmarkStart w:id="44" w:name="_Toc150774783"/>
      <w:r/>
      <w:bookmarkStart w:id="45" w:name="_Toc226965856"/>
      <w:r/>
      <w:bookmarkStart w:id="46" w:name="_Toc353873938"/>
      <w:r>
        <w:rPr>
          <w:b/>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highlight w:val="none"/>
        </w:rPr>
      </w:r>
      <w:r/>
    </w:p>
    <w:p>
      <w:pPr>
        <w:pStyle w:val="1139"/>
        <w:spacing w:before="0" w:line="360" w:lineRule="auto"/>
        <w:tabs>
          <w:tab w:val="center" w:pos="4592" w:leader="none"/>
          <w:tab w:val="left" w:pos="7860" w:leader="none"/>
        </w:tabs>
        <w:rPr>
          <w:rFonts w:ascii="Times New Roman" w:hAnsi="Times New Roman" w:eastAsia="宋体"/>
          <w:sz w:val="28"/>
          <w:highlight w:val="none"/>
        </w:rPr>
      </w:pPr>
      <w:r/>
      <w:bookmarkStart w:id="47" w:name="_Toc151190146"/>
      <w:r/>
      <w:bookmarkStart w:id="48" w:name="_Toc226309763"/>
      <w:r/>
      <w:bookmarkStart w:id="49" w:name="_Toc127151720"/>
      <w:r/>
      <w:bookmarkStart w:id="50" w:name="_Toc151193617"/>
      <w:r/>
      <w:bookmarkStart w:id="51" w:name="_Toc164229360"/>
      <w:r/>
      <w:bookmarkStart w:id="52" w:name="_Toc151193833"/>
      <w:r/>
      <w:bookmarkStart w:id="53" w:name="_Toc149720812"/>
      <w:r/>
      <w:bookmarkStart w:id="54" w:name="_Toc151193689"/>
      <w:r/>
      <w:bookmarkStart w:id="55" w:name="_Toc142311021"/>
      <w:r/>
      <w:bookmarkStart w:id="56" w:name="_Toc226337215"/>
      <w:r/>
      <w:bookmarkStart w:id="57" w:name="_Toc150774619"/>
      <w:r/>
      <w:bookmarkStart w:id="58" w:name="_Toc127161433"/>
      <w:r/>
      <w:bookmarkStart w:id="59" w:name="_Toc226965709"/>
      <w:r/>
      <w:bookmarkStart w:id="60" w:name="_Toc164608633"/>
      <w:r/>
      <w:bookmarkStart w:id="61" w:name="_Toc150774724"/>
      <w:r/>
      <w:bookmarkStart w:id="62" w:name="_Toc164351613"/>
      <w:r/>
      <w:bookmarkStart w:id="63" w:name="_Toc127151519"/>
      <w:r/>
      <w:bookmarkStart w:id="64" w:name="_Toc195842884"/>
      <w:r/>
      <w:bookmarkStart w:id="65" w:name="_Toc226965792"/>
      <w:r/>
      <w:bookmarkStart w:id="66" w:name="_Toc151193761"/>
      <w:r/>
      <w:bookmarkStart w:id="67" w:name="_Toc164229214"/>
      <w:r/>
      <w:bookmarkStart w:id="68" w:name="_Toc150509270"/>
      <w:r/>
      <w:bookmarkStart w:id="69" w:name="_Toc520356144"/>
      <w:r/>
      <w:bookmarkStart w:id="70" w:name="_Toc150480757"/>
      <w:r/>
      <w:bookmarkStart w:id="71" w:name="_Toc164608788"/>
      <w:r/>
      <w:bookmarkStart w:id="72" w:name="_Toc151193907"/>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137"/>
        <w:jc w:val="center"/>
        <w:rPr>
          <w:b/>
          <w:sz w:val="28"/>
          <w:szCs w:val="28"/>
          <w:highlight w:val="none"/>
        </w:rPr>
      </w:pPr>
      <w:r>
        <w:rPr>
          <w:b/>
          <w:sz w:val="28"/>
          <w:szCs w:val="28"/>
          <w:highlight w:val="none"/>
        </w:rPr>
      </w:r>
      <w:r/>
    </w:p>
    <w:p>
      <w:pPr>
        <w:pStyle w:val="1137"/>
        <w:ind w:firstLine="482"/>
        <w:spacing w:line="400" w:lineRule="exact"/>
        <w:rPr>
          <w:rFonts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rPr>
          <w:rFonts w:ascii="宋体" w:hAnsi="宋体" w:cs="宋体"/>
          <w:sz w:val="24"/>
          <w:highlight w:val="none"/>
        </w:rPr>
      </w:r>
      <w:r/>
    </w:p>
    <w:p>
      <w:pPr>
        <w:pStyle w:val="1137"/>
        <w:ind w:firstLine="482"/>
        <w:spacing w:line="400" w:lineRule="exact"/>
        <w:rPr>
          <w:rFonts w:ascii="宋体" w:hAnsi="宋体" w:cs="宋体"/>
          <w:sz w:val="24"/>
          <w:highlight w:val="none"/>
        </w:rPr>
      </w:pPr>
      <w:r>
        <w:rPr>
          <w:rFonts w:hint="eastAsia" w:ascii="宋体" w:hAnsi="宋体" w:cs="宋体"/>
          <w:sz w:val="24"/>
          <w:highlight w:val="none"/>
        </w:rPr>
        <w:t xml:space="preserve">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”的选项意为适用于本项目，标记“□”的选项意为不适用于本项目。</w:t>
      </w:r>
      <w:r>
        <w:rPr>
          <w:rFonts w:ascii="宋体" w:hAnsi="宋体" w:cs="宋体"/>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684"/>
        <w:gridCol w:w="7182"/>
      </w:tblGrid>
      <w:tr>
        <w:trPr>
          <w:trHeight w:val="283"/>
          <w:tblHeader/>
        </w:trPr>
        <w:tc>
          <w:tcPr>
            <w:tcW w:w="546" w:type="dxa"/>
            <w:vAlign w:val="center"/>
            <w:textDirection w:val="lrTb"/>
            <w:noWrap w:val="false"/>
          </w:tcPr>
          <w:p>
            <w:pPr>
              <w:pStyle w:val="1137"/>
              <w:jc w:val="center"/>
              <w:spacing w:line="400" w:lineRule="exact"/>
              <w:rPr>
                <w:rFonts w:ascii="宋体" w:hAnsi="宋体" w:cs="宋体"/>
                <w:b/>
                <w:bCs/>
                <w:sz w:val="24"/>
                <w:highlight w:val="none"/>
              </w:rPr>
            </w:pPr>
            <w:r>
              <w:rPr>
                <w:rFonts w:hint="eastAsia" w:ascii="宋体" w:hAnsi="宋体" w:cs="宋体"/>
                <w:b/>
                <w:sz w:val="24"/>
                <w:highlight w:val="none"/>
              </w:rPr>
              <w:t xml:space="preserve">条款号</w:t>
            </w:r>
            <w:r>
              <w:rPr>
                <w:rFonts w:ascii="宋体" w:hAnsi="宋体" w:cs="宋体"/>
                <w:b/>
                <w:bCs/>
                <w:sz w:val="24"/>
                <w:highlight w:val="none"/>
              </w:rPr>
            </w:r>
            <w:r/>
          </w:p>
        </w:tc>
        <w:tc>
          <w:tcPr>
            <w:tcW w:w="846" w:type="dxa"/>
            <w:vAlign w:val="center"/>
            <w:textDirection w:val="lrTb"/>
            <w:noWrap w:val="false"/>
          </w:tcPr>
          <w:p>
            <w:pPr>
              <w:pStyle w:val="1137"/>
              <w:jc w:val="center"/>
              <w:spacing w:line="400" w:lineRule="exact"/>
              <w:rPr>
                <w:rFonts w:ascii="宋体" w:hAnsi="宋体" w:cs="宋体"/>
                <w:b/>
                <w:bCs/>
                <w:sz w:val="24"/>
                <w:highlight w:val="none"/>
              </w:rPr>
            </w:pPr>
            <w:r>
              <w:rPr>
                <w:rFonts w:hint="eastAsia" w:ascii="宋体" w:hAnsi="宋体" w:cs="宋体"/>
                <w:b/>
                <w:bCs/>
                <w:sz w:val="24"/>
                <w:highlight w:val="none"/>
              </w:rPr>
              <w:t xml:space="preserve">条目</w:t>
            </w:r>
            <w:r>
              <w:rPr>
                <w:rFonts w:ascii="宋体" w:hAnsi="宋体" w:cs="宋体"/>
                <w:b/>
                <w:bCs/>
                <w:sz w:val="24"/>
                <w:highlight w:val="none"/>
              </w:rPr>
            </w:r>
            <w:r/>
          </w:p>
        </w:tc>
        <w:tc>
          <w:tcPr>
            <w:tcW w:w="3607" w:type="dxa"/>
            <w:vAlign w:val="center"/>
            <w:textDirection w:val="lrTb"/>
            <w:noWrap w:val="false"/>
          </w:tcPr>
          <w:p>
            <w:pPr>
              <w:pStyle w:val="1137"/>
              <w:jc w:val="center"/>
              <w:spacing w:line="400" w:lineRule="exact"/>
              <w:rPr>
                <w:rFonts w:ascii="宋体" w:hAnsi="宋体" w:cs="宋体"/>
                <w:b/>
                <w:bCs/>
                <w:sz w:val="24"/>
                <w:highlight w:val="none"/>
              </w:rPr>
            </w:pPr>
            <w:r>
              <w:rPr>
                <w:rFonts w:hint="eastAsia" w:ascii="宋体" w:hAnsi="宋体" w:cs="宋体"/>
                <w:b/>
                <w:bCs/>
                <w:sz w:val="24"/>
                <w:highlight w:val="none"/>
              </w:rPr>
              <w:t xml:space="preserve">内容</w:t>
            </w:r>
            <w:r>
              <w:rPr>
                <w:rFonts w:ascii="宋体" w:hAnsi="宋体" w:cs="宋体"/>
                <w:b/>
                <w:bCs/>
                <w:sz w:val="24"/>
                <w:highlight w:val="non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项目属性</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sz w:val="24"/>
                <w:highlight w:val="none"/>
              </w:rPr>
              <w:t xml:space="preserve">项目属性：</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服务</w:t>
            </w:r>
            <w:r>
              <w:rPr>
                <w:rFonts w:ascii="宋体" w:hAnsi="宋体" w:cs="宋体"/>
                <w:sz w:val="24"/>
                <w:highlight w:val="none"/>
              </w:rPr>
            </w:r>
            <w:r/>
          </w:p>
          <w:p>
            <w:pPr>
              <w:pStyle w:val="1137"/>
              <w:spacing w:line="400" w:lineRule="exact"/>
              <w:rPr>
                <w:rFonts w:ascii="宋体" w:hAnsi="宋体" w:cs="宋体"/>
                <w:sz w:val="24"/>
                <w:highlight w:val="none"/>
                <w:u w:val="single"/>
              </w:rPr>
            </w:pPr>
            <w:r>
              <w:rPr>
                <w:rFonts w:hint="eastAsia" w:ascii="宋体" w:hAnsi="宋体" w:cs="宋体"/>
                <w:sz w:val="24"/>
                <w:highlight w:val="none"/>
              </w:rPr>
              <w:t xml:space="preserve">□货物</w:t>
            </w:r>
            <w:r>
              <w:rPr>
                <w:rFonts w:ascii="宋体" w:hAnsi="宋体" w:cs="宋体"/>
                <w:sz w:val="24"/>
                <w:highlight w:val="none"/>
                <w:u w:val="singl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2.3</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科研仪器设备</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sz w:val="24"/>
                <w:highlight w:val="none"/>
              </w:rPr>
              <w:t xml:space="preserve">是否属于科研仪器设备采购项目：</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□是</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否</w:t>
            </w:r>
            <w:r>
              <w:rPr>
                <w:rFonts w:ascii="宋体" w:hAnsi="宋体" w:cs="宋体"/>
                <w:sz w:val="24"/>
                <w:highlight w:val="none"/>
              </w:rPr>
            </w:r>
            <w:r/>
          </w:p>
        </w:tc>
      </w:tr>
      <w:tr>
        <w:trPr>
          <w:trHeight w:val="1258"/>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2.4</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核心产品</w:t>
            </w:r>
            <w:r>
              <w:rPr>
                <w:rFonts w:ascii="宋体" w:hAnsi="宋体" w:cs="宋体"/>
                <w:sz w:val="24"/>
                <w:highlight w:val="none"/>
              </w:rPr>
            </w:r>
            <w:r/>
          </w:p>
        </w:tc>
        <w:tc>
          <w:tcPr>
            <w:tcW w:w="3607" w:type="dxa"/>
            <w:vAlign w:val="center"/>
            <w:textDirection w:val="lrTb"/>
            <w:noWrap w:val="false"/>
          </w:tcPr>
          <w:p>
            <w:pPr>
              <w:pStyle w:val="1173"/>
              <w:spacing w:line="400" w:lineRule="exact"/>
              <w:rPr>
                <w:rFonts w:hAnsi="宋体" w:cs="宋体"/>
                <w:sz w:val="24"/>
                <w:szCs w:val="24"/>
                <w:highlight w:val="none"/>
              </w:rPr>
            </w:pPr>
            <w:r>
              <w:rPr>
                <w:rFonts w:hAnsi="宋体" w:cs="宋体"/>
                <w:b/>
                <w:sz w:val="24"/>
                <w:highlight w:val="none"/>
              </w:rPr>
              <w:t xml:space="preserve">■</w:t>
            </w:r>
            <w:r>
              <w:rPr>
                <w:rFonts w:hAnsi="宋体" w:cs="宋体"/>
                <w:sz w:val="24"/>
                <w:szCs w:val="24"/>
                <w:highlight w:val="none"/>
              </w:rPr>
              <w:t xml:space="preserve">关于核心产品本项目不适用。</w:t>
            </w:r>
            <w:r>
              <w:rPr>
                <w:rFonts w:hAnsi="宋体" w:cs="宋体"/>
                <w:sz w:val="24"/>
                <w:szCs w:val="24"/>
                <w:highlight w:val="none"/>
              </w:rPr>
            </w:r>
            <w:r/>
          </w:p>
          <w:p>
            <w:pPr>
              <w:pStyle w:val="1173"/>
              <w:spacing w:line="400" w:lineRule="exact"/>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本项目_/_包为单一产品采购项目。</w:t>
            </w:r>
            <w:r>
              <w:rPr>
                <w:rFonts w:hAnsi="宋体" w:cs="宋体"/>
                <w:sz w:val="24"/>
                <w:szCs w:val="24"/>
                <w:highlight w:val="none"/>
              </w:rPr>
            </w:r>
            <w:r/>
          </w:p>
          <w:p>
            <w:pPr>
              <w:pStyle w:val="1137"/>
              <w:spacing w:line="400" w:lineRule="exact"/>
              <w:rPr>
                <w:rFonts w:ascii="宋体" w:hAnsi="宋体" w:cs="宋体"/>
                <w:sz w:val="24"/>
                <w:highlight w:val="none"/>
                <w:u w:val="single"/>
              </w:rPr>
            </w:pPr>
            <w:r>
              <w:rPr>
                <w:rFonts w:hint="eastAsia" w:hAnsi="宋体" w:cs="宋体"/>
                <w:sz w:val="24"/>
                <w:highlight w:val="none"/>
              </w:rPr>
              <w:t xml:space="preserve">□</w:t>
            </w:r>
            <w:r>
              <w:rPr>
                <w:rFonts w:hint="eastAsia" w:ascii="宋体" w:hAnsi="宋体" w:cs="宋体"/>
                <w:sz w:val="24"/>
                <w:highlight w:val="none"/>
              </w:rPr>
              <w:t xml:space="preserve">本项目为非单一产品采购项目，核心产品为：</w:t>
            </w:r>
            <w:r>
              <w:rPr>
                <w:rFonts w:hint="eastAsia" w:ascii="宋体" w:hAnsi="宋体" w:cs="宋体"/>
                <w:sz w:val="24"/>
                <w:highlight w:val="none"/>
                <w:u w:val="single"/>
              </w:rPr>
              <w:t xml:space="preserve">/</w:t>
            </w:r>
            <w:r>
              <w:rPr>
                <w:rFonts w:ascii="宋体" w:hAnsi="宋体" w:cs="宋体"/>
                <w:sz w:val="24"/>
                <w:highlight w:val="none"/>
                <w:u w:val="single"/>
              </w:rPr>
            </w:r>
            <w:r/>
          </w:p>
        </w:tc>
      </w:tr>
      <w:tr>
        <w:trPr>
          <w:trHeight w:val="283"/>
        </w:trPr>
        <w:tc>
          <w:tcPr>
            <w:tcW w:w="546" w:type="dxa"/>
            <w:vAlign w:val="center"/>
            <w:vMerge w:val="restart"/>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现场考察</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不组织</w:t>
            </w:r>
            <w:r>
              <w:rPr>
                <w:rFonts w:ascii="宋体" w:hAnsi="宋体" w:cs="宋体"/>
                <w:sz w:val="24"/>
                <w:highlight w:val="none"/>
              </w:rPr>
            </w:r>
            <w:r/>
          </w:p>
          <w:p>
            <w:pPr>
              <w:pStyle w:val="1137"/>
              <w:spacing w:line="400" w:lineRule="exact"/>
              <w:rPr>
                <w:rFonts w:ascii="宋体" w:hAnsi="宋体" w:cs="宋体"/>
                <w:bCs/>
                <w:sz w:val="24"/>
                <w:highlight w:val="none"/>
              </w:rPr>
            </w:pPr>
            <w:r>
              <w:rPr>
                <w:rFonts w:hint="eastAsia" w:ascii="宋体" w:hAnsi="宋体" w:cs="宋体"/>
                <w:sz w:val="24"/>
                <w:highlight w:val="none"/>
              </w:rPr>
              <w:t xml:space="preserve">□组织，考察时间：__年_月_日_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ascii="宋体" w:hAnsi="宋体" w:cs="宋体"/>
                <w:bCs/>
                <w:sz w:val="24"/>
                <w:highlight w:val="none"/>
              </w:rPr>
            </w:r>
            <w:r/>
          </w:p>
          <w:p>
            <w:pPr>
              <w:pStyle w:val="1173"/>
              <w:spacing w:line="400" w:lineRule="exact"/>
              <w:rPr>
                <w:rFonts w:hAnsi="宋体" w:cs="宋体"/>
                <w:sz w:val="24"/>
                <w:szCs w:val="24"/>
                <w:highlight w:val="none"/>
              </w:rPr>
            </w:pPr>
            <w:r>
              <w:rPr>
                <w:rFonts w:hAnsi="宋体" w:cs="宋体"/>
                <w:sz w:val="24"/>
                <w:szCs w:val="24"/>
                <w:highlight w:val="none"/>
              </w:rPr>
              <w:t xml:space="preserve">考察地点：____________。</w:t>
            </w:r>
            <w:r>
              <w:rPr>
                <w:rFonts w:hAnsi="宋体" w:cs="宋体"/>
                <w:sz w:val="24"/>
                <w:szCs w:val="24"/>
                <w:highlight w:val="none"/>
              </w:rPr>
            </w:r>
            <w:r/>
          </w:p>
        </w:tc>
      </w:tr>
      <w:tr>
        <w:trPr>
          <w:trHeight w:val="283"/>
        </w:trPr>
        <w:tc>
          <w:tcPr>
            <w:tcW w:w="546" w:type="dxa"/>
            <w:vAlign w:val="center"/>
            <w:vMerge w:val="continue"/>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开标前答疑会</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不召开</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□召开，召开时间：__年_月_日_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召开地点：____________。</w:t>
            </w:r>
            <w:r>
              <w:rPr>
                <w:rFonts w:ascii="宋体" w:hAnsi="宋体" w:cs="宋体"/>
                <w:sz w:val="24"/>
                <w:highlight w:val="non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4.1</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样品</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sz w:val="24"/>
                <w:highlight w:val="none"/>
              </w:rPr>
              <w:t xml:space="preserve">投标样品递交：</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不需要</w:t>
            </w:r>
            <w:r>
              <w:rPr>
                <w:rFonts w:ascii="宋体" w:hAnsi="宋体" w:cs="宋体"/>
                <w:sz w:val="24"/>
                <w:highlight w:val="none"/>
              </w:rPr>
            </w:r>
            <w:r/>
          </w:p>
          <w:p>
            <w:pPr>
              <w:pStyle w:val="1137"/>
              <w:jc w:val="left"/>
              <w:spacing w:line="400" w:lineRule="exact"/>
              <w:rPr>
                <w:rFonts w:ascii="宋体" w:hAnsi="宋体" w:cs="宋体"/>
                <w:sz w:val="24"/>
                <w:highlight w:val="none"/>
              </w:rPr>
            </w:pPr>
            <w:r>
              <w:rPr>
                <w:rFonts w:hint="eastAsia" w:ascii="宋体" w:hAnsi="宋体" w:cs="宋体"/>
                <w:sz w:val="24"/>
                <w:highlight w:val="none"/>
              </w:rPr>
              <w:t xml:space="preserve">□需要，具体要求如下：</w:t>
            </w:r>
            <w:r>
              <w:rPr>
                <w:rFonts w:ascii="宋体" w:hAnsi="宋体" w:cs="宋体"/>
                <w:sz w:val="24"/>
                <w:highlight w:val="none"/>
              </w:rPr>
            </w:r>
            <w:r/>
          </w:p>
          <w:p>
            <w:pPr>
              <w:pStyle w:val="1137"/>
              <w:jc w:val="left"/>
              <w:spacing w:line="400" w:lineRule="exact"/>
              <w:rPr>
                <w:rFonts w:ascii="宋体" w:hAnsi="宋体" w:cs="宋体"/>
                <w:sz w:val="24"/>
                <w:highlight w:val="none"/>
                <w:u w:val="single"/>
              </w:rPr>
            </w:pPr>
            <w:r>
              <w:rPr>
                <w:rFonts w:hint="eastAsia" w:ascii="宋体" w:hAnsi="宋体" w:cs="宋体"/>
                <w:sz w:val="24"/>
                <w:highlight w:val="none"/>
              </w:rPr>
              <w:t xml:space="preserve">（1）样品制作的标准和要求：</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u w:val="single"/>
              </w:rPr>
            </w:r>
            <w:r/>
          </w:p>
          <w:p>
            <w:pPr>
              <w:pStyle w:val="1137"/>
              <w:jc w:val="left"/>
              <w:spacing w:line="400" w:lineRule="exact"/>
              <w:rPr>
                <w:rFonts w:hint="eastAsia" w:ascii="宋体" w:hAnsi="宋体" w:cs="宋体"/>
                <w:sz w:val="24"/>
                <w:highlight w:val="none"/>
              </w:rPr>
            </w:pPr>
            <w:r>
              <w:rPr>
                <w:rFonts w:hint="eastAsia" w:ascii="宋体" w:hAnsi="宋体" w:cs="宋体"/>
                <w:sz w:val="24"/>
                <w:highlight w:val="none"/>
              </w:rPr>
              <w:t xml:space="preserve">（2）是否需要随样品提交相关检测报告：/</w:t>
            </w:r>
            <w:r>
              <w:rPr>
                <w:rFonts w:hint="eastAsia" w:ascii="宋体" w:hAnsi="宋体" w:cs="宋体"/>
                <w:sz w:val="24"/>
                <w:highlight w:val="none"/>
              </w:rPr>
            </w:r>
            <w:r/>
          </w:p>
          <w:p>
            <w:pPr>
              <w:pStyle w:val="1137"/>
              <w:jc w:val="left"/>
              <w:spacing w:line="400" w:lineRule="exact"/>
              <w:rPr>
                <w:rFonts w:ascii="宋体" w:hAnsi="宋体" w:cs="宋体"/>
                <w:sz w:val="24"/>
                <w:highlight w:val="none"/>
              </w:rPr>
            </w:pPr>
            <w:r>
              <w:rPr>
                <w:rFonts w:hint="eastAsia" w:ascii="宋体" w:hAnsi="宋体" w:cs="宋体"/>
                <w:sz w:val="24"/>
                <w:highlight w:val="none"/>
              </w:rPr>
              <w:t xml:space="preserve">（3）样品递交要求：</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rPr>
            </w:r>
            <w:r/>
          </w:p>
          <w:p>
            <w:pPr>
              <w:pStyle w:val="1137"/>
              <w:jc w:val="left"/>
              <w:spacing w:line="400" w:lineRule="exact"/>
              <w:rPr>
                <w:rFonts w:ascii="宋体" w:hAnsi="宋体" w:cs="宋体"/>
                <w:sz w:val="24"/>
                <w:highlight w:val="none"/>
              </w:rPr>
            </w:pPr>
            <w:r>
              <w:rPr>
                <w:rFonts w:hint="eastAsia" w:ascii="宋体" w:hAnsi="宋体" w:cs="宋体"/>
                <w:sz w:val="24"/>
                <w:highlight w:val="none"/>
              </w:rPr>
              <w:t xml:space="preserve">（4）未中标人样品退还：</w:t>
            </w:r>
            <w:r>
              <w:rPr>
                <w:rFonts w:hint="eastAsia" w:ascii="宋体" w:hAnsi="宋体" w:cs="宋体"/>
                <w:sz w:val="24"/>
                <w:highlight w:val="none"/>
                <w:u w:val="single"/>
              </w:rPr>
              <w:t xml:space="preserve">/</w:t>
            </w:r>
            <w:r>
              <w:rPr>
                <w:rFonts w:hint="eastAsia" w:ascii="宋体" w:hAnsi="宋体" w:cs="宋体"/>
                <w:sz w:val="24"/>
                <w:highlight w:val="none"/>
              </w:rPr>
              <w:t xml:space="preserve">_；</w:t>
            </w:r>
            <w:r>
              <w:rPr>
                <w:rFonts w:ascii="宋体" w:hAnsi="宋体" w:cs="宋体"/>
                <w:sz w:val="24"/>
                <w:highlight w:val="none"/>
              </w:rPr>
            </w:r>
            <w:r/>
          </w:p>
          <w:p>
            <w:pPr>
              <w:pStyle w:val="1137"/>
              <w:jc w:val="left"/>
              <w:spacing w:line="400" w:lineRule="exact"/>
              <w:rPr>
                <w:rFonts w:ascii="宋体" w:hAnsi="宋体" w:cs="宋体"/>
                <w:sz w:val="24"/>
                <w:highlight w:val="none"/>
                <w:u w:val="single"/>
              </w:rPr>
            </w:pPr>
            <w:r>
              <w:rPr>
                <w:rFonts w:hint="eastAsia" w:ascii="宋体" w:hAnsi="宋体" w:cs="宋体"/>
                <w:sz w:val="24"/>
                <w:highlight w:val="none"/>
              </w:rPr>
              <w:t xml:space="preserve">（5）中标人样品保管、封存及退还：</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u w:val="singl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（6）其他要求（如有）：</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5.2.5</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标的所属行业</w:t>
            </w:r>
            <w:r>
              <w:rPr>
                <w:rFonts w:ascii="宋体" w:hAnsi="宋体" w:cs="宋体"/>
                <w:sz w:val="24"/>
                <w:highlight w:val="none"/>
              </w:rPr>
            </w:r>
            <w:r/>
          </w:p>
        </w:tc>
        <w:tc>
          <w:tcPr>
            <w:tcW w:w="3607" w:type="dxa"/>
            <w:vAlign w:val="center"/>
            <w:textDirection w:val="lrTb"/>
            <w:noWrap w:val="false"/>
          </w:tcPr>
          <w:p>
            <w:pPr>
              <w:pStyle w:val="1137"/>
              <w:spacing w:line="400" w:lineRule="exac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b/>
                <w:bCs/>
                <w:sz w:val="24"/>
                <w:highlight w:val="none"/>
                <w:u w:val="single"/>
              </w:rPr>
              <w:t xml:space="preserve">其他未列明行业。</w:t>
            </w:r>
            <w:r>
              <w:rPr>
                <w:rFonts w:hint="eastAsia" w:ascii="宋体" w:hAnsi="宋体" w:cs="宋体"/>
                <w:sz w:val="24"/>
                <w:highlight w:val="non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11.2</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投标报价</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sz w:val="24"/>
                <w:highlight w:val="none"/>
              </w:rPr>
              <w:t xml:space="preserve">投标报价的特殊规定：</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无</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□有，具体情形：_____。</w:t>
            </w:r>
            <w:r>
              <w:rPr>
                <w:rFonts w:ascii="宋体" w:hAnsi="宋体" w:cs="宋体"/>
                <w:sz w:val="24"/>
                <w:highlight w:val="non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12</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投标保证金</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sz w:val="24"/>
                <w:highlight w:val="none"/>
              </w:rPr>
              <w:t xml:space="preserve">免收</w:t>
            </w:r>
            <w:r>
              <w:rPr>
                <w:rFonts w:ascii="宋体" w:hAnsi="宋体" w:cs="宋体"/>
                <w:sz w:val="24"/>
                <w:highlight w:val="non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13.1</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投标有效期</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sz w:val="24"/>
                <w:highlight w:val="none"/>
              </w:rPr>
              <w:t xml:space="preserve">自提交投标文件的截止之日起算60日历天。</w:t>
            </w:r>
            <w:r>
              <w:rPr>
                <w:rFonts w:ascii="宋体" w:hAnsi="宋体" w:cs="宋体"/>
                <w:sz w:val="24"/>
                <w:highlight w:val="non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25.5</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分包</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sz w:val="24"/>
                <w:highlight w:val="none"/>
              </w:rPr>
              <w:t xml:space="preserve">本项目的非主体、非关键性工作是否允许分包： </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不允许</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□允许，具体要求：</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（1）可以分包履行的具体内容：_____；</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（2）允许分包的金额或者比例：_____；</w:t>
            </w:r>
            <w:r>
              <w:rPr>
                <w:rFonts w:ascii="宋体" w:hAnsi="宋体" w:cs="宋体"/>
                <w:sz w:val="24"/>
                <w:highlight w:val="none"/>
              </w:rPr>
            </w:r>
            <w:r/>
          </w:p>
          <w:p>
            <w:pPr>
              <w:pStyle w:val="1137"/>
              <w:spacing w:line="400" w:lineRule="exact"/>
              <w:rPr>
                <w:rFonts w:ascii="宋体" w:hAnsi="宋体" w:cs="宋体"/>
                <w:sz w:val="24"/>
                <w:highlight w:val="none"/>
                <w:u w:val="single"/>
              </w:rPr>
            </w:pPr>
            <w:r>
              <w:rPr>
                <w:rFonts w:hint="eastAsia" w:ascii="宋体" w:hAnsi="宋体" w:cs="宋体"/>
                <w:sz w:val="24"/>
                <w:highlight w:val="none"/>
              </w:rPr>
              <w:t xml:space="preserve">（3）其他要求：_____。</w:t>
            </w:r>
            <w:r>
              <w:rPr>
                <w:rFonts w:ascii="宋体" w:hAnsi="宋体" w:cs="宋体"/>
                <w:sz w:val="24"/>
                <w:highlight w:val="none"/>
                <w:u w:val="single"/>
              </w:rPr>
            </w:r>
            <w:r/>
          </w:p>
        </w:tc>
      </w:tr>
      <w:tr>
        <w:trPr>
          <w:trHeight w:val="570"/>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26.1.1</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询问</w:t>
            </w:r>
            <w:r>
              <w:rPr>
                <w:rFonts w:ascii="宋体" w:hAnsi="宋体" w:cs="宋体"/>
                <w:sz w:val="24"/>
                <w:highlight w:val="none"/>
              </w:rPr>
            </w:r>
            <w:r/>
          </w:p>
        </w:tc>
        <w:tc>
          <w:tcPr>
            <w:tcW w:w="3607" w:type="dxa"/>
            <w:vAlign w:val="center"/>
            <w:textDirection w:val="lrTb"/>
            <w:noWrap w:val="false"/>
          </w:tcPr>
          <w:p>
            <w:pPr>
              <w:pStyle w:val="1137"/>
              <w:spacing w:line="400" w:lineRule="exact"/>
              <w:rPr>
                <w:rFonts w:hint="eastAsia" w:ascii="宋体" w:hAnsi="宋体" w:cs="宋体"/>
                <w:sz w:val="24"/>
                <w:highlight w:val="none"/>
              </w:rPr>
            </w:pPr>
            <w:r>
              <w:rPr>
                <w:rFonts w:hint="eastAsia" w:ascii="宋体" w:hAnsi="宋体" w:cs="宋体"/>
                <w:sz w:val="24"/>
                <w:highlight w:val="none"/>
              </w:rPr>
              <w:t xml:space="preserve">询问送达形式：书面形式并加盖公章。</w:t>
            </w:r>
            <w:r>
              <w:rPr>
                <w:rFonts w:hint="eastAsia" w:ascii="宋体" w:hAnsi="宋体" w:cs="宋体"/>
                <w:sz w:val="24"/>
                <w:highlight w:val="non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26.3</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联系方式</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sz w:val="24"/>
                <w:highlight w:val="none"/>
              </w:rPr>
              <w:t xml:space="preserve">接收询问和质疑的联系方式</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联系部门：常州润邦招标代理有限公司；</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联系电话：0519-81881991</w:t>
            </w:r>
            <w:r>
              <w:rPr>
                <w:rFonts w:ascii="宋体" w:hAnsi="宋体" w:cs="宋体"/>
                <w:sz w:val="24"/>
                <w:highlight w:val="none"/>
              </w:rPr>
            </w:r>
            <w:r/>
          </w:p>
          <w:p>
            <w:pPr>
              <w:pStyle w:val="1137"/>
              <w:spacing w:line="400" w:lineRule="exact"/>
              <w:rPr>
                <w:rFonts w:hint="eastAsia" w:ascii="宋体" w:hAnsi="宋体" w:cs="宋体"/>
                <w:sz w:val="24"/>
                <w:highlight w:val="none"/>
              </w:rPr>
            </w:pPr>
            <w:r>
              <w:rPr>
                <w:rFonts w:hint="eastAsia" w:ascii="宋体" w:hAnsi="宋体" w:cs="宋体"/>
                <w:sz w:val="24"/>
                <w:highlight w:val="none"/>
              </w:rPr>
              <w:t xml:space="preserve">通讯地址：常州市飞龙东路108号-304室（翠园世家商业街三楼）</w:t>
            </w:r>
            <w:r>
              <w:rPr>
                <w:rFonts w:hint="eastAsia" w:ascii="宋体" w:hAnsi="宋体" w:cs="宋体"/>
                <w:sz w:val="24"/>
                <w:highlight w:val="none"/>
              </w:rPr>
            </w:r>
            <w:r/>
          </w:p>
        </w:tc>
      </w:tr>
      <w:tr>
        <w:trPr>
          <w:trHeight w:val="283"/>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27</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ascii="宋体" w:hAnsi="宋体" w:cs="宋体"/>
                <w:sz w:val="24"/>
                <w:highlight w:val="none"/>
              </w:rPr>
            </w:pPr>
            <w:r>
              <w:rPr>
                <w:rFonts w:hint="eastAsia" w:ascii="宋体" w:hAnsi="宋体" w:cs="宋体"/>
                <w:sz w:val="24"/>
                <w:highlight w:val="none"/>
              </w:rPr>
              <w:t xml:space="preserve">代理费</w:t>
            </w:r>
            <w:r>
              <w:rPr>
                <w:rFonts w:ascii="宋体" w:hAnsi="宋体" w:cs="宋体"/>
                <w:sz w:val="24"/>
                <w:highlight w:val="none"/>
              </w:rPr>
            </w:r>
            <w:r/>
          </w:p>
        </w:tc>
        <w:tc>
          <w:tcPr>
            <w:tcW w:w="3607" w:type="dxa"/>
            <w:vAlign w:val="center"/>
            <w:textDirection w:val="lrTb"/>
            <w:noWrap w:val="false"/>
          </w:tcPr>
          <w:p>
            <w:pPr>
              <w:pStyle w:val="1137"/>
              <w:spacing w:line="400" w:lineRule="exact"/>
              <w:rPr>
                <w:rFonts w:ascii="宋体" w:hAnsi="宋体" w:cs="宋体"/>
                <w:sz w:val="24"/>
                <w:highlight w:val="none"/>
              </w:rPr>
            </w:pPr>
            <w:r>
              <w:rPr>
                <w:rFonts w:hint="eastAsia" w:ascii="宋体" w:hAnsi="宋体" w:cs="宋体"/>
                <w:sz w:val="24"/>
                <w:highlight w:val="none"/>
              </w:rPr>
              <w:t xml:space="preserve">收费对象：</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sz w:val="24"/>
                <w:highlight w:val="none"/>
              </w:rPr>
              <w:t xml:space="preserve">□采购人</w:t>
            </w:r>
            <w:r>
              <w:rPr>
                <w:rFonts w:ascii="宋体" w:hAnsi="宋体" w:cs="宋体"/>
                <w:sz w:val="24"/>
                <w:highlight w:val="none"/>
              </w:rPr>
            </w:r>
            <w:r/>
          </w:p>
          <w:p>
            <w:pPr>
              <w:pStyle w:val="1137"/>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w:t>
            </w:r>
            <w:r>
              <w:rPr>
                <w:rFonts w:ascii="宋体" w:hAnsi="宋体" w:cs="宋体"/>
                <w:sz w:val="24"/>
                <w:highlight w:val="none"/>
              </w:rPr>
            </w:r>
            <w:r/>
          </w:p>
          <w:p>
            <w:pPr>
              <w:pStyle w:val="1137"/>
              <w:rPr>
                <w:rFonts w:hint="eastAsia" w:ascii="宋体" w:hAnsi="宋体" w:cs="宋体"/>
                <w:sz w:val="24"/>
                <w:highlight w:val="none"/>
              </w:rPr>
            </w:pPr>
            <w:r>
              <w:rPr>
                <w:rFonts w:hint="eastAsia" w:ascii="宋体" w:hAnsi="宋体" w:cs="宋体"/>
                <w:sz w:val="24"/>
                <w:highlight w:val="none"/>
              </w:rPr>
              <w:t xml:space="preserve">收费标准：以各采购包中标金额为基数，收费比例按差额定率累进法计算。服务费取费基数和费率按下表收费标准计算。服务收费按下述计算方法不足人民币3000元的，按人民币3000元收取。</w:t>
            </w:r>
            <w:r>
              <w:rPr>
                <w:rFonts w:hint="eastAsia" w:ascii="宋体" w:hAnsi="宋体" w:cs="宋体"/>
                <w:sz w:val="24"/>
                <w:highlight w:val="none"/>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2904"/>
              <w:gridCol w:w="2928"/>
            </w:tblGrid>
            <w:tr>
              <w:trPr>
                <w:trHeight w:val="137"/>
              </w:trPr>
              <w:tc>
                <w:tcPr>
                  <w:tcW w:w="806" w:type="dxa"/>
                  <w:vAlign w:val="center"/>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序号</w:t>
                  </w:r>
                  <w:r>
                    <w:rPr>
                      <w:rFonts w:hint="eastAsia" w:ascii="宋体" w:hAnsi="宋体" w:cs="宋体"/>
                      <w:bCs/>
                      <w:sz w:val="24"/>
                      <w:highlight w:val="none"/>
                    </w:rPr>
                  </w:r>
                  <w:r/>
                </w:p>
              </w:tc>
              <w:tc>
                <w:tcPr>
                  <w:tcW w:w="2088" w:type="dxa"/>
                  <w:vAlign w:val="center"/>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中标金额（万元）</w:t>
                  </w:r>
                  <w:r>
                    <w:rPr>
                      <w:rFonts w:hint="eastAsia" w:ascii="宋体" w:hAnsi="宋体" w:cs="宋体"/>
                      <w:bCs/>
                      <w:sz w:val="24"/>
                      <w:highlight w:val="none"/>
                    </w:rPr>
                  </w:r>
                  <w:r/>
                </w:p>
              </w:tc>
              <w:tc>
                <w:tcPr>
                  <w:tcW w:w="2105" w:type="dxa"/>
                  <w:vAlign w:val="center"/>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服务类（费率）</w:t>
                  </w:r>
                  <w:r>
                    <w:rPr>
                      <w:rFonts w:hint="eastAsia" w:ascii="宋体" w:hAnsi="宋体" w:cs="宋体"/>
                      <w:bCs/>
                      <w:sz w:val="24"/>
                      <w:highlight w:val="none"/>
                    </w:rPr>
                  </w:r>
                  <w:r/>
                </w:p>
              </w:tc>
            </w:tr>
            <w:tr>
              <w:trPr>
                <w:trHeight w:val="255"/>
              </w:trPr>
              <w:tc>
                <w:tcPr>
                  <w:tcW w:w="806" w:type="dxa"/>
                  <w:vAlign w:val="top"/>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2088" w:type="dxa"/>
                  <w:vAlign w:val="center"/>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100以下</w:t>
                  </w:r>
                  <w:r>
                    <w:rPr>
                      <w:rFonts w:hint="eastAsia" w:ascii="宋体" w:hAnsi="宋体" w:cs="宋体"/>
                      <w:bCs/>
                      <w:sz w:val="24"/>
                      <w:highlight w:val="none"/>
                    </w:rPr>
                  </w:r>
                  <w:r/>
                </w:p>
              </w:tc>
              <w:tc>
                <w:tcPr>
                  <w:tcW w:w="2105" w:type="dxa"/>
                  <w:vAlign w:val="center"/>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1.5%</w:t>
                  </w:r>
                  <w:r>
                    <w:rPr>
                      <w:rFonts w:hint="eastAsia" w:ascii="宋体" w:hAnsi="宋体" w:cs="宋体"/>
                      <w:bCs/>
                      <w:sz w:val="24"/>
                      <w:highlight w:val="none"/>
                    </w:rPr>
                  </w:r>
                  <w:r/>
                </w:p>
              </w:tc>
            </w:tr>
            <w:tr>
              <w:trPr>
                <w:trHeight w:val="135"/>
              </w:trPr>
              <w:tc>
                <w:tcPr>
                  <w:tcW w:w="806" w:type="dxa"/>
                  <w:vAlign w:val="top"/>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r>
                  <w:r/>
                </w:p>
              </w:tc>
              <w:tc>
                <w:tcPr>
                  <w:tcW w:w="2088" w:type="dxa"/>
                  <w:vAlign w:val="center"/>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100--500</w:t>
                  </w:r>
                  <w:r>
                    <w:rPr>
                      <w:rFonts w:hint="eastAsia" w:ascii="宋体" w:hAnsi="宋体" w:cs="宋体"/>
                      <w:bCs/>
                      <w:sz w:val="24"/>
                      <w:highlight w:val="none"/>
                    </w:rPr>
                  </w:r>
                  <w:r/>
                </w:p>
              </w:tc>
              <w:tc>
                <w:tcPr>
                  <w:tcW w:w="2105" w:type="dxa"/>
                  <w:vAlign w:val="center"/>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0.8%</w:t>
                  </w:r>
                  <w:r>
                    <w:rPr>
                      <w:rFonts w:hint="eastAsia" w:ascii="宋体" w:hAnsi="宋体" w:cs="宋体"/>
                      <w:bCs/>
                      <w:sz w:val="24"/>
                      <w:highlight w:val="none"/>
                    </w:rPr>
                  </w:r>
                  <w:r/>
                </w:p>
              </w:tc>
            </w:tr>
            <w:tr>
              <w:trPr>
                <w:trHeight w:val="240"/>
              </w:trPr>
              <w:tc>
                <w:tcPr>
                  <w:tcW w:w="806" w:type="dxa"/>
                  <w:vAlign w:val="top"/>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rPr>
                  </w:r>
                  <w:r/>
                </w:p>
              </w:tc>
              <w:tc>
                <w:tcPr>
                  <w:tcW w:w="2088" w:type="dxa"/>
                  <w:vAlign w:val="center"/>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500--1000</w:t>
                  </w:r>
                  <w:r>
                    <w:rPr>
                      <w:rFonts w:hint="eastAsia" w:ascii="宋体" w:hAnsi="宋体" w:cs="宋体"/>
                      <w:bCs/>
                      <w:sz w:val="24"/>
                      <w:highlight w:val="none"/>
                    </w:rPr>
                  </w:r>
                  <w:r/>
                </w:p>
              </w:tc>
              <w:tc>
                <w:tcPr>
                  <w:tcW w:w="2105" w:type="dxa"/>
                  <w:vAlign w:val="center"/>
                  <w:textDirection w:val="lrTb"/>
                  <w:noWrap w:val="false"/>
                </w:tcPr>
                <w:p>
                  <w:pPr>
                    <w:pStyle w:val="1137"/>
                    <w:jc w:val="center"/>
                    <w:rPr>
                      <w:rFonts w:hint="eastAsia" w:ascii="宋体" w:hAnsi="宋体" w:cs="宋体"/>
                      <w:bCs/>
                      <w:sz w:val="24"/>
                      <w:highlight w:val="none"/>
                    </w:rPr>
                  </w:pPr>
                  <w:r>
                    <w:rPr>
                      <w:rFonts w:hint="eastAsia" w:ascii="宋体" w:hAnsi="宋体" w:cs="宋体"/>
                      <w:bCs/>
                      <w:sz w:val="24"/>
                      <w:highlight w:val="none"/>
                    </w:rPr>
                    <w:t xml:space="preserve">0.45%</w:t>
                  </w:r>
                  <w:r>
                    <w:rPr>
                      <w:rFonts w:hint="eastAsia" w:ascii="宋体" w:hAnsi="宋体" w:cs="宋体"/>
                      <w:bCs/>
                      <w:sz w:val="24"/>
                      <w:highlight w:val="none"/>
                    </w:rPr>
                  </w:r>
                  <w:r/>
                </w:p>
              </w:tc>
            </w:tr>
          </w:tbl>
          <w:p>
            <w:pPr>
              <w:pStyle w:val="1137"/>
              <w:jc w:val="left"/>
              <w:rPr>
                <w:rFonts w:hint="eastAsia" w:ascii="宋体" w:hAnsi="宋体" w:cs="宋体"/>
                <w:b/>
                <w:bCs/>
                <w:sz w:val="24"/>
                <w:highlight w:val="none"/>
              </w:rPr>
            </w:pPr>
            <w:r>
              <w:rPr>
                <w:rFonts w:hint="eastAsia" w:ascii="宋体" w:hAnsi="宋体" w:cs="宋体"/>
                <w:b/>
                <w:bCs/>
                <w:sz w:val="24"/>
                <w:highlight w:val="none"/>
              </w:rPr>
              <w:t xml:space="preserve">代理服务费已包含本项目预算中，由中标人支付。</w:t>
            </w:r>
            <w:r>
              <w:rPr>
                <w:rFonts w:hint="eastAsia" w:ascii="宋体" w:hAnsi="宋体" w:cs="宋体"/>
                <w:b/>
                <w:bCs/>
                <w:sz w:val="24"/>
                <w:highlight w:val="none"/>
              </w:rPr>
            </w:r>
            <w:r/>
          </w:p>
          <w:p>
            <w:pPr>
              <w:pStyle w:val="1137"/>
              <w:spacing w:line="400" w:lineRule="exact"/>
              <w:rPr>
                <w:rFonts w:hint="eastAsia" w:ascii="宋体" w:hAnsi="宋体" w:cs="宋体"/>
                <w:sz w:val="24"/>
                <w:highlight w:val="none"/>
              </w:rPr>
            </w:pPr>
            <w:r>
              <w:rPr>
                <w:rFonts w:hint="eastAsia" w:ascii="宋体" w:hAnsi="宋体" w:cs="宋体"/>
                <w:b/>
                <w:bCs/>
                <w:sz w:val="24"/>
                <w:highlight w:val="none"/>
              </w:rPr>
              <w:t xml:space="preserve">缴纳时间：各采购包中标人领取中标通知书前须向采购代理机构缴纳采购服务费。</w:t>
            </w:r>
            <w:r>
              <w:rPr>
                <w:rFonts w:hint="eastAsia" w:ascii="宋体" w:hAnsi="宋体" w:cs="宋体"/>
                <w:sz w:val="24"/>
                <w:highlight w:val="none"/>
              </w:rPr>
            </w:r>
            <w:r/>
          </w:p>
        </w:tc>
      </w:tr>
      <w:tr>
        <w:trPr>
          <w:trHeight w:val="1320"/>
        </w:trPr>
        <w:tc>
          <w:tcPr>
            <w:tcW w:w="546" w:type="dxa"/>
            <w:vAlign w:val="center"/>
            <w:textDirection w:val="lrTb"/>
            <w:noWrap w:val="false"/>
          </w:tcPr>
          <w:p>
            <w:pPr>
              <w:pStyle w:val="1173"/>
              <w:jc w:val="center"/>
              <w:spacing w:line="400" w:lineRule="exact"/>
              <w:rPr>
                <w:rFonts w:hAnsi="宋体" w:cs="宋体"/>
                <w:sz w:val="24"/>
                <w:szCs w:val="24"/>
                <w:highlight w:val="none"/>
              </w:rPr>
            </w:pPr>
            <w:r>
              <w:rPr>
                <w:rFonts w:hAnsi="宋体" w:cs="宋体"/>
                <w:sz w:val="24"/>
                <w:szCs w:val="24"/>
                <w:highlight w:val="none"/>
              </w:rPr>
              <w:t xml:space="preserve">28</w:t>
            </w:r>
            <w:r>
              <w:rPr>
                <w:rFonts w:hAnsi="宋体" w:cs="宋体"/>
                <w:sz w:val="24"/>
                <w:szCs w:val="24"/>
                <w:highlight w:val="none"/>
              </w:rPr>
            </w:r>
            <w:r/>
          </w:p>
        </w:tc>
        <w:tc>
          <w:tcPr>
            <w:tcW w:w="846" w:type="dxa"/>
            <w:vAlign w:val="center"/>
            <w:textDirection w:val="lrTb"/>
            <w:noWrap w:val="false"/>
          </w:tcPr>
          <w:p>
            <w:pPr>
              <w:pStyle w:val="1137"/>
              <w:jc w:val="center"/>
              <w:spacing w:line="400" w:lineRule="exact"/>
              <w:rPr>
                <w:rFonts w:hint="eastAsia" w:ascii="宋体" w:hAnsi="宋体" w:cs="宋体"/>
                <w:sz w:val="24"/>
                <w:highlight w:val="none"/>
              </w:rPr>
            </w:pPr>
            <w:r>
              <w:rPr>
                <w:rFonts w:hint="eastAsia" w:ascii="宋体" w:hAnsi="宋体"/>
                <w:sz w:val="24"/>
                <w:highlight w:val="none"/>
              </w:rPr>
              <w:t xml:space="preserve">纸质中标（成交）文件</w:t>
            </w:r>
            <w:r>
              <w:rPr>
                <w:rFonts w:hint="eastAsia" w:ascii="宋体" w:hAnsi="宋体" w:cs="宋体"/>
                <w:sz w:val="24"/>
                <w:highlight w:val="none"/>
              </w:rPr>
            </w:r>
            <w:r/>
          </w:p>
        </w:tc>
        <w:tc>
          <w:tcPr>
            <w:tcW w:w="3607" w:type="dxa"/>
            <w:vAlign w:val="center"/>
            <w:textDirection w:val="lrTb"/>
            <w:noWrap w:val="false"/>
          </w:tcPr>
          <w:p>
            <w:pPr>
              <w:pStyle w:val="1137"/>
              <w:spacing w:line="400" w:lineRule="exact"/>
              <w:rPr>
                <w:rFonts w:hint="eastAsia" w:ascii="宋体" w:hAnsi="宋体" w:cs="宋体"/>
                <w:sz w:val="24"/>
                <w:highlight w:val="none"/>
              </w:rPr>
            </w:pPr>
            <w:r>
              <w:rPr>
                <w:rFonts w:hint="eastAsia"/>
                <w:sz w:val="24"/>
                <w:highlight w:val="none"/>
              </w:rPr>
              <w:t xml:space="preserve">中标（成交）单位在签订合同前需递交与电子投标文件内容一致的纸质投标文件</w:t>
            </w:r>
            <w:r>
              <w:rPr>
                <w:rFonts w:hint="eastAsia"/>
                <w:b/>
                <w:bCs/>
                <w:sz w:val="24"/>
                <w:highlight w:val="none"/>
                <w:u w:val="single"/>
              </w:rPr>
              <w:t xml:space="preserve">三份</w:t>
            </w:r>
            <w:r>
              <w:rPr>
                <w:rFonts w:hint="eastAsia"/>
                <w:sz w:val="24"/>
                <w:highlight w:val="none"/>
              </w:rPr>
              <w:t xml:space="preserve">（双面打印，内容清晰，标注目录及页码），作为项目归档使用，递交方式可采用邮寄或现场送达，采购人贰份，招标代理公司壹份，联系方式见《第一章 投标邀请》。</w:t>
            </w:r>
            <w:r>
              <w:rPr>
                <w:rFonts w:hint="eastAsia" w:ascii="宋体" w:hAnsi="宋体" w:cs="宋体"/>
                <w:sz w:val="24"/>
                <w:highlight w:val="none"/>
              </w:rPr>
            </w:r>
            <w:r/>
          </w:p>
        </w:tc>
      </w:tr>
    </w:tbl>
    <w:p>
      <w:pPr>
        <w:pStyle w:val="1137"/>
        <w:jc w:val="both"/>
        <w:spacing w:line="360" w:lineRule="auto"/>
        <w:tabs>
          <w:tab w:val="left" w:pos="5580" w:leader="none"/>
        </w:tabs>
        <w:rPr>
          <w:sz w:val="24"/>
          <w:highlight w:val="none"/>
        </w:rPr>
        <w:sectPr>
          <w:headerReference w:type="first" r:id="rId12"/>
          <w:footerReference w:type="default" r:id="rId17"/>
          <w:footerReference w:type="first" r:id="rId18"/>
          <w:footnotePr/>
          <w:endnotePr/>
          <w:type w:val="nextColumn"/>
          <w:pgSz w:w="11907" w:h="16840" w:orient="portrait"/>
          <w:pgMar w:top="1440" w:right="1083" w:bottom="1440" w:left="1083" w:header="851" w:footer="850" w:gutter="0"/>
          <w:pgNumType w:start="1"/>
          <w:cols w:num="1" w:sep="0" w:space="1701" w:equalWidth="1"/>
          <w:docGrid w:linePitch="360"/>
          <w:titlePg/>
        </w:sectPr>
      </w:pPr>
      <w:r>
        <w:rPr>
          <w:sz w:val="24"/>
          <w:highlight w:val="none"/>
        </w:rPr>
        <w:br w:type="page" w:clear="all"/>
      </w:r>
      <w:r/>
    </w:p>
    <w:p>
      <w:pPr>
        <w:pStyle w:val="1137"/>
        <w:jc w:val="center"/>
        <w:spacing w:before="240" w:after="240"/>
        <w:rPr>
          <w:b/>
          <w:sz w:val="28"/>
          <w:szCs w:val="28"/>
          <w:highlight w:val="none"/>
        </w:rPr>
      </w:pPr>
      <w:r/>
      <w:bookmarkStart w:id="73" w:name="_Toc265228355"/>
      <w:r/>
      <w:bookmarkStart w:id="74" w:name="_Toc305158859"/>
      <w:r/>
      <w:bookmarkStart w:id="75" w:name="_Toc353825542"/>
      <w:r/>
      <w:bookmarkStart w:id="76" w:name="_Toc226965790"/>
      <w:r/>
      <w:bookmarkStart w:id="77" w:name="_Toc150480755"/>
      <w:r/>
      <w:bookmarkStart w:id="78" w:name="_Toc353873932"/>
      <w:r/>
      <w:bookmarkStart w:id="79" w:name="_Toc127151517"/>
      <w:r/>
      <w:bookmarkStart w:id="80" w:name="_Toc353873662"/>
      <w:r/>
      <w:bookmarkStart w:id="81" w:name="_Toc226337213"/>
      <w:r/>
      <w:bookmarkStart w:id="82" w:name="_Toc142311019"/>
      <w:r/>
      <w:bookmarkStart w:id="83" w:name="_Toc150774722"/>
      <w:r/>
      <w:bookmarkStart w:id="84" w:name="_Toc305158785"/>
      <w:r/>
      <w:bookmarkStart w:id="85" w:name="_Toc195842882"/>
      <w:r/>
      <w:bookmarkStart w:id="86" w:name="_Toc264969207"/>
      <w:r>
        <w:rPr>
          <w:b/>
          <w:sz w:val="28"/>
          <w:szCs w:val="28"/>
          <w:highlight w:val="none"/>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sz w:val="28"/>
          <w:szCs w:val="28"/>
          <w:highlight w:val="none"/>
        </w:rPr>
      </w:r>
      <w:r/>
    </w:p>
    <w:p>
      <w:pPr>
        <w:pStyle w:val="1139"/>
        <w:spacing w:before="0" w:line="360" w:lineRule="auto"/>
        <w:tabs>
          <w:tab w:val="center" w:pos="4592" w:leader="none"/>
          <w:tab w:val="left" w:pos="7860" w:leader="none"/>
        </w:tabs>
        <w:rPr>
          <w:rFonts w:ascii="Times New Roman" w:hAnsi="Times New Roman" w:eastAsia="宋体"/>
          <w:sz w:val="28"/>
          <w:highlight w:val="none"/>
        </w:rPr>
      </w:pPr>
      <w:r/>
      <w:bookmarkStart w:id="87" w:name="_Toc265228356"/>
      <w:r/>
      <w:bookmarkStart w:id="88" w:name="_Toc150509269"/>
      <w:r/>
      <w:bookmarkStart w:id="89" w:name="_Toc305158786"/>
      <w:r/>
      <w:bookmarkStart w:id="90" w:name="_Toc520356143"/>
      <w:r/>
      <w:bookmarkStart w:id="91" w:name="_Toc305158860"/>
      <w:r/>
      <w:bookmarkStart w:id="92" w:name="_Toc264969208"/>
      <w:r/>
      <w:bookmarkStart w:id="93" w:name="_Toc150774618"/>
      <w:r/>
      <w:bookmarkStart w:id="94" w:name="_Toc151193616"/>
      <w:r/>
      <w:bookmarkStart w:id="95" w:name="_Toc151193688"/>
      <w:r/>
      <w:bookmarkStart w:id="96" w:name="_Toc226337214"/>
      <w:r/>
      <w:bookmarkStart w:id="97" w:name="_Toc150480756"/>
      <w:r/>
      <w:bookmarkStart w:id="98" w:name="_Toc127151518"/>
      <w:r/>
      <w:bookmarkStart w:id="99" w:name="_Toc142311020"/>
      <w:r/>
      <w:bookmarkStart w:id="100" w:name="_Toc195842883"/>
      <w:r/>
      <w:bookmarkStart w:id="101" w:name="_Toc151193832"/>
      <w:r/>
      <w:bookmarkStart w:id="102" w:name="_Toc151193906"/>
      <w:r/>
      <w:bookmarkStart w:id="103" w:name="_Toc151193760"/>
      <w:r/>
      <w:bookmarkStart w:id="104" w:name="_Toc226965708"/>
      <w:r/>
      <w:bookmarkStart w:id="105" w:name="_Toc150774723"/>
      <w:r/>
      <w:bookmarkStart w:id="106" w:name="_Toc151190145"/>
      <w:r/>
      <w:bookmarkStart w:id="107" w:name="_Toc226309762"/>
      <w:r/>
      <w:bookmarkStart w:id="108" w:name="_Toc226965791"/>
      <w:r>
        <w:rPr>
          <w:rFonts w:ascii="Times New Roman" w:hAnsi="Times New Roman" w:eastAsia="宋体"/>
          <w:sz w:val="28"/>
          <w:highlight w:val="none"/>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sz w:val="28"/>
          <w:highlight w:val="none"/>
        </w:rPr>
      </w:r>
      <w:r/>
    </w:p>
    <w:p>
      <w:pPr>
        <w:pStyle w:val="1137"/>
        <w:numPr>
          <w:ilvl w:val="0"/>
          <w:numId w:val="8"/>
        </w:numPr>
        <w:ind w:left="0" w:firstLine="480"/>
        <w:spacing w:line="400" w:lineRule="exact"/>
        <w:tabs>
          <w:tab w:val="left" w:pos="360" w:leader="none"/>
          <w:tab w:val="left" w:pos="900" w:leader="none"/>
        </w:tabs>
        <w:rPr>
          <w:rFonts w:ascii="宋体" w:hAnsi="宋体" w:cs="宋体"/>
          <w:sz w:val="24"/>
          <w:highlight w:val="none"/>
        </w:rPr>
      </w:pPr>
      <w:r/>
      <w:bookmarkStart w:id="109" w:name="_Toc264969209"/>
      <w:r/>
      <w:bookmarkStart w:id="110" w:name="_Toc305158787"/>
      <w:r/>
      <w:bookmarkStart w:id="111" w:name="_Toc305158861"/>
      <w:r/>
      <w:bookmarkStart w:id="112" w:name="_Toc265228357"/>
      <w:r>
        <w:rPr>
          <w:rFonts w:hint="eastAsia" w:ascii="宋体" w:hAnsi="宋体" w:cs="宋体"/>
          <w:sz w:val="24"/>
          <w:highlight w:val="none"/>
        </w:rPr>
        <w:t xml:space="preserve">采购人、采购代理机构、投标人</w:t>
      </w:r>
      <w:bookmarkEnd w:id="109"/>
      <w:r/>
      <w:bookmarkEnd w:id="110"/>
      <w:r/>
      <w:bookmarkEnd w:id="111"/>
      <w:r/>
      <w:bookmarkEnd w:id="112"/>
      <w:r>
        <w:rPr>
          <w:rFonts w:hint="eastAsia" w:ascii="宋体" w:hAnsi="宋体" w:cs="宋体"/>
          <w:sz w:val="24"/>
          <w:highlight w:val="none"/>
        </w:rPr>
        <w:t xml:space="preserve">、联合体</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rPr>
          <w:rFonts w:ascii="宋体" w:hAnsi="宋体" w:cs="宋体"/>
          <w:sz w:val="24"/>
          <w:highlight w:val="none"/>
        </w:rPr>
      </w:r>
      <w:r/>
    </w:p>
    <w:p>
      <w:pPr>
        <w:pStyle w:val="1137"/>
        <w:numPr>
          <w:ilvl w:val="0"/>
          <w:numId w:val="8"/>
        </w:numPr>
        <w:ind w:left="0" w:firstLine="480"/>
        <w:spacing w:line="400" w:lineRule="exact"/>
        <w:tabs>
          <w:tab w:val="left" w:pos="360" w:leader="none"/>
          <w:tab w:val="left" w:pos="900" w:leader="none"/>
        </w:tabs>
        <w:rPr>
          <w:rFonts w:ascii="宋体" w:hAnsi="宋体" w:cs="宋体"/>
          <w:sz w:val="24"/>
          <w:highlight w:val="none"/>
        </w:rPr>
      </w:pPr>
      <w:r/>
      <w:bookmarkStart w:id="113" w:name="_Toc226965793"/>
      <w:r/>
      <w:bookmarkStart w:id="114" w:name="_Toc127151520"/>
      <w:r/>
      <w:bookmarkStart w:id="115" w:name="_Toc149720813"/>
      <w:r/>
      <w:bookmarkStart w:id="116" w:name="_Toc150774620"/>
      <w:r/>
      <w:bookmarkStart w:id="117" w:name="_Toc226965710"/>
      <w:r/>
      <w:bookmarkStart w:id="118" w:name="_Toc127161434"/>
      <w:r/>
      <w:bookmarkStart w:id="119" w:name="_Toc151193762"/>
      <w:r/>
      <w:bookmarkStart w:id="120" w:name="_Toc164608634"/>
      <w:r/>
      <w:bookmarkStart w:id="121" w:name="_Toc151193908"/>
      <w:r/>
      <w:bookmarkStart w:id="122" w:name="_Toc151193834"/>
      <w:r/>
      <w:bookmarkStart w:id="123" w:name="_Toc164229215"/>
      <w:r/>
      <w:bookmarkStart w:id="124" w:name="_Toc226337216"/>
      <w:r/>
      <w:bookmarkStart w:id="125" w:name="_Toc151193690"/>
      <w:r/>
      <w:bookmarkStart w:id="126" w:name="_Toc264969210"/>
      <w:r/>
      <w:bookmarkStart w:id="127" w:name="_Toc142311022"/>
      <w:r/>
      <w:bookmarkStart w:id="128" w:name="_Toc150480758"/>
      <w:r/>
      <w:bookmarkStart w:id="129" w:name="_Toc127151721"/>
      <w:r/>
      <w:bookmarkStart w:id="130" w:name="_Toc305158788"/>
      <w:r/>
      <w:bookmarkStart w:id="131" w:name="_Toc150509271"/>
      <w:r/>
      <w:bookmarkStart w:id="132" w:name="_Toc164229361"/>
      <w:r/>
      <w:bookmarkStart w:id="133" w:name="_Toc195842885"/>
      <w:r/>
      <w:bookmarkStart w:id="134" w:name="_Toc151190147"/>
      <w:r/>
      <w:bookmarkStart w:id="135" w:name="_Toc265228358"/>
      <w:r/>
      <w:bookmarkStart w:id="136" w:name="_Toc164351614"/>
      <w:r/>
      <w:bookmarkStart w:id="137" w:name="_Toc305158862"/>
      <w:r/>
      <w:bookmarkStart w:id="138" w:name="_Toc151193618"/>
      <w:r/>
      <w:bookmarkStart w:id="139" w:name="_Toc150774725"/>
      <w:r/>
      <w:bookmarkStart w:id="140" w:name="_Toc226309764"/>
      <w:r/>
      <w:bookmarkStart w:id="141" w:name="_Toc164608789"/>
      <w:r>
        <w:rPr>
          <w:rFonts w:hint="eastAsia" w:ascii="宋体" w:hAnsi="宋体" w:cs="宋体"/>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highlight w:val="none"/>
        </w:rPr>
        <w:t xml:space="preserve">、项目属性、科研仪器设备采购、核心产品</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项目属性见《投标人须知资料表》。</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是否属于科研仪器设备采购见《投标人须知资料表》。</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核心产品见《投标人须知资料表》。</w:t>
      </w:r>
      <w:r>
        <w:rPr>
          <w:rFonts w:ascii="宋体" w:hAnsi="宋体" w:cs="宋体"/>
          <w:sz w:val="24"/>
          <w:highlight w:val="none"/>
        </w:rPr>
      </w:r>
      <w:r/>
    </w:p>
    <w:p>
      <w:pPr>
        <w:pStyle w:val="1137"/>
        <w:numPr>
          <w:ilvl w:val="0"/>
          <w:numId w:val="8"/>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现场考察、开标前答疑会</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bookmarkStart w:id="142" w:name="_Toc151193692"/>
      <w:r/>
      <w:bookmarkStart w:id="143" w:name="_Toc151193620"/>
      <w:r/>
      <w:bookmarkStart w:id="144" w:name="_Toc142311024"/>
      <w:r/>
      <w:bookmarkStart w:id="145" w:name="_Toc150509273"/>
      <w:r/>
      <w:bookmarkStart w:id="146" w:name="_Toc151193836"/>
      <w:r/>
      <w:bookmarkStart w:id="147" w:name="_Toc226965712"/>
      <w:r/>
      <w:bookmarkStart w:id="148" w:name="_Toc150774622"/>
      <w:r/>
      <w:bookmarkStart w:id="149" w:name="_Toc151193910"/>
      <w:r/>
      <w:bookmarkStart w:id="150" w:name="_Toc520356146"/>
      <w:r/>
      <w:bookmarkStart w:id="151" w:name="_Toc264969212"/>
      <w:r/>
      <w:bookmarkStart w:id="152" w:name="_Toc226337218"/>
      <w:r/>
      <w:bookmarkStart w:id="153" w:name="_Toc150774727"/>
      <w:r/>
      <w:bookmarkStart w:id="154" w:name="_Toc305158790"/>
      <w:r/>
      <w:bookmarkStart w:id="155" w:name="_Toc150480760"/>
      <w:r/>
      <w:bookmarkStart w:id="156" w:name="_Toc226965795"/>
      <w:r/>
      <w:bookmarkStart w:id="157" w:name="_Toc226309766"/>
      <w:r/>
      <w:bookmarkStart w:id="158" w:name="_Toc265228360"/>
      <w:r/>
      <w:bookmarkStart w:id="159" w:name="_Toc127151522"/>
      <w:r/>
      <w:bookmarkStart w:id="160" w:name="_Toc151193764"/>
      <w:r/>
      <w:bookmarkStart w:id="161" w:name="_Toc151190149"/>
      <w:r/>
      <w:bookmarkStart w:id="162" w:name="_Toc195842887"/>
      <w:r/>
      <w:bookmarkStart w:id="163" w:name="_Toc305158864"/>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sz w:val="24"/>
          <w:highlight w:val="none"/>
        </w:rPr>
      </w:r>
      <w:r/>
    </w:p>
    <w:p>
      <w:pPr>
        <w:pStyle w:val="1137"/>
        <w:numPr>
          <w:ilvl w:val="0"/>
          <w:numId w:val="8"/>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样品</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rPr>
          <w:rFonts w:ascii="宋体" w:hAnsi="宋体" w:cs="宋体"/>
          <w:sz w:val="24"/>
          <w:highlight w:val="none"/>
        </w:rPr>
      </w:r>
      <w:r/>
    </w:p>
    <w:p>
      <w:pPr>
        <w:pStyle w:val="1137"/>
        <w:numPr>
          <w:ilvl w:val="0"/>
          <w:numId w:val="8"/>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政府采购政策（包括但不限于下列具体政策要求）</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进口产品</w:t>
      </w:r>
      <w:r>
        <w:rPr>
          <w:rFonts w:ascii="宋体" w:hAnsi="宋体" w:cs="宋体"/>
          <w:sz w:val="24"/>
          <w:highlight w:val="none"/>
        </w:rPr>
      </w:r>
      <w:r/>
    </w:p>
    <w:p>
      <w:pPr>
        <w:pStyle w:val="1137"/>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rPr>
          <w:rFonts w:ascii="宋体" w:hAnsi="宋体" w:cs="宋体"/>
          <w:sz w:val="24"/>
          <w:highlight w:val="none"/>
        </w:rPr>
      </w:r>
      <w:r/>
    </w:p>
    <w:p>
      <w:pPr>
        <w:pStyle w:val="1137"/>
        <w:numPr>
          <w:ilvl w:val="2"/>
          <w:numId w:val="8"/>
        </w:numPr>
        <w:ind w:firstLine="480"/>
        <w:spacing w:line="400" w:lineRule="exact"/>
        <w:rPr>
          <w:rFonts w:ascii="宋体" w:hAnsi="宋体" w:cs="宋体"/>
          <w:vanish/>
          <w:sz w:val="24"/>
          <w:highlight w:val="none"/>
        </w:rPr>
      </w:pPr>
      <w:r>
        <w:rPr>
          <w:rFonts w:hint="eastAsia" w:ascii="宋体" w:hAnsi="宋体" w:cs="宋体"/>
          <w:sz w:val="24"/>
          <w:highlight w:val="none"/>
        </w:rPr>
        <w:t xml:space="preserve">中小企业定义：</w:t>
      </w:r>
      <w:r>
        <w:rPr>
          <w:rFonts w:ascii="宋体" w:hAnsi="宋体" w:cs="宋体"/>
          <w:vanish/>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5.2.1.1中小企业是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5.2.1.2供应商提供的货物、工程或者服务符合下列情形的，享受中小企业扶持政策：</w:t>
      </w:r>
      <w:r>
        <w:rPr>
          <w:rFonts w:ascii="宋体" w:hAnsi="宋体" w:cs="宋体"/>
          <w:sz w:val="24"/>
          <w:highlight w:val="none"/>
        </w:rPr>
      </w:r>
      <w:r/>
    </w:p>
    <w:p>
      <w:pPr>
        <w:pStyle w:val="1137"/>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rPr>
          <w:rFonts w:ascii="宋体" w:hAnsi="宋体" w:cs="宋体"/>
          <w:sz w:val="24"/>
          <w:highlight w:val="none"/>
        </w:rPr>
      </w:r>
      <w:r/>
    </w:p>
    <w:p>
      <w:pPr>
        <w:pStyle w:val="1137"/>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rPr>
          <w:rFonts w:ascii="宋体" w:hAnsi="宋体" w:cs="宋体"/>
          <w:sz w:val="24"/>
          <w:highlight w:val="none"/>
        </w:rPr>
      </w:r>
      <w:r/>
    </w:p>
    <w:p>
      <w:pPr>
        <w:pStyle w:val="1137"/>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5.2.1.3在货物采购项目中，供应商提供的货物既有中小企业制造货物，也有大型企业制造货物的，不享受中小企业扶持政策。</w:t>
      </w:r>
      <w:r>
        <w:rPr>
          <w:rFonts w:ascii="宋体" w:hAnsi="宋体" w:cs="宋体"/>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5.2.1.4以联合体形式参加政府采购活动，联合体各方均为中小企业的，联合体视同中小企业。其中，联合体各方均为小微企业的，联合体视同小微企业。</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highlight w:val="none"/>
        </w:rPr>
      </w:r>
      <w:r/>
    </w:p>
    <w:p>
      <w:pPr>
        <w:pStyle w:val="1137"/>
        <w:numPr>
          <w:ilvl w:val="2"/>
          <w:numId w:val="8"/>
        </w:numPr>
        <w:ind w:firstLine="480"/>
        <w:spacing w:line="400" w:lineRule="exact"/>
        <w:rPr>
          <w:rFonts w:ascii="宋体" w:hAnsi="宋体" w:cs="宋体"/>
          <w:vanish/>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rPr>
          <w:rFonts w:ascii="宋体" w:hAnsi="宋体" w:cs="宋体"/>
          <w:vanish/>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5.2.3.1安置的残疾人占本单位在职职工人数的比例不低于25%（含25%），并且安置的残疾人人数不少于10 人（含10 人）；</w:t>
      </w:r>
      <w:r>
        <w:rPr>
          <w:rFonts w:ascii="宋体" w:hAnsi="宋体" w:cs="宋体"/>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5.2.3.2依法与安置的每位残疾人签订了一年以上（含一年）的劳动合同或服务协议；</w:t>
      </w:r>
      <w:r>
        <w:rPr>
          <w:rFonts w:ascii="宋体" w:hAnsi="宋体" w:cs="宋体"/>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5.2.3.3为安置的每位残疾人按月足额缴纳了基本养老保险、基本医疗保险、失业保险、工伤保险和生育保险等社会保险费；</w:t>
      </w:r>
      <w:r>
        <w:rPr>
          <w:rFonts w:ascii="宋体" w:hAnsi="宋体" w:cs="宋体"/>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5.2.3.4通过银行等金融机构向安置的每位残疾人，按月支付了不低于单位所在区县适用的经省级人民政府批准的月最低工资标准的工资；</w:t>
      </w:r>
      <w:r>
        <w:rPr>
          <w:rFonts w:ascii="宋体" w:hAnsi="宋体" w:cs="宋体"/>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5.2.3.5提供本单位制造的货物、承担的工程或者服务（以下简称产品），或者提供其他残疾人福利性单位制造的货物（不包括使用非残疾人福利性单位注册商标的货物）；</w:t>
      </w:r>
      <w:r>
        <w:rPr>
          <w:rFonts w:ascii="宋体" w:hAnsi="宋体" w:cs="宋体"/>
          <w:sz w:val="24"/>
          <w:highlight w:val="none"/>
        </w:rPr>
      </w:r>
      <w:r/>
    </w:p>
    <w:p>
      <w:pPr>
        <w:pStyle w:val="1137"/>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本项目是否专门面向中小企业预留采购份额见第一章《投标邀请》。</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采购标的对应的中小企业划分标准所属行业见《投标人须知资料表》。</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小微企业价格评审优惠的政策调整：见第四章《评标方法和评标标准》。</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cs="宋体"/>
          <w:sz w:val="24"/>
          <w:highlight w:val="none"/>
        </w:rPr>
      </w:r>
      <w:r/>
    </w:p>
    <w:p>
      <w:pPr>
        <w:pStyle w:val="1137"/>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rPr>
          <w:rFonts w:ascii="宋体" w:hAnsi="宋体" w:cs="宋体"/>
          <w:sz w:val="24"/>
          <w:highlight w:val="none"/>
        </w:rPr>
      </w:r>
      <w:r/>
    </w:p>
    <w:p>
      <w:pPr>
        <w:pStyle w:val="1137"/>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 w:val="24"/>
          <w:highlight w:val="none"/>
        </w:rPr>
      </w:r>
      <w:r/>
    </w:p>
    <w:p>
      <w:pPr>
        <w:pStyle w:val="1137"/>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rPr>
          <w:rFonts w:ascii="宋体" w:hAnsi="宋体" w:cs="宋体"/>
          <w:sz w:val="24"/>
          <w:highlight w:val="none"/>
        </w:rPr>
      </w:r>
      <w:r/>
    </w:p>
    <w:p>
      <w:pPr>
        <w:pStyle w:val="1137"/>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 绿色采购政策</w:t>
      </w:r>
      <w:r>
        <w:rPr>
          <w:rFonts w:hint="eastAsia" w:ascii="宋体" w:hAnsi="宋体" w:cs="宋体"/>
          <w:sz w:val="24"/>
          <w:highlight w:val="none"/>
        </w:rPr>
      </w:r>
      <w:r/>
    </w:p>
    <w:p>
      <w:pPr>
        <w:pStyle w:val="1137"/>
        <w:numPr>
          <w:ilvl w:val="2"/>
          <w:numId w:val="8"/>
        </w:numPr>
        <w:ind w:firstLine="480"/>
        <w:spacing w:line="400" w:lineRule="exact"/>
        <w:tabs>
          <w:tab w:val="left" w:pos="2014" w:leader="none"/>
        </w:tabs>
        <w:rPr>
          <w:rFonts w:hint="eastAsia" w:ascii="宋体" w:hAnsi="宋体" w:cs="宋体"/>
          <w:sz w:val="24"/>
          <w:highlight w:val="none"/>
        </w:rPr>
      </w:pPr>
      <w:r>
        <w:rPr>
          <w:rFonts w:hint="eastAsia" w:ascii="宋体" w:hAnsi="宋体" w:cs="宋体"/>
          <w:sz w:val="24"/>
          <w:highlight w:val="none"/>
        </w:rPr>
        <w:t xml:space="preserve">绿色数据中心政策 </w:t>
      </w:r>
      <w:r>
        <w:rPr>
          <w:rFonts w:hint="eastAsia" w:ascii="宋体" w:hAnsi="宋体" w:cs="宋体"/>
          <w:sz w:val="24"/>
          <w:highlight w:val="none"/>
        </w:rPr>
      </w:r>
      <w:r/>
    </w:p>
    <w:p>
      <w:pPr>
        <w:pStyle w:val="1137"/>
        <w:ind w:firstLine="480"/>
        <w:spacing w:line="400" w:lineRule="exact"/>
        <w:rPr>
          <w:rFonts w:ascii="宋体" w:hAnsi="宋体"/>
          <w:sz w:val="24"/>
          <w:highlight w:val="none"/>
        </w:rPr>
      </w:pPr>
      <w:r>
        <w:rPr>
          <w:rFonts w:hint="eastAsia" w:ascii="宋体" w:hAnsi="宋体" w:cs="宋体"/>
          <w:sz w:val="24"/>
          <w:highlight w:val="none"/>
        </w:rPr>
        <w:t xml:space="preserve">依据《绿色数据中心政府采购需求标准（试行）》（财办库〔2023〕7 号）</w:t>
      </w:r>
      <w:r>
        <w:rPr>
          <w:rFonts w:hint="eastAsia" w:ascii="宋体" w:hAnsi="宋体"/>
          <w:sz w:val="24"/>
          <w:highlight w:val="none"/>
        </w:rPr>
        <w:t xml:space="preserve">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1137"/>
        <w:numPr>
          <w:ilvl w:val="2"/>
          <w:numId w:val="8"/>
        </w:numPr>
        <w:ind w:firstLine="480"/>
        <w:spacing w:line="400" w:lineRule="exact"/>
        <w:tabs>
          <w:tab w:val="left" w:pos="2014" w:leader="none"/>
        </w:tabs>
        <w:rPr>
          <w:rFonts w:hint="eastAsia" w:ascii="宋体" w:hAnsi="宋体" w:cs="宋体"/>
          <w:sz w:val="24"/>
          <w:highlight w:val="none"/>
        </w:rPr>
      </w:pPr>
      <w:r>
        <w:rPr>
          <w:rFonts w:hint="eastAsia" w:ascii="宋体" w:hAnsi="宋体" w:cs="宋体"/>
          <w:sz w:val="24"/>
          <w:highlight w:val="none"/>
        </w:rPr>
        <w:t xml:space="preserve">推广应用绿色建材</w:t>
      </w:r>
      <w:r>
        <w:rPr>
          <w:rFonts w:hint="eastAsia" w:ascii="宋体" w:hAnsi="宋体" w:cs="宋体"/>
          <w:sz w:val="24"/>
          <w:highlight w:val="none"/>
        </w:rPr>
      </w:r>
      <w:r/>
    </w:p>
    <w:p>
      <w:pPr>
        <w:pStyle w:val="1137"/>
        <w:ind w:firstLine="480"/>
        <w:spacing w:line="40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1137"/>
        <w:numPr>
          <w:ilvl w:val="2"/>
          <w:numId w:val="8"/>
        </w:numPr>
        <w:ind w:firstLine="480"/>
        <w:spacing w:line="400" w:lineRule="exact"/>
        <w:tabs>
          <w:tab w:val="left" w:pos="2014" w:leader="none"/>
        </w:tabs>
        <w:rPr>
          <w:rFonts w:hint="eastAsia" w:ascii="宋体" w:hAnsi="宋体" w:cs="宋体"/>
          <w:sz w:val="24"/>
          <w:highlight w:val="none"/>
        </w:rPr>
      </w:pPr>
      <w:r>
        <w:rPr>
          <w:rFonts w:hint="eastAsia" w:ascii="宋体" w:hAnsi="宋体" w:cs="宋体"/>
          <w:sz w:val="24"/>
          <w:highlight w:val="none"/>
        </w:rPr>
        <w:t xml:space="preserve">优先使用低挥发性有机化合物产品</w:t>
      </w:r>
      <w:r>
        <w:rPr>
          <w:rFonts w:hint="eastAsia" w:ascii="宋体" w:hAnsi="宋体" w:cs="宋体"/>
          <w:sz w:val="24"/>
          <w:highlight w:val="none"/>
        </w:rPr>
      </w:r>
      <w:r/>
    </w:p>
    <w:p>
      <w:pPr>
        <w:pStyle w:val="1137"/>
        <w:ind w:firstLine="480"/>
        <w:spacing w:line="400" w:lineRule="exact"/>
        <w:rPr>
          <w:rFonts w:hint="eastAsia" w:ascii="宋体" w:hAnsi="宋体"/>
          <w:sz w:val="24"/>
          <w:highlight w:val="none"/>
        </w:rPr>
      </w:pPr>
      <w:r>
        <w:rPr>
          <w:rFonts w:hint="eastAsia" w:ascii="宋体" w:hAnsi="宋体" w:cs="宋体"/>
          <w:sz w:val="24"/>
          <w:highlight w:val="none"/>
        </w:rPr>
        <w:t xml:space="preserve">采购人要落实挥发性有机化合物（VOCs）治理要求，若本项目中涉及涂</w:t>
      </w:r>
      <w:r>
        <w:rPr>
          <w:rFonts w:hint="eastAsia" w:ascii="宋体" w:hAnsi="宋体"/>
          <w:sz w:val="24"/>
          <w:highlight w:val="none"/>
        </w:rPr>
        <w:t xml:space="preserve">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highlight w:val="none"/>
        </w:rPr>
      </w:r>
      <w:r/>
    </w:p>
    <w:p>
      <w:pPr>
        <w:pStyle w:val="1137"/>
        <w:numPr>
          <w:ilvl w:val="0"/>
          <w:numId w:val="8"/>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投标费用</w:t>
      </w:r>
      <w:r>
        <w:rPr>
          <w:rFonts w:ascii="宋体" w:hAnsi="宋体" w:cs="宋体"/>
          <w:sz w:val="24"/>
          <w:highlight w:val="none"/>
        </w:rPr>
      </w:r>
      <w:r/>
    </w:p>
    <w:p>
      <w:pPr>
        <w:pStyle w:val="1137"/>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s="宋体"/>
          <w:sz w:val="24"/>
          <w:highlight w:val="none"/>
        </w:rPr>
      </w:r>
      <w:r/>
    </w:p>
    <w:p>
      <w:pPr>
        <w:pStyle w:val="1137"/>
        <w:rPr>
          <w:highlight w:val="none"/>
        </w:rPr>
      </w:pPr>
      <w:r>
        <w:rPr>
          <w:highlight w:val="none"/>
        </w:rPr>
      </w:r>
      <w:r/>
    </w:p>
    <w:p>
      <w:pPr>
        <w:pStyle w:val="1139"/>
        <w:spacing w:before="0" w:line="400" w:lineRule="exact"/>
        <w:rPr>
          <w:rFonts w:ascii="Times New Roman" w:hAnsi="Times New Roman" w:eastAsia="宋体"/>
          <w:sz w:val="28"/>
          <w:highlight w:val="none"/>
        </w:rPr>
      </w:pPr>
      <w:r/>
      <w:bookmarkStart w:id="164" w:name="_1.8_计量单位"/>
      <w:r/>
      <w:bookmarkEnd w:id="164"/>
      <w:r>
        <w:rPr>
          <w:rFonts w:ascii="Times New Roman" w:hAnsi="Times New Roman" w:eastAsia="宋体"/>
          <w:sz w:val="28"/>
          <w:highlight w:val="none"/>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sz w:val="28"/>
          <w:highlight w:val="none"/>
        </w:rPr>
      </w:r>
      <w:r/>
    </w:p>
    <w:p>
      <w:pPr>
        <w:pStyle w:val="1137"/>
        <w:ind w:firstLine="480"/>
        <w:spacing w:line="400" w:lineRule="exact"/>
        <w:rPr>
          <w:rFonts w:ascii="宋体" w:hAnsi="宋体" w:cs="宋体"/>
          <w:sz w:val="24"/>
          <w:highlight w:val="none"/>
        </w:rPr>
      </w:pPr>
      <w:r/>
      <w:bookmarkStart w:id="165" w:name="_Toc151193624"/>
      <w:r/>
      <w:bookmarkStart w:id="166" w:name="_Toc150480764"/>
      <w:r/>
      <w:bookmarkStart w:id="167" w:name="_Toc151193840"/>
      <w:r/>
      <w:bookmarkStart w:id="168" w:name="_Toc520356150"/>
      <w:r/>
      <w:bookmarkStart w:id="169" w:name="_Toc142311028"/>
      <w:r/>
      <w:bookmarkStart w:id="170" w:name="_Toc150774626"/>
      <w:r/>
      <w:bookmarkStart w:id="171" w:name="_Toc195842891"/>
      <w:r/>
      <w:bookmarkStart w:id="172" w:name="_Toc226965716"/>
      <w:r/>
      <w:bookmarkStart w:id="173" w:name="_Toc151193696"/>
      <w:r/>
      <w:bookmarkStart w:id="174" w:name="_Toc226309770"/>
      <w:r/>
      <w:bookmarkStart w:id="175" w:name="_Toc226965799"/>
      <w:r/>
      <w:bookmarkStart w:id="176" w:name="_Toc151193768"/>
      <w:r/>
      <w:bookmarkStart w:id="177" w:name="_Toc127151526"/>
      <w:r/>
      <w:bookmarkStart w:id="178" w:name="_Toc150774731"/>
      <w:r/>
      <w:bookmarkStart w:id="179" w:name="_Toc265228364"/>
      <w:r/>
      <w:bookmarkStart w:id="180" w:name="_Toc151190153"/>
      <w:r/>
      <w:bookmarkStart w:id="181" w:name="_Toc305158794"/>
      <w:r/>
      <w:bookmarkStart w:id="182" w:name="_Toc305158868"/>
      <w:r/>
      <w:bookmarkStart w:id="183" w:name="_Toc264969216"/>
      <w:r/>
      <w:bookmarkStart w:id="184" w:name="_Toc150509277"/>
      <w:r/>
      <w:bookmarkStart w:id="185" w:name="_Toc516367020"/>
      <w:r/>
      <w:bookmarkStart w:id="186" w:name="_Toc226337222"/>
      <w:r/>
      <w:bookmarkStart w:id="187" w:name="_Toc151193914"/>
      <w:r>
        <w:rPr>
          <w:rFonts w:hint="eastAsia" w:ascii="宋体" w:hAnsi="宋体" w:cs="宋体"/>
          <w:sz w:val="24"/>
          <w:highlight w:val="none"/>
        </w:rPr>
        <w:t xml:space="preserve">7招标文件构成</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7.1招标文件包括以下部分：</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第一章  投标邀请</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第二章  投标人须知</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第三章  资格审查</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第四章  评标程序、评标方法和评标标准</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第五章  采购需求</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第六章  拟签订的合同文本</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第七章  投标文件格式</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8对招标文件的澄清或修改</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sz w:val="24"/>
          <w:highlight w:val="none"/>
        </w:rPr>
      </w:r>
      <w:r/>
    </w:p>
    <w:p>
      <w:pPr>
        <w:pStyle w:val="1137"/>
        <w:ind w:firstLine="560"/>
        <w:spacing w:line="400" w:lineRule="exact"/>
        <w:tabs>
          <w:tab w:val="left" w:pos="1080" w:leader="none"/>
          <w:tab w:val="left" w:pos="1561" w:leader="none"/>
        </w:tabs>
        <w:rPr>
          <w:sz w:val="28"/>
          <w:highlight w:val="none"/>
        </w:rPr>
      </w:pPr>
      <w:r>
        <w:rPr>
          <w:sz w:val="28"/>
          <w:highlight w:val="none"/>
        </w:rPr>
      </w:r>
      <w:r/>
    </w:p>
    <w:p>
      <w:pPr>
        <w:pStyle w:val="1139"/>
        <w:spacing w:before="0" w:line="400" w:lineRule="exact"/>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85"/>
      <w:r>
        <w:rPr>
          <w:rFonts w:ascii="Times New Roman" w:hAnsi="Times New Roman" w:eastAsia="宋体"/>
          <w:sz w:val="28"/>
          <w:highlight w:val="none"/>
        </w:rPr>
        <w:t xml:space="preserve">的编制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6"/>
      <w:r/>
      <w:bookmarkEnd w:id="187"/>
      <w:r>
        <w:rPr>
          <w:rFonts w:ascii="Times New Roman" w:hAnsi="Times New Roman" w:eastAsia="宋体"/>
          <w:sz w:val="28"/>
          <w:highlight w:val="none"/>
        </w:rPr>
      </w:r>
      <w:r/>
    </w:p>
    <w:p>
      <w:pPr>
        <w:pStyle w:val="1137"/>
        <w:ind w:firstLine="480"/>
        <w:spacing w:line="400" w:lineRule="exact"/>
        <w:rPr>
          <w:rFonts w:ascii="宋体" w:hAnsi="宋体" w:cs="宋体"/>
          <w:sz w:val="24"/>
          <w:highlight w:val="none"/>
        </w:rPr>
      </w:pPr>
      <w:r/>
      <w:bookmarkStart w:id="188" w:name="_Toc520356159"/>
      <w:r/>
      <w:bookmarkStart w:id="189" w:name="_Toc195842899"/>
      <w:r/>
      <w:bookmarkStart w:id="190" w:name="_Toc226309778"/>
      <w:r/>
      <w:bookmarkStart w:id="191" w:name="_Toc226965724"/>
      <w:r/>
      <w:bookmarkStart w:id="192" w:name="_Toc142311036"/>
      <w:r/>
      <w:bookmarkStart w:id="193" w:name="_Toc151193848"/>
      <w:r/>
      <w:bookmarkStart w:id="194" w:name="_Toc150509285"/>
      <w:r/>
      <w:bookmarkStart w:id="195" w:name="_Toc151193632"/>
      <w:r/>
      <w:bookmarkStart w:id="196" w:name="_Toc127151534"/>
      <w:r/>
      <w:bookmarkStart w:id="197" w:name="_Toc305158876"/>
      <w:r/>
      <w:bookmarkStart w:id="198" w:name="_Toc150480772"/>
      <w:r/>
      <w:bookmarkStart w:id="199" w:name="_Toc151193776"/>
      <w:r/>
      <w:bookmarkStart w:id="200" w:name="_Toc151193704"/>
      <w:r/>
      <w:bookmarkStart w:id="201" w:name="_Toc265228372"/>
      <w:r/>
      <w:bookmarkStart w:id="202" w:name="_Toc226965807"/>
      <w:r/>
      <w:bookmarkStart w:id="203" w:name="_Toc226337230"/>
      <w:r/>
      <w:bookmarkStart w:id="204" w:name="_Toc150774634"/>
      <w:r/>
      <w:bookmarkStart w:id="205" w:name="_Toc264969224"/>
      <w:r/>
      <w:bookmarkStart w:id="206" w:name="_Toc305158802"/>
      <w:r/>
      <w:bookmarkStart w:id="207" w:name="_Toc150774739"/>
      <w:r/>
      <w:bookmarkStart w:id="208" w:name="_Toc151190161"/>
      <w:r/>
      <w:bookmarkStart w:id="209" w:name="_Toc151193922"/>
      <w:r>
        <w:rPr>
          <w:rFonts w:hint="eastAsia" w:ascii="宋体" w:hAnsi="宋体" w:cs="宋体"/>
          <w:sz w:val="24"/>
          <w:highlight w:val="none"/>
        </w:rPr>
        <w:t xml:space="preserve">9投标范围、投标文件中计量单位的使用及投标语言</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9.2除招标文件有特殊要求外，本项目投标所使用的计量单位，应采用中华人民共和国法定计量单位。</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10投标文件构成</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10.1投标人应当按照招标文件的要求编制投标文件。投标文件应由《资格证明文件》、《商务技术文件》两部分构成。投标文件的部分格式要求，见第七章《投标文件格式》。</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10.2对于招标文件中标记了“</w:t>
      </w:r>
      <w:r>
        <w:rPr>
          <w:rFonts w:hint="eastAsia" w:ascii="宋体" w:hAnsi="宋体" w:cs="宋体"/>
          <w:b/>
          <w:bCs/>
          <w:sz w:val="24"/>
          <w:highlight w:val="none"/>
        </w:rPr>
        <w:t xml:space="preserve">实质性格式</w:t>
      </w:r>
      <w:r>
        <w:rPr>
          <w:rFonts w:hint="eastAsia" w:ascii="宋体" w:hAnsi="宋体" w:cs="宋体"/>
          <w:sz w:val="24"/>
          <w:highlight w:val="none"/>
        </w:rPr>
        <w:t xml:space="preserve">”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10.3第四章《评标程序、评标方法和评标标准》中涉及的证明文件。</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sz w:val="24"/>
          <w:highlight w:val="none"/>
        </w:rPr>
      </w:r>
      <w:r/>
    </w:p>
    <w:p>
      <w:pPr>
        <w:pStyle w:val="1205"/>
        <w:ind w:left="0" w:firstLine="480"/>
        <w:spacing w:after="0" w:line="400" w:lineRule="exact"/>
        <w:rPr>
          <w:rFonts w:hint="eastAsia" w:ascii="宋体" w:hAnsi="宋体" w:cs="宋体"/>
          <w:sz w:val="24"/>
          <w:highlight w:val="none"/>
        </w:rPr>
      </w:pPr>
      <w:r>
        <w:rPr>
          <w:rFonts w:hint="eastAsia" w:ascii="宋体" w:hAnsi="宋体" w:cs="宋体"/>
          <w:sz w:val="24"/>
          <w:highlight w:val="none"/>
        </w:rPr>
        <w:t xml:space="preserve">10.5投标人认为应附的其他材料。</w:t>
      </w:r>
      <w:r>
        <w:rPr>
          <w:rFonts w:hint="eastAsia" w:ascii="宋体" w:hAnsi="宋体" w:cs="宋体"/>
          <w:sz w:val="24"/>
          <w:highlight w:val="none"/>
        </w:rPr>
      </w:r>
      <w:r/>
    </w:p>
    <w:p>
      <w:pPr>
        <w:pStyle w:val="1205"/>
        <w:ind w:left="0" w:firstLine="482"/>
        <w:spacing w:after="0"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10.6报价合理性：</w:t>
      </w:r>
      <w:r>
        <w:rPr>
          <w:rFonts w:hint="eastAsia" w:ascii="宋体" w:hAnsi="宋体" w:cs="宋体"/>
          <w:b/>
          <w:bCs/>
          <w:sz w:val="24"/>
          <w:szCs w:val="24"/>
          <w:highlight w:val="none"/>
        </w:rPr>
        <w:t xml:space="preserve">根据苏财购〔2026〕36号文件规定，</w:t>
      </w:r>
      <w:r>
        <w:rPr>
          <w:rFonts w:hint="eastAsia" w:ascii="宋体" w:hAnsi="宋体" w:cs="宋体"/>
          <w:b/>
          <w:bCs/>
          <w:sz w:val="24"/>
          <w:szCs w:val="24"/>
          <w:highlight w:val="none"/>
        </w:rPr>
        <w:t xml:space="preserve">评审过程中出现下列情形之一的，评标委员会应当动异常低价响应审查程序：</w:t>
      </w:r>
      <w:r>
        <w:rPr>
          <w:rFonts w:hint="eastAsia" w:ascii="宋体" w:hAnsi="宋体" w:cs="宋体"/>
          <w:b/>
          <w:bCs/>
          <w:sz w:val="24"/>
          <w:szCs w:val="24"/>
          <w:highlight w:val="none"/>
        </w:rPr>
      </w:r>
      <w:r/>
    </w:p>
    <w:p>
      <w:pPr>
        <w:pStyle w:val="1205"/>
        <w:ind w:left="0" w:firstLine="482"/>
        <w:spacing w:after="0"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10.6.1投标（响应）报价低于全部通过符合性审查供应商投标（响应）报价平均值50%的，即投标（响应）报价&lt;全部通过符合性审查供应商投标（响应）报价平均值×50%；</w:t>
      </w:r>
      <w:r>
        <w:rPr>
          <w:rFonts w:hint="eastAsia" w:ascii="宋体" w:hAnsi="宋体" w:cs="宋体"/>
          <w:b/>
          <w:bCs/>
          <w:sz w:val="24"/>
          <w:szCs w:val="24"/>
          <w:highlight w:val="none"/>
        </w:rPr>
      </w:r>
      <w:r/>
    </w:p>
    <w:p>
      <w:pPr>
        <w:pStyle w:val="1205"/>
        <w:ind w:left="0" w:firstLine="482"/>
        <w:spacing w:after="0"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10.6.2投标（响应）报价低于通过符合性审查的次低报价供应商投标（响应）报价50%的，即投标（响应）报价&lt;通过符合性审查的次低报价供应商投标（响应）报价×50%；</w:t>
      </w:r>
      <w:r>
        <w:rPr>
          <w:rFonts w:hint="eastAsia" w:ascii="宋体" w:hAnsi="宋体" w:cs="宋体"/>
          <w:b/>
          <w:bCs/>
          <w:sz w:val="24"/>
          <w:szCs w:val="24"/>
          <w:highlight w:val="none"/>
        </w:rPr>
      </w:r>
      <w:r/>
    </w:p>
    <w:p>
      <w:pPr>
        <w:pStyle w:val="1205"/>
        <w:ind w:left="0" w:firstLine="482"/>
        <w:spacing w:after="0"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10.6.3投标（响应）报价低于采购项目最高限价45%的，即投标（响应）报价&lt;采购项目最高限价×45%；</w:t>
      </w:r>
      <w:r>
        <w:rPr>
          <w:rFonts w:hint="eastAsia" w:ascii="宋体" w:hAnsi="宋体" w:cs="宋体"/>
          <w:b/>
          <w:bCs/>
          <w:sz w:val="24"/>
          <w:szCs w:val="24"/>
          <w:highlight w:val="none"/>
        </w:rPr>
      </w:r>
      <w:r/>
    </w:p>
    <w:p>
      <w:pPr>
        <w:pStyle w:val="1205"/>
        <w:ind w:left="0" w:firstLine="482"/>
        <w:spacing w:after="0"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10.6.4评审委员会基于专业判断，认为供应商报价过低，有可能影响产品质量或者不能诚信履约的其他情形。</w:t>
      </w:r>
      <w:r>
        <w:rPr>
          <w:rFonts w:hint="eastAsia" w:ascii="宋体" w:hAnsi="宋体" w:cs="宋体"/>
          <w:b/>
          <w:bCs/>
          <w:sz w:val="24"/>
          <w:szCs w:val="24"/>
          <w:highlight w:val="none"/>
        </w:rPr>
      </w:r>
      <w:r/>
    </w:p>
    <w:p>
      <w:pPr>
        <w:pStyle w:val="1205"/>
        <w:ind w:left="0" w:firstLine="482"/>
        <w:spacing w:after="0"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10.5.3项情形，供应商已随投标（响应）文件一并提交相关书面说明及必要的证明材料的，在评审现场可不再重复提交。</w:t>
      </w:r>
      <w:r>
        <w:rPr>
          <w:rFonts w:hint="eastAsia" w:ascii="宋体" w:hAnsi="宋体" w:cs="宋体"/>
          <w:b/>
          <w:bCs/>
          <w:sz w:val="24"/>
          <w:szCs w:val="24"/>
          <w:highlight w:val="none"/>
        </w:rPr>
      </w:r>
      <w:r/>
    </w:p>
    <w:p>
      <w:pPr>
        <w:pStyle w:val="1205"/>
        <w:ind w:left="0" w:firstLine="482"/>
        <w:spacing w:after="0"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
          <w:bCs/>
          <w:sz w:val="24"/>
          <w:szCs w:val="24"/>
          <w:highlight w:val="none"/>
        </w:rPr>
      </w:r>
      <w:r/>
    </w:p>
    <w:p>
      <w:pPr>
        <w:pStyle w:val="1205"/>
        <w:ind w:left="0" w:firstLine="482"/>
        <w:spacing w:after="0"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异常低价投标（响应）审查的启动原因、审查意见和审查结果将在评审报告中记录，并随供应商提供的相关书面说明及证明材料，以及评审委员会有关互联网浏览、查询历史一并归档。</w:t>
      </w:r>
      <w:r>
        <w:rPr>
          <w:rFonts w:hint="eastAsia" w:ascii="宋体" w:hAnsi="宋体" w:cs="宋体"/>
          <w:b/>
          <w:bCs/>
          <w:sz w:val="24"/>
          <w:szCs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11投标报价</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11.1所有投标均以人民币报价。</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11.2.2按照招标文件要求完成本项目的全部相关服务费用。 </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11.3采购人不得向供应商索要或者接受其给予的赠品、回扣或者与采购无关的其他商品、服务。</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11.4投标人不能提供任何有选择性或可调整的报价，否则其投标无效。</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12投标保证金</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根据江苏省和常州市的相关文件规定，免收投标保证金。</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13投标有效期</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13.1投标文件应在本招标文件《投标人须知资料表》中规定的投标有效期内保持有效，投标有效期少于招标文件规定期限的，其投标无效。</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14投标文件的签署、加盖公章</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14.2招标文件要求加盖公章的内容，一般通过投标文件编制工具加盖电子签章。</w:t>
      </w:r>
      <w:r>
        <w:rPr>
          <w:rFonts w:ascii="宋体" w:hAnsi="宋体" w:cs="宋体"/>
          <w:sz w:val="24"/>
          <w:highlight w:val="none"/>
        </w:rPr>
      </w:r>
      <w:r/>
    </w:p>
    <w:p>
      <w:pPr>
        <w:pStyle w:val="1137"/>
        <w:rPr>
          <w:highlight w:val="none"/>
        </w:rPr>
      </w:pPr>
      <w:r>
        <w:rPr>
          <w:highlight w:val="none"/>
        </w:rPr>
      </w:r>
      <w:r/>
    </w:p>
    <w:p>
      <w:pPr>
        <w:pStyle w:val="1139"/>
        <w:spacing w:before="0" w:line="400" w:lineRule="exact"/>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宋体"/>
          <w:sz w:val="28"/>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15投标文件的提交</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15.1本项目使用“苏采云”政府采购一体化平台。投标人根据招标文件及“苏采云”政府采购一体化平台供应商操作手册要求编制、生成并提交电子投标文件。</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15.2采购人及采购代理机构拒绝接受通过“苏采云”政府采购一体化平台以外任何形式提交的投标文件。</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16投标截止时间</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16.1投标人应在招标文件要求提交投标文件截止时间前，将电子投标文件提交至“苏采云”政府采购一体化平台。</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17投标文件的修改与撤回</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17.1投标截止时间前，投标人可以通过“苏采云”政府采购一体化平台对所提交的投标文件进行补充、修改或者撤回。</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17.2投标人对投标文件的补充、修改的内容应当按照招标文件要求签署、加盖公章，作为投标文件的组成部分</w:t>
      </w:r>
      <w:r>
        <w:rPr>
          <w:rFonts w:ascii="宋体" w:hAnsi="宋体" w:cs="宋体"/>
          <w:sz w:val="24"/>
          <w:highlight w:val="none"/>
        </w:rPr>
      </w:r>
      <w:r/>
    </w:p>
    <w:p>
      <w:pPr>
        <w:pStyle w:val="1137"/>
        <w:ind w:firstLine="480"/>
        <w:spacing w:line="400" w:lineRule="exact"/>
        <w:rPr>
          <w:sz w:val="24"/>
          <w:highlight w:val="none"/>
        </w:rPr>
      </w:pPr>
      <w:r>
        <w:rPr>
          <w:sz w:val="24"/>
          <w:highlight w:val="none"/>
        </w:rPr>
      </w:r>
      <w:r/>
    </w:p>
    <w:p>
      <w:pPr>
        <w:pStyle w:val="1139"/>
        <w:spacing w:before="0" w:line="400" w:lineRule="exact"/>
        <w:rPr>
          <w:rFonts w:ascii="Times New Roman" w:hAnsi="Times New Roman" w:eastAsia="宋体"/>
          <w:sz w:val="28"/>
          <w:highlight w:val="none"/>
        </w:rPr>
      </w:pPr>
      <w:r/>
      <w:bookmarkStart w:id="210" w:name="_Toc142311040"/>
      <w:r/>
      <w:bookmarkStart w:id="211" w:name="_Toc150509289"/>
      <w:r/>
      <w:bookmarkStart w:id="212" w:name="_Toc150774743"/>
      <w:r/>
      <w:bookmarkStart w:id="213" w:name="_Toc150480776"/>
      <w:r/>
      <w:bookmarkStart w:id="214" w:name="_Toc151193780"/>
      <w:r/>
      <w:bookmarkStart w:id="215" w:name="_Toc226337234"/>
      <w:r/>
      <w:bookmarkStart w:id="216" w:name="_Toc226965728"/>
      <w:r/>
      <w:bookmarkStart w:id="217" w:name="_Toc264969228"/>
      <w:r/>
      <w:bookmarkStart w:id="218" w:name="_Toc226309782"/>
      <w:r/>
      <w:bookmarkStart w:id="219" w:name="_Toc151193852"/>
      <w:r/>
      <w:bookmarkStart w:id="220" w:name="_Toc151193926"/>
      <w:r/>
      <w:bookmarkStart w:id="221" w:name="_Toc226965811"/>
      <w:r/>
      <w:bookmarkStart w:id="222" w:name="_Toc265228376"/>
      <w:r/>
      <w:bookmarkStart w:id="223" w:name="_Toc305158806"/>
      <w:r/>
      <w:bookmarkStart w:id="224" w:name="_Toc520356163"/>
      <w:r/>
      <w:bookmarkStart w:id="225" w:name="_Toc150774638"/>
      <w:r/>
      <w:bookmarkStart w:id="226" w:name="_Toc127151538"/>
      <w:r/>
      <w:bookmarkStart w:id="227" w:name="_Toc151190165"/>
      <w:r/>
      <w:bookmarkStart w:id="228" w:name="_Toc151193636"/>
      <w:r/>
      <w:bookmarkStart w:id="229" w:name="_Toc305158880"/>
      <w:r/>
      <w:bookmarkStart w:id="230" w:name="_Toc195842903"/>
      <w:r/>
      <w:bookmarkStart w:id="231" w:name="_Toc151193708"/>
      <w:r>
        <w:rPr>
          <w:rFonts w:ascii="Times New Roman" w:hAnsi="Times New Roman" w:eastAsia="宋体"/>
          <w:sz w:val="28"/>
          <w:highlight w:val="none"/>
        </w:rPr>
        <w:t xml:space="preserve">五   开标、资格审查及评标</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ascii="Times New Roman" w:hAnsi="Times New Roman" w:eastAsia="宋体"/>
          <w:sz w:val="28"/>
          <w:highlight w:val="none"/>
        </w:rPr>
      </w:r>
      <w:r/>
    </w:p>
    <w:p>
      <w:pPr>
        <w:pStyle w:val="1137"/>
        <w:ind w:firstLine="480"/>
        <w:spacing w:line="400" w:lineRule="exact"/>
        <w:rPr>
          <w:rFonts w:ascii="宋体" w:hAnsi="宋体" w:cs="宋体"/>
          <w:sz w:val="24"/>
          <w:highlight w:val="none"/>
        </w:rPr>
      </w:pPr>
      <w:r/>
      <w:bookmarkStart w:id="232" w:name="_Toc520356169"/>
      <w:r>
        <w:rPr>
          <w:rFonts w:hint="eastAsia" w:ascii="宋体" w:hAnsi="宋体" w:cs="宋体"/>
          <w:sz w:val="24"/>
          <w:highlight w:val="none"/>
        </w:rPr>
        <w:t xml:space="preserve">18开标</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18.1采购人或采购代理机构将按招标文件的规定，在投标截止时间的同一时间和招标文件预先确定的地点组织开标。</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18.2本项目开标采用不见面招投标模式，使用“苏采云”政府采购一体化平台在线进行开标。投标人应在规定的时间内对投标文件进行解密，因非系统原因导致的解密失败，视为投标无效。</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18.5投标人不足3家的，不予开标。</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18.7因本项目采用不见面交易的方式，在开标、评审过程中，供应商需要保持操作计算机前由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1)平台系统发生故障而无法登录访问的；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19资格审查</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19.1见第三章《资格审查》。</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20评标委员会</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20.1评标委员会根据政府采购有关规定和本次招标采购项目的特点进行组建，并负责具体评标事务，独立履行职责。</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21评标程序、评标方法和评标标准</w:t>
      </w:r>
      <w:r>
        <w:rPr>
          <w:rFonts w:ascii="宋体" w:hAnsi="宋体" w:cs="宋体"/>
          <w:sz w:val="24"/>
          <w:highlight w:val="none"/>
        </w:rPr>
      </w:r>
      <w:r/>
    </w:p>
    <w:p>
      <w:pPr>
        <w:pStyle w:val="1137"/>
        <w:ind w:firstLine="480"/>
        <w:spacing w:line="400" w:lineRule="exact"/>
        <w:rPr>
          <w:sz w:val="24"/>
          <w:highlight w:val="none"/>
        </w:rPr>
      </w:pPr>
      <w:r>
        <w:rPr>
          <w:rFonts w:hint="eastAsia" w:ascii="宋体" w:hAnsi="宋体" w:cs="宋体"/>
          <w:sz w:val="24"/>
          <w:highlight w:val="none"/>
        </w:rPr>
        <w:t xml:space="preserve">21.1见第四章《评标程序、评标方法和评标标准》。</w:t>
      </w:r>
      <w:r>
        <w:rPr>
          <w:sz w:val="24"/>
          <w:highlight w:val="none"/>
        </w:rPr>
      </w:r>
      <w:r/>
    </w:p>
    <w:p>
      <w:pPr>
        <w:pStyle w:val="1137"/>
        <w:ind w:left="1080"/>
        <w:spacing w:line="400" w:lineRule="exact"/>
        <w:tabs>
          <w:tab w:val="left" w:pos="360" w:leader="none"/>
          <w:tab w:val="left" w:pos="1080" w:leader="none"/>
        </w:tabs>
        <w:rPr>
          <w:sz w:val="24"/>
          <w:highlight w:val="none"/>
        </w:rPr>
      </w:pPr>
      <w:r>
        <w:rPr>
          <w:sz w:val="24"/>
          <w:highlight w:val="none"/>
        </w:rPr>
      </w:r>
      <w:r/>
    </w:p>
    <w:p>
      <w:pPr>
        <w:pStyle w:val="1139"/>
        <w:spacing w:before="0" w:line="400" w:lineRule="exact"/>
        <w:rPr>
          <w:rFonts w:ascii="Times New Roman" w:hAnsi="Times New Roman" w:eastAsia="宋体"/>
          <w:sz w:val="28"/>
          <w:highlight w:val="none"/>
        </w:rPr>
      </w:pPr>
      <w:r/>
      <w:bookmarkStart w:id="233" w:name="_Toc195842910"/>
      <w:r/>
      <w:bookmarkStart w:id="234" w:name="_Toc226337241"/>
      <w:r/>
      <w:bookmarkStart w:id="235" w:name="_Toc265228383"/>
      <w:r/>
      <w:bookmarkStart w:id="236" w:name="_Toc151193933"/>
      <w:r/>
      <w:bookmarkStart w:id="237" w:name="_Toc127151545"/>
      <w:r/>
      <w:bookmarkStart w:id="238" w:name="_Toc151193859"/>
      <w:r/>
      <w:bookmarkStart w:id="239" w:name="_Toc150774645"/>
      <w:r/>
      <w:bookmarkStart w:id="240" w:name="_Toc226965735"/>
      <w:r/>
      <w:bookmarkStart w:id="241" w:name="_Toc150774750"/>
      <w:r/>
      <w:bookmarkStart w:id="242" w:name="_Toc151193715"/>
      <w:r/>
      <w:bookmarkStart w:id="243" w:name="_Toc150480783"/>
      <w:r/>
      <w:bookmarkStart w:id="244" w:name="_Toc226309789"/>
      <w:r/>
      <w:bookmarkStart w:id="245" w:name="_Toc151193643"/>
      <w:r/>
      <w:bookmarkStart w:id="246" w:name="_Toc151190172"/>
      <w:r/>
      <w:bookmarkStart w:id="247" w:name="_Toc142311047"/>
      <w:r/>
      <w:bookmarkStart w:id="248" w:name="_Toc305158813"/>
      <w:r/>
      <w:bookmarkStart w:id="249" w:name="_Toc226965818"/>
      <w:r/>
      <w:bookmarkStart w:id="250" w:name="_Toc150509296"/>
      <w:r/>
      <w:bookmarkStart w:id="251" w:name="_Toc151193787"/>
      <w:r/>
      <w:bookmarkStart w:id="252" w:name="_Toc264969235"/>
      <w:r/>
      <w:bookmarkStart w:id="253" w:name="_Toc305158887"/>
      <w:r>
        <w:rPr>
          <w:rFonts w:ascii="Times New Roman" w:hAnsi="Times New Roman" w:eastAsia="宋体"/>
          <w:sz w:val="28"/>
          <w:highlight w:val="none"/>
        </w:rPr>
        <w:t xml:space="preserve">六   </w:t>
      </w:r>
      <w:bookmarkEnd w:id="232"/>
      <w:r>
        <w:rPr>
          <w:rFonts w:ascii="Times New Roman" w:hAnsi="Times New Roman" w:eastAsia="宋体"/>
          <w:sz w:val="28"/>
          <w:highlight w:val="none"/>
        </w:rPr>
        <w:t xml:space="preserve">确定中标</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Start w:id="254" w:name="_Toc226965737"/>
      <w:r/>
      <w:bookmarkStart w:id="255" w:name="_Toc151193789"/>
      <w:r/>
      <w:bookmarkStart w:id="256" w:name="_Toc195842912"/>
      <w:r/>
      <w:bookmarkStart w:id="257" w:name="_Toc151190174"/>
      <w:r/>
      <w:bookmarkStart w:id="258" w:name="_Toc151193861"/>
      <w:r/>
      <w:bookmarkStart w:id="259" w:name="_Toc164229242"/>
      <w:r/>
      <w:bookmarkStart w:id="260" w:name="_Toc149720840"/>
      <w:r/>
      <w:bookmarkStart w:id="261" w:name="_Toc127151547"/>
      <w:r/>
      <w:bookmarkStart w:id="262" w:name="_Toc226965820"/>
      <w:r/>
      <w:bookmarkStart w:id="263" w:name="_Toc127151748"/>
      <w:r/>
      <w:bookmarkStart w:id="264" w:name="_Toc164608816"/>
      <w:r/>
      <w:bookmarkStart w:id="265" w:name="_Toc151193935"/>
      <w:r/>
      <w:bookmarkStart w:id="266" w:name="_Toc151193645"/>
      <w:r/>
      <w:bookmarkStart w:id="267" w:name="_Toc265228385"/>
      <w:r/>
      <w:bookmarkStart w:id="268" w:name="_Toc226309791"/>
      <w:r/>
      <w:bookmarkStart w:id="269" w:name="_Toc305158815"/>
      <w:r/>
      <w:bookmarkStart w:id="270" w:name="_Toc164608661"/>
      <w:r/>
      <w:bookmarkStart w:id="271" w:name="_Toc226337243"/>
      <w:r/>
      <w:bookmarkStart w:id="272" w:name="_Toc164229388"/>
      <w:r/>
      <w:bookmarkStart w:id="273" w:name="_Toc150774752"/>
      <w:r/>
      <w:bookmarkStart w:id="274" w:name="_Toc264969237"/>
      <w:r/>
      <w:bookmarkStart w:id="275" w:name="_Toc150774647"/>
      <w:r/>
      <w:bookmarkStart w:id="276" w:name="_Toc127161461"/>
      <w:r/>
      <w:bookmarkStart w:id="277" w:name="_Toc151193717"/>
      <w:r/>
      <w:bookmarkStart w:id="278" w:name="_Toc164351641"/>
      <w:r/>
      <w:bookmarkStart w:id="279" w:name="_Toc150480785"/>
      <w:r/>
      <w:bookmarkStart w:id="280" w:name="_Toc150509298"/>
      <w:r/>
      <w:bookmarkStart w:id="281" w:name="_Toc305158889"/>
      <w:r/>
      <w:bookmarkStart w:id="282" w:name="_Toc142311049"/>
      <w:r>
        <w:rPr>
          <w:rFonts w:ascii="Times New Roman" w:hAnsi="Times New Roman" w:eastAsia="宋体"/>
          <w:sz w:val="28"/>
          <w:highlight w:val="none"/>
        </w:rPr>
      </w:r>
      <w:r/>
    </w:p>
    <w:p>
      <w:pPr>
        <w:pStyle w:val="1137"/>
        <w:ind w:firstLine="480"/>
        <w:spacing w:line="400" w:lineRule="exact"/>
        <w:rPr>
          <w:rFonts w:ascii="宋体" w:hAnsi="宋体" w:cs="宋体"/>
          <w:sz w:val="24"/>
          <w:highlight w:val="none"/>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highlight w:val="none"/>
        </w:rPr>
        <w:t xml:space="preserve">22确定中标人</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22.1采购人将在评标报告确定的中标候选人名单中按顺序确定中标人，中标候选人并列的，由采购人依法确定。</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23中标公告与中标通知书</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23.1采购人或采购代理机构自中标人确定之日起2个工作日内，在常州市政府采购网公告中标结果，同时向中标人发出中标通知书，中标公告期限为1个工作日。</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23.2中标通知书对采购人和中标供应商均具有法律效力。中标通知书发出后，采购人改变中标结果的，或者中标供应商放弃中标项目的，应当依法承担法律责任。</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24废标</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24.1在招标采购中，出现下列情形之一的，应予废标：</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24.1.1符合专业条件的供应商或者对招标文件作实质响应的供应商不足三家的；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24.1.2出现影响采购公正的违法、违规行为的；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24.1.3投标人的报价均超过了采购预算，采购人不能支付的；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24.1.4因重大变故，采购任务取消的。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24.1.5平台系统出现序号18.8的所述情形，情况严重且影响采购活动公平、公正性的。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24.2废标后，采购人将废标理由通知所有投标人。</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25签订合同</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25.2中标人拒绝与采购人签订合同的，采购人可以按照评标报告推荐的中标候选人名单排序，确定下一候选人为中标人，也可以重新开展政府采购活动。</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25.3联合体中标的，联合体各方应当共同与采购人签订合同，就中标项目向采购人承担连带责任。</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25.4政府采购合同不能转包。</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26询问与质疑</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26.1询问</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26.1.1投标人对政府采购活动事项有疑问的，可依法提出询问，并按《投标人须知资料表》载明的形式送达采购人或采购代理机构。</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26.1.2采购人或采购代理机构对供应商依法提出的询问，在3个工作日内作出答复，但答复的内容不得涉及商业秘密。</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26.2质疑</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26.2.3质疑函须使用财政部制定的范本文件。（下载网址：http://gKs.mof.gov.cn/ztztz/zhengfucaigouguanli/201802/t20180201_2804589.htm）</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26.2.4投标人为自然人的，应当由本人签字；投标人为法人或者其他组织的，应当由法定代表人、主要负责人，或者其授权代表签字或者加盖公章，并加盖公章。</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26.3接收询问和质疑的联系部门、联系电话和通讯地址见《投标人须知资料表》。</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27代理费</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27.1收费对象、收费标准及缴纳时间见《投标人须知资料表》。由中标人支付的，中标人须一次性向采购代理机构缴纳代理费，投标报价应包含代理费用。</w:t>
      </w:r>
      <w:r>
        <w:rPr>
          <w:rFonts w:ascii="宋体" w:hAnsi="宋体" w:cs="宋体"/>
          <w:sz w:val="24"/>
          <w:highlight w:val="none"/>
        </w:rPr>
      </w:r>
      <w:r/>
    </w:p>
    <w:p>
      <w:pPr>
        <w:pStyle w:val="1137"/>
        <w:ind w:left="360"/>
        <w:spacing w:line="360" w:lineRule="auto"/>
        <w:tabs>
          <w:tab w:val="left" w:pos="360" w:leader="none"/>
          <w:tab w:val="left" w:pos="1080" w:leader="none"/>
        </w:tabs>
        <w:rPr>
          <w:sz w:val="24"/>
          <w:highlight w:val="none"/>
        </w:rPr>
      </w:pPr>
      <w:r>
        <w:rPr>
          <w:sz w:val="24"/>
          <w:highlight w:val="none"/>
        </w:rPr>
      </w:r>
      <w:r/>
    </w:p>
    <w:p>
      <w:pPr>
        <w:pStyle w:val="1137"/>
        <w:jc w:val="center"/>
        <w:spacing w:line="360" w:lineRule="auto"/>
        <w:rPr>
          <w:b/>
          <w:sz w:val="36"/>
          <w:szCs w:val="36"/>
          <w:highlight w:val="none"/>
        </w:rPr>
        <w:outlineLvl w:val="0"/>
      </w:pPr>
      <w:r/>
      <w:bookmarkStart w:id="283" w:name="_Toc353873664"/>
      <w:r/>
      <w:bookmarkStart w:id="284" w:name="_Toc305158896"/>
      <w:r/>
      <w:bookmarkStart w:id="285" w:name="_Toc142311056"/>
      <w:r/>
      <w:bookmarkStart w:id="286" w:name="_Toc353825544"/>
      <w:r/>
      <w:bookmarkStart w:id="287" w:name="_Toc226337250"/>
      <w:r/>
      <w:bookmarkStart w:id="288" w:name="_Toc150774759"/>
      <w:r/>
      <w:bookmarkStart w:id="289" w:name="_Toc264969244"/>
      <w:r/>
      <w:bookmarkStart w:id="290" w:name="_Toc150480792"/>
      <w:r/>
      <w:bookmarkStart w:id="291" w:name="_Toc305158822"/>
      <w:r/>
      <w:bookmarkStart w:id="292" w:name="_Toc353873934"/>
      <w:r/>
      <w:bookmarkStart w:id="293" w:name="_Toc127151554"/>
      <w:r/>
      <w:bookmarkStart w:id="294" w:name="_Toc226965827"/>
      <w:r/>
      <w:bookmarkStart w:id="295" w:name="_Toc265228392"/>
      <w:r>
        <w:rPr>
          <w:sz w:val="24"/>
          <w:highlight w:val="none"/>
        </w:rPr>
        <w:br w:type="page" w:clear="all"/>
      </w:r>
      <w:bookmarkStart w:id="296" w:name="_Toc2283"/>
      <w:r>
        <w:rPr>
          <w:b/>
          <w:sz w:val="36"/>
          <w:szCs w:val="36"/>
          <w:highlight w:val="none"/>
        </w:rPr>
        <w:t xml:space="preserve">第三章   </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sz w:val="36"/>
          <w:szCs w:val="36"/>
          <w:highlight w:val="none"/>
        </w:rPr>
        <w:t xml:space="preserve">资格审查</w:t>
      </w:r>
      <w:bookmarkEnd w:id="296"/>
      <w:r/>
      <w:bookmarkStart w:id="297" w:name="_Toc487900382"/>
      <w:r>
        <w:rPr>
          <w:b/>
          <w:sz w:val="36"/>
          <w:szCs w:val="36"/>
          <w:highlight w:val="none"/>
        </w:rPr>
      </w:r>
      <w:r/>
    </w:p>
    <w:p>
      <w:pPr>
        <w:pStyle w:val="1137"/>
        <w:jc w:val="center"/>
        <w:spacing w:line="400" w:lineRule="exact"/>
        <w:tabs>
          <w:tab w:val="left" w:pos="360" w:leader="none"/>
          <w:tab w:val="left" w:pos="900" w:leader="none"/>
        </w:tabs>
        <w:rPr>
          <w:b/>
          <w:sz w:val="24"/>
          <w:highlight w:val="none"/>
        </w:rPr>
        <w:outlineLvl w:val="1"/>
      </w:pPr>
      <w:r/>
      <w:bookmarkStart w:id="298" w:name="_Toc99301422"/>
      <w:r>
        <w:rPr>
          <w:b/>
          <w:sz w:val="24"/>
          <w:highlight w:val="none"/>
        </w:rPr>
        <w:t xml:space="preserve">一、资格审查程序</w:t>
      </w:r>
      <w:bookmarkEnd w:id="298"/>
      <w:r>
        <w:rPr>
          <w:b/>
          <w:sz w:val="24"/>
          <w:highlight w:val="none"/>
        </w:rPr>
      </w:r>
      <w:r/>
    </w:p>
    <w:p>
      <w:pPr>
        <w:pStyle w:val="1137"/>
        <w:numPr>
          <w:ilvl w:val="0"/>
          <w:numId w:val="9"/>
        </w:numPr>
        <w:ind w:left="0" w:firstLine="480"/>
        <w:spacing w:line="400" w:lineRule="exact"/>
        <w:tabs>
          <w:tab w:val="left" w:pos="426" w:leader="none"/>
          <w:tab w:val="left" w:pos="851" w:leader="none"/>
          <w:tab w:val="left" w:pos="900" w:leader="none"/>
        </w:tabs>
        <w:rPr>
          <w:rFonts w:ascii="宋体" w:hAnsi="宋体" w:cs="宋体"/>
          <w:sz w:val="24"/>
          <w:highlight w:val="none"/>
        </w:rPr>
        <w:outlineLvl w:val="1"/>
      </w:pPr>
      <w:r>
        <w:rPr>
          <w:rFonts w:hint="eastAsia" w:ascii="宋体" w:hAnsi="宋体" w:cs="宋体"/>
          <w:sz w:val="24"/>
          <w:highlight w:val="none"/>
        </w:rPr>
        <w:t xml:space="preserve">开标结束后，采购人将根据《资格审查要求》中的规定，对投标人进行资格审查，并形成资格审查结果。</w:t>
      </w:r>
      <w:r>
        <w:rPr>
          <w:rFonts w:ascii="宋体" w:hAnsi="宋体" w:cs="宋体"/>
          <w:sz w:val="24"/>
          <w:highlight w:val="none"/>
        </w:rPr>
      </w:r>
      <w:r/>
    </w:p>
    <w:p>
      <w:pPr>
        <w:pStyle w:val="1137"/>
        <w:numPr>
          <w:ilvl w:val="0"/>
          <w:numId w:val="9"/>
        </w:numPr>
        <w:ind w:left="0" w:firstLine="480"/>
        <w:spacing w:line="400" w:lineRule="exact"/>
        <w:tabs>
          <w:tab w:val="left" w:pos="426" w:leader="none"/>
          <w:tab w:val="left" w:pos="851" w:leader="none"/>
          <w:tab w:val="left" w:pos="900" w:leader="none"/>
        </w:tabs>
        <w:rPr>
          <w:rFonts w:ascii="宋体" w:hAnsi="宋体" w:cs="宋体"/>
          <w:sz w:val="24"/>
          <w:highlight w:val="none"/>
        </w:rPr>
        <w:outlineLvl w:val="1"/>
      </w:pPr>
      <w:r>
        <w:rPr>
          <w:rFonts w:hint="eastAsia" w:ascii="宋体" w:hAnsi="宋体" w:cs="宋体"/>
          <w:sz w:val="24"/>
          <w:highlight w:val="none"/>
        </w:rPr>
        <w:t xml:space="preserve">《资格审查要求》中对格式有要求的，除招标文件另有规定外，均为“实质性格式”文件。</w:t>
      </w:r>
      <w:r>
        <w:rPr>
          <w:rFonts w:ascii="宋体" w:hAnsi="宋体" w:cs="宋体"/>
          <w:sz w:val="24"/>
          <w:highlight w:val="none"/>
        </w:rPr>
      </w:r>
      <w:r/>
    </w:p>
    <w:p>
      <w:pPr>
        <w:pStyle w:val="1137"/>
        <w:numPr>
          <w:ilvl w:val="0"/>
          <w:numId w:val="9"/>
        </w:numPr>
        <w:ind w:left="0" w:firstLine="480"/>
        <w:spacing w:line="400" w:lineRule="exact"/>
        <w:tabs>
          <w:tab w:val="left" w:pos="426" w:leader="none"/>
          <w:tab w:val="left" w:pos="851" w:leader="none"/>
          <w:tab w:val="left" w:pos="900" w:leader="none"/>
        </w:tabs>
        <w:rPr>
          <w:rFonts w:ascii="宋体" w:hAnsi="宋体" w:cs="宋体"/>
          <w:sz w:val="24"/>
          <w:highlight w:val="none"/>
        </w:rPr>
        <w:outlineLvl w:val="1"/>
      </w:pPr>
      <w:r>
        <w:rPr>
          <w:rFonts w:hint="eastAsia" w:ascii="宋体" w:hAnsi="宋体" w:cs="宋体"/>
          <w:sz w:val="24"/>
          <w:highlight w:val="none"/>
        </w:rPr>
        <w:t xml:space="preserve">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37"/>
        <w:numPr>
          <w:ilvl w:val="0"/>
          <w:numId w:val="9"/>
        </w:numPr>
        <w:ind w:left="0" w:firstLine="480"/>
        <w:spacing w:line="400" w:lineRule="exact"/>
        <w:tabs>
          <w:tab w:val="left" w:pos="426" w:leader="none"/>
          <w:tab w:val="left" w:pos="851" w:leader="none"/>
          <w:tab w:val="left" w:pos="900" w:leader="none"/>
        </w:tabs>
        <w:rPr>
          <w:sz w:val="24"/>
          <w:highlight w:val="none"/>
        </w:rPr>
        <w:outlineLvl w:val="1"/>
      </w:pPr>
      <w:r>
        <w:rPr>
          <w:rFonts w:hint="eastAsia" w:ascii="宋体" w:hAnsi="宋体" w:cs="宋体"/>
          <w:sz w:val="24"/>
          <w:highlight w:val="none"/>
        </w:rPr>
        <w:t xml:space="preserve">资格审查合格的投标人不足3家的，不进行评标。</w:t>
      </w:r>
      <w:r>
        <w:rPr>
          <w:sz w:val="24"/>
          <w:highlight w:val="none"/>
        </w:rPr>
      </w:r>
      <w:r/>
    </w:p>
    <w:p>
      <w:pPr>
        <w:pStyle w:val="1137"/>
        <w:jc w:val="center"/>
        <w:spacing w:line="400" w:lineRule="exact"/>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050"/>
        <w:gridCol w:w="1874"/>
      </w:tblGrid>
      <w:tr>
        <w:trPr>
          <w:cantSplit/>
          <w:trHeight w:val="468"/>
          <w:tblHeader/>
        </w:trPr>
        <w:tc>
          <w:tcPr>
            <w:tcW w:w="455" w:type="dxa"/>
            <w:vAlign w:val="center"/>
            <w:textDirection w:val="lrTb"/>
            <w:noWrap w:val="false"/>
          </w:tcPr>
          <w:p>
            <w:pPr>
              <w:pStyle w:val="1137"/>
              <w:jc w:val="center"/>
              <w:tabs>
                <w:tab w:val="left" w:pos="1080" w:leader="none"/>
              </w:tabs>
              <w:rPr>
                <w:rFonts w:ascii="宋体" w:hAnsi="宋体" w:cs="宋体"/>
                <w:b/>
                <w:sz w:val="24"/>
                <w:highlight w:val="none"/>
              </w:rPr>
            </w:pPr>
            <w:r/>
            <w:bookmarkStart w:id="299" w:name="_Hlt487972895"/>
            <w:r/>
            <w:bookmarkEnd w:id="299"/>
            <w:r>
              <w:rPr>
                <w:rFonts w:hint="eastAsia" w:ascii="宋体" w:hAnsi="宋体" w:cs="宋体"/>
                <w:b/>
                <w:sz w:val="24"/>
                <w:highlight w:val="none"/>
              </w:rPr>
              <w:t xml:space="preserve">序号</w:t>
            </w:r>
            <w:r>
              <w:rPr>
                <w:rFonts w:ascii="宋体" w:hAnsi="宋体" w:cs="宋体"/>
                <w:b/>
                <w:sz w:val="24"/>
                <w:highlight w:val="none"/>
              </w:rPr>
            </w:r>
            <w:r/>
          </w:p>
        </w:tc>
        <w:tc>
          <w:tcPr>
            <w:tcW w:w="1067" w:type="dxa"/>
            <w:vAlign w:val="center"/>
            <w:textDirection w:val="lrTb"/>
            <w:noWrap w:val="false"/>
          </w:tcPr>
          <w:p>
            <w:pPr>
              <w:pStyle w:val="1137"/>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rPr>
                <w:rFonts w:ascii="宋体" w:hAnsi="宋体" w:cs="宋体"/>
                <w:b/>
                <w:sz w:val="24"/>
                <w:highlight w:val="none"/>
              </w:rPr>
            </w:r>
            <w:r/>
          </w:p>
        </w:tc>
        <w:tc>
          <w:tcPr>
            <w:tcW w:w="2535" w:type="dxa"/>
            <w:vAlign w:val="center"/>
            <w:textDirection w:val="lrTb"/>
            <w:noWrap w:val="false"/>
          </w:tcPr>
          <w:p>
            <w:pPr>
              <w:pStyle w:val="1137"/>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rPr>
                <w:rFonts w:ascii="宋体" w:hAnsi="宋体" w:cs="宋体"/>
                <w:b/>
                <w:sz w:val="24"/>
                <w:highlight w:val="none"/>
              </w:rPr>
            </w:r>
            <w:r/>
          </w:p>
        </w:tc>
        <w:tc>
          <w:tcPr>
            <w:tcW w:w="941" w:type="dxa"/>
            <w:vAlign w:val="center"/>
            <w:textDirection w:val="lrTb"/>
            <w:noWrap w:val="false"/>
          </w:tcPr>
          <w:p>
            <w:pPr>
              <w:pStyle w:val="1137"/>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rPr>
                <w:rFonts w:ascii="宋体" w:hAnsi="宋体" w:cs="宋体"/>
                <w:b/>
                <w:sz w:val="24"/>
                <w:highlight w:val="none"/>
              </w:rPr>
            </w:r>
            <w:r/>
          </w:p>
        </w:tc>
      </w:tr>
      <w:tr>
        <w:trPr>
          <w:cantSplit/>
          <w:trHeight w:val="468"/>
        </w:trPr>
        <w:tc>
          <w:tcPr>
            <w:tcW w:w="455"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r>
            <w:r/>
          </w:p>
        </w:tc>
        <w:tc>
          <w:tcPr>
            <w:tcW w:w="1067"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rPr>
                <w:rFonts w:ascii="宋体" w:hAnsi="宋体" w:cs="宋体"/>
                <w:sz w:val="24"/>
                <w:highlight w:val="none"/>
              </w:rPr>
            </w:r>
            <w:r/>
          </w:p>
        </w:tc>
        <w:tc>
          <w:tcPr>
            <w:tcW w:w="2535" w:type="dxa"/>
            <w:vAlign w:val="center"/>
            <w:textDirection w:val="lrTb"/>
            <w:noWrap w:val="false"/>
          </w:tcPr>
          <w:p>
            <w:pPr>
              <w:pStyle w:val="1137"/>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具体规定见第一章《投标邀请》。</w:t>
            </w:r>
            <w:r>
              <w:rPr>
                <w:rFonts w:hint="eastAsia" w:ascii="宋体" w:hAnsi="宋体" w:cs="宋体"/>
                <w:sz w:val="24"/>
                <w:highlight w:val="none"/>
              </w:rPr>
            </w:r>
            <w:r/>
          </w:p>
        </w:tc>
        <w:tc>
          <w:tcPr>
            <w:tcW w:w="941" w:type="dxa"/>
            <w:vAlign w:val="center"/>
            <w:textDirection w:val="lrTb"/>
            <w:noWrap w:val="false"/>
          </w:tcPr>
          <w:p>
            <w:pPr>
              <w:pStyle w:val="1137"/>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5"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rPr>
                <w:rFonts w:ascii="宋体" w:hAnsi="宋体" w:cs="宋体"/>
                <w:sz w:val="24"/>
                <w:highlight w:val="none"/>
              </w:rPr>
            </w:r>
            <w:r/>
          </w:p>
        </w:tc>
        <w:tc>
          <w:tcPr>
            <w:tcW w:w="1067"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投标人资格声明函</w:t>
            </w:r>
            <w:r>
              <w:rPr>
                <w:rFonts w:ascii="宋体" w:hAnsi="宋体" w:cs="宋体"/>
                <w:sz w:val="24"/>
                <w:highlight w:val="none"/>
              </w:rPr>
            </w:r>
            <w:r/>
          </w:p>
        </w:tc>
        <w:tc>
          <w:tcPr>
            <w:tcW w:w="2535" w:type="dxa"/>
            <w:vAlign w:val="center"/>
            <w:textDirection w:val="lrTb"/>
            <w:noWrap w:val="false"/>
          </w:tcPr>
          <w:p>
            <w:pPr>
              <w:pStyle w:val="1137"/>
              <w:tabs>
                <w:tab w:val="left" w:pos="1080" w:leader="none"/>
              </w:tabs>
              <w:rPr>
                <w:rFonts w:ascii="宋体" w:hAnsi="宋体" w:cs="宋体"/>
                <w:sz w:val="24"/>
                <w:highlight w:val="none"/>
              </w:rPr>
            </w:pPr>
            <w:r>
              <w:rPr>
                <w:rFonts w:hint="eastAsia" w:ascii="宋体" w:hAnsi="宋体" w:cs="宋体"/>
                <w:sz w:val="24"/>
                <w:highlight w:val="none"/>
              </w:rPr>
              <w:t xml:space="preserve">提供了符合招标文件要求的《投标人资格声明函》。</w:t>
            </w:r>
            <w:r>
              <w:rPr>
                <w:rFonts w:ascii="宋体" w:hAnsi="宋体" w:cs="宋体"/>
                <w:sz w:val="24"/>
                <w:highlight w:val="none"/>
              </w:rPr>
            </w:r>
            <w:r/>
          </w:p>
        </w:tc>
        <w:tc>
          <w:tcPr>
            <w:tcW w:w="941" w:type="dxa"/>
            <w:vAlign w:val="center"/>
            <w:textDirection w:val="lrTb"/>
            <w:noWrap w:val="false"/>
          </w:tcPr>
          <w:p>
            <w:pPr>
              <w:pStyle w:val="1137"/>
              <w:tabs>
                <w:tab w:val="left" w:pos="1080" w:leader="none"/>
              </w:tabs>
              <w:rPr>
                <w:rFonts w:ascii="宋体" w:hAnsi="宋体" w:cs="宋体"/>
                <w:sz w:val="24"/>
                <w:highlight w:val="none"/>
              </w:rPr>
            </w:pPr>
            <w:r>
              <w:rPr>
                <w:rFonts w:hint="eastAsia" w:ascii="宋体" w:hAnsi="宋体" w:cs="宋体"/>
                <w:sz w:val="24"/>
                <w:highlight w:val="none"/>
              </w:rPr>
              <w:t xml:space="preserve">格式见《投标文件格式》</w:t>
            </w:r>
            <w:r>
              <w:rPr>
                <w:rFonts w:ascii="宋体" w:hAnsi="宋体" w:cs="宋体"/>
                <w:sz w:val="24"/>
                <w:highlight w:val="none"/>
              </w:rPr>
            </w:r>
            <w:r/>
          </w:p>
        </w:tc>
      </w:tr>
      <w:tr>
        <w:trPr>
          <w:cantSplit/>
          <w:trHeight w:val="468"/>
        </w:trPr>
        <w:tc>
          <w:tcPr>
            <w:tcW w:w="455"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1-2</w:t>
            </w:r>
            <w:r>
              <w:rPr>
                <w:rFonts w:ascii="宋体" w:hAnsi="宋体" w:cs="宋体"/>
                <w:sz w:val="24"/>
                <w:highlight w:val="none"/>
              </w:rPr>
            </w:r>
            <w:r/>
          </w:p>
        </w:tc>
        <w:tc>
          <w:tcPr>
            <w:tcW w:w="1067"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投标人信用记录</w:t>
            </w:r>
            <w:r>
              <w:rPr>
                <w:rFonts w:ascii="宋体" w:hAnsi="宋体" w:cs="宋体"/>
                <w:sz w:val="24"/>
                <w:highlight w:val="none"/>
              </w:rPr>
            </w:r>
            <w:r/>
          </w:p>
        </w:tc>
        <w:tc>
          <w:tcPr>
            <w:tcW w:w="2535" w:type="dxa"/>
            <w:vAlign w:val="center"/>
            <w:textDirection w:val="lrTb"/>
            <w:noWrap w:val="false"/>
          </w:tcPr>
          <w:p>
            <w:pPr>
              <w:pStyle w:val="1137"/>
              <w:tabs>
                <w:tab w:val="left" w:pos="1080" w:leader="none"/>
              </w:tabs>
              <w:rPr>
                <w:rFonts w:ascii="宋体" w:hAnsi="宋体" w:cs="宋体"/>
                <w:sz w:val="24"/>
                <w:highlight w:val="none"/>
              </w:rPr>
            </w:pPr>
            <w:r>
              <w:rPr>
                <w:rFonts w:hint="eastAsia" w:ascii="宋体" w:hAnsi="宋体" w:cs="宋体"/>
                <w:sz w:val="24"/>
                <w:highlight w:val="none"/>
              </w:rPr>
              <w:t xml:space="preserve">查询渠道：信用中国网站和中国政府采购网（www.creditchina.gov.cn、</w:t>
            </w:r>
            <w:r>
              <w:rPr>
                <w:rFonts w:ascii="宋体" w:hAnsi="宋体" w:cs="宋体"/>
                <w:sz w:val="24"/>
                <w:highlight w:val="none"/>
              </w:rPr>
            </w:r>
            <w:r/>
          </w:p>
          <w:p>
            <w:pPr>
              <w:pStyle w:val="1137"/>
              <w:tabs>
                <w:tab w:val="left" w:pos="1080" w:leader="none"/>
              </w:tabs>
              <w:rPr>
                <w:highlight w:val="none"/>
              </w:rPr>
            </w:pPr>
            <w:r>
              <w:rPr>
                <w:rFonts w:hint="eastAsia" w:ascii="宋体" w:hAnsi="宋体" w:cs="宋体"/>
                <w:sz w:val="24"/>
                <w:highlight w:val="none"/>
              </w:rPr>
              <w:t xml:space="preserve">www.ccgp.gov.cn）；</w:t>
            </w:r>
            <w:r>
              <w:rPr>
                <w:highlight w:val="none"/>
              </w:rPr>
            </w:r>
            <w:r/>
          </w:p>
          <w:p>
            <w:pPr>
              <w:pStyle w:val="1137"/>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rPr>
                <w:rFonts w:ascii="宋体" w:hAnsi="宋体" w:cs="宋体"/>
                <w:sz w:val="24"/>
                <w:highlight w:val="none"/>
              </w:rPr>
            </w:r>
            <w:r/>
          </w:p>
          <w:p>
            <w:pPr>
              <w:pStyle w:val="1137"/>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rPr>
                <w:rFonts w:ascii="宋体" w:hAnsi="宋体" w:cs="宋体"/>
                <w:sz w:val="24"/>
                <w:highlight w:val="none"/>
              </w:rPr>
            </w:r>
            <w:r/>
          </w:p>
          <w:p>
            <w:pPr>
              <w:pStyle w:val="1137"/>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rPr>
                <w:rFonts w:ascii="宋体" w:hAnsi="宋体" w:cs="宋体"/>
                <w:sz w:val="24"/>
                <w:highlight w:val="none"/>
              </w:rPr>
            </w:r>
            <w:r/>
          </w:p>
        </w:tc>
        <w:tc>
          <w:tcPr>
            <w:tcW w:w="941" w:type="dxa"/>
            <w:vAlign w:val="center"/>
            <w:textDirection w:val="lrTb"/>
            <w:noWrap w:val="false"/>
          </w:tcPr>
          <w:p>
            <w:pPr>
              <w:pStyle w:val="1137"/>
              <w:tabs>
                <w:tab w:val="left" w:pos="1080" w:leader="none"/>
              </w:tabs>
              <w:rPr>
                <w:rFonts w:ascii="宋体" w:hAnsi="宋体" w:cs="宋体"/>
                <w:sz w:val="24"/>
                <w:highlight w:val="none"/>
              </w:rPr>
            </w:pPr>
            <w:r>
              <w:rPr>
                <w:rFonts w:hint="eastAsia" w:ascii="宋体" w:hAnsi="宋体" w:cs="宋体"/>
                <w:sz w:val="24"/>
                <w:highlight w:val="none"/>
              </w:rPr>
              <w:t xml:space="preserve">无须投标人提供，由采购人查询。</w:t>
            </w:r>
            <w:r>
              <w:rPr>
                <w:rFonts w:ascii="宋体" w:hAnsi="宋体" w:cs="宋体"/>
                <w:sz w:val="24"/>
                <w:highlight w:val="none"/>
              </w:rPr>
            </w:r>
            <w:r/>
          </w:p>
        </w:tc>
      </w:tr>
      <w:tr>
        <w:trPr>
          <w:cantSplit/>
          <w:trHeight w:val="468"/>
        </w:trPr>
        <w:tc>
          <w:tcPr>
            <w:tcW w:w="455"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W w:w="1067"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rPr>
                <w:rFonts w:ascii="宋体" w:hAnsi="宋体" w:cs="宋体"/>
                <w:sz w:val="24"/>
                <w:highlight w:val="none"/>
              </w:rPr>
            </w:r>
            <w:r/>
          </w:p>
        </w:tc>
        <w:tc>
          <w:tcPr>
            <w:tcW w:w="2535" w:type="dxa"/>
            <w:vAlign w:val="center"/>
            <w:textDirection w:val="lrTb"/>
            <w:noWrap w:val="false"/>
          </w:tcPr>
          <w:p>
            <w:pPr>
              <w:pStyle w:val="1137"/>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具体要求见第一章《投标邀请》</w:t>
            </w:r>
            <w:r>
              <w:rPr>
                <w:rFonts w:ascii="宋体" w:hAnsi="宋体" w:cs="宋体"/>
                <w:sz w:val="24"/>
                <w:highlight w:val="none"/>
              </w:rPr>
            </w:r>
            <w:r/>
          </w:p>
        </w:tc>
        <w:tc>
          <w:tcPr>
            <w:tcW w:w="941" w:type="dxa"/>
            <w:vAlign w:val="center"/>
            <w:textDirection w:val="lrTb"/>
            <w:noWrap w:val="false"/>
          </w:tcPr>
          <w:p>
            <w:pPr>
              <w:pStyle w:val="1137"/>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5"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r>
            <w:r/>
          </w:p>
        </w:tc>
        <w:tc>
          <w:tcPr>
            <w:tcW w:w="1067" w:type="dxa"/>
            <w:vAlign w:val="center"/>
            <w:textDirection w:val="lrTb"/>
            <w:noWrap w:val="false"/>
          </w:tcPr>
          <w:p>
            <w:pPr>
              <w:pStyle w:val="1137"/>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其他落实政府采购政策的资格要求</w:t>
            </w:r>
            <w:r>
              <w:rPr>
                <w:rFonts w:hint="eastAsia" w:ascii="宋体" w:hAnsi="宋体" w:cs="宋体"/>
                <w:sz w:val="24"/>
                <w:highlight w:val="none"/>
              </w:rPr>
            </w:r>
            <w:r/>
          </w:p>
        </w:tc>
        <w:tc>
          <w:tcPr>
            <w:tcW w:w="2535" w:type="dxa"/>
            <w:vAlign w:val="center"/>
            <w:textDirection w:val="lrTb"/>
            <w:noWrap w:val="false"/>
          </w:tcPr>
          <w:p>
            <w:pPr>
              <w:pStyle w:val="1137"/>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本项目采购包1、采购包2、采购包3专门面向中小企业采购，必须提供《中小企业声明函》。</w:t>
            </w:r>
            <w:r>
              <w:rPr>
                <w:rFonts w:hint="eastAsia" w:ascii="宋体" w:hAnsi="宋体" w:cs="宋体"/>
                <w:sz w:val="24"/>
                <w:highlight w:val="none"/>
              </w:rPr>
            </w:r>
            <w:r/>
          </w:p>
        </w:tc>
        <w:tc>
          <w:tcPr>
            <w:tcW w:w="941" w:type="dxa"/>
            <w:vAlign w:val="center"/>
            <w:textDirection w:val="lrTb"/>
            <w:noWrap w:val="false"/>
          </w:tcPr>
          <w:p>
            <w:pPr>
              <w:pStyle w:val="1137"/>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rPr>
                <w:rFonts w:ascii="宋体" w:hAnsi="宋体" w:cs="宋体"/>
                <w:sz w:val="24"/>
                <w:highlight w:val="none"/>
              </w:rPr>
            </w:r>
            <w:r/>
          </w:p>
        </w:tc>
      </w:tr>
      <w:tr>
        <w:trPr>
          <w:cantSplit/>
          <w:trHeight w:val="468"/>
        </w:trPr>
        <w:tc>
          <w:tcPr>
            <w:tcW w:w="455"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W w:w="1067"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rPr>
                <w:rFonts w:ascii="宋体" w:hAnsi="宋体" w:cs="宋体"/>
                <w:sz w:val="24"/>
                <w:highlight w:val="none"/>
              </w:rPr>
            </w:r>
            <w:r/>
          </w:p>
        </w:tc>
        <w:tc>
          <w:tcPr>
            <w:tcW w:w="2535" w:type="dxa"/>
            <w:vAlign w:val="center"/>
            <w:textDirection w:val="lrTb"/>
            <w:noWrap w:val="false"/>
          </w:tcPr>
          <w:p>
            <w:pPr>
              <w:pStyle w:val="1137"/>
              <w:tabs>
                <w:tab w:val="left" w:pos="1080" w:leader="none"/>
              </w:tabs>
              <w:rPr>
                <w:rFonts w:ascii="宋体" w:hAnsi="宋体" w:cs="宋体"/>
                <w:sz w:val="24"/>
                <w:highlight w:val="none"/>
              </w:rPr>
            </w:pPr>
            <w:r>
              <w:rPr>
                <w:rFonts w:hint="eastAsia" w:ascii="宋体" w:hAnsi="宋体" w:cs="宋体"/>
                <w:sz w:val="24"/>
                <w:highlight w:val="none"/>
              </w:rPr>
              <w:t xml:space="preserve">如有，见第一章《投标邀请》</w:t>
            </w:r>
            <w:r>
              <w:rPr>
                <w:rFonts w:ascii="宋体" w:hAnsi="宋体" w:cs="宋体"/>
                <w:sz w:val="24"/>
                <w:highlight w:val="none"/>
              </w:rPr>
            </w:r>
            <w:r/>
          </w:p>
        </w:tc>
        <w:tc>
          <w:tcPr>
            <w:tcW w:w="941" w:type="dxa"/>
            <w:vAlign w:val="center"/>
            <w:textDirection w:val="lrTb"/>
            <w:noWrap w:val="false"/>
          </w:tcPr>
          <w:p>
            <w:pPr>
              <w:pStyle w:val="1137"/>
              <w:jc w:val="center"/>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0"/>
        </w:trPr>
        <w:tc>
          <w:tcPr>
            <w:tcW w:w="455" w:type="dxa"/>
            <w:vAlign w:val="center"/>
            <w:textDirection w:val="lrTb"/>
            <w:noWrap w:val="false"/>
          </w:tcPr>
          <w:p>
            <w:pPr>
              <w:pStyle w:val="1137"/>
              <w:jc w:val="center"/>
              <w:tabs>
                <w:tab w:val="left" w:pos="1080" w:leader="none"/>
              </w:tabs>
              <w:rPr>
                <w:rFonts w:ascii="宋体" w:hAnsi="宋体" w:cs="宋体"/>
                <w:sz w:val="24"/>
                <w:highlight w:val="none"/>
              </w:rPr>
            </w:pPr>
            <w:r/>
            <w:bookmarkStart w:id="300" w:name="_Toc353825550"/>
            <w:r/>
            <w:bookmarkStart w:id="301" w:name="_Toc226965858"/>
            <w:r/>
            <w:bookmarkStart w:id="302" w:name="_Toc353873940"/>
            <w:r/>
            <w:bookmarkStart w:id="303" w:name="_Toc127151779"/>
            <w:r/>
            <w:bookmarkStart w:id="304" w:name="_Toc127161490"/>
            <w:r>
              <w:rPr>
                <w:rFonts w:hint="eastAsia" w:ascii="宋体" w:hAnsi="宋体" w:cs="宋体"/>
                <w:sz w:val="24"/>
                <w:highlight w:val="none"/>
              </w:rPr>
              <w:t xml:space="preserve">4</w:t>
            </w:r>
            <w:r>
              <w:rPr>
                <w:rFonts w:ascii="宋体" w:hAnsi="宋体" w:cs="宋体"/>
                <w:sz w:val="24"/>
                <w:highlight w:val="none"/>
              </w:rPr>
            </w:r>
            <w:r/>
          </w:p>
        </w:tc>
        <w:tc>
          <w:tcPr>
            <w:tcW w:w="1067" w:type="dxa"/>
            <w:vAlign w:val="center"/>
            <w:textDirection w:val="lrTb"/>
            <w:noWrap w:val="false"/>
          </w:tcPr>
          <w:p>
            <w:pPr>
              <w:pStyle w:val="1137"/>
              <w:jc w:val="center"/>
              <w:tabs>
                <w:tab w:val="left" w:pos="1080" w:leader="none"/>
              </w:tabs>
              <w:rPr>
                <w:rFonts w:ascii="宋体" w:hAnsi="宋体" w:cs="宋体"/>
                <w:sz w:val="24"/>
                <w:highlight w:val="none"/>
              </w:rPr>
            </w:pPr>
            <w:r>
              <w:rPr>
                <w:rFonts w:hint="eastAsia" w:ascii="宋体" w:hAnsi="宋体" w:cs="宋体"/>
                <w:sz w:val="24"/>
                <w:highlight w:val="none"/>
              </w:rPr>
              <w:t xml:space="preserve">营业执照</w:t>
            </w:r>
            <w:r>
              <w:rPr>
                <w:rFonts w:ascii="宋体" w:hAnsi="宋体" w:cs="宋体"/>
                <w:sz w:val="24"/>
                <w:highlight w:val="none"/>
              </w:rPr>
            </w:r>
            <w:r/>
          </w:p>
        </w:tc>
        <w:tc>
          <w:tcPr>
            <w:tcW w:w="2535" w:type="dxa"/>
            <w:vAlign w:val="center"/>
            <w:textDirection w:val="lrTb"/>
            <w:noWrap w:val="false"/>
          </w:tcPr>
          <w:p>
            <w:pPr>
              <w:pStyle w:val="1137"/>
              <w:tabs>
                <w:tab w:val="left" w:pos="1080" w:leader="none"/>
              </w:tabs>
              <w:rPr>
                <w:rFonts w:hint="eastAsia" w:ascii="宋体" w:hAnsi="宋体" w:cs="宋体"/>
                <w:sz w:val="24"/>
                <w:highlight w:val="none"/>
              </w:rPr>
            </w:pPr>
            <w:r>
              <w:rPr>
                <w:rFonts w:hint="eastAsia" w:ascii="宋体" w:hAnsi="宋体" w:cs="宋体"/>
                <w:sz w:val="24"/>
                <w:highlight w:val="none"/>
              </w:rPr>
              <w:t xml:space="preserve">有效期内的营业执照。</w:t>
            </w:r>
            <w:r>
              <w:rPr>
                <w:rFonts w:hint="eastAsia" w:ascii="宋体" w:hAnsi="宋体" w:cs="宋体"/>
                <w:sz w:val="24"/>
                <w:highlight w:val="none"/>
              </w:rPr>
            </w:r>
            <w:r/>
          </w:p>
        </w:tc>
        <w:tc>
          <w:tcPr>
            <w:tcW w:w="941" w:type="dxa"/>
            <w:vAlign w:val="center"/>
            <w:textDirection w:val="lrTb"/>
            <w:noWrap w:val="false"/>
          </w:tcPr>
          <w:p>
            <w:pPr>
              <w:pStyle w:val="1137"/>
              <w:jc w:val="center"/>
              <w:tabs>
                <w:tab w:val="left" w:pos="1080" w:leader="none"/>
              </w:tabs>
              <w:rPr>
                <w:rFonts w:ascii="宋体" w:hAnsi="宋体" w:cs="宋体"/>
                <w:sz w:val="24"/>
                <w:highlight w:val="none"/>
              </w:rPr>
            </w:pPr>
            <w:r>
              <w:rPr>
                <w:sz w:val="24"/>
                <w:highlight w:val="none"/>
              </w:rPr>
              <w:t xml:space="preserve">提供证明文件的电子件或电子证照</w:t>
            </w:r>
            <w:r>
              <w:rPr>
                <w:rFonts w:hint="eastAsia"/>
                <w:sz w:val="24"/>
                <w:highlight w:val="none"/>
              </w:rPr>
              <w:t xml:space="preserve">并</w:t>
            </w:r>
            <w:r>
              <w:rPr>
                <w:rFonts w:hint="eastAsia" w:ascii="宋体" w:hAnsi="宋体" w:cs="宋体"/>
                <w:sz w:val="24"/>
                <w:highlight w:val="none"/>
              </w:rPr>
              <w:t xml:space="preserve">加盖投标人公章</w:t>
            </w:r>
            <w:r>
              <w:rPr>
                <w:rFonts w:ascii="宋体" w:hAnsi="宋体" w:cs="宋体"/>
                <w:sz w:val="24"/>
                <w:highlight w:val="none"/>
              </w:rPr>
            </w:r>
            <w:r/>
          </w:p>
        </w:tc>
      </w:tr>
    </w:tbl>
    <w:p>
      <w:pPr>
        <w:pStyle w:val="1137"/>
        <w:jc w:val="left"/>
        <w:widowControl/>
        <w:rPr>
          <w:sz w:val="24"/>
          <w:highlight w:val="none"/>
        </w:rPr>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97"/>
      <w:r>
        <w:rPr>
          <w:sz w:val="24"/>
          <w:highlight w:val="none"/>
        </w:rPr>
        <w:br w:type="page" w:clear="all"/>
      </w:r>
      <w:r>
        <w:rPr>
          <w:sz w:val="24"/>
          <w:highlight w:val="none"/>
        </w:rPr>
      </w:r>
      <w:r/>
    </w:p>
    <w:p>
      <w:pPr>
        <w:pStyle w:val="1137"/>
        <w:jc w:val="center"/>
        <w:spacing w:line="360" w:lineRule="auto"/>
        <w:rPr>
          <w:b/>
          <w:sz w:val="36"/>
          <w:szCs w:val="36"/>
          <w:highlight w:val="none"/>
        </w:rPr>
        <w:outlineLvl w:val="0"/>
      </w:pPr>
      <w:r/>
      <w:bookmarkStart w:id="305" w:name="_Toc9995"/>
      <w:r>
        <w:rPr>
          <w:b/>
          <w:sz w:val="36"/>
          <w:szCs w:val="36"/>
          <w:highlight w:val="none"/>
        </w:rPr>
        <w:t xml:space="preserve">第四章   </w:t>
      </w:r>
      <w:bookmarkEnd w:id="300"/>
      <w:r/>
      <w:bookmarkEnd w:id="301"/>
      <w:r/>
      <w:bookmarkEnd w:id="302"/>
      <w:r/>
      <w:bookmarkEnd w:id="303"/>
      <w:r/>
      <w:bookmarkEnd w:id="304"/>
      <w:r/>
      <w:bookmarkStart w:id="306" w:name="_Hlt164229061"/>
      <w:r/>
      <w:bookmarkEnd w:id="306"/>
      <w:r>
        <w:rPr>
          <w:b/>
          <w:sz w:val="36"/>
          <w:szCs w:val="36"/>
          <w:highlight w:val="none"/>
        </w:rPr>
        <w:t xml:space="preserve">评标程序、评标方法和评标标准</w:t>
      </w:r>
      <w:bookmarkEnd w:id="305"/>
      <w:r>
        <w:rPr>
          <w:b/>
          <w:sz w:val="36"/>
          <w:szCs w:val="36"/>
          <w:highlight w:val="none"/>
        </w:rPr>
      </w:r>
      <w:r/>
    </w:p>
    <w:p>
      <w:pPr>
        <w:pStyle w:val="1137"/>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137"/>
        <w:numPr>
          <w:ilvl w:val="0"/>
          <w:numId w:val="10"/>
        </w:numPr>
        <w:ind w:left="0" w:firstLine="480"/>
        <w:spacing w:line="400" w:lineRule="exact"/>
        <w:tabs>
          <w:tab w:val="left" w:pos="360" w:leader="none"/>
          <w:tab w:val="left" w:pos="900" w:leader="none"/>
        </w:tabs>
        <w:rPr>
          <w:rFonts w:ascii="宋体" w:hAnsi="宋体" w:cs="宋体"/>
          <w:sz w:val="24"/>
          <w:highlight w:val="none"/>
        </w:rPr>
      </w:pPr>
      <w:r/>
      <w:bookmarkStart w:id="307" w:name="_Toc264969231"/>
      <w:r/>
      <w:bookmarkStart w:id="308" w:name="_Toc151193929"/>
      <w:r/>
      <w:bookmarkStart w:id="309" w:name="_Toc127161455"/>
      <w:r/>
      <w:bookmarkStart w:id="310" w:name="_Toc226965731"/>
      <w:r/>
      <w:bookmarkStart w:id="311" w:name="_Toc150480779"/>
      <w:r/>
      <w:bookmarkStart w:id="312" w:name="_Toc127151742"/>
      <w:r/>
      <w:bookmarkStart w:id="313" w:name="_Toc164608810"/>
      <w:r/>
      <w:bookmarkStart w:id="314" w:name="_Toc151190168"/>
      <w:r/>
      <w:bookmarkStart w:id="315" w:name="_Toc265228379"/>
      <w:r/>
      <w:bookmarkStart w:id="316" w:name="_Toc305158883"/>
      <w:r/>
      <w:bookmarkStart w:id="317" w:name="_Toc127151541"/>
      <w:r/>
      <w:bookmarkStart w:id="318" w:name="_Toc150774641"/>
      <w:r/>
      <w:bookmarkStart w:id="319" w:name="_Toc305158809"/>
      <w:r/>
      <w:bookmarkStart w:id="320" w:name="_Toc151193711"/>
      <w:r/>
      <w:bookmarkStart w:id="321" w:name="_Toc195842906"/>
      <w:r/>
      <w:bookmarkStart w:id="322" w:name="_Toc149720834"/>
      <w:r/>
      <w:bookmarkStart w:id="323" w:name="_Toc150509292"/>
      <w:r/>
      <w:bookmarkStart w:id="324" w:name="_Toc164351635"/>
      <w:r/>
      <w:bookmarkStart w:id="325" w:name="_Toc142311043"/>
      <w:r/>
      <w:bookmarkStart w:id="326" w:name="_Toc164608655"/>
      <w:r/>
      <w:bookmarkStart w:id="327" w:name="_Toc226337237"/>
      <w:r/>
      <w:bookmarkStart w:id="328" w:name="_Toc226965814"/>
      <w:r/>
      <w:bookmarkStart w:id="329" w:name="_Toc164229236"/>
      <w:r/>
      <w:bookmarkStart w:id="330" w:name="_Toc151193783"/>
      <w:r/>
      <w:bookmarkStart w:id="331" w:name="_Toc226309785"/>
      <w:r/>
      <w:bookmarkStart w:id="332" w:name="_Toc151193855"/>
      <w:r/>
      <w:bookmarkStart w:id="333" w:name="_Toc164229382"/>
      <w:r/>
      <w:bookmarkStart w:id="334" w:name="_Toc150774746"/>
      <w:r/>
      <w:bookmarkStart w:id="335" w:name="_Toc151193639"/>
      <w:r/>
      <w:bookmarkStart w:id="336" w:name="_Toc265228393"/>
      <w:r/>
      <w:bookmarkStart w:id="337" w:name="_Toc353873941"/>
      <w:r/>
      <w:bookmarkStart w:id="338" w:name="_Toc353825551"/>
      <w:r/>
      <w:bookmarkStart w:id="339" w:name="_Toc264969245"/>
      <w:r/>
      <w:bookmarkStart w:id="340" w:name="_Toc353873665"/>
      <w:r/>
      <w:bookmarkStart w:id="341" w:name="_Toc305158823"/>
      <w:r/>
      <w:bookmarkStart w:id="342" w:name="_Toc195842920"/>
      <w:r/>
      <w:bookmarkStart w:id="343" w:name="_Toc142311057"/>
      <w:r/>
      <w:bookmarkStart w:id="344" w:name="_Toc150480793"/>
      <w:r/>
      <w:bookmarkStart w:id="345" w:name="_Toc127151555"/>
      <w:r/>
      <w:bookmarkStart w:id="346" w:name="_Toc226965828"/>
      <w:r/>
      <w:bookmarkStart w:id="347" w:name="_Toc353873935"/>
      <w:r/>
      <w:bookmarkStart w:id="348" w:name="_Toc150774760"/>
      <w:r/>
      <w:bookmarkStart w:id="349" w:name="_Toc353825545"/>
      <w:r/>
      <w:bookmarkStart w:id="350" w:name="_Toc226337251"/>
      <w:r/>
      <w:bookmarkStart w:id="351" w:name="_Toc305158897"/>
      <w:r>
        <w:rPr>
          <w:rFonts w:hint="eastAsia" w:ascii="宋体" w:hAnsi="宋体" w:cs="宋体"/>
          <w:sz w:val="24"/>
          <w:highlight w:val="none"/>
        </w:rPr>
        <w:t xml:space="preserve">投标文件的符合性审查</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bookmarkStart w:id="352" w:name="_Toc520356167"/>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2"/>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37"/>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rPr>
          <w:b/>
          <w:sz w:val="24"/>
          <w:highlight w:val="none"/>
        </w:rPr>
      </w:r>
      <w:r/>
    </w:p>
    <w:tbl>
      <w:tblPr>
        <w:tblW w:w="51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1961"/>
        <w:gridCol w:w="7361"/>
      </w:tblGrid>
      <w:tr>
        <w:trPr>
          <w:trHeight w:val="283"/>
          <w:tblHeader/>
        </w:trPr>
        <w:tc>
          <w:tcPr>
            <w:tcW w:w="458" w:type="dxa"/>
            <w:vAlign w:val="center"/>
            <w:textDirection w:val="lrTb"/>
            <w:noWrap w:val="false"/>
          </w:tcPr>
          <w:p>
            <w:pPr>
              <w:pStyle w:val="1137"/>
              <w:jc w:val="center"/>
              <w:widowControl/>
              <w:rPr>
                <w:rFonts w:ascii="宋体" w:hAnsi="宋体" w:cs="宋体"/>
                <w:b/>
                <w:sz w:val="24"/>
                <w:highlight w:val="none"/>
              </w:rPr>
            </w:pPr>
            <w:r>
              <w:rPr>
                <w:rFonts w:hint="eastAsia" w:ascii="宋体" w:hAnsi="宋体" w:cs="宋体"/>
                <w:b/>
                <w:sz w:val="24"/>
                <w:highlight w:val="none"/>
              </w:rPr>
              <w:t xml:space="preserve">序号</w:t>
            </w:r>
            <w:r>
              <w:rPr>
                <w:rFonts w:ascii="宋体" w:hAnsi="宋体" w:cs="宋体"/>
                <w:b/>
                <w:sz w:val="24"/>
                <w:highlight w:val="none"/>
              </w:rPr>
            </w:r>
            <w:r/>
          </w:p>
        </w:tc>
        <w:tc>
          <w:tcPr>
            <w:tcW w:w="955" w:type="dxa"/>
            <w:vAlign w:val="center"/>
            <w:textDirection w:val="lrTb"/>
            <w:noWrap w:val="false"/>
          </w:tcPr>
          <w:p>
            <w:pPr>
              <w:pStyle w:val="1137"/>
              <w:jc w:val="center"/>
              <w:widowControl/>
              <w:rPr>
                <w:rFonts w:ascii="宋体" w:hAnsi="宋体" w:cs="宋体"/>
                <w:b/>
                <w:sz w:val="24"/>
                <w:highlight w:val="none"/>
              </w:rPr>
            </w:pPr>
            <w:r>
              <w:rPr>
                <w:rFonts w:hint="eastAsia" w:ascii="宋体" w:hAnsi="宋体" w:cs="宋体"/>
                <w:b/>
                <w:sz w:val="24"/>
                <w:highlight w:val="none"/>
              </w:rPr>
              <w:t xml:space="preserve">审查因素</w:t>
            </w:r>
            <w:r>
              <w:rPr>
                <w:rFonts w:ascii="宋体" w:hAnsi="宋体" w:cs="宋体"/>
                <w:b/>
                <w:sz w:val="24"/>
                <w:highlight w:val="none"/>
              </w:rPr>
            </w:r>
            <w:r/>
          </w:p>
        </w:tc>
        <w:tc>
          <w:tcPr>
            <w:tcW w:w="3585" w:type="dxa"/>
            <w:vAlign w:val="center"/>
            <w:textDirection w:val="lrTb"/>
            <w:noWrap w:val="false"/>
          </w:tcPr>
          <w:p>
            <w:pPr>
              <w:pStyle w:val="1137"/>
              <w:jc w:val="center"/>
              <w:widowControl/>
              <w:rPr>
                <w:rFonts w:ascii="宋体" w:hAnsi="宋体" w:cs="宋体"/>
                <w:b/>
                <w:sz w:val="24"/>
                <w:highlight w:val="none"/>
              </w:rPr>
            </w:pPr>
            <w:r>
              <w:rPr>
                <w:rFonts w:hint="eastAsia" w:ascii="宋体" w:hAnsi="宋体" w:cs="宋体"/>
                <w:b/>
                <w:sz w:val="24"/>
                <w:highlight w:val="none"/>
              </w:rPr>
              <w:t xml:space="preserve">审查内容</w:t>
            </w:r>
            <w:r>
              <w:rPr>
                <w:rFonts w:ascii="宋体" w:hAnsi="宋体" w:cs="宋体"/>
                <w:b/>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r>
            <w:r/>
          </w:p>
        </w:tc>
        <w:tc>
          <w:tcPr>
            <w:tcW w:w="955"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投标函、</w:t>
            </w:r>
            <w:r>
              <w:rPr>
                <w:rFonts w:hint="eastAsia" w:ascii="宋体" w:hAnsi="宋体" w:cs="宋体"/>
                <w:sz w:val="24"/>
                <w:highlight w:val="none"/>
              </w:rPr>
              <w:t xml:space="preserve">法定代表人资格证明书、授权委托书（如有授权必须提供）、政府采购供应商信用承诺书、投标供应商管理关系或控股关系信息情况表</w:t>
            </w:r>
            <w:r>
              <w:rPr>
                <w:rFonts w:hint="eastAsia"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按招标文件要求提供投标函、</w:t>
            </w:r>
            <w:r>
              <w:rPr>
                <w:rFonts w:hint="eastAsia" w:ascii="宋体" w:hAnsi="宋体" w:cs="宋体"/>
                <w:sz w:val="24"/>
                <w:highlight w:val="none"/>
              </w:rPr>
              <w:t xml:space="preserve">法定代表人资格证明书、授权委托书（如有授权必须提供）、政府采购供应商信用承诺书、投标供应商管理关系或控股关系信息情况表</w:t>
            </w:r>
            <w:r>
              <w:rPr>
                <w:rFonts w:hint="eastAsia" w:ascii="宋体" w:hAnsi="宋体" w:cs="宋体"/>
                <w:sz w:val="24"/>
                <w:highlight w:val="none"/>
              </w:rPr>
              <w:t xml:space="preserve">；</w:t>
            </w:r>
            <w:r>
              <w:rPr>
                <w:rFonts w:ascii="宋体" w:hAnsi="宋体"/>
                <w:b/>
                <w:bCs/>
                <w:sz w:val="24"/>
                <w:highlight w:val="none"/>
              </w:rPr>
              <w:t xml:space="preserve">格式见《投标文件格式》</w:t>
            </w:r>
            <w:r>
              <w:rPr>
                <w:rFonts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投标完整性</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未将一个采购包中的内容拆开投标；</w:t>
            </w:r>
            <w:r>
              <w:rPr>
                <w:rFonts w:hint="eastAsia" w:ascii="宋体" w:hAnsi="宋体"/>
                <w:b/>
                <w:bCs/>
                <w:sz w:val="24"/>
                <w:highlight w:val="none"/>
              </w:rPr>
              <w:t xml:space="preserve">（由评委审查，无需投标人提供材料）</w:t>
            </w:r>
            <w:r>
              <w:rPr>
                <w:rFonts w:ascii="宋体" w:hAnsi="宋体" w:cs="宋体"/>
                <w:sz w:val="24"/>
                <w:highlight w:val="none"/>
              </w:rPr>
            </w:r>
            <w:r/>
          </w:p>
        </w:tc>
      </w:tr>
      <w:tr>
        <w:trPr>
          <w:trHeight w:val="714"/>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投标报价</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投标报价未</w:t>
            </w:r>
            <w:r>
              <w:rPr>
                <w:rFonts w:hint="eastAsia" w:ascii="宋体" w:hAnsi="宋体" w:cs="宋体"/>
                <w:sz w:val="24"/>
                <w:highlight w:val="none"/>
              </w:rPr>
              <w:t xml:space="preserve">超过招标文件中规定的项目/采购包预算金额或者项目/采购包最高限价</w:t>
            </w:r>
            <w:r>
              <w:rPr>
                <w:rFonts w:hint="eastAsia" w:ascii="宋体" w:hAnsi="宋体" w:cs="宋体"/>
                <w:sz w:val="24"/>
                <w:highlight w:val="none"/>
              </w:rPr>
              <w:t xml:space="preserve">；</w:t>
            </w:r>
            <w:r>
              <w:rPr>
                <w:rFonts w:hint="eastAsia" w:ascii="宋体" w:hAnsi="宋体" w:cs="宋体"/>
                <w:b/>
                <w:bCs/>
                <w:sz w:val="24"/>
                <w:highlight w:val="none"/>
              </w:rPr>
              <w:t xml:space="preserve">（</w:t>
            </w:r>
            <w:r>
              <w:rPr>
                <w:rFonts w:hint="eastAsia" w:ascii="宋体" w:hAnsi="宋体"/>
                <w:b/>
                <w:bCs/>
                <w:sz w:val="24"/>
                <w:highlight w:val="none"/>
              </w:rPr>
              <w:t xml:space="preserve">提供</w:t>
            </w:r>
            <w:r>
              <w:rPr>
                <w:rFonts w:ascii="宋体" w:hAnsi="宋体"/>
                <w:b/>
                <w:bCs/>
                <w:sz w:val="24"/>
                <w:highlight w:val="none"/>
              </w:rPr>
              <w:t xml:space="preserve">《</w:t>
            </w:r>
            <w:r>
              <w:rPr>
                <w:rFonts w:hint="eastAsia" w:ascii="宋体" w:hAnsi="宋体"/>
                <w:b/>
                <w:bCs/>
                <w:sz w:val="24"/>
                <w:highlight w:val="none"/>
              </w:rPr>
              <w:t xml:space="preserve">开标一览表</w:t>
            </w:r>
            <w:r>
              <w:rPr>
                <w:rFonts w:ascii="宋体" w:hAnsi="宋体"/>
                <w:b/>
                <w:bCs/>
                <w:sz w:val="24"/>
                <w:highlight w:val="none"/>
              </w:rPr>
              <w:t xml:space="preserve">》</w:t>
            </w:r>
            <w:r>
              <w:rPr>
                <w:rFonts w:hint="eastAsia" w:ascii="宋体" w:hAnsi="宋体"/>
                <w:b/>
                <w:bCs/>
                <w:sz w:val="24"/>
                <w:highlight w:val="none"/>
              </w:rPr>
              <w:t xml:space="preserve">、《投标分项报价表》，</w:t>
            </w:r>
            <w:r>
              <w:rPr>
                <w:rFonts w:hint="eastAsia" w:ascii="宋体" w:hAnsi="宋体"/>
                <w:b/>
                <w:bCs/>
                <w:sz w:val="24"/>
                <w:highlight w:val="none"/>
              </w:rPr>
              <w:t xml:space="preserve">格式见</w:t>
            </w:r>
            <w:r>
              <w:rPr>
                <w:rFonts w:ascii="宋体" w:hAnsi="宋体"/>
                <w:b/>
                <w:bCs/>
                <w:sz w:val="24"/>
                <w:highlight w:val="none"/>
              </w:rPr>
              <w:t xml:space="preserve">《投标文件格式》</w:t>
            </w:r>
            <w:r>
              <w:rPr>
                <w:rFonts w:hint="eastAsia" w:ascii="宋体" w:hAnsi="宋体" w:cs="宋体"/>
                <w:b/>
                <w:bCs/>
                <w:sz w:val="24"/>
                <w:highlight w:val="none"/>
              </w:rPr>
              <w:t xml:space="preserve">）</w:t>
            </w:r>
            <w:r>
              <w:rPr>
                <w:rFonts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报价唯一性</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投标文件未</w:t>
            </w:r>
            <w:r>
              <w:rPr>
                <w:rFonts w:hint="eastAsia" w:ascii="宋体" w:hAnsi="宋体" w:cs="宋体"/>
                <w:sz w:val="24"/>
                <w:highlight w:val="none"/>
              </w:rPr>
              <w:t xml:space="preserve">出现可选择性或可调整的报价（招标文件另有规定的除外）</w:t>
            </w:r>
            <w:r>
              <w:rPr>
                <w:rFonts w:hint="eastAsia" w:ascii="宋体" w:hAnsi="宋体" w:cs="宋体"/>
                <w:sz w:val="24"/>
                <w:highlight w:val="none"/>
              </w:rPr>
              <w:t xml:space="preserve">；</w:t>
            </w:r>
            <w:r>
              <w:rPr>
                <w:rFonts w:hint="eastAsia" w:ascii="宋体" w:hAnsi="宋体"/>
                <w:b/>
                <w:bCs/>
                <w:sz w:val="24"/>
                <w:highlight w:val="none"/>
              </w:rPr>
              <w:t xml:space="preserve">（由评委审查，无需投标人提供材料）</w:t>
            </w:r>
            <w:r>
              <w:rPr>
                <w:rFonts w:ascii="宋体" w:hAnsi="宋体" w:cs="宋体"/>
                <w:sz w:val="24"/>
                <w:highlight w:val="none"/>
              </w:rPr>
            </w:r>
            <w:r/>
          </w:p>
        </w:tc>
      </w:tr>
      <w:tr>
        <w:trPr>
          <w:trHeight w:val="628"/>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投标有效期</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投标文件中承诺的投标有效期满足招标文件中载明的投标有效期的；</w:t>
            </w:r>
            <w:r>
              <w:rPr>
                <w:rFonts w:hint="eastAsia" w:ascii="宋体" w:hAnsi="宋体"/>
                <w:b/>
                <w:bCs/>
                <w:sz w:val="24"/>
                <w:highlight w:val="none"/>
              </w:rPr>
              <w:t xml:space="preserve">（由评委审查，无需投标人提供材料）</w:t>
            </w:r>
            <w:r>
              <w:rPr>
                <w:rFonts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签署、加盖公章</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按照招标文件要求签署、加盖公章的；</w:t>
            </w:r>
            <w:r>
              <w:rPr>
                <w:rFonts w:hint="eastAsia" w:ascii="宋体" w:hAnsi="宋体"/>
                <w:b/>
                <w:bCs/>
                <w:sz w:val="24"/>
                <w:highlight w:val="none"/>
              </w:rPr>
              <w:t xml:space="preserve">（由评委审查，无需投标人提供材料）</w:t>
            </w:r>
            <w:r>
              <w:rPr>
                <w:rFonts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实质性格式</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rFonts w:ascii="宋体" w:hAnsi="宋体"/>
                <w:b/>
                <w:bCs/>
                <w:sz w:val="24"/>
                <w:highlight w:val="none"/>
              </w:rPr>
              <w:t xml:space="preserve">格式见《投标文件格式》</w:t>
            </w:r>
            <w:r>
              <w:rPr>
                <w:rFonts w:hint="eastAsia"/>
                <w:b/>
                <w:bCs/>
                <w:sz w:val="24"/>
                <w:highlight w:val="none"/>
              </w:rPr>
              <w:t xml:space="preserve">）</w:t>
            </w:r>
            <w:r>
              <w:rPr>
                <w:rFonts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★号条款响应</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投标文件满足招标文件</w:t>
            </w:r>
            <w:r>
              <w:rPr>
                <w:rFonts w:hint="eastAsia" w:ascii="宋体" w:hAnsi="宋体" w:cs="宋体"/>
                <w:sz w:val="24"/>
                <w:highlight w:val="none"/>
              </w:rPr>
              <w:t xml:space="preserve">第五章《采购需求》</w:t>
            </w:r>
            <w:r>
              <w:rPr>
                <w:rFonts w:hint="eastAsia" w:ascii="宋体" w:hAnsi="宋体" w:cs="宋体"/>
                <w:sz w:val="24"/>
                <w:highlight w:val="none"/>
              </w:rPr>
              <w:t xml:space="preserve">中★号条款要求的；</w:t>
            </w:r>
            <w:r>
              <w:rPr>
                <w:rFonts w:hint="eastAsia" w:ascii="宋体" w:hAnsi="宋体"/>
                <w:b/>
                <w:sz w:val="24"/>
                <w:highlight w:val="none"/>
              </w:rPr>
              <w:t xml:space="preserve">如有的，根据文件列出的★号条款，按照序号逐项提供相关证明材料；</w:t>
            </w:r>
            <w:r>
              <w:rPr>
                <w:rFonts w:hint="eastAsia" w:ascii="宋体" w:hAnsi="宋体"/>
                <w:b/>
                <w:bCs/>
                <w:sz w:val="24"/>
                <w:highlight w:val="none"/>
              </w:rPr>
              <w:t xml:space="preserve">如没有的，则无需投标人提供材料</w:t>
            </w:r>
            <w:r>
              <w:rPr>
                <w:rFonts w:hint="eastAsia" w:ascii="宋体" w:hAnsi="宋体"/>
                <w:sz w:val="24"/>
                <w:highlight w:val="none"/>
              </w:rPr>
              <w:t xml:space="preserve">。</w:t>
            </w:r>
            <w:r>
              <w:rPr>
                <w:rFonts w:ascii="宋体" w:hAnsi="宋体" w:cs="宋体"/>
                <w:sz w:val="24"/>
                <w:highlight w:val="none"/>
              </w:rPr>
            </w:r>
            <w:r/>
          </w:p>
        </w:tc>
      </w:tr>
      <w:tr>
        <w:trPr>
          <w:trHeight w:val="378"/>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报价的修正（如有）</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不涉及报价修正，或投标文件报价出现前后不一致时，投标人对修正后的报价予以确认；（如有）</w:t>
            </w:r>
            <w:r>
              <w:rPr>
                <w:rFonts w:ascii="宋体" w:hAnsi="宋体" w:cs="宋体"/>
                <w:sz w:val="24"/>
                <w:highlight w:val="none"/>
              </w:rPr>
            </w:r>
            <w:r/>
          </w:p>
        </w:tc>
      </w:tr>
      <w:tr>
        <w:trPr>
          <w:trHeight w:val="1252"/>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报价合理性</w:t>
            </w:r>
            <w:r>
              <w:rPr>
                <w:rFonts w:ascii="宋体" w:hAnsi="宋体" w:cs="宋体"/>
                <w:sz w:val="24"/>
                <w:highlight w:val="none"/>
              </w:rPr>
            </w:r>
            <w:r/>
          </w:p>
        </w:tc>
        <w:tc>
          <w:tcPr>
            <w:tcW w:w="3585" w:type="dxa"/>
            <w:vAlign w:val="center"/>
            <w:textDirection w:val="lrTb"/>
            <w:noWrap w:val="false"/>
          </w:tcPr>
          <w:p>
            <w:pPr>
              <w:pStyle w:val="1137"/>
              <w:widowControl/>
              <w:rPr>
                <w:rFonts w:hint="eastAsia" w:ascii="宋体" w:hAnsi="宋体" w:cs="宋体"/>
                <w:b/>
                <w:bCs/>
                <w:sz w:val="24"/>
                <w:highlight w:val="none"/>
              </w:rPr>
            </w:pPr>
            <w:r>
              <w:rPr>
                <w:rFonts w:hint="eastAsia" w:ascii="宋体" w:hAnsi="宋体" w:cs="宋体"/>
                <w:b/>
                <w:bCs/>
                <w:sz w:val="24"/>
                <w:highlight w:val="none"/>
              </w:rPr>
              <w:t xml:space="preserve">一、评审中出现下列情形之一的，评标委员会应当启动异常低价投标（响应）审查程序：</w:t>
            </w:r>
            <w:r>
              <w:rPr>
                <w:rFonts w:hint="eastAsia" w:ascii="宋体" w:hAnsi="宋体" w:cs="宋体"/>
                <w:b/>
                <w:bCs/>
                <w:sz w:val="24"/>
                <w:highlight w:val="none"/>
              </w:rPr>
            </w:r>
            <w:r/>
          </w:p>
          <w:p>
            <w:pPr>
              <w:pStyle w:val="1137"/>
              <w:widowControl/>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sz w:val="24"/>
                <w:highlight w:val="none"/>
              </w:rPr>
            </w:r>
            <w:r/>
          </w:p>
          <w:p>
            <w:pPr>
              <w:pStyle w:val="1137"/>
              <w:widowControl/>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sz w:val="24"/>
                <w:highlight w:val="none"/>
              </w:rPr>
            </w:r>
            <w:r/>
          </w:p>
          <w:p>
            <w:pPr>
              <w:pStyle w:val="1137"/>
              <w:widowControl/>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rPr>
                <w:rFonts w:hint="eastAsia" w:ascii="宋体" w:hAnsi="宋体" w:cs="宋体"/>
                <w:b/>
                <w:bCs/>
                <w:sz w:val="24"/>
                <w:highlight w:val="none"/>
              </w:rPr>
            </w:r>
            <w:r/>
          </w:p>
          <w:p>
            <w:pPr>
              <w:pStyle w:val="1137"/>
              <w:widowControl/>
              <w:rPr>
                <w:rFonts w:hint="eastAsia" w:ascii="宋体" w:hAnsi="宋体" w:cs="宋体"/>
                <w:b/>
                <w:bCs/>
                <w:sz w:val="24"/>
                <w:highlight w:val="none"/>
              </w:rPr>
            </w:pPr>
            <w:r>
              <w:rPr>
                <w:rFonts w:hint="eastAsia" w:ascii="宋体" w:hAnsi="宋体" w:cs="宋体"/>
                <w:b/>
                <w:bCs/>
                <w:sz w:val="24"/>
                <w:highlight w:val="none"/>
              </w:rPr>
              <w:t xml:space="preserve">4.评标委员会基于专业判断，认为供应商报价过低，有可能影响产品质量或者不能诚信履约的其他情形。</w:t>
            </w:r>
            <w:r>
              <w:rPr>
                <w:rFonts w:hint="eastAsia" w:ascii="宋体" w:hAnsi="宋体" w:cs="宋体"/>
                <w:b/>
                <w:bCs/>
                <w:sz w:val="24"/>
                <w:highlight w:val="none"/>
              </w:rPr>
            </w:r>
            <w:r/>
          </w:p>
          <w:p>
            <w:pPr>
              <w:pStyle w:val="1137"/>
              <w:widowControl/>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rPr>
                <w:rFonts w:hint="eastAsia" w:ascii="宋体" w:hAnsi="宋体" w:cs="宋体"/>
                <w:b/>
                <w:bCs/>
                <w:sz w:val="24"/>
                <w:highlight w:val="none"/>
              </w:rPr>
            </w:r>
            <w:r/>
          </w:p>
          <w:p>
            <w:pPr>
              <w:pStyle w:val="1137"/>
              <w:widowControl/>
              <w:rPr>
                <w:rFonts w:hint="eastAsia" w:ascii="宋体" w:hAnsi="宋体" w:cs="宋体"/>
                <w:b/>
                <w:bCs/>
                <w:sz w:val="24"/>
                <w:highlight w:val="none"/>
              </w:rPr>
            </w:pPr>
            <w:r>
              <w:rPr>
                <w:rFonts w:hint="eastAsia" w:ascii="宋体" w:hAnsi="宋体" w:cs="宋体"/>
                <w:b/>
                <w:bCs/>
                <w:sz w:val="24"/>
                <w:highlight w:val="none"/>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sz w:val="24"/>
                <w:highlight w:val="none"/>
              </w:rPr>
            </w:r>
            <w:r/>
          </w:p>
          <w:p>
            <w:pPr>
              <w:pStyle w:val="1137"/>
              <w:widowControl/>
              <w:rPr>
                <w:rFonts w:hint="eastAsia" w:ascii="宋体" w:hAnsi="宋体" w:cs="宋体"/>
                <w:b/>
                <w:bCs/>
                <w:sz w:val="24"/>
                <w:highlight w:val="none"/>
              </w:rPr>
            </w:pPr>
            <w:r>
              <w:rPr>
                <w:rFonts w:hint="eastAsia" w:ascii="宋体" w:hAnsi="宋体" w:cs="宋体"/>
                <w:b/>
                <w:bCs/>
                <w:sz w:val="24"/>
                <w:highlight w:val="none"/>
              </w:rPr>
              <w:t xml:space="preserve">三、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b/>
                <w:bCs/>
                <w:sz w:val="24"/>
                <w:highlight w:val="none"/>
              </w:rPr>
            </w:r>
            <w:r/>
          </w:p>
          <w:p>
            <w:pPr>
              <w:pStyle w:val="1137"/>
              <w:widowControl/>
              <w:rPr>
                <w:rFonts w:hint="eastAsia" w:ascii="宋体" w:hAnsi="宋体" w:cs="宋体"/>
                <w:b/>
                <w:bCs/>
                <w:sz w:val="24"/>
                <w:highlight w:val="none"/>
              </w:rPr>
            </w:pPr>
            <w:r>
              <w:rPr>
                <w:rFonts w:hint="eastAsia" w:ascii="宋体" w:hAnsi="宋体" w:cs="宋体"/>
                <w:b/>
                <w:bCs/>
                <w:sz w:val="24"/>
                <w:highlight w:val="none"/>
              </w:rPr>
              <w:t xml:space="preserve">四、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b/>
                <w:bCs/>
                <w:sz w:val="24"/>
                <w:highlight w:val="none"/>
              </w:rPr>
            </w:r>
            <w:r/>
          </w:p>
          <w:p>
            <w:pPr>
              <w:pStyle w:val="1137"/>
              <w:widowControl/>
              <w:rPr>
                <w:rFonts w:ascii="宋体" w:hAnsi="宋体" w:cs="宋体"/>
                <w:sz w:val="24"/>
                <w:highlight w:val="none"/>
              </w:rPr>
            </w:pPr>
            <w:r>
              <w:rPr>
                <w:rFonts w:hint="eastAsia" w:ascii="宋体" w:hAnsi="宋体" w:cs="宋体"/>
                <w:b/>
                <w:bCs/>
                <w:sz w:val="24"/>
                <w:highlight w:val="none"/>
              </w:rPr>
              <w:t xml:space="preserve">五、异常低价投标（响应）审查的启动原因、审查意见和审查结果应当在评审报告中记录，并随供应商提供的相关书面说明及证明材料，以及评标委员会有关互联网浏览、查询历史一并归档。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sz w:val="24"/>
                <w:highlight w:val="none"/>
              </w:rPr>
            </w:r>
            <w:r/>
          </w:p>
        </w:tc>
      </w:tr>
      <w:tr>
        <w:trPr>
          <w:trHeight w:val="481"/>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11</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进口产品</w:t>
            </w:r>
            <w:r>
              <w:rPr>
                <w:rFonts w:ascii="宋体" w:hAnsi="宋体" w:cs="宋体"/>
                <w:sz w:val="24"/>
                <w:highlight w:val="none"/>
              </w:rPr>
            </w:r>
            <w:r/>
          </w:p>
        </w:tc>
        <w:tc>
          <w:tcPr>
            <w:tcW w:w="3585" w:type="dxa"/>
            <w:vAlign w:val="center"/>
            <w:textDirection w:val="lrTb"/>
            <w:noWrap w:val="false"/>
          </w:tcPr>
          <w:p>
            <w:pPr>
              <w:pStyle w:val="1137"/>
              <w:widowControl/>
              <w:rPr>
                <w:rFonts w:hint="eastAsia" w:ascii="宋体" w:hAnsi="宋体" w:cs="宋体"/>
                <w:sz w:val="24"/>
                <w:highlight w:val="none"/>
              </w:rPr>
            </w:pPr>
            <w:r>
              <w:rPr>
                <w:rFonts w:hint="eastAsia" w:ascii="宋体" w:hAnsi="宋体" w:cs="宋体"/>
                <w:sz w:val="24"/>
                <w:highlight w:val="none"/>
              </w:rPr>
              <w:t xml:space="preserve">招标文件不接受进口产品投标。</w:t>
            </w:r>
            <w:r>
              <w:rPr>
                <w:rFonts w:hint="eastAsia"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12</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国家有关部门对投标人的投标产品有强制性规定或要求的</w:t>
            </w:r>
            <w:r>
              <w:rPr>
                <w:rFonts w:ascii="宋体" w:hAnsi="宋体" w:cs="宋体"/>
                <w:sz w:val="24"/>
                <w:highlight w:val="none"/>
              </w:rPr>
            </w:r>
            <w:r/>
          </w:p>
        </w:tc>
        <w:tc>
          <w:tcPr>
            <w:tcW w:w="3585" w:type="dxa"/>
            <w:vAlign w:val="center"/>
            <w:textDirection w:val="lrTb"/>
            <w:noWrap w:val="false"/>
          </w:tcPr>
          <w:p>
            <w:pPr>
              <w:pStyle w:val="1137"/>
              <w:jc w:val="left"/>
              <w:widowControl/>
              <w:rPr>
                <w:sz w:val="24"/>
                <w:highlight w:val="none"/>
              </w:rPr>
            </w:pPr>
            <w:r>
              <w:rPr>
                <w:sz w:val="24"/>
                <w:highlight w:val="none"/>
              </w:rPr>
              <w:t xml:space="preserve">国家有关部门对投标人的投标产品有强制性规定或要求的（如相应技术、安全、节能和环保等），</w:t>
            </w:r>
            <w:r>
              <w:rPr>
                <w:rFonts w:hint="eastAsia" w:ascii="宋体" w:hAnsi="宋体"/>
                <w:b/>
                <w:sz w:val="24"/>
                <w:highlight w:val="none"/>
              </w:rPr>
              <w:t xml:space="preserve">如有下列情形的，</w:t>
            </w:r>
            <w:r>
              <w:rPr>
                <w:rFonts w:ascii="宋体" w:hAnsi="宋体"/>
                <w:b/>
                <w:sz w:val="24"/>
                <w:highlight w:val="none"/>
              </w:rPr>
              <w:t xml:space="preserve">投标人的投标产品</w:t>
            </w:r>
            <w:r>
              <w:rPr>
                <w:rFonts w:hint="eastAsia" w:ascii="宋体" w:hAnsi="宋体"/>
                <w:b/>
                <w:sz w:val="24"/>
                <w:highlight w:val="none"/>
              </w:rPr>
              <w:t xml:space="preserve">应</w:t>
            </w:r>
            <w:r>
              <w:rPr>
                <w:rFonts w:ascii="宋体" w:hAnsi="宋体"/>
                <w:b/>
                <w:sz w:val="24"/>
                <w:highlight w:val="none"/>
              </w:rPr>
              <w:t xml:space="preserve">符合相应规定或要求</w:t>
            </w:r>
            <w:r>
              <w:rPr>
                <w:rFonts w:hint="eastAsia" w:ascii="宋体" w:hAnsi="宋体"/>
                <w:b/>
                <w:sz w:val="24"/>
                <w:highlight w:val="none"/>
              </w:rPr>
              <w:t xml:space="preserve">，并提供证明文件电子件</w:t>
            </w:r>
            <w:r>
              <w:rPr>
                <w:rFonts w:hint="eastAsia"/>
                <w:sz w:val="24"/>
                <w:highlight w:val="none"/>
              </w:rPr>
              <w:t xml:space="preserve">：</w:t>
            </w:r>
            <w:r>
              <w:rPr>
                <w:sz w:val="24"/>
                <w:highlight w:val="none"/>
              </w:rPr>
            </w:r>
            <w:r/>
          </w:p>
          <w:p>
            <w:pPr>
              <w:pStyle w:val="1137"/>
              <w:widowControl/>
              <w:rPr>
                <w:rFonts w:ascii="宋体" w:hAnsi="宋体" w:cs="宋体"/>
                <w:sz w:val="24"/>
                <w:highlight w:val="none"/>
              </w:rPr>
            </w:pPr>
            <w:r>
              <w:rPr>
                <w:rFonts w:hint="eastAsia" w:ascii="宋体" w:hAnsi="宋体" w:cs="宋体"/>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宋体" w:hAnsi="宋体" w:cs="宋体"/>
                <w:sz w:val="24"/>
                <w:highlight w:val="none"/>
              </w:rPr>
            </w:r>
            <w:r/>
          </w:p>
          <w:p>
            <w:pPr>
              <w:pStyle w:val="1137"/>
              <w:widowControl/>
              <w:rPr>
                <w:rFonts w:ascii="宋体" w:hAnsi="宋体" w:cs="宋体"/>
                <w:sz w:val="24"/>
                <w:highlight w:val="none"/>
              </w:rPr>
            </w:pPr>
            <w:r>
              <w:rPr>
                <w:rFonts w:hint="eastAsia" w:ascii="宋体" w:hAnsi="宋体" w:cs="宋体"/>
                <w:sz w:val="24"/>
                <w:highlight w:val="none"/>
              </w:rPr>
              <w:t xml:space="preserve">2）投标产品如涉及计算机信息系统安全专用产品的，须提供公安部颁发的计算机信息系统安全专用产品销售许可证；</w:t>
            </w:r>
            <w:r>
              <w:rPr>
                <w:rFonts w:ascii="宋体" w:hAnsi="宋体" w:cs="宋体"/>
                <w:sz w:val="24"/>
                <w:highlight w:val="none"/>
              </w:rPr>
            </w:r>
            <w:r/>
          </w:p>
          <w:p>
            <w:pPr>
              <w:pStyle w:val="1137"/>
              <w:widowControl/>
              <w:rPr>
                <w:rFonts w:ascii="宋体" w:hAnsi="宋体" w:cs="宋体"/>
                <w:sz w:val="24"/>
                <w:highlight w:val="none"/>
              </w:rPr>
            </w:pPr>
            <w:r>
              <w:rPr>
                <w:rFonts w:hint="eastAsia" w:ascii="宋体" w:hAnsi="宋体" w:cs="宋体"/>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13</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公平竞争</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b/>
                <w:bCs/>
                <w:sz w:val="24"/>
                <w:highlight w:val="none"/>
              </w:rPr>
              <w:t xml:space="preserve">（由评委审查，无需投标人提供材料）</w:t>
            </w:r>
            <w:r>
              <w:rPr>
                <w:rFonts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14</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串通投标</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rPr>
                <w:rFonts w:hint="eastAsia" w:ascii="宋体" w:hAnsi="宋体"/>
                <w:b/>
                <w:bCs/>
                <w:sz w:val="24"/>
                <w:highlight w:val="none"/>
              </w:rPr>
              <w:t xml:space="preserve">（由评委审查，无需投标人提供材料）</w:t>
            </w:r>
            <w:r>
              <w:rPr>
                <w:rFonts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15</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附加条件</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投标文件未含有采购人不能接受的附加条件的；</w:t>
            </w:r>
            <w:r>
              <w:rPr>
                <w:rFonts w:hint="eastAsia" w:ascii="宋体" w:hAnsi="宋体"/>
                <w:b/>
                <w:bCs/>
                <w:sz w:val="24"/>
                <w:highlight w:val="none"/>
              </w:rPr>
              <w:t xml:space="preserve">（由评委审查，无需投标人提供材料）</w:t>
            </w:r>
            <w:r>
              <w:rPr>
                <w:rFonts w:ascii="宋体" w:hAnsi="宋体" w:cs="宋体"/>
                <w:sz w:val="24"/>
                <w:highlight w:val="none"/>
              </w:rPr>
            </w:r>
            <w:r/>
          </w:p>
        </w:tc>
      </w:tr>
      <w:tr>
        <w:trPr>
          <w:trHeight w:val="998"/>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16</w:t>
            </w:r>
            <w:r>
              <w:rPr>
                <w:rFonts w:ascii="宋体" w:hAnsi="宋体" w:cs="宋体"/>
                <w:sz w:val="24"/>
                <w:highlight w:val="none"/>
              </w:rPr>
            </w:r>
            <w:r/>
          </w:p>
        </w:tc>
        <w:tc>
          <w:tcPr>
            <w:tcW w:w="955" w:type="dxa"/>
            <w:vAlign w:val="center"/>
            <w:textDirection w:val="lrTb"/>
            <w:noWrap w:val="false"/>
          </w:tcPr>
          <w:p>
            <w:pPr>
              <w:pStyle w:val="1137"/>
              <w:jc w:val="center"/>
              <w:widowControl/>
              <w:rPr>
                <w:rFonts w:hint="eastAsia" w:ascii="宋体" w:hAnsi="宋体" w:cs="宋体"/>
                <w:sz w:val="24"/>
                <w:highlight w:val="none"/>
              </w:rPr>
            </w:pPr>
            <w:r>
              <w:rPr>
                <w:rFonts w:hint="eastAsia" w:ascii="宋体" w:hAnsi="宋体" w:cs="宋体"/>
                <w:sz w:val="24"/>
                <w:highlight w:val="none"/>
              </w:rPr>
              <w:t xml:space="preserve">是否参与后续评审</w:t>
            </w:r>
            <w:r>
              <w:rPr>
                <w:rFonts w:hint="eastAsia" w:ascii="宋体" w:hAnsi="宋体" w:cs="宋体"/>
                <w:sz w:val="24"/>
                <w:highlight w:val="none"/>
              </w:rPr>
            </w:r>
            <w:r/>
          </w:p>
        </w:tc>
        <w:tc>
          <w:tcPr>
            <w:tcW w:w="3585" w:type="dxa"/>
            <w:vAlign w:val="center"/>
            <w:textDirection w:val="lrTb"/>
            <w:noWrap w:val="false"/>
          </w:tcPr>
          <w:p>
            <w:pPr>
              <w:pStyle w:val="1137"/>
              <w:widowControl/>
              <w:rPr>
                <w:rFonts w:hint="eastAsia" w:ascii="宋体" w:hAnsi="宋体" w:cs="宋体"/>
                <w:sz w:val="24"/>
                <w:highlight w:val="none"/>
              </w:rPr>
            </w:pPr>
            <w:r>
              <w:rPr>
                <w:rFonts w:hint="eastAsia" w:ascii="宋体" w:hAnsi="宋体" w:cs="宋体"/>
                <w:sz w:val="24"/>
                <w:highlight w:val="none"/>
              </w:rPr>
              <w:t xml:space="preserve">本项目按采购包1、包2、包3的顺序进行评审并确定中标（成交）候选人,投标人如在前面的采购包中标（成交），后续采购包不再参加评审且不计入有效响应家数。</w:t>
            </w:r>
            <w:r>
              <w:rPr>
                <w:rFonts w:hint="eastAsia" w:ascii="宋体" w:hAnsi="宋体" w:cs="宋体"/>
                <w:sz w:val="24"/>
                <w:highlight w:val="none"/>
              </w:rPr>
            </w:r>
            <w:r/>
          </w:p>
        </w:tc>
      </w:tr>
      <w:tr>
        <w:trPr>
          <w:trHeight w:val="283"/>
        </w:trPr>
        <w:tc>
          <w:tcPr>
            <w:tcW w:w="458"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17</w:t>
            </w:r>
            <w:r>
              <w:rPr>
                <w:rFonts w:ascii="宋体" w:hAnsi="宋体" w:cs="宋体"/>
                <w:sz w:val="24"/>
                <w:highlight w:val="none"/>
              </w:rPr>
            </w:r>
            <w:r/>
          </w:p>
        </w:tc>
        <w:tc>
          <w:tcPr>
            <w:tcW w:w="955" w:type="dxa"/>
            <w:vAlign w:val="center"/>
            <w:textDirection w:val="lrTb"/>
            <w:noWrap w:val="false"/>
          </w:tcPr>
          <w:p>
            <w:pPr>
              <w:pStyle w:val="1137"/>
              <w:jc w:val="center"/>
              <w:widowControl/>
              <w:rPr>
                <w:rFonts w:ascii="宋体" w:hAnsi="宋体" w:cs="宋体"/>
                <w:sz w:val="24"/>
                <w:highlight w:val="none"/>
              </w:rPr>
            </w:pPr>
            <w:r>
              <w:rPr>
                <w:rFonts w:hint="eastAsia" w:ascii="宋体" w:hAnsi="宋体" w:cs="宋体"/>
                <w:sz w:val="24"/>
                <w:highlight w:val="none"/>
              </w:rPr>
              <w:t xml:space="preserve">其他无效情形</w:t>
            </w:r>
            <w:r>
              <w:rPr>
                <w:rFonts w:ascii="宋体" w:hAnsi="宋体" w:cs="宋体"/>
                <w:sz w:val="24"/>
                <w:highlight w:val="none"/>
              </w:rPr>
            </w:r>
            <w:r/>
          </w:p>
        </w:tc>
        <w:tc>
          <w:tcPr>
            <w:tcW w:w="3585" w:type="dxa"/>
            <w:vAlign w:val="center"/>
            <w:textDirection w:val="lrTb"/>
            <w:noWrap w:val="false"/>
          </w:tcPr>
          <w:p>
            <w:pPr>
              <w:pStyle w:val="1137"/>
              <w:widowControl/>
              <w:rPr>
                <w:rFonts w:ascii="宋体" w:hAnsi="宋体" w:cs="宋体"/>
                <w:sz w:val="24"/>
                <w:highlight w:val="none"/>
              </w:rPr>
            </w:pPr>
            <w:r>
              <w:rPr>
                <w:rFonts w:hint="eastAsia" w:ascii="宋体" w:hAnsi="宋体" w:cs="宋体"/>
                <w:sz w:val="24"/>
                <w:highlight w:val="none"/>
              </w:rPr>
              <w:t xml:space="preserve">投标人、投标文件不存在不符合法律、法规和招标文件规定的其他无效情形。</w:t>
            </w:r>
            <w:r>
              <w:rPr>
                <w:rFonts w:hint="eastAsia" w:ascii="宋体" w:hAnsi="宋体"/>
                <w:b/>
                <w:bCs/>
                <w:sz w:val="24"/>
                <w:highlight w:val="none"/>
              </w:rPr>
              <w:t xml:space="preserve">（由评委审查，无需投标人提供材料）</w:t>
            </w:r>
            <w:r>
              <w:rPr>
                <w:rFonts w:ascii="宋体" w:hAnsi="宋体" w:cs="宋体"/>
                <w:sz w:val="24"/>
                <w:highlight w:val="none"/>
              </w:rPr>
            </w:r>
            <w:r/>
          </w:p>
        </w:tc>
      </w:tr>
    </w:tbl>
    <w:p>
      <w:pPr>
        <w:pStyle w:val="1137"/>
        <w:numPr>
          <w:ilvl w:val="0"/>
          <w:numId w:val="10"/>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投标文件有关事项的澄清或者说明</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highlight w:val="none"/>
        </w:rPr>
        <w:t xml:space="preserve">无效投标处理</w:t>
      </w:r>
      <w:r>
        <w:rPr>
          <w:rFonts w:hint="eastAsia" w:ascii="宋体" w:hAnsi="宋体" w:cs="宋体"/>
          <w:sz w:val="24"/>
          <w:highlight w:val="none"/>
        </w:rPr>
        <w:t xml:space="preserve">。</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投标文件报价出现前后不一致的，按照下列规定修正：</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招标文件对于报价修正是否另有规定：</w:t>
      </w:r>
      <w:r>
        <w:rPr>
          <w:rFonts w:ascii="宋体" w:hAnsi="宋体" w:cs="宋体"/>
          <w:sz w:val="24"/>
          <w:highlight w:val="none"/>
        </w:rPr>
      </w:r>
      <w:r/>
    </w:p>
    <w:p>
      <w:pPr>
        <w:pStyle w:val="1137"/>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□有，具体规定为：______________</w:t>
      </w:r>
      <w:r>
        <w:rPr>
          <w:rFonts w:ascii="宋体" w:hAnsi="宋体" w:cs="宋体"/>
          <w:sz w:val="24"/>
          <w:highlight w:val="none"/>
          <w:u w:val="single"/>
        </w:rPr>
      </w:r>
      <w:r/>
    </w:p>
    <w:p>
      <w:pPr>
        <w:pStyle w:val="1137"/>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■无，按下述2.4.2-2.4.7项规定修正。</w:t>
      </w:r>
      <w:r>
        <w:rPr>
          <w:rFonts w:ascii="宋体" w:hAnsi="宋体" w:cs="宋体"/>
          <w:sz w:val="24"/>
          <w:highlight w:val="none"/>
        </w:rPr>
      </w:r>
      <w:r/>
    </w:p>
    <w:p>
      <w:pPr>
        <w:pStyle w:val="1137"/>
        <w:numPr>
          <w:ilvl w:val="2"/>
          <w:numId w:val="10"/>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单独递交的开标一览表（报价表）与投标文件中开标一览表（报价表）内容不一致的，以单独递交的开标一览表（报价表）为准；</w:t>
      </w:r>
      <w:r>
        <w:rPr>
          <w:rFonts w:ascii="宋体" w:hAnsi="宋体" w:cs="宋体"/>
          <w:sz w:val="24"/>
          <w:highlight w:val="none"/>
        </w:rPr>
      </w:r>
      <w:r/>
    </w:p>
    <w:p>
      <w:pPr>
        <w:pStyle w:val="1137"/>
        <w:numPr>
          <w:ilvl w:val="2"/>
          <w:numId w:val="10"/>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投标文件中开标一览表（报价表）内容与投标文件中相应内容不一致的，以开标一览表（报价表）为准；</w:t>
      </w:r>
      <w:r>
        <w:rPr>
          <w:rFonts w:ascii="宋体" w:hAnsi="宋体" w:cs="宋体"/>
          <w:sz w:val="24"/>
          <w:highlight w:val="none"/>
        </w:rPr>
      </w:r>
      <w:r/>
    </w:p>
    <w:p>
      <w:pPr>
        <w:pStyle w:val="1137"/>
        <w:numPr>
          <w:ilvl w:val="2"/>
          <w:numId w:val="10"/>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大写金额和小写金额不一致的，以大写金额为准；</w:t>
      </w:r>
      <w:r>
        <w:rPr>
          <w:rFonts w:ascii="宋体" w:hAnsi="宋体" w:cs="宋体"/>
          <w:sz w:val="24"/>
          <w:highlight w:val="none"/>
        </w:rPr>
      </w:r>
      <w:r/>
    </w:p>
    <w:p>
      <w:pPr>
        <w:pStyle w:val="1137"/>
        <w:numPr>
          <w:ilvl w:val="2"/>
          <w:numId w:val="10"/>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单价金额小数点或者百分比有明显错位的，以开标一览表的总价为准，并修改单价；</w:t>
      </w:r>
      <w:r>
        <w:rPr>
          <w:rFonts w:ascii="宋体" w:hAnsi="宋体" w:cs="宋体"/>
          <w:sz w:val="24"/>
          <w:highlight w:val="none"/>
        </w:rPr>
      </w:r>
      <w:r/>
    </w:p>
    <w:p>
      <w:pPr>
        <w:pStyle w:val="1137"/>
        <w:numPr>
          <w:ilvl w:val="2"/>
          <w:numId w:val="10"/>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落实政府采购政策的价格调整：只有符合第二章《投标人须知》5.2条规定情形的，可以享受中小企业扶持政策，用扣除后的价格参加评审；否则，评标时价格不予扣除。</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b/>
          <w:bCs/>
          <w:sz w:val="24"/>
          <w:highlight w:val="none"/>
          <w:u w:val="single"/>
        </w:rPr>
        <w:t xml:space="preserve">20</w:t>
      </w:r>
      <w:r>
        <w:rPr>
          <w:rFonts w:hint="eastAsia" w:ascii="宋体" w:hAnsi="宋体" w:cs="宋体"/>
          <w:b/>
          <w:bCs/>
          <w:sz w:val="24"/>
          <w:highlight w:val="none"/>
        </w:rPr>
        <w:t xml:space="preserve">%</w:t>
      </w:r>
      <w:r>
        <w:rPr>
          <w:rFonts w:hint="eastAsia" w:ascii="宋体" w:hAnsi="宋体" w:cs="宋体"/>
          <w:sz w:val="24"/>
          <w:highlight w:val="none"/>
        </w:rPr>
        <w:t xml:space="preserve">的扣除，用扣除后的价格参加评审。</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中小企业参加政府采购活动，应当按照招标文件给定的格式出具《中小企业声明函》，否则不得享受相关中小企业扶持政策。</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残疾人福利性单位按招标文件要求提供了《残疾人福利性单位声明函》（见附件）的，视同小微企业。</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若投标人同时属于小型或微型企业、监狱企业、残疾人福利性单位中的两种及以上，将不重复享受小微企业价格扣减的优惠政策。</w:t>
      </w:r>
      <w:r>
        <w:rPr>
          <w:rFonts w:ascii="宋体" w:hAnsi="宋体" w:cs="宋体"/>
          <w:sz w:val="24"/>
          <w:highlight w:val="none"/>
        </w:rPr>
      </w:r>
      <w:r/>
    </w:p>
    <w:p>
      <w:pPr>
        <w:pStyle w:val="1137"/>
        <w:numPr>
          <w:ilvl w:val="0"/>
          <w:numId w:val="10"/>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投标文件的比较和评价</w:t>
      </w:r>
      <w:bookmarkEnd w:id="337"/>
      <w:r/>
      <w:bookmarkEnd w:id="338"/>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评标方法和评标标准</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本项目采用的评标方法为：</w:t>
      </w:r>
      <w:r>
        <w:rPr>
          <w:rFonts w:ascii="宋体" w:hAnsi="宋体" w:cs="宋体"/>
          <w:sz w:val="24"/>
          <w:highlight w:val="none"/>
        </w:rPr>
      </w:r>
      <w:r/>
    </w:p>
    <w:p>
      <w:pPr>
        <w:pStyle w:val="1137"/>
        <w:ind w:firstLine="480"/>
        <w:spacing w:line="400" w:lineRule="exact"/>
        <w:tabs>
          <w:tab w:val="left" w:pos="900" w:leader="none"/>
          <w:tab w:val="left" w:pos="1589" w:leader="none"/>
          <w:tab w:val="left" w:pos="1701" w:leader="none"/>
        </w:tabs>
        <w:rPr>
          <w:rFonts w:ascii="宋体" w:hAnsi="宋体" w:cs="宋体"/>
          <w:sz w:val="24"/>
          <w:highlight w:val="none"/>
        </w:rPr>
      </w:pP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cs="宋体"/>
          <w:sz w:val="24"/>
          <w:highlight w:val="none"/>
        </w:rPr>
      </w:r>
      <w:r/>
    </w:p>
    <w:p>
      <w:pPr>
        <w:pStyle w:val="1137"/>
        <w:ind w:firstLine="480"/>
        <w:spacing w:line="400" w:lineRule="exact"/>
        <w:tabs>
          <w:tab w:val="left" w:pos="900" w:leader="none"/>
          <w:tab w:val="left" w:pos="1589" w:leader="none"/>
          <w:tab w:val="left" w:pos="1701" w:leader="none"/>
        </w:tabs>
        <w:rPr>
          <w:rFonts w:ascii="宋体" w:hAnsi="宋体" w:cs="宋体"/>
          <w:sz w:val="24"/>
          <w:highlight w:val="none"/>
        </w:rPr>
      </w:pPr>
      <w:r>
        <w:rPr>
          <w:rFonts w:hint="eastAsia" w:ascii="宋体" w:hAnsi="宋体" w:cs="宋体"/>
          <w:sz w:val="24"/>
          <w:highlight w:val="none"/>
        </w:rPr>
        <w:t xml:space="preserve">□最低评标价法，指投标文件满足招标文件全部实质性要求，且投标报价最低的投标人为中标候选人的评标方法。</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37"/>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□随机抽取</w:t>
      </w:r>
      <w:r>
        <w:rPr>
          <w:rFonts w:ascii="宋体" w:hAnsi="宋体" w:cs="宋体"/>
          <w:sz w:val="24"/>
          <w:highlight w:val="none"/>
        </w:rPr>
      </w:r>
      <w:r/>
    </w:p>
    <w:p>
      <w:pPr>
        <w:pStyle w:val="1137"/>
        <w:ind w:firstLine="480"/>
        <w:spacing w:line="400" w:lineRule="exact"/>
        <w:tabs>
          <w:tab w:val="left" w:pos="1080" w:leader="none"/>
          <w:tab w:val="left" w:pos="1589" w:leader="none"/>
          <w:tab w:val="left" w:pos="2035" w:leader="none"/>
        </w:tabs>
        <w:rPr>
          <w:rFonts w:ascii="宋体" w:hAnsi="宋体" w:cs="宋体"/>
          <w:sz w:val="24"/>
          <w:highlight w:val="none"/>
          <w:u w:val="single"/>
        </w:rPr>
      </w:pPr>
      <w:r>
        <w:rPr>
          <w:rFonts w:hint="eastAsia" w:ascii="宋体" w:hAnsi="宋体" w:cs="宋体"/>
          <w:sz w:val="24"/>
          <w:highlight w:val="none"/>
        </w:rPr>
        <w:t xml:space="preserve">□其他方式，具体要求：__/___</w:t>
      </w:r>
      <w:r>
        <w:rPr>
          <w:rFonts w:ascii="宋体" w:hAnsi="宋体" w:cs="宋体"/>
          <w:sz w:val="24"/>
          <w:highlight w:val="none"/>
          <w:u w:val="singl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非政府强制采购的节能产品或环境标志产品，依据品目清单和认证证书实施政府优先采购。优先采购的具体规定（如涉及）__/___。</w:t>
      </w:r>
      <w:r>
        <w:rPr>
          <w:rFonts w:ascii="宋体" w:hAnsi="宋体" w:cs="宋体"/>
          <w:sz w:val="24"/>
          <w:highlight w:val="none"/>
        </w:rPr>
      </w:r>
      <w:r/>
    </w:p>
    <w:p>
      <w:pPr>
        <w:pStyle w:val="1137"/>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关于无线局域网认证产品政府采购清单中的产品，优先采购的具体规定（如涉及）__/__。</w:t>
      </w:r>
      <w:r>
        <w:rPr>
          <w:rFonts w:ascii="宋体" w:hAnsi="宋体" w:cs="宋体"/>
          <w:sz w:val="24"/>
          <w:highlight w:val="none"/>
        </w:rPr>
      </w:r>
      <w:r/>
    </w:p>
    <w:p>
      <w:pPr>
        <w:pStyle w:val="1137"/>
        <w:numPr>
          <w:ilvl w:val="0"/>
          <w:numId w:val="10"/>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确定</w:t>
      </w:r>
      <w:bookmarkStart w:id="353" w:name="_Toc150480784"/>
      <w:r/>
      <w:bookmarkStart w:id="354" w:name="_Toc127151546"/>
      <w:r/>
      <w:bookmarkStart w:id="355" w:name="_Toc265228384"/>
      <w:r/>
      <w:bookmarkStart w:id="356" w:name="_Toc305158814"/>
      <w:r/>
      <w:bookmarkStart w:id="357" w:name="_Toc164351640"/>
      <w:r/>
      <w:bookmarkStart w:id="358" w:name="_Toc151193716"/>
      <w:r/>
      <w:bookmarkStart w:id="359" w:name="_Toc226965736"/>
      <w:r/>
      <w:bookmarkStart w:id="360" w:name="_Toc226309790"/>
      <w:r/>
      <w:bookmarkStart w:id="361" w:name="_Toc127151747"/>
      <w:r/>
      <w:bookmarkStart w:id="362" w:name="_Toc150774646"/>
      <w:r/>
      <w:bookmarkStart w:id="363" w:name="_Toc150774751"/>
      <w:r/>
      <w:bookmarkStart w:id="364" w:name="_Toc151193644"/>
      <w:r/>
      <w:bookmarkStart w:id="365" w:name="_Toc226965819"/>
      <w:r/>
      <w:bookmarkStart w:id="366" w:name="_Toc150509297"/>
      <w:r/>
      <w:bookmarkStart w:id="367" w:name="_Toc164229387"/>
      <w:r/>
      <w:bookmarkStart w:id="368" w:name="_Toc151193860"/>
      <w:r/>
      <w:bookmarkStart w:id="369" w:name="_Toc151193788"/>
      <w:r/>
      <w:bookmarkStart w:id="370" w:name="_Toc149720839"/>
      <w:r/>
      <w:bookmarkStart w:id="371" w:name="_Toc264969236"/>
      <w:r/>
      <w:bookmarkStart w:id="372" w:name="_Ref467307010"/>
      <w:r/>
      <w:bookmarkStart w:id="373" w:name="_Toc164608660"/>
      <w:r/>
      <w:bookmarkStart w:id="374" w:name="_Toc142311048"/>
      <w:r/>
      <w:bookmarkStart w:id="375" w:name="_Toc195842911"/>
      <w:r/>
      <w:bookmarkStart w:id="376" w:name="_Toc127161460"/>
      <w:r/>
      <w:bookmarkStart w:id="377" w:name="_Toc151190173"/>
      <w:r/>
      <w:bookmarkStart w:id="378" w:name="_Toc520356170"/>
      <w:r/>
      <w:bookmarkStart w:id="379" w:name="_Toc305158888"/>
      <w:r/>
      <w:bookmarkStart w:id="380" w:name="_Toc151193934"/>
      <w:r/>
      <w:bookmarkStart w:id="381" w:name="_Toc164608815"/>
      <w:r/>
      <w:bookmarkStart w:id="382" w:name="_Toc164229241"/>
      <w:r/>
      <w:bookmarkStart w:id="383" w:name="_Toc226337242"/>
      <w:r>
        <w:rPr>
          <w:rFonts w:hint="eastAsia" w:ascii="宋体" w:hAnsi="宋体" w:cs="宋体"/>
          <w:sz w:val="24"/>
          <w:highlight w:val="none"/>
        </w:rPr>
        <w:t xml:space="preserve">中标候选人名单</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s="宋体"/>
          <w:sz w:val="24"/>
          <w:highlight w:val="none"/>
        </w:rPr>
      </w:r>
      <w:r/>
    </w:p>
    <w:p>
      <w:pPr>
        <w:pStyle w:val="1173"/>
        <w:ind w:firstLine="480"/>
        <w:spacing w:line="400" w:lineRule="exact"/>
        <w:tabs>
          <w:tab w:val="left" w:pos="900" w:leader="none"/>
          <w:tab w:val="left" w:pos="2127" w:leader="none"/>
        </w:tabs>
        <w:rPr>
          <w:rFonts w:hAnsi="宋体" w:cs="宋体"/>
          <w:sz w:val="24"/>
          <w:szCs w:val="24"/>
          <w:highlight w:val="none"/>
        </w:rPr>
      </w:pPr>
      <w:r>
        <w:rPr>
          <w:rFonts w:hAnsi="宋体" w:cs="宋体"/>
          <w:sz w:val="24"/>
          <w:szCs w:val="24"/>
          <w:highlight w:val="none"/>
        </w:rPr>
        <w:t xml:space="preserve">■随机抽取</w:t>
      </w:r>
      <w:r>
        <w:rPr>
          <w:rFonts w:hAnsi="宋体" w:cs="宋体"/>
          <w:sz w:val="24"/>
          <w:szCs w:val="24"/>
          <w:highlight w:val="none"/>
        </w:rPr>
      </w:r>
      <w:r/>
    </w:p>
    <w:p>
      <w:pPr>
        <w:pStyle w:val="1173"/>
        <w:ind w:firstLine="480"/>
        <w:spacing w:line="400" w:lineRule="exact"/>
        <w:tabs>
          <w:tab w:val="left" w:pos="900" w:leader="none"/>
          <w:tab w:val="left" w:pos="2127" w:leader="none"/>
        </w:tabs>
        <w:rPr>
          <w:rFonts w:hAnsi="宋体" w:cs="宋体"/>
          <w:sz w:val="24"/>
          <w:szCs w:val="24"/>
          <w:highlight w:val="none"/>
        </w:rPr>
      </w:pPr>
      <w:r>
        <w:rPr>
          <w:rFonts w:hAnsi="宋体" w:cs="宋体"/>
          <w:sz w:val="24"/>
          <w:szCs w:val="24"/>
          <w:highlight w:val="none"/>
        </w:rPr>
        <w:t xml:space="preserve">□其他方式，具体要求：_____</w:t>
      </w:r>
      <w:r>
        <w:rPr>
          <w:rFonts w:hAnsi="宋体" w:cs="宋体"/>
          <w:sz w:val="24"/>
          <w:szCs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评标委员会要对评分汇总情况进行复核，特别是对排名第一的、报价最低的、投标或响应文件被认定为无效的情形进行重点复核。</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评标委员会将根据各投标人的评标排序，依次推荐本项目（各采购包）的中标候选人，起草并签署评标报告。本项目（各采购包）评标委员会共（各）推荐1名中标候选人。</w:t>
      </w:r>
      <w:r>
        <w:rPr>
          <w:rFonts w:ascii="宋体" w:hAnsi="宋体" w:cs="宋体"/>
          <w:sz w:val="24"/>
          <w:highlight w:val="none"/>
        </w:rPr>
      </w:r>
      <w:r/>
    </w:p>
    <w:p>
      <w:pPr>
        <w:pStyle w:val="1137"/>
        <w:numPr>
          <w:ilvl w:val="0"/>
          <w:numId w:val="10"/>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报告违法行为</w:t>
      </w:r>
      <w:r>
        <w:rPr>
          <w:rFonts w:ascii="宋体" w:hAnsi="宋体" w:cs="宋体"/>
          <w:sz w:val="24"/>
          <w:highlight w:val="none"/>
        </w:rPr>
      </w:r>
      <w:r/>
    </w:p>
    <w:p>
      <w:pPr>
        <w:pStyle w:val="1137"/>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评标委员会在评标过程中发现投标人有行贿、提供虚假材料或者串通等违法行为时，有向采购人、采购代理机构或者有关部门报告的职责。</w:t>
      </w:r>
      <w:r>
        <w:rPr>
          <w:rFonts w:ascii="宋体" w:hAnsi="宋体" w:cs="宋体"/>
          <w:sz w:val="24"/>
          <w:highlight w:val="none"/>
        </w:rPr>
      </w:r>
      <w:r/>
    </w:p>
    <w:p>
      <w:pPr>
        <w:pStyle w:val="1137"/>
        <w:jc w:val="left"/>
        <w:widowControl/>
        <w:rPr>
          <w:b/>
          <w:sz w:val="24"/>
          <w:highlight w:val="none"/>
        </w:rPr>
      </w:pPr>
      <w:r>
        <w:rPr>
          <w:b/>
          <w:sz w:val="24"/>
          <w:highlight w:val="none"/>
        </w:rPr>
        <w:br w:type="page" w:clear="all"/>
      </w:r>
      <w:r>
        <w:rPr>
          <w:b/>
          <w:sz w:val="24"/>
          <w:highlight w:val="none"/>
        </w:rPr>
      </w:r>
      <w:r/>
    </w:p>
    <w:p>
      <w:pPr>
        <w:pStyle w:val="1137"/>
        <w:jc w:val="center"/>
        <w:spacing w:line="360" w:lineRule="auto"/>
        <w:tabs>
          <w:tab w:val="left" w:pos="360" w:leader="none"/>
          <w:tab w:val="left" w:pos="900" w:leader="none"/>
        </w:tabs>
        <w:rPr>
          <w:b/>
          <w:highlight w:val="none"/>
        </w:rPr>
        <w:outlineLvl w:val="1"/>
      </w:pPr>
      <w:r>
        <w:rPr>
          <w:b/>
          <w:sz w:val="24"/>
          <w:highlight w:val="none"/>
        </w:rPr>
        <w:t xml:space="preserve">二、评标标准</w:t>
      </w:r>
      <w:r>
        <w:rPr>
          <w:b/>
          <w:highlight w:val="none"/>
        </w:rPr>
      </w:r>
      <w:r/>
    </w:p>
    <w:p>
      <w:pPr>
        <w:pStyle w:val="1137"/>
        <w:ind w:firstLine="480"/>
        <w:spacing w:line="400" w:lineRule="exact"/>
        <w:rPr>
          <w:rFonts w:hint="eastAsia" w:ascii="宋体" w:hAnsi="宋体" w:cs="宋体"/>
          <w:sz w:val="24"/>
          <w:highlight w:val="none"/>
        </w:rPr>
      </w:pPr>
      <w:r/>
      <w:bookmarkStart w:id="384" w:name="_Toc9184"/>
      <w:r>
        <w:rPr>
          <w:rFonts w:hint="eastAsia" w:ascii="宋体" w:hAnsi="宋体" w:cs="宋体"/>
          <w:sz w:val="24"/>
          <w:highlight w:val="none"/>
        </w:rPr>
        <w:t xml:space="preserve">本项目根据站点的地域分布，分为3个采购包，供应商可选择1个采购包或多个采购包进行响应，兼投不兼中，1家供应商</w:t>
      </w:r>
      <w:r>
        <w:rPr>
          <w:rFonts w:hint="eastAsia" w:ascii="宋体" w:hAnsi="宋体" w:cs="宋体"/>
          <w:sz w:val="24"/>
          <w:highlight w:val="none"/>
        </w:rPr>
        <w:t xml:space="preserve">只能成交1个采购包。本项目按采购包1、包2、包3的顺序进行评审并确定中标（成交）候选人,供应商如在前面的采购包中标（成交），后续采购包不再参加评审且不计入有效响应家数。</w:t>
      </w:r>
      <w:r>
        <w:rPr>
          <w:rFonts w:hint="eastAsia" w:ascii="宋体" w:hAnsi="宋体" w:cs="宋体"/>
          <w:sz w:val="24"/>
          <w:highlight w:val="none"/>
        </w:rPr>
      </w:r>
      <w:r/>
    </w:p>
    <w:p>
      <w:pPr>
        <w:pStyle w:val="1159"/>
        <w:spacing w:line="400" w:lineRule="exact"/>
        <w:rPr>
          <w:rFonts w:hint="eastAsia" w:hAnsi="宋体" w:cs="宋体"/>
          <w:b/>
          <w:bCs/>
          <w:highlight w:val="none"/>
        </w:rPr>
      </w:pPr>
      <w:r>
        <w:rPr>
          <w:rFonts w:hint="eastAsia" w:hAnsi="宋体" w:cs="宋体"/>
          <w:b/>
          <w:bCs/>
          <w:highlight w:val="none"/>
        </w:rPr>
        <w:t xml:space="preserve">以下评分标准采购包1、采购包2、采购包3同时适用：</w:t>
      </w:r>
      <w:r>
        <w:rPr>
          <w:rFonts w:hint="eastAsia" w:hAnsi="宋体" w:cs="宋体"/>
          <w:b/>
          <w:bCs/>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257"/>
        <w:gridCol w:w="705"/>
        <w:gridCol w:w="7293"/>
      </w:tblGrid>
      <w:tr>
        <w:trPr>
          <w:trHeight w:val="368"/>
          <w:tblHeader/>
        </w:trPr>
        <w:tc>
          <w:tcPr>
            <w:tcW w:w="351"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评分因素</w:t>
            </w:r>
            <w:r>
              <w:rPr>
                <w:rFonts w:hint="eastAsia" w:ascii="宋体" w:hAnsi="宋体" w:cs="宋体"/>
                <w:b/>
                <w:bCs/>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分值</w:t>
            </w:r>
            <w:r>
              <w:rPr>
                <w:rFonts w:hint="eastAsia" w:ascii="宋体" w:hAnsi="宋体" w:cs="宋体"/>
                <w:b/>
                <w:bCs/>
                <w:sz w:val="24"/>
                <w:highlight w:val="none"/>
              </w:rPr>
            </w:r>
            <w:r/>
          </w:p>
        </w:tc>
        <w:tc>
          <w:tcPr>
            <w:tcW w:w="3662"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评分标准</w:t>
            </w:r>
            <w:r>
              <w:rPr>
                <w:rFonts w:hint="eastAsia" w:ascii="宋体" w:hAnsi="宋体" w:cs="宋体"/>
                <w:b/>
                <w:bCs/>
                <w:sz w:val="24"/>
                <w:highlight w:val="none"/>
              </w:rPr>
            </w:r>
            <w:r/>
          </w:p>
        </w:tc>
      </w:tr>
      <w:tr>
        <w:trPr>
          <w:trHeight w:val="1099"/>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15</w:t>
            </w:r>
            <w:r>
              <w:rPr>
                <w:rFonts w:hint="eastAsia" w:ascii="宋体" w:hAnsi="宋体" w:cs="宋体"/>
                <w:sz w:val="24"/>
                <w:highlight w:val="none"/>
              </w:rPr>
            </w:r>
            <w:r/>
          </w:p>
        </w:tc>
        <w:tc>
          <w:tcPr>
            <w:tcW w:w="3662" w:type="dxa"/>
            <w:vAlign w:val="center"/>
            <w:textDirection w:val="lrTb"/>
            <w:noWrap w:val="false"/>
          </w:tcPr>
          <w:p>
            <w:pPr>
              <w:pStyle w:val="1137"/>
              <w:spacing w:line="360" w:lineRule="exact"/>
              <w:rPr>
                <w:rFonts w:hint="eastAsia" w:ascii="宋体" w:hAnsi="宋体" w:cs="宋体"/>
                <w:sz w:val="24"/>
                <w:highlight w:val="none"/>
              </w:rPr>
            </w:pPr>
            <w:r>
              <w:rPr>
                <w:rFonts w:hint="eastAsia" w:ascii="宋体" w:hAnsi="宋体" w:cs="宋体"/>
                <w:sz w:val="24"/>
                <w:highlight w:val="none"/>
              </w:rPr>
              <w:t xml:space="preserve">满足采购文件要求且最终报价最低的报价为评标基准价，其价格分为满分。其他供应商的价格分统一按照下列公式计算：价格分得分＝（评标基准价/最终报价）×分值。</w:t>
            </w:r>
            <w:r>
              <w:rPr>
                <w:rFonts w:hint="eastAsia" w:ascii="宋体" w:hAnsi="宋体" w:cs="宋体"/>
                <w:sz w:val="24"/>
                <w:highlight w:val="none"/>
              </w:rPr>
            </w:r>
            <w:r/>
          </w:p>
          <w:p>
            <w:pPr>
              <w:pStyle w:val="1137"/>
              <w:spacing w:line="360" w:lineRule="exact"/>
              <w:rPr>
                <w:rFonts w:hint="eastAsia" w:ascii="宋体" w:hAnsi="宋体" w:cs="宋体"/>
                <w:b/>
                <w:bCs/>
                <w:sz w:val="24"/>
                <w:highlight w:val="none"/>
              </w:rPr>
            </w:pPr>
            <w:r>
              <w:rPr>
                <w:rFonts w:hint="eastAsia" w:ascii="宋体" w:hAnsi="宋体" w:cs="宋体"/>
                <w:b/>
                <w:bCs/>
                <w:sz w:val="24"/>
                <w:highlight w:val="none"/>
              </w:rPr>
              <w:t xml:space="preserve">本项目采购包1、包2、包3均专门面向中小企业采购，报价不作扣除。</w:t>
            </w:r>
            <w:r>
              <w:rPr>
                <w:rFonts w:hint="eastAsia" w:ascii="宋体" w:hAnsi="宋体" w:cs="宋体"/>
                <w:b/>
                <w:bCs/>
                <w:sz w:val="24"/>
                <w:highlight w:val="none"/>
              </w:rPr>
            </w:r>
            <w:r/>
          </w:p>
        </w:tc>
      </w:tr>
      <w:tr>
        <w:trPr>
          <w:trHeight w:val="422"/>
        </w:trPr>
        <w:tc>
          <w:tcPr>
            <w:tcW w:w="351"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主观分</w:t>
            </w:r>
            <w:r>
              <w:rPr>
                <w:rFonts w:hint="eastAsia" w:ascii="宋体" w:hAnsi="宋体" w:cs="宋体"/>
                <w:b/>
                <w:bCs/>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46</w:t>
            </w:r>
            <w:r>
              <w:rPr>
                <w:rFonts w:hint="eastAsia" w:ascii="宋体" w:hAnsi="宋体" w:cs="宋体"/>
                <w:b/>
                <w:bCs/>
                <w:sz w:val="24"/>
                <w:highlight w:val="none"/>
              </w:rPr>
            </w:r>
            <w:r/>
          </w:p>
        </w:tc>
        <w:tc>
          <w:tcPr>
            <w:tcW w:w="3662" w:type="dxa"/>
            <w:vAlign w:val="center"/>
            <w:textDirection w:val="lrTb"/>
            <w:noWrap w:val="false"/>
          </w:tcPr>
          <w:p>
            <w:pPr>
              <w:pStyle w:val="1137"/>
              <w:spacing w:line="360" w:lineRule="exact"/>
              <w:rPr>
                <w:rFonts w:hint="eastAsia" w:ascii="宋体" w:hAnsi="宋体" w:cs="宋体"/>
                <w:sz w:val="24"/>
                <w:highlight w:val="none"/>
              </w:rPr>
            </w:pPr>
            <w:r>
              <w:rPr>
                <w:rFonts w:hint="eastAsia" w:ascii="宋体" w:hAnsi="宋体" w:cs="宋体"/>
                <w:sz w:val="24"/>
                <w:highlight w:val="none"/>
              </w:rPr>
            </w:r>
            <w:r/>
          </w:p>
        </w:tc>
      </w:tr>
      <w:tr>
        <w:trPr>
          <w:trHeight w:val="958"/>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运维服务方案</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3662" w:type="dxa"/>
            <w:vAlign w:val="center"/>
            <w:textDirection w:val="lrTb"/>
            <w:noWrap w:val="false"/>
          </w:tcPr>
          <w:p>
            <w:pPr>
              <w:pStyle w:val="1137"/>
              <w:spacing w:line="360" w:lineRule="exact"/>
              <w:rPr>
                <w:rFonts w:hint="eastAsia" w:ascii="宋体" w:hAnsi="宋体" w:cs="宋体"/>
                <w:sz w:val="24"/>
                <w:highlight w:val="none"/>
              </w:rPr>
            </w:pPr>
            <w:r>
              <w:rPr>
                <w:rFonts w:hint="eastAsia" w:ascii="宋体" w:hAnsi="宋体" w:cs="宋体"/>
                <w:b/>
                <w:bCs/>
                <w:sz w:val="24"/>
                <w:highlight w:val="none"/>
              </w:rPr>
              <w:t xml:space="preserve">根据供应商为本项目建立的运维方案（包括但不限于职责分工、日常管理制度、备机日常维护管理制度、备品备件保障措施、水站运维管理体系文件配套情况、运维质量考核办法等内容。运维方案应内容详实、表述清晰、贴合需求，阐述分析准确，可操作性、针对性强）：</w:t>
            </w:r>
            <w:r>
              <w:rPr>
                <w:rFonts w:ascii="宋体" w:hAnsi="宋体" w:cs="宋体"/>
                <w:sz w:val="24"/>
                <w:highlight w:val="none"/>
              </w:rPr>
              <w:t xml:space="preserve">方案内容详实、表述清晰，对项目的需求认识精准全面，阐述分析准确，可操作性、针对性强，完全满足或优于项目要求的，得10分；方案内容较为完整，对项目的需求认识基本准确，阐述分析具体，方案较为合理、可行，满足项目要求的，得8分；提供了常规、通用的运维方案，但细节有待完善，与本项目的贴合程度一般，能满足项目实施要求的，得6分；方案简单粗糙，基本满足项目要求得4分；未提供或提供的运维方案无法满足项目要求的不得分</w:t>
            </w:r>
            <w:r>
              <w:rPr>
                <w:rFonts w:hint="eastAsia" w:ascii="宋体" w:hAnsi="宋体" w:cs="宋体"/>
                <w:sz w:val="24"/>
                <w:highlight w:val="none"/>
              </w:rPr>
              <w:t xml:space="preserve">。</w:t>
            </w:r>
            <w:r>
              <w:rPr>
                <w:rFonts w:hint="eastAsia" w:ascii="宋体" w:hAnsi="宋体" w:cs="宋体"/>
                <w:sz w:val="24"/>
                <w:highlight w:val="none"/>
              </w:rPr>
            </w:r>
            <w:r/>
          </w:p>
        </w:tc>
      </w:tr>
      <w:tr>
        <w:trPr>
          <w:trHeight w:val="958"/>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运维交接方案</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662" w:type="dxa"/>
            <w:vAlign w:val="center"/>
            <w:textDirection w:val="lrTb"/>
            <w:noWrap w:val="false"/>
          </w:tcPr>
          <w:p>
            <w:pPr>
              <w:pStyle w:val="1137"/>
              <w:spacing w:line="360" w:lineRule="exact"/>
              <w:rPr>
                <w:rFonts w:hint="eastAsia" w:ascii="宋体" w:hAnsi="宋体" w:cs="宋体"/>
                <w:b/>
                <w:bCs/>
                <w:sz w:val="24"/>
                <w:highlight w:val="none"/>
              </w:rPr>
            </w:pPr>
            <w:r>
              <w:rPr>
                <w:rFonts w:hint="eastAsia" w:ascii="宋体" w:hAnsi="宋体" w:cs="宋体"/>
                <w:b/>
                <w:bCs/>
                <w:sz w:val="24"/>
                <w:highlight w:val="none"/>
              </w:rPr>
              <w:t xml:space="preserve">供应商按所投采购包实际情况提供运维交接实施方案，至少包括时间人员安排、职责分工、交接内容、交接流程等内容，运维交接方案应内容详实、表述清晰、方案贴合需求、阐述分析准确，可操作性、针对性强。</w:t>
            </w:r>
            <w:r>
              <w:rPr>
                <w:rFonts w:hint="eastAsia" w:ascii="宋体" w:hAnsi="宋体" w:cs="宋体"/>
                <w:sz w:val="24"/>
                <w:highlight w:val="none"/>
              </w:rPr>
              <w:t xml:space="preserve">方</w:t>
            </w:r>
            <w:r>
              <w:rPr>
                <w:rFonts w:ascii="宋体" w:hAnsi="宋体" w:cs="宋体"/>
                <w:sz w:val="24"/>
                <w:highlight w:val="none"/>
              </w:rPr>
              <w:t xml:space="preserve">案内容详实、表述清晰，对项目的需求认识精准全面，阐述分析准确，可操作性、针对性强，完全满足或优于项目要求的，得</w:t>
            </w:r>
            <w:r>
              <w:rPr>
                <w:rFonts w:hint="eastAsia" w:ascii="宋体" w:hAnsi="宋体" w:cs="宋体"/>
                <w:sz w:val="24"/>
                <w:highlight w:val="none"/>
              </w:rPr>
              <w:t xml:space="preserve">8</w:t>
            </w:r>
            <w:r>
              <w:rPr>
                <w:rFonts w:ascii="宋体" w:hAnsi="宋体" w:cs="宋体"/>
                <w:sz w:val="24"/>
                <w:highlight w:val="none"/>
              </w:rPr>
              <w:t xml:space="preserve">分；方案内容较为完整，对项目的需求认识基本准确，阐述分析具体，方案较为合理、可行，满足项目要求的，得</w:t>
            </w:r>
            <w:r>
              <w:rPr>
                <w:rFonts w:hint="eastAsia" w:ascii="宋体" w:hAnsi="宋体" w:cs="宋体"/>
                <w:sz w:val="24"/>
                <w:highlight w:val="none"/>
              </w:rPr>
              <w:t xml:space="preserve">6</w:t>
            </w:r>
            <w:r>
              <w:rPr>
                <w:rFonts w:ascii="宋体" w:hAnsi="宋体" w:cs="宋体"/>
                <w:sz w:val="24"/>
                <w:highlight w:val="none"/>
              </w:rPr>
              <w:t xml:space="preserve">分；提供了常规、通用的交接方案，但细节有待完善，与本项目的贴合程度一般，能满足项目实施要求的，得</w:t>
            </w:r>
            <w:r>
              <w:rPr>
                <w:rFonts w:hint="eastAsia" w:ascii="宋体" w:hAnsi="宋体" w:cs="宋体"/>
                <w:sz w:val="24"/>
                <w:highlight w:val="none"/>
              </w:rPr>
              <w:t xml:space="preserve">4</w:t>
            </w:r>
            <w:r>
              <w:rPr>
                <w:rFonts w:ascii="宋体" w:hAnsi="宋体" w:cs="宋体"/>
                <w:sz w:val="24"/>
                <w:highlight w:val="none"/>
              </w:rPr>
              <w:t xml:space="preserve">分；方案简单粗糙，基本满足项目要求得</w:t>
            </w:r>
            <w:r>
              <w:rPr>
                <w:rFonts w:hint="eastAsia" w:ascii="宋体" w:hAnsi="宋体" w:cs="宋体"/>
                <w:sz w:val="24"/>
                <w:highlight w:val="none"/>
              </w:rPr>
              <w:t xml:space="preserve">2</w:t>
            </w:r>
            <w:r>
              <w:rPr>
                <w:rFonts w:ascii="宋体" w:hAnsi="宋体" w:cs="宋体"/>
                <w:sz w:val="24"/>
                <w:highlight w:val="none"/>
              </w:rPr>
              <w:t xml:space="preserve">分；未提供或提供的方案无法满足项目要求的不得分</w:t>
            </w:r>
            <w:r>
              <w:rPr>
                <w:rFonts w:hint="eastAsia" w:ascii="宋体" w:hAnsi="宋体" w:cs="宋体"/>
                <w:sz w:val="24"/>
                <w:highlight w:val="none"/>
              </w:rPr>
              <w:t xml:space="preserve">。</w:t>
            </w:r>
            <w:r>
              <w:rPr>
                <w:rFonts w:hint="eastAsia" w:ascii="宋体" w:hAnsi="宋体" w:cs="宋体"/>
                <w:b/>
                <w:bCs/>
                <w:sz w:val="24"/>
                <w:highlight w:val="none"/>
              </w:rPr>
            </w:r>
            <w:r/>
          </w:p>
        </w:tc>
      </w:tr>
      <w:tr>
        <w:trPr>
          <w:trHeight w:val="496"/>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2.3</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应急方案</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662" w:type="dxa"/>
            <w:vAlign w:val="center"/>
            <w:textDirection w:val="lrTb"/>
            <w:noWrap w:val="false"/>
          </w:tcPr>
          <w:p>
            <w:pPr>
              <w:pStyle w:val="1137"/>
              <w:spacing w:line="360" w:lineRule="exact"/>
              <w:rPr>
                <w:rFonts w:hint="eastAsia" w:ascii="宋体" w:hAnsi="宋体" w:cs="宋体"/>
                <w:sz w:val="24"/>
                <w:highlight w:val="none"/>
              </w:rPr>
            </w:pPr>
            <w:r>
              <w:rPr>
                <w:rFonts w:hint="eastAsia" w:ascii="宋体" w:hAnsi="宋体" w:cs="宋体"/>
                <w:b/>
                <w:bCs/>
                <w:sz w:val="24"/>
                <w:highlight w:val="none"/>
              </w:rPr>
              <w:t xml:space="preserve">针对需求并结合本项目情况，供应商制定突发事件应急方案（内容至少应包括职责分工、异常数据识别办法、异常数据响应办法、应急监测流程、人工采/送样流程及质量保障措施、污染事故应急监测方案、补充监测方案等）进行评分：</w:t>
            </w:r>
            <w:r>
              <w:rPr>
                <w:rFonts w:ascii="宋体" w:hAnsi="宋体" w:cs="宋体"/>
                <w:sz w:val="24"/>
                <w:highlight w:val="none"/>
              </w:rPr>
              <w:t xml:space="preserve">应急响应方案内容详实、表述清晰，对项目的需求认识精准全面，阐述分析准确，可操作性、针对性强，完全满足或优于项目要求的，得8分；应急响应方案内容较为完整，对项目的需求认识基本准确，阐述分析较为具体，合理、可行，满足项目要求的，得6分；提供了常规、通用的应急方案，但细节有待完善，合理性、可行性一般，满足项目实施要求的，得4分；方案简单粗糙，基本满足项目要求得2分；未提供或提供的应急方案无法满足项目要求的不得分</w:t>
            </w:r>
            <w:r>
              <w:rPr>
                <w:rFonts w:hint="eastAsia" w:ascii="宋体" w:hAnsi="宋体" w:cs="宋体"/>
                <w:sz w:val="24"/>
                <w:highlight w:val="none"/>
              </w:rPr>
              <w:t xml:space="preserve">。</w:t>
            </w:r>
            <w:r>
              <w:rPr>
                <w:rFonts w:hint="eastAsia" w:ascii="宋体" w:hAnsi="宋体" w:cs="宋体"/>
                <w:sz w:val="24"/>
                <w:highlight w:val="none"/>
              </w:rPr>
            </w:r>
            <w:r/>
          </w:p>
        </w:tc>
      </w:tr>
      <w:tr>
        <w:trPr>
          <w:trHeight w:val="213"/>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2.4</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质控方案</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662" w:type="dxa"/>
            <w:vAlign w:val="center"/>
            <w:textDirection w:val="lrTb"/>
            <w:noWrap w:val="false"/>
          </w:tcPr>
          <w:p>
            <w:pPr>
              <w:pStyle w:val="1415"/>
              <w:ind w:firstLine="0"/>
              <w:spacing w:line="360" w:lineRule="exact"/>
              <w:rPr>
                <w:rFonts w:hint="eastAsia" w:ascii="宋体" w:hAnsi="宋体" w:cs="宋体"/>
                <w:highlight w:val="none"/>
              </w:rPr>
            </w:pPr>
            <w:r>
              <w:rPr>
                <w:rFonts w:hint="eastAsia" w:ascii="宋体" w:hAnsi="宋体" w:cs="宋体"/>
                <w:b/>
                <w:bCs/>
                <w:highlight w:val="none"/>
              </w:rPr>
              <w:t xml:space="preserve">根据供应商针对需求并结合项目情况提供质控方案（包括但不限于从人员、装备、仪器设备、试剂、监测环境、质量监督等方面描述如何实现质控目标）进行评分：</w:t>
            </w:r>
            <w:r>
              <w:rPr>
                <w:rFonts w:ascii="宋体" w:hAnsi="宋体" w:cs="宋体"/>
                <w:highlight w:val="none"/>
              </w:rPr>
              <w:t xml:space="preserve">质控方案内容详实、表述清晰，对项目的需求认识精准全面，阐述分析准确，可操作性、针对性强，完全满足或优于项目要求的，得8分；质控方案内容较为完整，对项目的需求认识基本准确，阐述分析较为具体，合理、可行，满足项目要求的，得6分；提供了常规、通用的质控方案，但细节有待完善，合理性、可行性一般，满足项目实施要求的，得4分；方案简单粗糙，基本满足项目要求得2分；未提供或提供的质控方案无法满足项目要求的不得分</w:t>
            </w:r>
            <w:r>
              <w:rPr>
                <w:rFonts w:hint="eastAsia" w:ascii="宋体" w:hAnsi="宋体" w:cs="宋体"/>
                <w:highlight w:val="none"/>
              </w:rPr>
              <w:t xml:space="preserve">。</w:t>
            </w:r>
            <w:r>
              <w:rPr>
                <w:rFonts w:hint="eastAsia" w:ascii="宋体" w:hAnsi="宋体" w:cs="宋体"/>
                <w:highlight w:val="none"/>
              </w:rPr>
            </w:r>
            <w:r/>
          </w:p>
        </w:tc>
      </w:tr>
      <w:tr>
        <w:trPr>
          <w:trHeight w:val="310"/>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2.5</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数据审核方案</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3662" w:type="dxa"/>
            <w:vAlign w:val="center"/>
            <w:textDirection w:val="lrTb"/>
            <w:noWrap w:val="false"/>
          </w:tcPr>
          <w:p>
            <w:pPr>
              <w:pStyle w:val="1415"/>
              <w:ind w:firstLine="0"/>
              <w:spacing w:line="360" w:lineRule="exact"/>
              <w:rPr>
                <w:rFonts w:hint="eastAsia" w:ascii="宋体" w:hAnsi="宋体" w:cs="宋体"/>
                <w:highlight w:val="none"/>
              </w:rPr>
            </w:pPr>
            <w:r>
              <w:rPr>
                <w:rFonts w:hint="eastAsia" w:ascii="宋体" w:hAnsi="宋体" w:cs="宋体"/>
                <w:b/>
                <w:bCs/>
                <w:highlight w:val="none"/>
              </w:rPr>
              <w:t xml:space="preserve">供应商针对技术需求并结合水站的现场水质和配置的仪器状况提供数据审核方案，至少包括职责分工、数据审核规则、内部数据审核制度和数据复核以及运维相关视频、日志、关键参数日常审核等内容。</w:t>
            </w:r>
            <w:r>
              <w:rPr>
                <w:rFonts w:ascii="宋体" w:hAnsi="宋体" w:cs="宋体"/>
                <w:highlight w:val="none"/>
              </w:rPr>
              <w:t xml:space="preserve">方案内容详实、表述清晰，对项目的需求认识精准全面，阐述分析准确，可操作性、针对性强，完全满足或优于项目要求的，得4分；质控方案内容较为完整，对项目的需求认识基本准确，阐述分析较为具体，合理、可行，满足项目要求的，得3分；提供了常规、通用的数据审核方案，但细节有待完善，合理性、可行性一般，满足项目实施要求的，得2分；方案简单粗糙，基本满足项目要求得1分；未提供或提供的数据审核方案无法满足项目要求的不得分</w:t>
            </w:r>
            <w:r>
              <w:rPr>
                <w:rFonts w:hint="eastAsia" w:ascii="宋体" w:hAnsi="宋体" w:cs="宋体"/>
                <w:highlight w:val="none"/>
              </w:rPr>
              <w:t xml:space="preserve">。</w:t>
            </w:r>
            <w:r>
              <w:rPr>
                <w:rFonts w:hint="eastAsia" w:ascii="宋体" w:hAnsi="宋体" w:cs="宋体"/>
                <w:highlight w:val="none"/>
              </w:rPr>
            </w:r>
            <w:r/>
          </w:p>
        </w:tc>
      </w:tr>
      <w:tr>
        <w:trPr>
          <w:trHeight w:val="986"/>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2.6</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站点搬迁方案</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662" w:type="dxa"/>
            <w:vAlign w:val="center"/>
            <w:textDirection w:val="lrTb"/>
            <w:noWrap w:val="false"/>
          </w:tcPr>
          <w:p>
            <w:pPr>
              <w:pStyle w:val="1137"/>
              <w:spacing w:line="360" w:lineRule="exact"/>
              <w:rPr>
                <w:rFonts w:hint="eastAsia" w:ascii="宋体" w:hAnsi="宋体" w:cs="宋体"/>
                <w:b/>
                <w:bCs/>
                <w:sz w:val="24"/>
                <w:highlight w:val="none"/>
              </w:rPr>
            </w:pPr>
            <w:r>
              <w:rPr>
                <w:rFonts w:hint="eastAsia" w:ascii="宋体" w:hAnsi="宋体" w:cs="宋体"/>
                <w:b/>
                <w:bCs/>
                <w:sz w:val="24"/>
                <w:highlight w:val="none"/>
              </w:rPr>
              <w:t xml:space="preserve">针对需求并结合本项目情况，供应商制定对应所投采购分包的站点及流量计搬迁方案（内容包括但不限于：能否在保证安全、质量的前提下，提高搬迁效率；评估搬迁方案是否切实可行，包括时间规划、人员配置、物资准备、风险控制等方面；评估搬迁方案是否涵盖了搬迁过程中的所有关键环节，如设备拆卸、运输、安装、调试等）进行评分：</w:t>
            </w:r>
            <w:r>
              <w:rPr>
                <w:rFonts w:ascii="宋体" w:hAnsi="宋体" w:cs="宋体"/>
                <w:sz w:val="24"/>
                <w:highlight w:val="none"/>
              </w:rPr>
              <w:t xml:space="preserve">搬迁方案内容详实、表述清晰，对项目的需求认识精准全面，阐述分析准确，可操作性、针对性强，完全满足或优于项目要求的，得8分；搬迁方案内容较为完整，对项目的需求认识基本准确，阐述分析较为具体，合理、可行，满足项目要求的，得6分；提供了常规、通用的搬迁方案，但细节有待完善，合理性、可行性一般，满足项目实施要求的，得4分；方案简单粗糙，基本满足项目要求得2分；未提供或提供的搬迁方案无法满足项目要求的不得分</w:t>
            </w:r>
            <w:r>
              <w:rPr>
                <w:rFonts w:hint="eastAsia" w:ascii="宋体" w:hAnsi="宋体" w:cs="宋体"/>
                <w:sz w:val="24"/>
                <w:highlight w:val="none"/>
              </w:rPr>
              <w:t xml:space="preserve">。</w:t>
            </w:r>
            <w:r>
              <w:rPr>
                <w:rFonts w:hint="eastAsia" w:ascii="宋体" w:hAnsi="宋体" w:cs="宋体"/>
                <w:b/>
                <w:bCs/>
                <w:sz w:val="24"/>
                <w:highlight w:val="none"/>
              </w:rPr>
            </w:r>
            <w:r/>
          </w:p>
        </w:tc>
      </w:tr>
      <w:tr>
        <w:trPr>
          <w:trHeight w:val="421"/>
        </w:trPr>
        <w:tc>
          <w:tcPr>
            <w:tcW w:w="351"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客观分</w:t>
            </w:r>
            <w:r>
              <w:rPr>
                <w:rFonts w:hint="eastAsia" w:ascii="宋体" w:hAnsi="宋体" w:cs="宋体"/>
                <w:b/>
                <w:bCs/>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39</w:t>
            </w:r>
            <w:r>
              <w:rPr>
                <w:rFonts w:hint="eastAsia" w:ascii="宋体" w:hAnsi="宋体" w:cs="宋体"/>
                <w:b/>
                <w:bCs/>
                <w:sz w:val="24"/>
                <w:highlight w:val="none"/>
              </w:rPr>
            </w:r>
            <w:r/>
          </w:p>
        </w:tc>
        <w:tc>
          <w:tcPr>
            <w:tcW w:w="3662" w:type="dxa"/>
            <w:vAlign w:val="center"/>
            <w:textDirection w:val="lrTb"/>
            <w:noWrap w:val="false"/>
          </w:tcPr>
          <w:p>
            <w:pPr>
              <w:pStyle w:val="1137"/>
              <w:spacing w:line="360" w:lineRule="exact"/>
              <w:rPr>
                <w:rFonts w:hint="eastAsia" w:ascii="宋体" w:hAnsi="宋体" w:cs="宋体"/>
                <w:sz w:val="24"/>
                <w:highlight w:val="none"/>
              </w:rPr>
            </w:pPr>
            <w:r>
              <w:rPr>
                <w:rFonts w:hint="eastAsia" w:ascii="宋体" w:hAnsi="宋体" w:cs="宋体"/>
                <w:sz w:val="24"/>
                <w:highlight w:val="none"/>
              </w:rPr>
            </w:r>
            <w:r/>
          </w:p>
        </w:tc>
      </w:tr>
      <w:tr>
        <w:trPr>
          <w:trHeight w:val="913"/>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业绩</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3662" w:type="dxa"/>
            <w:vAlign w:val="center"/>
            <w:textDirection w:val="lrTb"/>
            <w:noWrap w:val="false"/>
          </w:tcPr>
          <w:p>
            <w:pPr>
              <w:pStyle w:val="1137"/>
              <w:spacing w:line="360" w:lineRule="exact"/>
              <w:rPr>
                <w:rFonts w:hint="eastAsia" w:ascii="宋体" w:hAnsi="宋体" w:cs="宋体"/>
                <w:sz w:val="24"/>
                <w:highlight w:val="none"/>
              </w:rPr>
            </w:pPr>
            <w:r>
              <w:rPr>
                <w:rFonts w:hint="eastAsia" w:ascii="宋体" w:hAnsi="宋体" w:cs="宋体"/>
                <w:sz w:val="24"/>
                <w:highlight w:val="none"/>
              </w:rPr>
              <w:t xml:space="preserve">供应商自2023年1月1日（以合同签订时间为准）至招标公告发布之日止，具有运维</w:t>
            </w:r>
            <w:r>
              <w:rPr>
                <w:rFonts w:hint="eastAsia" w:ascii="宋体" w:hAnsi="宋体" w:cs="宋体"/>
                <w:b/>
                <w:bCs/>
                <w:sz w:val="24"/>
                <w:highlight w:val="none"/>
              </w:rPr>
              <w:t xml:space="preserve">政府部门</w:t>
            </w:r>
            <w:r>
              <w:rPr>
                <w:rFonts w:hint="eastAsia" w:ascii="宋体" w:hAnsi="宋体" w:cs="宋体"/>
                <w:sz w:val="24"/>
                <w:highlight w:val="none"/>
              </w:rPr>
              <w:t xml:space="preserve">固定式地表水水质自动监测站的业绩，运维站点至少覆盖常规五参数（水温、pH值、溶解氧、电导率和浊度）、氨氮、高锰酸盐指数、总磷、总氮等其中</w:t>
            </w:r>
            <w:r>
              <w:rPr>
                <w:rFonts w:hint="eastAsia" w:ascii="宋体" w:hAnsi="宋体" w:cs="宋体"/>
                <w:b/>
                <w:bCs/>
                <w:sz w:val="24"/>
                <w:highlight w:val="none"/>
              </w:rPr>
              <w:t xml:space="preserve">8个指标及以上</w:t>
            </w:r>
            <w:r>
              <w:rPr>
                <w:rFonts w:hint="eastAsia" w:ascii="宋体" w:hAnsi="宋体" w:cs="宋体"/>
                <w:sz w:val="24"/>
                <w:highlight w:val="none"/>
              </w:rPr>
              <w:t xml:space="preserve">且运维时间满一年（单份合同运维水站</w:t>
            </w:r>
            <w:r>
              <w:rPr>
                <w:rFonts w:hint="eastAsia" w:ascii="宋体" w:hAnsi="宋体" w:cs="宋体"/>
                <w:b/>
                <w:bCs/>
                <w:sz w:val="24"/>
                <w:highlight w:val="none"/>
              </w:rPr>
              <w:t xml:space="preserve">大于等于5个</w:t>
            </w:r>
            <w:r>
              <w:rPr>
                <w:rFonts w:hint="eastAsia" w:ascii="宋体" w:hAnsi="宋体" w:cs="宋体"/>
                <w:sz w:val="24"/>
                <w:highlight w:val="none"/>
              </w:rPr>
              <w:t xml:space="preserve">），提供一份业绩合同得3分,最高得12分。</w:t>
            </w:r>
            <w:r>
              <w:rPr>
                <w:rFonts w:hint="eastAsia" w:ascii="宋体" w:hAnsi="宋体" w:cs="宋体"/>
                <w:b/>
                <w:bCs/>
                <w:sz w:val="24"/>
                <w:highlight w:val="none"/>
              </w:rPr>
              <w:t xml:space="preserve">响应文件中提供完整的业绩合同并加盖供应商公章，否则不得分。同一单位项目不同年度合同不累计得分。（如合同未体现参数内容需提供站点数据截图或委托方证明，均需加盖公章）</w:t>
            </w:r>
            <w:r>
              <w:rPr>
                <w:rFonts w:hint="eastAsia" w:ascii="宋体" w:hAnsi="宋体" w:cs="宋体"/>
                <w:sz w:val="24"/>
                <w:highlight w:val="none"/>
              </w:rPr>
            </w:r>
            <w:r/>
          </w:p>
        </w:tc>
      </w:tr>
      <w:tr>
        <w:trPr>
          <w:trHeight w:val="1062"/>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3.2</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团队人员实力</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3662" w:type="dxa"/>
            <w:vAlign w:val="center"/>
            <w:textDirection w:val="lrTb"/>
            <w:noWrap w:val="false"/>
          </w:tcPr>
          <w:p>
            <w:pPr>
              <w:pStyle w:val="1137"/>
              <w:spacing w:line="360" w:lineRule="exact"/>
              <w:rPr>
                <w:rFonts w:hint="eastAsia" w:ascii="宋体" w:hAnsi="宋体" w:cs="宋体"/>
                <w:sz w:val="24"/>
                <w:highlight w:val="none"/>
              </w:rPr>
            </w:pPr>
            <w:r>
              <w:rPr>
                <w:rFonts w:hint="eastAsia" w:ascii="宋体" w:hAnsi="宋体" w:cs="宋体"/>
                <w:b/>
                <w:bCs/>
                <w:sz w:val="24"/>
                <w:highlight w:val="none"/>
              </w:rPr>
              <w:t xml:space="preserve">（1）项目组负责人（4分）：</w:t>
            </w:r>
            <w:r>
              <w:rPr>
                <w:rFonts w:hint="eastAsia" w:ascii="宋体" w:hAnsi="宋体" w:cs="宋体"/>
                <w:sz w:val="24"/>
                <w:highlight w:val="none"/>
              </w:rPr>
              <w:t xml:space="preserve">同时具有环境类</w:t>
            </w:r>
            <w:r>
              <w:rPr>
                <w:rFonts w:hint="eastAsia" w:ascii="宋体" w:hAnsi="宋体" w:cs="宋体"/>
                <w:b/>
                <w:bCs/>
                <w:sz w:val="24"/>
                <w:highlight w:val="none"/>
              </w:rPr>
              <w:t xml:space="preserve">中级及以上工程师职称</w:t>
            </w:r>
            <w:r>
              <w:rPr>
                <w:rFonts w:hint="eastAsia" w:ascii="宋体" w:hAnsi="宋体" w:cs="宋体"/>
                <w:sz w:val="24"/>
                <w:highlight w:val="none"/>
              </w:rPr>
              <w:t xml:space="preserve">、《中国环境监测总站国家地表水环境质量自动监测技术与运维管理培训合格证》或《</w:t>
            </w:r>
            <w:r>
              <w:rPr>
                <w:rFonts w:ascii="宋体" w:hAnsi="宋体" w:cs="宋体"/>
                <w:sz w:val="24"/>
                <w:highlight w:val="none"/>
              </w:rPr>
              <w:t xml:space="preserve">国家地表水环境质量监测技术与运维管理培训合格证书</w:t>
            </w:r>
            <w:r>
              <w:rPr>
                <w:rFonts w:hint="eastAsia" w:ascii="宋体" w:hAnsi="宋体" w:cs="宋体"/>
                <w:sz w:val="24"/>
                <w:highlight w:val="none"/>
              </w:rPr>
              <w:t xml:space="preserve">》的，得4分，最高得4分。</w:t>
            </w:r>
            <w:r>
              <w:rPr>
                <w:rFonts w:hint="eastAsia" w:ascii="宋体" w:hAnsi="宋体" w:cs="宋体"/>
                <w:sz w:val="24"/>
                <w:highlight w:val="none"/>
              </w:rPr>
            </w:r>
            <w:r/>
          </w:p>
          <w:p>
            <w:pPr>
              <w:pStyle w:val="1137"/>
              <w:spacing w:line="360" w:lineRule="exact"/>
              <w:rPr>
                <w:rFonts w:hint="eastAsia" w:ascii="宋体" w:hAnsi="宋体" w:cs="宋体"/>
                <w:sz w:val="24"/>
                <w:highlight w:val="none"/>
              </w:rPr>
            </w:pPr>
            <w:r>
              <w:rPr>
                <w:rFonts w:hint="eastAsia" w:ascii="宋体" w:hAnsi="宋体" w:cs="宋体"/>
                <w:b/>
                <w:bCs/>
                <w:sz w:val="24"/>
                <w:highlight w:val="none"/>
              </w:rPr>
              <w:t xml:space="preserve">（2）项目组运维人员（4分）</w:t>
            </w:r>
            <w:r>
              <w:rPr>
                <w:rFonts w:hint="eastAsia" w:ascii="宋体" w:hAnsi="宋体" w:cs="宋体"/>
                <w:sz w:val="24"/>
                <w:highlight w:val="none"/>
              </w:rPr>
              <w:t xml:space="preserve">：具有《中国环境监测总站国家地表水环境质量自动监测技术与运维管理培训合格证》或《</w:t>
            </w:r>
            <w:r>
              <w:rPr>
                <w:rFonts w:ascii="宋体" w:hAnsi="宋体" w:cs="宋体"/>
                <w:sz w:val="24"/>
                <w:highlight w:val="none"/>
              </w:rPr>
              <w:t xml:space="preserve">国家地表水环境质量监测技术与运维管理培训合格证书</w:t>
            </w:r>
            <w:r>
              <w:rPr>
                <w:rFonts w:hint="eastAsia" w:ascii="宋体" w:hAnsi="宋体" w:cs="宋体"/>
                <w:sz w:val="24"/>
                <w:highlight w:val="none"/>
              </w:rPr>
              <w:t xml:space="preserve">》有一人得2分，最高4分。同一人持有多个证书的不累计得分。</w:t>
            </w:r>
            <w:r>
              <w:rPr>
                <w:rFonts w:hint="eastAsia" w:ascii="宋体" w:hAnsi="宋体" w:cs="宋体"/>
                <w:sz w:val="24"/>
                <w:highlight w:val="none"/>
              </w:rPr>
            </w:r>
            <w:r/>
          </w:p>
          <w:p>
            <w:pPr>
              <w:pStyle w:val="1137"/>
              <w:spacing w:line="360" w:lineRule="exact"/>
              <w:rPr>
                <w:rFonts w:hint="eastAsia" w:ascii="宋体" w:hAnsi="宋体" w:cs="宋体"/>
                <w:sz w:val="24"/>
                <w:highlight w:val="none"/>
              </w:rPr>
            </w:pPr>
            <w:r>
              <w:rPr>
                <w:rFonts w:hint="eastAsia" w:ascii="宋体" w:hAnsi="宋体" w:cs="宋体"/>
                <w:b/>
                <w:bCs/>
                <w:sz w:val="24"/>
                <w:highlight w:val="none"/>
              </w:rPr>
              <w:t xml:space="preserve">注：上述两项评分中满足要求的人员不能重复得分。响应文件中提供详细的人员列表、职称证书、考核（或培训）合格证明复印件、近3个月（投标截止之日起往前推，不含投标当月）供应商为上述人员缴纳的社保证明材料复印件并加盖供应商公章。未按要求提供证明材料或证明材料不足以证明的，不予认可，不得分。</w:t>
            </w:r>
            <w:r>
              <w:rPr>
                <w:rFonts w:hint="eastAsia" w:ascii="宋体" w:hAnsi="宋体" w:cs="宋体"/>
                <w:sz w:val="24"/>
                <w:highlight w:val="none"/>
              </w:rPr>
            </w:r>
            <w:r/>
          </w:p>
        </w:tc>
      </w:tr>
      <w:tr>
        <w:trPr>
          <w:trHeight w:val="98"/>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3.3</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b/>
                <w:bCs/>
                <w:sz w:val="24"/>
                <w:highlight w:val="none"/>
              </w:rPr>
            </w:pPr>
            <w:r>
              <w:rPr>
                <w:rFonts w:hint="eastAsia" w:ascii="宋体" w:hAnsi="宋体" w:cs="宋体"/>
                <w:b/>
                <w:bCs/>
                <w:sz w:val="24"/>
                <w:highlight w:val="none"/>
              </w:rPr>
              <w:t xml:space="preserve">实验室资质</w:t>
            </w:r>
            <w:r>
              <w:rPr>
                <w:rFonts w:hint="eastAsia" w:ascii="宋体" w:hAnsi="宋体" w:cs="宋体"/>
                <w:b/>
                <w:bCs/>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3662" w:type="dxa"/>
            <w:vAlign w:val="center"/>
            <w:textDirection w:val="lrTb"/>
            <w:noWrap w:val="false"/>
          </w:tcPr>
          <w:p>
            <w:pPr>
              <w:pStyle w:val="1137"/>
              <w:spacing w:line="360" w:lineRule="exact"/>
              <w:rPr>
                <w:rFonts w:hint="eastAsia" w:ascii="宋体" w:hAnsi="宋体" w:cs="宋体"/>
                <w:sz w:val="24"/>
                <w:highlight w:val="none"/>
              </w:rPr>
            </w:pPr>
            <w:r>
              <w:rPr>
                <w:rFonts w:hint="eastAsia" w:ascii="宋体" w:hAnsi="宋体" w:cs="宋体"/>
                <w:sz w:val="24"/>
                <w:highlight w:val="none"/>
              </w:rPr>
              <w:t xml:space="preserve">（1）供应商自有或参股实验室</w:t>
            </w:r>
            <w:r>
              <w:rPr>
                <w:rFonts w:hint="eastAsia" w:ascii="宋体" w:hAnsi="宋体" w:cs="宋体"/>
                <w:b/>
                <w:bCs/>
                <w:sz w:val="24"/>
                <w:highlight w:val="none"/>
              </w:rPr>
              <w:t xml:space="preserve">（需提供行政主管部门出具的证明或国家企业信用信息公示系统网站截图并加盖公章）</w:t>
            </w:r>
            <w:r>
              <w:rPr>
                <w:rFonts w:hint="eastAsia" w:ascii="宋体" w:hAnsi="宋体" w:cs="宋体"/>
                <w:sz w:val="24"/>
                <w:highlight w:val="none"/>
              </w:rPr>
              <w:t xml:space="preserve">用于质量控制的CMA资质认定的实验室（认证范围需包含水温、pH值、溶解氧、电导率、浊度、高锰酸盐指数、氨氮、总磷、总氮）得6分</w:t>
            </w:r>
            <w:r>
              <w:rPr>
                <w:rFonts w:hint="eastAsia" w:ascii="宋体" w:hAnsi="宋体" w:cs="宋体"/>
                <w:b/>
                <w:bCs/>
                <w:sz w:val="24"/>
                <w:highlight w:val="none"/>
              </w:rPr>
              <w:t xml:space="preserve">（提供有效期内的CMA资质证书及涵盖本项目指标的计量认证证书附表并加盖检验检测机构公章扫描件。否则不予计分）</w:t>
            </w:r>
            <w:r>
              <w:rPr>
                <w:rFonts w:hint="eastAsia" w:ascii="宋体" w:hAnsi="宋体" w:cs="宋体"/>
                <w:sz w:val="24"/>
                <w:highlight w:val="none"/>
              </w:rPr>
              <w:t xml:space="preserve">；</w:t>
            </w:r>
            <w:r>
              <w:rPr>
                <w:rFonts w:hint="eastAsia" w:ascii="宋体" w:hAnsi="宋体" w:cs="宋体"/>
                <w:sz w:val="24"/>
                <w:highlight w:val="none"/>
              </w:rPr>
            </w:r>
            <w:r/>
          </w:p>
          <w:p>
            <w:pPr>
              <w:pStyle w:val="1137"/>
              <w:spacing w:line="360" w:lineRule="exact"/>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若</w:t>
            </w:r>
            <w:r>
              <w:rPr>
                <w:rFonts w:hint="eastAsia" w:ascii="宋体" w:hAnsi="宋体" w:cs="宋体"/>
                <w:sz w:val="24"/>
                <w:highlight w:val="none"/>
              </w:rPr>
              <w:t xml:space="preserve">供应商</w:t>
            </w:r>
            <w:r>
              <w:rPr>
                <w:rFonts w:ascii="宋体" w:hAnsi="宋体" w:cs="宋体"/>
                <w:sz w:val="24"/>
                <w:highlight w:val="none"/>
              </w:rPr>
              <w:t xml:space="preserve">无自有</w:t>
            </w:r>
            <w:r>
              <w:rPr>
                <w:rFonts w:hint="eastAsia" w:ascii="宋体" w:hAnsi="宋体" w:cs="宋体"/>
                <w:sz w:val="24"/>
                <w:highlight w:val="none"/>
              </w:rPr>
              <w:t xml:space="preserve">或参股</w:t>
            </w:r>
            <w:r>
              <w:rPr>
                <w:rFonts w:ascii="宋体" w:hAnsi="宋体" w:cs="宋体"/>
                <w:sz w:val="24"/>
                <w:highlight w:val="none"/>
              </w:rPr>
              <w:t xml:space="preserve">实验室，但有委托的</w:t>
            </w:r>
            <w:r>
              <w:rPr>
                <w:rFonts w:ascii="宋体" w:hAnsi="宋体" w:cs="宋体"/>
                <w:b/>
                <w:bCs/>
                <w:sz w:val="24"/>
                <w:highlight w:val="none"/>
              </w:rPr>
              <w:t xml:space="preserve">（需提供委托协议或委托合同等证明材料，委托协议或委托合同中应包含试剂和标准样品配制、水样比对、委托监测、应急监测等服务内容。委托协议或委托合同须覆盖本次招标运维周期）</w:t>
            </w:r>
            <w:r>
              <w:rPr>
                <w:rFonts w:hint="eastAsia" w:ascii="宋体" w:hAnsi="宋体" w:cs="宋体"/>
                <w:b/>
                <w:bCs/>
                <w:sz w:val="24"/>
                <w:highlight w:val="none"/>
              </w:rPr>
              <w:t xml:space="preserve">，</w:t>
            </w:r>
            <w:r>
              <w:rPr>
                <w:rFonts w:ascii="宋体" w:hAnsi="宋体" w:cs="宋体"/>
                <w:sz w:val="24"/>
                <w:highlight w:val="none"/>
              </w:rPr>
              <w:t xml:space="preserve">得</w:t>
            </w:r>
            <w:r>
              <w:rPr>
                <w:rFonts w:hint="eastAsia" w:ascii="宋体" w:hAnsi="宋体" w:cs="宋体"/>
                <w:sz w:val="24"/>
                <w:highlight w:val="none"/>
              </w:rPr>
              <w:t xml:space="preserve">3</w:t>
            </w:r>
            <w:r>
              <w:rPr>
                <w:rFonts w:ascii="宋体" w:hAnsi="宋体" w:cs="宋体"/>
                <w:sz w:val="24"/>
                <w:highlight w:val="none"/>
              </w:rPr>
              <w:t xml:space="preserve">分</w:t>
            </w:r>
            <w:r>
              <w:rPr>
                <w:rFonts w:hint="eastAsia" w:ascii="宋体" w:hAnsi="宋体" w:cs="宋体"/>
                <w:sz w:val="24"/>
                <w:highlight w:val="none"/>
              </w:rPr>
              <w:t xml:space="preserve">；</w:t>
            </w:r>
            <w:r>
              <w:rPr>
                <w:rFonts w:hint="eastAsia" w:ascii="宋体" w:hAnsi="宋体" w:cs="宋体"/>
                <w:sz w:val="24"/>
                <w:highlight w:val="none"/>
              </w:rPr>
            </w:r>
            <w:r/>
          </w:p>
          <w:p>
            <w:pPr>
              <w:pStyle w:val="1137"/>
              <w:spacing w:line="360" w:lineRule="exact"/>
              <w:rPr>
                <w:rFonts w:hint="eastAsia" w:ascii="宋体" w:hAnsi="宋体" w:cs="宋体"/>
                <w:sz w:val="24"/>
                <w:highlight w:val="none"/>
              </w:rPr>
            </w:pPr>
            <w:r>
              <w:rPr>
                <w:rFonts w:hint="eastAsia" w:ascii="宋体" w:hAnsi="宋体" w:cs="宋体"/>
                <w:sz w:val="24"/>
                <w:highlight w:val="none"/>
              </w:rPr>
              <w:t xml:space="preserve">（3）没有自有或委托实验室的不得分。</w:t>
            </w:r>
            <w:r>
              <w:rPr>
                <w:rFonts w:hint="eastAsia" w:ascii="宋体" w:hAnsi="宋体" w:cs="宋体"/>
                <w:sz w:val="24"/>
                <w:highlight w:val="none"/>
              </w:rPr>
            </w:r>
            <w:r/>
          </w:p>
          <w:p>
            <w:pPr>
              <w:pStyle w:val="1137"/>
              <w:rPr>
                <w:rFonts w:hint="eastAsia" w:ascii="宋体" w:hAnsi="宋体" w:cs="宋体"/>
                <w:b/>
                <w:bCs/>
                <w:sz w:val="24"/>
                <w:highlight w:val="none"/>
              </w:rPr>
            </w:pPr>
            <w:r>
              <w:rPr>
                <w:rFonts w:hint="eastAsia" w:ascii="宋体" w:hAnsi="宋体" w:cs="宋体"/>
                <w:b/>
                <w:bCs/>
                <w:sz w:val="24"/>
                <w:highlight w:val="none"/>
              </w:rPr>
              <w:t xml:space="preserve">注：</w:t>
            </w:r>
            <w:r>
              <w:rPr>
                <w:rFonts w:hint="eastAsia" w:ascii="宋体" w:hAnsi="宋体" w:cs="宋体"/>
                <w:b/>
                <w:bCs/>
                <w:sz w:val="24"/>
                <w:highlight w:val="none"/>
              </w:rPr>
            </w:r>
            <w:r/>
          </w:p>
          <w:p>
            <w:pPr>
              <w:pStyle w:val="1137"/>
              <w:rPr>
                <w:rFonts w:hint="eastAsia" w:ascii="宋体" w:hAnsi="宋体" w:cs="宋体"/>
                <w:sz w:val="24"/>
                <w:highlight w:val="none"/>
              </w:rPr>
            </w:pPr>
            <w:r>
              <w:rPr>
                <w:rFonts w:hint="eastAsia" w:ascii="宋体" w:hAnsi="宋体" w:cs="宋体"/>
                <w:b/>
                <w:bCs/>
                <w:sz w:val="24"/>
                <w:highlight w:val="none"/>
              </w:rPr>
              <w:t xml:space="preserve">1</w:t>
            </w:r>
            <w:r>
              <w:rPr>
                <w:rFonts w:ascii="宋体" w:hAnsi="宋体" w:cs="宋体"/>
                <w:b/>
                <w:bCs/>
                <w:sz w:val="24"/>
                <w:highlight w:val="none"/>
              </w:rPr>
              <w:t xml:space="preserve">）</w:t>
            </w:r>
            <w:r>
              <w:rPr>
                <w:rFonts w:hint="eastAsia" w:ascii="宋体" w:hAnsi="宋体" w:cs="宋体"/>
                <w:b/>
                <w:bCs/>
                <w:sz w:val="24"/>
                <w:highlight w:val="none"/>
              </w:rPr>
              <w:t xml:space="preserve">供应商</w:t>
            </w:r>
            <w:r>
              <w:rPr>
                <w:rFonts w:ascii="宋体" w:hAnsi="宋体" w:cs="宋体"/>
                <w:b/>
                <w:bCs/>
                <w:sz w:val="24"/>
                <w:highlight w:val="none"/>
              </w:rPr>
              <w:t xml:space="preserve">为自有</w:t>
            </w:r>
            <w:r>
              <w:rPr>
                <w:rFonts w:hint="eastAsia" w:ascii="宋体" w:hAnsi="宋体" w:cs="宋体"/>
                <w:b/>
                <w:bCs/>
                <w:sz w:val="24"/>
                <w:highlight w:val="none"/>
              </w:rPr>
              <w:t xml:space="preserve">（参股）</w:t>
            </w:r>
            <w:r>
              <w:rPr>
                <w:rFonts w:ascii="宋体" w:hAnsi="宋体" w:cs="宋体"/>
                <w:b/>
                <w:bCs/>
                <w:sz w:val="24"/>
                <w:highlight w:val="none"/>
              </w:rPr>
              <w:t xml:space="preserve">实验室的，投标文件中须提供：①资质能力清单，清单包括但不限于检测能力、检验检测机构性质（自有/</w:t>
            </w:r>
            <w:r>
              <w:rPr>
                <w:rFonts w:hint="eastAsia" w:ascii="宋体" w:hAnsi="宋体" w:cs="宋体"/>
                <w:b/>
                <w:bCs/>
                <w:sz w:val="24"/>
                <w:highlight w:val="none"/>
              </w:rPr>
              <w:t xml:space="preserve">参股</w:t>
            </w:r>
            <w:r>
              <w:rPr>
                <w:rFonts w:ascii="宋体" w:hAnsi="宋体" w:cs="宋体"/>
                <w:b/>
                <w:bCs/>
                <w:sz w:val="24"/>
                <w:highlight w:val="none"/>
              </w:rPr>
              <w:t xml:space="preserve">）、地址（与证书一致）、联系人、联系电话及证明材料对应的页码等。②提供有效期内CMA资质证书及及涵盖本项目指标的计量认证证书附表复印件并加盖检验检测机构公章。</w:t>
            </w:r>
            <w:r>
              <w:rPr>
                <w:rFonts w:hint="eastAsia" w:ascii="宋体" w:hAnsi="宋体" w:cs="宋体"/>
                <w:sz w:val="24"/>
                <w:highlight w:val="none"/>
              </w:rPr>
            </w:r>
            <w:r/>
          </w:p>
          <w:p>
            <w:pPr>
              <w:pStyle w:val="1137"/>
              <w:rPr>
                <w:rFonts w:hint="eastAsia" w:ascii="宋体" w:hAnsi="宋体" w:cs="宋体"/>
                <w:sz w:val="24"/>
                <w:highlight w:val="none"/>
              </w:rPr>
            </w:pPr>
            <w:r>
              <w:rPr>
                <w:rFonts w:hint="eastAsia" w:ascii="宋体" w:hAnsi="宋体" w:cs="宋体"/>
                <w:b/>
                <w:bCs/>
                <w:sz w:val="24"/>
                <w:highlight w:val="none"/>
              </w:rPr>
              <w:t xml:space="preserve">2</w:t>
            </w:r>
            <w:r>
              <w:rPr>
                <w:rFonts w:ascii="宋体" w:hAnsi="宋体" w:cs="宋体"/>
                <w:b/>
                <w:bCs/>
                <w:sz w:val="24"/>
                <w:highlight w:val="none"/>
              </w:rPr>
              <w:t xml:space="preserve">）如</w:t>
            </w:r>
            <w:r>
              <w:rPr>
                <w:rFonts w:hint="eastAsia" w:ascii="宋体" w:hAnsi="宋体" w:cs="宋体"/>
                <w:b/>
                <w:bCs/>
                <w:sz w:val="24"/>
                <w:highlight w:val="none"/>
              </w:rPr>
              <w:t xml:space="preserve">供应商</w:t>
            </w:r>
            <w:r>
              <w:rPr>
                <w:rFonts w:ascii="宋体" w:hAnsi="宋体" w:cs="宋体"/>
                <w:b/>
                <w:bCs/>
                <w:sz w:val="24"/>
                <w:highlight w:val="none"/>
              </w:rPr>
              <w:t xml:space="preserve">为委托实验室的，还须提供委托协议或委托合同</w:t>
            </w:r>
            <w:r>
              <w:rPr>
                <w:rFonts w:hint="eastAsia" w:ascii="宋体" w:hAnsi="宋体" w:cs="宋体"/>
                <w:b/>
                <w:bCs/>
                <w:sz w:val="24"/>
                <w:highlight w:val="none"/>
              </w:rPr>
              <w:t xml:space="preserve">、</w:t>
            </w:r>
            <w:r>
              <w:rPr>
                <w:rFonts w:ascii="宋体" w:hAnsi="宋体" w:cs="宋体"/>
                <w:b/>
                <w:bCs/>
                <w:sz w:val="24"/>
                <w:highlight w:val="none"/>
              </w:rPr>
              <w:t xml:space="preserve">CMA资质证书等证明材料，委托协议或委托合同须覆盖</w:t>
            </w:r>
            <w:r>
              <w:rPr>
                <w:rFonts w:hint="eastAsia" w:ascii="宋体" w:hAnsi="宋体" w:cs="宋体"/>
                <w:b/>
                <w:bCs/>
                <w:sz w:val="24"/>
                <w:highlight w:val="none"/>
              </w:rPr>
              <w:t xml:space="preserve">水温、pH值、溶解氧、电导率、浊度、高锰酸盐指数、氨氮、总磷、总氮</w:t>
            </w:r>
            <w:r>
              <w:rPr>
                <w:rFonts w:ascii="宋体" w:hAnsi="宋体" w:cs="宋体"/>
                <w:b/>
                <w:bCs/>
                <w:sz w:val="24"/>
                <w:highlight w:val="none"/>
              </w:rPr>
              <w:t xml:space="preserve">、试剂和标准样品配制、水样比对、委托监测、应急监测等服务内容。</w:t>
            </w:r>
            <w:r>
              <w:rPr>
                <w:rFonts w:hint="eastAsia" w:ascii="宋体" w:hAnsi="宋体" w:cs="宋体"/>
                <w:sz w:val="24"/>
                <w:highlight w:val="none"/>
              </w:rPr>
            </w:r>
            <w:r/>
          </w:p>
          <w:p>
            <w:pPr>
              <w:pStyle w:val="1137"/>
              <w:spacing w:line="360" w:lineRule="exact"/>
              <w:rPr>
                <w:rFonts w:hint="eastAsia" w:ascii="宋体" w:hAnsi="宋体" w:cs="宋体"/>
                <w:sz w:val="24"/>
                <w:highlight w:val="none"/>
              </w:rPr>
            </w:pPr>
            <w:r>
              <w:rPr>
                <w:rFonts w:hint="eastAsia" w:ascii="宋体" w:hAnsi="宋体" w:cs="宋体"/>
                <w:b/>
                <w:bCs/>
                <w:sz w:val="24"/>
                <w:highlight w:val="none"/>
              </w:rPr>
              <w:t xml:space="preserve">3</w:t>
            </w:r>
            <w:r>
              <w:rPr>
                <w:rFonts w:ascii="宋体" w:hAnsi="宋体" w:cs="宋体"/>
                <w:b/>
                <w:bCs/>
                <w:sz w:val="24"/>
                <w:highlight w:val="none"/>
              </w:rPr>
              <w:t xml:space="preserve">）未按要求提供证明材料或材料不全不得分。</w:t>
            </w:r>
            <w:r>
              <w:rPr>
                <w:rFonts w:hint="eastAsia" w:ascii="宋体" w:hAnsi="宋体" w:cs="宋体"/>
                <w:sz w:val="24"/>
                <w:highlight w:val="none"/>
              </w:rPr>
            </w:r>
            <w:r/>
          </w:p>
        </w:tc>
      </w:tr>
      <w:tr>
        <w:trPr>
          <w:trHeight w:val="90"/>
        </w:trPr>
        <w:tc>
          <w:tcPr>
            <w:tcW w:w="35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3.4</w:t>
            </w:r>
            <w:r>
              <w:rPr>
                <w:rFonts w:hint="eastAsia" w:ascii="宋体" w:hAnsi="宋体" w:cs="宋体"/>
                <w:sz w:val="24"/>
                <w:highlight w:val="none"/>
              </w:rPr>
            </w:r>
            <w:r/>
          </w:p>
        </w:tc>
        <w:tc>
          <w:tcPr>
            <w:tcW w:w="631"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备机情况</w:t>
            </w:r>
            <w:r>
              <w:rPr>
                <w:rFonts w:hint="eastAsia" w:ascii="宋体" w:hAnsi="宋体" w:cs="宋体"/>
                <w:sz w:val="24"/>
                <w:highlight w:val="none"/>
              </w:rPr>
            </w:r>
            <w:r/>
          </w:p>
        </w:tc>
        <w:tc>
          <w:tcPr>
            <w:tcW w:w="354" w:type="dxa"/>
            <w:vAlign w:val="center"/>
            <w:textDirection w:val="lrTb"/>
            <w:noWrap w:val="false"/>
          </w:tcPr>
          <w:p>
            <w:pPr>
              <w:pStyle w:val="1137"/>
              <w:jc w:val="center"/>
              <w:spacing w:line="360" w:lineRule="exact"/>
              <w:rPr>
                <w:rFonts w:hint="eastAsia" w:ascii="宋体" w:hAnsi="宋体" w:cs="宋体"/>
                <w:sz w:val="24"/>
                <w:highlight w:val="none"/>
              </w:rPr>
            </w:pPr>
            <w:r>
              <w:rPr>
                <w:rFonts w:hint="eastAsia" w:ascii="宋体" w:hAnsi="宋体" w:cs="宋体"/>
                <w:sz w:val="24"/>
                <w:highlight w:val="none"/>
              </w:rPr>
              <w:t xml:space="preserve">13</w:t>
            </w:r>
            <w:r>
              <w:rPr>
                <w:rFonts w:hint="eastAsia" w:ascii="宋体" w:hAnsi="宋体" w:cs="宋体"/>
                <w:sz w:val="24"/>
                <w:highlight w:val="none"/>
              </w:rPr>
            </w:r>
            <w:r/>
          </w:p>
        </w:tc>
        <w:tc>
          <w:tcPr>
            <w:tcW w:w="3662" w:type="dxa"/>
            <w:vAlign w:val="center"/>
            <w:textDirection w:val="lrTb"/>
            <w:noWrap w:val="false"/>
          </w:tcPr>
          <w:p>
            <w:pPr>
              <w:pStyle w:val="1137"/>
              <w:spacing w:line="360" w:lineRule="exact"/>
              <w:rPr>
                <w:rFonts w:hint="eastAsia" w:ascii="宋体" w:hAnsi="宋体" w:cs="宋体"/>
                <w:sz w:val="24"/>
                <w:highlight w:val="none"/>
              </w:rPr>
            </w:pPr>
            <w:r>
              <w:rPr>
                <w:rFonts w:hint="eastAsia" w:ascii="宋体" w:hAnsi="宋体" w:cs="宋体"/>
                <w:sz w:val="24"/>
                <w:highlight w:val="none"/>
              </w:rPr>
              <w:t xml:space="preserve">（1）供应商自有备机情况满足</w:t>
            </w:r>
            <w:r>
              <w:rPr>
                <w:rFonts w:hint="eastAsia" w:ascii="宋体" w:hAnsi="宋体" w:cs="宋体"/>
                <w:b/>
                <w:bCs/>
                <w:sz w:val="24"/>
                <w:highlight w:val="none"/>
              </w:rPr>
              <w:t xml:space="preserve">采购文件要求</w:t>
            </w:r>
            <w:r>
              <w:rPr>
                <w:rFonts w:hint="eastAsia" w:ascii="宋体" w:hAnsi="宋体" w:cs="宋体"/>
                <w:sz w:val="24"/>
                <w:highlight w:val="none"/>
              </w:rPr>
              <w:t xml:space="preserve">的得6分，缺任一参数扣1分，扣完为止（</w:t>
            </w:r>
            <w:r>
              <w:rPr>
                <w:rFonts w:hint="eastAsia" w:ascii="宋体" w:hAnsi="宋体" w:cs="宋体"/>
                <w:b/>
                <w:bCs/>
                <w:sz w:val="24"/>
                <w:highlight w:val="none"/>
              </w:rPr>
              <w:t xml:space="preserve">需提供备机配置情况清单，仪器生产厂家需提供相关持有证明，非仪器生产厂家需提供采购合同或购置发票，且具有CCEP报告</w:t>
            </w:r>
            <w:r>
              <w:rPr>
                <w:rFonts w:hint="eastAsia" w:ascii="宋体" w:hAnsi="宋体" w:cs="宋体"/>
                <w:sz w:val="24"/>
                <w:highlight w:val="none"/>
              </w:rPr>
              <w:t xml:space="preserve">）；若供应商暂无备机，但承诺（须提供承诺函加盖供应商公章，格式自拟）中标后1个月内采购齐备机参数及数量，得3分；未承诺或未提供不得分。本小项最高得6分。</w:t>
            </w:r>
            <w:r>
              <w:rPr>
                <w:rFonts w:hint="eastAsia" w:ascii="宋体" w:hAnsi="宋体" w:cs="宋体"/>
                <w:sz w:val="24"/>
                <w:highlight w:val="none"/>
              </w:rPr>
            </w:r>
            <w:r/>
          </w:p>
          <w:p>
            <w:pPr>
              <w:pStyle w:val="1137"/>
              <w:spacing w:line="360" w:lineRule="exact"/>
              <w:rPr>
                <w:rFonts w:hint="eastAsia" w:ascii="宋体" w:hAnsi="宋体" w:cs="宋体"/>
                <w:sz w:val="24"/>
                <w:highlight w:val="none"/>
              </w:rPr>
            </w:pPr>
            <w:r>
              <w:rPr>
                <w:rFonts w:hint="eastAsia" w:ascii="宋体" w:hAnsi="宋体" w:cs="宋体"/>
                <w:sz w:val="24"/>
                <w:highlight w:val="none"/>
              </w:rPr>
              <w:t xml:space="preserve">（2）供应商自有五参数（pH、电导率、浊度、溶解氧、温度）便携式仪器，每6个站点配置一台，不足6个站点按6个站点配置，按采购包站点数量得分，</w:t>
            </w:r>
            <w:r>
              <w:rPr>
                <w:rFonts w:hint="eastAsia" w:ascii="宋体" w:hAnsi="宋体" w:cs="宋体"/>
                <w:sz w:val="24"/>
                <w:highlight w:val="none"/>
                <w:lang w:val="en-US" w:eastAsia="zh-CN"/>
              </w:rPr>
              <w:t xml:space="preserve">有1台得2分，</w:t>
            </w:r>
            <w:r>
              <w:rPr>
                <w:rFonts w:hint="eastAsia" w:ascii="宋体" w:hAnsi="宋体" w:cs="宋体"/>
                <w:sz w:val="24"/>
                <w:highlight w:val="none"/>
              </w:rPr>
              <w:t xml:space="preserve">最高得</w:t>
            </w:r>
            <w:r>
              <w:rPr>
                <w:rFonts w:hint="eastAsia" w:ascii="宋体" w:hAnsi="宋体" w:cs="宋体"/>
                <w:b/>
                <w:bCs/>
                <w:sz w:val="24"/>
                <w:highlight w:val="none"/>
              </w:rPr>
              <w:t xml:space="preserve">4</w:t>
            </w:r>
            <w:r>
              <w:rPr>
                <w:rFonts w:hint="eastAsia" w:ascii="宋体" w:hAnsi="宋体" w:cs="宋体"/>
                <w:sz w:val="24"/>
                <w:highlight w:val="none"/>
              </w:rPr>
              <w:t xml:space="preserve">分。</w:t>
            </w:r>
            <w:r>
              <w:rPr>
                <w:rFonts w:hint="eastAsia" w:ascii="宋体" w:hAnsi="宋体" w:cs="宋体"/>
                <w:b/>
                <w:bCs/>
                <w:sz w:val="24"/>
                <w:highlight w:val="none"/>
              </w:rPr>
              <w:t xml:space="preserve">（提供便携式仪器采购合同或购置发票，如合同无法体现具体参数，需提供设备照片、型号及对应功能截图或照片，并加盖供应商公章）</w:t>
            </w:r>
            <w:r>
              <w:rPr>
                <w:rFonts w:hint="eastAsia" w:ascii="宋体" w:hAnsi="宋体" w:cs="宋体"/>
                <w:sz w:val="24"/>
                <w:highlight w:val="none"/>
              </w:rPr>
              <w:t xml:space="preserve">；供应商未采购便携式仪器但承诺（须提供承诺函加盖供应商公章，格式自拟）中标1个月内采齐便携式仪器数量，得2分；未承诺或未提供不得分。本小项最高得4分。</w:t>
            </w:r>
            <w:r>
              <w:rPr>
                <w:rFonts w:hint="eastAsia" w:ascii="宋体" w:hAnsi="宋体" w:cs="宋体"/>
                <w:sz w:val="24"/>
                <w:highlight w:val="none"/>
              </w:rPr>
            </w:r>
            <w:r/>
          </w:p>
          <w:p>
            <w:pPr>
              <w:pStyle w:val="1137"/>
              <w:spacing w:line="360" w:lineRule="exact"/>
              <w:rPr>
                <w:rFonts w:hint="eastAsia" w:ascii="宋体" w:hAnsi="宋体" w:cs="宋体"/>
                <w:sz w:val="24"/>
                <w:highlight w:val="none"/>
              </w:rPr>
            </w:pPr>
            <w:r>
              <w:rPr>
                <w:rFonts w:hint="eastAsia" w:ascii="宋体" w:hAnsi="宋体" w:cs="宋体"/>
                <w:sz w:val="24"/>
                <w:highlight w:val="none"/>
              </w:rPr>
              <w:t xml:space="preserve">（3）供应商需承诺提供流量设备备机，得3分。</w:t>
            </w:r>
            <w:r>
              <w:rPr>
                <w:rFonts w:hint="eastAsia" w:ascii="宋体" w:hAnsi="宋体" w:cs="宋体"/>
                <w:b/>
                <w:bCs/>
                <w:sz w:val="24"/>
                <w:highlight w:val="none"/>
              </w:rPr>
              <w:t xml:space="preserve">提供承诺函并加盖供应商公章，格式自拟。</w:t>
            </w:r>
            <w:r>
              <w:rPr>
                <w:rFonts w:hint="eastAsia" w:ascii="宋体" w:hAnsi="宋体" w:cs="宋体"/>
                <w:sz w:val="24"/>
                <w:highlight w:val="none"/>
              </w:rPr>
            </w:r>
            <w:r/>
          </w:p>
        </w:tc>
      </w:tr>
    </w:tbl>
    <w:p>
      <w:pPr>
        <w:pStyle w:val="1137"/>
        <w:jc w:val="center"/>
        <w:spacing w:line="360" w:lineRule="auto"/>
        <w:rPr>
          <w:sz w:val="24"/>
          <w:highlight w:val="none"/>
        </w:rPr>
        <w:outlineLvl w:val="0"/>
      </w:pPr>
      <w:r>
        <w:rPr>
          <w:b/>
          <w:sz w:val="36"/>
          <w:szCs w:val="36"/>
          <w:highlight w:val="none"/>
        </w:rPr>
        <w:br w:type="page" w:clear="all"/>
      </w:r>
      <w:r>
        <w:rPr>
          <w:b/>
          <w:sz w:val="36"/>
          <w:szCs w:val="36"/>
          <w:highlight w:val="none"/>
        </w:rPr>
        <w:t xml:space="preserve">第五章   采购需求</w:t>
      </w:r>
      <w:bookmarkEnd w:id="384"/>
      <w:r>
        <w:rPr>
          <w:sz w:val="24"/>
          <w:highlight w:val="none"/>
        </w:rPr>
      </w:r>
      <w:r/>
    </w:p>
    <w:p>
      <w:pPr>
        <w:pStyle w:val="1137"/>
        <w:ind w:firstLine="482"/>
        <w:spacing w:line="400" w:lineRule="exact"/>
        <w:rPr>
          <w:rFonts w:hint="eastAsia" w:ascii="宋体" w:hAnsi="宋体" w:cs="宋体"/>
          <w:b/>
          <w:bCs/>
          <w:sz w:val="24"/>
          <w:highlight w:val="none"/>
        </w:rPr>
      </w:pPr>
      <w:r/>
      <w:bookmarkStart w:id="385" w:name="_Toc5239"/>
      <w:r/>
      <w:bookmarkStart w:id="386" w:name="_Toc215073558"/>
      <w:r>
        <w:rPr>
          <w:rFonts w:hint="eastAsia" w:ascii="宋体" w:hAnsi="宋体" w:cs="宋体"/>
          <w:b/>
          <w:bCs/>
          <w:sz w:val="24"/>
          <w:highlight w:val="none"/>
        </w:rPr>
        <w:t xml:space="preserve">一、项目简介</w:t>
      </w:r>
      <w:r>
        <w:rPr>
          <w:rFonts w:hint="eastAsia" w:ascii="宋体" w:hAnsi="宋体" w:cs="宋体"/>
          <w:b/>
          <w:bCs/>
          <w:sz w:val="24"/>
          <w:highlight w:val="none"/>
        </w:rPr>
      </w:r>
      <w:r/>
    </w:p>
    <w:p>
      <w:pPr>
        <w:pStyle w:val="1137"/>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1.项目名称：</w:t>
      </w:r>
      <w:r>
        <w:rPr>
          <w:rFonts w:hint="eastAsia" w:ascii="宋体" w:hAnsi="宋体" w:cs="宋体"/>
          <w:sz w:val="24"/>
          <w:highlight w:val="none"/>
        </w:rPr>
        <w:t xml:space="preserve">常州市地表水环境质量自动监测站优化调整及运维服务项目</w:t>
      </w:r>
      <w:r>
        <w:rPr>
          <w:rFonts w:hint="eastAsia" w:ascii="宋体" w:hAnsi="宋体" w:cs="宋体"/>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2.服务期限：</w:t>
      </w:r>
      <w:r>
        <w:rPr>
          <w:rFonts w:hint="eastAsia" w:ascii="宋体" w:hAnsi="宋体" w:cs="宋体"/>
          <w:sz w:val="24"/>
          <w:highlight w:val="none"/>
        </w:rPr>
        <w:t xml:space="preserve">采购包1、包2、包</w:t>
      </w:r>
      <w:r>
        <w:rPr>
          <w:rFonts w:hint="eastAsia" w:ascii="宋体" w:hAnsi="宋体" w:cs="宋体"/>
          <w:sz w:val="24"/>
          <w:highlight w:val="none"/>
        </w:rPr>
        <w:t xml:space="preserve">3运维周期均为1年，自合同签订之日起生效，搬迁站点及仪器运行时间包含在运维周期内，运维费根据实际运维时长进行核算支付。采购包1中张塘村(四号桥)、河北桥与采购包2中城巷桥、乌拉基四个站点由原运维单位运维至2026年12月5日，运维到期后交接本次中标人，相关运维费用按实际运维时间核算。</w:t>
      </w:r>
      <w:r>
        <w:rPr>
          <w:rFonts w:hint="eastAsia" w:ascii="宋体" w:hAnsi="宋体" w:cs="宋体"/>
          <w:b/>
          <w:bCs/>
          <w:sz w:val="24"/>
          <w:highlight w:val="none"/>
        </w:rPr>
      </w:r>
      <w:r/>
    </w:p>
    <w:p>
      <w:pPr>
        <w:pStyle w:val="1137"/>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3.搬迁期</w:t>
      </w:r>
      <w:r>
        <w:rPr>
          <w:rFonts w:hint="eastAsia" w:ascii="宋体" w:hAnsi="宋体" w:cs="宋体"/>
          <w:b/>
          <w:bCs/>
          <w:color w:val="000000"/>
          <w:sz w:val="24"/>
          <w:highlight w:val="none"/>
        </w:rPr>
        <w:t xml:space="preserve">限：</w:t>
      </w:r>
      <w:r>
        <w:rPr>
          <w:rFonts w:hint="eastAsia" w:ascii="宋体" w:hAnsi="宋体" w:cs="宋体"/>
          <w:color w:val="000000"/>
          <w:sz w:val="24"/>
          <w:highlight w:val="none"/>
        </w:rPr>
        <w:t xml:space="preserve">本项目涉及站点搬迁的，中标人应在接到采购人通知到30个日历日内完成站点搬迁工作。</w:t>
      </w:r>
      <w:r>
        <w:rPr>
          <w:rFonts w:hint="eastAsia" w:ascii="宋体" w:hAnsi="宋体" w:cs="宋体"/>
          <w:b/>
          <w:bCs/>
          <w:sz w:val="24"/>
          <w:highlight w:val="none"/>
        </w:rPr>
      </w:r>
      <w:r/>
    </w:p>
    <w:p>
      <w:pPr>
        <w:pStyle w:val="1137"/>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4.采购内容：</w:t>
      </w:r>
      <w:r>
        <w:rPr>
          <w:rFonts w:hint="eastAsia" w:ascii="宋体" w:hAnsi="宋体" w:cs="宋体"/>
          <w:sz w:val="24"/>
          <w:highlight w:val="none"/>
        </w:rPr>
        <w:t xml:space="preserve">对</w:t>
      </w:r>
      <w:r>
        <w:rPr>
          <w:rFonts w:hint="eastAsia" w:ascii="宋体" w:hAnsi="宋体" w:cs="宋体"/>
          <w:color w:val="000000"/>
          <w:sz w:val="24"/>
          <w:highlight w:val="none"/>
        </w:rPr>
        <w:t xml:space="preserve">7个常州市建水站进行搬迁及开展</w:t>
      </w:r>
      <w:r>
        <w:rPr>
          <w:rFonts w:hint="eastAsia" w:ascii="宋体" w:hAnsi="宋体" w:cs="宋体"/>
          <w:color w:val="000000"/>
          <w:sz w:val="24"/>
          <w:highlight w:val="none"/>
        </w:rPr>
        <w:t xml:space="preserve">水站全托管运行维护（运维站点详见各采购包需求），为</w:t>
      </w:r>
      <w:r>
        <w:rPr>
          <w:rFonts w:hint="eastAsia" w:ascii="宋体" w:hAnsi="宋体" w:cs="宋体"/>
          <w:sz w:val="24"/>
          <w:highlight w:val="none"/>
        </w:rPr>
        <w:t xml:space="preserve">区域水环境治理、水质监控、应急防控等提供稳定有效的数据支撑，现采购站点搬迁及第三方全托管运行维护服务。</w:t>
      </w:r>
      <w:r>
        <w:rPr>
          <w:rFonts w:hint="eastAsia" w:ascii="宋体" w:hAnsi="宋体" w:cs="宋体"/>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本项目根据站点的地域分布，分为3个采购包，供应商可选择1个采购包或多个采购包进行响应，兼投不兼中，1家供应商只能成交1个采购包。本项目按采购包1、包2、包3的顺序进行评审并确定中标（成交）候选人,供应商如在前面的采购包中标（成交），后续采购包不再参加评审且不计入有效响应家数。</w:t>
      </w:r>
      <w:r>
        <w:rPr>
          <w:rFonts w:hint="eastAsia" w:ascii="宋体" w:hAnsi="宋体" w:cs="宋体"/>
          <w:sz w:val="24"/>
          <w:highlight w:val="none"/>
        </w:rPr>
      </w:r>
      <w:r/>
    </w:p>
    <w:p>
      <w:pPr>
        <w:pStyle w:val="1137"/>
        <w:rPr>
          <w:sz w:val="24"/>
          <w:highlight w:val="none"/>
        </w:rPr>
      </w:pPr>
      <w:r>
        <w:rPr>
          <w:rFonts w:hint="eastAsia"/>
          <w:sz w:val="24"/>
          <w:highlight w:val="none"/>
        </w:rPr>
        <w:t xml:space="preserve">具体采购包情况如下：</w:t>
      </w:r>
      <w:r>
        <w:rPr>
          <w:sz w:val="24"/>
          <w:highlight w:val="none"/>
        </w:rPr>
      </w:r>
      <w:r/>
    </w:p>
    <w:tbl>
      <w:tblPr>
        <w:tblW w:w="864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4"/>
        <w:gridCol w:w="1134"/>
        <w:gridCol w:w="5387"/>
        <w:gridCol w:w="1417"/>
      </w:tblGrid>
      <w:tr>
        <w:trPr>
          <w:trHeight w:val="530"/>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序号</w:t>
            </w:r>
            <w:r>
              <w:rPr>
                <w:rFonts w:hint="eastAsia" w:ascii="宋体" w:hAnsi="宋体" w:cs="宋体"/>
                <w:b/>
                <w:bCs/>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采购包</w:t>
            </w:r>
            <w:r>
              <w:rPr>
                <w:rFonts w:hint="eastAsia" w:ascii="宋体" w:hAnsi="宋体" w:cs="宋体"/>
                <w:b/>
                <w:bCs/>
                <w:highlight w:val="none"/>
              </w:rPr>
            </w:r>
            <w:r/>
          </w:p>
        </w:tc>
        <w:tc>
          <w:tcPr>
            <w:tcBorders>
              <w:top w:val="single" w:color="000000" w:sz="4" w:space="0"/>
              <w:left w:val="none" w:color="000000" w:sz="4" w:space="0"/>
              <w:bottom w:val="single" w:color="000000" w:sz="4" w:space="0"/>
              <w:right w:val="single" w:color="000000" w:sz="4" w:space="0"/>
            </w:tcBorders>
            <w:tcW w:w="5387" w:type="dxa"/>
            <w:vAlign w:val="center"/>
            <w:textDirection w:val="lrTb"/>
            <w:noWrap w:val="false"/>
          </w:tcPr>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采购内容</w:t>
            </w:r>
            <w:r>
              <w:rPr>
                <w:rFonts w:hint="eastAsia" w:ascii="宋体" w:hAnsi="宋体" w:cs="宋体"/>
                <w:b/>
                <w:bCs/>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采购预算</w:t>
            </w:r>
            <w:r>
              <w:rPr>
                <w:rFonts w:hint="eastAsia" w:ascii="宋体" w:hAnsi="宋体" w:cs="宋体"/>
                <w:b/>
                <w:bCs/>
                <w:highlight w:val="none"/>
              </w:rPr>
            </w:r>
            <w:r/>
          </w:p>
          <w:p>
            <w:pPr>
              <w:pStyle w:val="1415"/>
              <w:contextualSpacing/>
              <w:ind w:firstLine="0"/>
              <w:jc w:val="center"/>
              <w:spacing w:line="400" w:lineRule="exact"/>
              <w:rPr>
                <w:rFonts w:hint="eastAsia" w:ascii="宋体" w:hAnsi="宋体" w:cs="宋体"/>
                <w:b/>
                <w:bCs/>
                <w:highlight w:val="none"/>
              </w:rPr>
            </w:pPr>
            <w:r>
              <w:rPr>
                <w:rFonts w:hint="eastAsia" w:ascii="宋体" w:hAnsi="宋体" w:cs="宋体"/>
                <w:b/>
                <w:bCs/>
                <w:highlight w:val="none"/>
              </w:rPr>
              <w:t xml:space="preserve">（万元）</w:t>
            </w:r>
            <w:r>
              <w:rPr>
                <w:rFonts w:hint="eastAsia" w:ascii="宋体" w:hAnsi="宋体" w:cs="宋体"/>
                <w:b/>
                <w:bCs/>
                <w:highlight w:val="none"/>
              </w:rPr>
            </w:r>
            <w:r/>
          </w:p>
        </w:tc>
      </w:tr>
      <w:tr>
        <w:trPr>
          <w:trHeight w:val="680" w:hRule="exact"/>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采购包1</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三号桥等11个水站优化调整及全托管运维项目</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135.5</w:t>
            </w:r>
            <w:r>
              <w:rPr>
                <w:rFonts w:hint="eastAsia" w:ascii="宋体" w:hAnsi="宋体" w:cs="宋体"/>
                <w:highlight w:val="none"/>
              </w:rPr>
            </w:r>
            <w:r/>
          </w:p>
        </w:tc>
      </w:tr>
      <w:tr>
        <w:trPr>
          <w:trHeight w:val="680" w:hRule="exact"/>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采购包2</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扁担河桥等9个水站优化调整及全托管运维项目</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121.5</w:t>
            </w:r>
            <w:r>
              <w:rPr>
                <w:rFonts w:hint="eastAsia" w:ascii="宋体" w:hAnsi="宋体" w:cs="宋体"/>
                <w:highlight w:val="none"/>
              </w:rPr>
            </w:r>
            <w:r/>
          </w:p>
        </w:tc>
      </w:tr>
      <w:tr>
        <w:trPr>
          <w:trHeight w:val="680" w:hRule="exact"/>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采购包3</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粮庄桥等9个水站优化调整及全托管运维项目</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tcPr>
          <w:p>
            <w:pPr>
              <w:pStyle w:val="1415"/>
              <w:contextualSpacing/>
              <w:ind w:firstLine="0"/>
              <w:jc w:val="center"/>
              <w:spacing w:line="400" w:lineRule="exact"/>
              <w:rPr>
                <w:rFonts w:hint="eastAsia" w:ascii="宋体" w:hAnsi="宋体" w:cs="宋体"/>
                <w:highlight w:val="none"/>
              </w:rPr>
            </w:pPr>
            <w:r>
              <w:rPr>
                <w:rFonts w:hint="eastAsia" w:ascii="宋体" w:hAnsi="宋体" w:cs="宋体"/>
                <w:highlight w:val="none"/>
              </w:rPr>
              <w:t xml:space="preserve">129</w:t>
            </w:r>
            <w:r>
              <w:rPr>
                <w:rFonts w:hint="eastAsia" w:ascii="宋体" w:hAnsi="宋体" w:cs="宋体"/>
                <w:highlight w:val="none"/>
              </w:rPr>
            </w:r>
            <w:r/>
          </w:p>
        </w:tc>
      </w:tr>
    </w:tbl>
    <w:p>
      <w:pPr>
        <w:pStyle w:val="1137"/>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4.本项目采购标的对应的中小企业划分标准所属行业：</w:t>
      </w:r>
      <w:r>
        <w:rPr>
          <w:rFonts w:hint="eastAsia" w:ascii="宋体" w:hAnsi="宋体" w:cs="宋体"/>
          <w:bCs/>
          <w:sz w:val="24"/>
          <w:highlight w:val="none"/>
          <w:u w:val="single"/>
        </w:rPr>
        <w:t xml:space="preserve">其他未列明行业</w:t>
      </w:r>
      <w:r>
        <w:rPr>
          <w:rFonts w:hint="eastAsia" w:ascii="宋体" w:hAnsi="宋体" w:cs="宋体"/>
          <w:bCs/>
          <w:sz w:val="24"/>
          <w:highlight w:val="none"/>
        </w:rPr>
        <w:t xml:space="preserve">。</w:t>
      </w:r>
      <w:r>
        <w:rPr>
          <w:rFonts w:hint="eastAsia" w:ascii="宋体" w:hAnsi="宋体" w:cs="宋体"/>
          <w:b/>
          <w:sz w:val="24"/>
          <w:highlight w:val="none"/>
        </w:rPr>
      </w:r>
      <w:r/>
    </w:p>
    <w:p>
      <w:pPr>
        <w:pStyle w:val="1137"/>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二、总体要求</w:t>
      </w:r>
      <w:r>
        <w:rPr>
          <w:rFonts w:hint="eastAsia" w:ascii="宋体" w:hAnsi="宋体" w:cs="宋体"/>
          <w:b/>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b/>
          <w:bCs/>
          <w:sz w:val="24"/>
          <w:highlight w:val="none"/>
        </w:rPr>
        <w:t xml:space="preserve">供应商应按照站点搬迁、站点运维参数分项报价。</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2.供应商应提供完整的水质自动监测系统运维实施方案，明确维护方法、周期、内容及技术保障。</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3.供应商应提供完整的水质自动监测运维人员管理方案，承担相关人员安全保障的职责，并提出解决稳定人员队伍的措施。</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在水质自动监测系统运维及管理期间，应严格按照采购人制订的规范性文件对所管理的系统及仪器设备进行规范操作和精心维护及必要维修，保证系统及仪器设备的正常运行，达到采购人提出的系统及仪器设备考核指标要求。中标人必须接受采购人的定期、不定期检查和考核。</w:t>
      </w:r>
      <w:r>
        <w:rPr>
          <w:rFonts w:hint="eastAsia" w:ascii="宋体" w:hAnsi="宋体" w:cs="宋体"/>
          <w:sz w:val="24"/>
          <w:highlight w:val="none"/>
        </w:rPr>
      </w:r>
      <w:r/>
    </w:p>
    <w:p>
      <w:pPr>
        <w:pStyle w:val="1137"/>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三、</w:t>
      </w:r>
      <w:r>
        <w:rPr>
          <w:rFonts w:hint="eastAsia" w:ascii="宋体" w:hAnsi="宋体" w:cs="宋体"/>
          <w:b/>
          <w:bCs/>
          <w:sz w:val="24"/>
          <w:highlight w:val="none"/>
        </w:rPr>
        <w:t xml:space="preserve">主要规范及标准</w:t>
      </w:r>
      <w:r>
        <w:rPr>
          <w:rFonts w:hint="eastAsia" w:ascii="宋体" w:hAnsi="宋体" w:cs="宋体"/>
          <w:b/>
          <w:sz w:val="24"/>
          <w:highlight w:val="none"/>
        </w:rPr>
      </w:r>
      <w:r/>
    </w:p>
    <w:p>
      <w:pPr>
        <w:pStyle w:val="1137"/>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1.《地表水环境质量监测技术规范》（HJ 91.2—2022）；</w:t>
      </w:r>
      <w:r>
        <w:rPr>
          <w:rFonts w:hint="eastAsia" w:ascii="宋体" w:hAnsi="宋体" w:cs="宋体"/>
          <w:sz w:val="24"/>
          <w:highlight w:val="none"/>
        </w:rPr>
      </w:r>
      <w:r/>
    </w:p>
    <w:p>
      <w:pPr>
        <w:pStyle w:val="1137"/>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2.《水质水温的测定传感器法》（HJ 1396—2024）；</w:t>
      </w:r>
      <w:r>
        <w:rPr>
          <w:rFonts w:hint="eastAsia" w:ascii="宋体" w:hAnsi="宋体" w:cs="宋体"/>
          <w:sz w:val="24"/>
          <w:highlight w:val="none"/>
        </w:rPr>
      </w:r>
      <w:r/>
    </w:p>
    <w:p>
      <w:pPr>
        <w:pStyle w:val="1137"/>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3.《氨氮水质在线自动监测仪技术要求及检测方法》（HJ/T 101—2019）；</w:t>
      </w:r>
      <w:r>
        <w:rPr>
          <w:rFonts w:hint="eastAsia" w:ascii="宋体" w:hAnsi="宋体" w:cs="宋体"/>
          <w:sz w:val="24"/>
          <w:highlight w:val="none"/>
        </w:rPr>
      </w:r>
      <w:r/>
    </w:p>
    <w:p>
      <w:pPr>
        <w:pStyle w:val="1137"/>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4.《总磷水质自动分析仪技术要求》（HJ/T 103—2003）；</w:t>
      </w:r>
      <w:r>
        <w:rPr>
          <w:rFonts w:hint="eastAsia" w:ascii="宋体" w:hAnsi="宋体" w:cs="宋体"/>
          <w:sz w:val="24"/>
          <w:highlight w:val="none"/>
        </w:rPr>
      </w:r>
      <w:r/>
    </w:p>
    <w:p>
      <w:pPr>
        <w:pStyle w:val="1137"/>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5.《总氮水质自动分析仪技术要求》（HJ/T 102—2003）；</w:t>
      </w:r>
      <w:r>
        <w:rPr>
          <w:rFonts w:hint="eastAsia" w:ascii="宋体" w:hAnsi="宋体" w:cs="宋体"/>
          <w:sz w:val="24"/>
          <w:highlight w:val="none"/>
        </w:rPr>
      </w:r>
      <w:r/>
    </w:p>
    <w:p>
      <w:pPr>
        <w:pStyle w:val="1137"/>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6.《地表水水质自动监测站（常规五参数、COD</w:t>
      </w:r>
      <w:r>
        <w:rPr>
          <w:rFonts w:hint="eastAsia" w:ascii="宋体" w:hAnsi="宋体" w:cs="宋体"/>
          <w:sz w:val="24"/>
          <w:highlight w:val="none"/>
          <w:vertAlign w:val="subscript"/>
        </w:rPr>
        <w:t xml:space="preserve">Mn</w:t>
      </w:r>
      <w:r>
        <w:rPr>
          <w:rFonts w:hint="eastAsia" w:ascii="宋体" w:hAnsi="宋体" w:cs="宋体"/>
          <w:sz w:val="24"/>
          <w:highlight w:val="none"/>
        </w:rPr>
        <w:t xml:space="preserve">、NH</w:t>
      </w:r>
      <w:r>
        <w:rPr>
          <w:rFonts w:hint="eastAsia" w:ascii="宋体" w:hAnsi="宋体" w:cs="宋体"/>
          <w:sz w:val="24"/>
          <w:highlight w:val="none"/>
          <w:vertAlign w:val="subscript"/>
        </w:rPr>
        <w:t xml:space="preserve">3</w:t>
      </w:r>
      <w:r>
        <w:rPr>
          <w:rFonts w:hint="eastAsia" w:ascii="宋体" w:hAnsi="宋体" w:cs="宋体"/>
          <w:sz w:val="24"/>
          <w:highlight w:val="none"/>
        </w:rPr>
        <w:t xml:space="preserve">-N、TP、TN）运行维护技术规范》（HJ 915.3-2024部分代替 HJ 915-2017）；</w:t>
      </w:r>
      <w:r>
        <w:rPr>
          <w:rFonts w:hint="eastAsia" w:ascii="宋体" w:hAnsi="宋体" w:cs="宋体"/>
          <w:sz w:val="24"/>
          <w:highlight w:val="none"/>
        </w:rPr>
      </w:r>
      <w:r/>
    </w:p>
    <w:p>
      <w:pPr>
        <w:pStyle w:val="1137"/>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7.《环境水质（地表水）自动监测站运行维护技术规范》（DB 32/T 4536-2023）；</w:t>
      </w:r>
      <w:r>
        <w:rPr>
          <w:rFonts w:hint="eastAsia" w:ascii="宋体" w:hAnsi="宋体" w:cs="宋体"/>
          <w:sz w:val="24"/>
          <w:highlight w:val="none"/>
        </w:rPr>
      </w:r>
      <w:r/>
    </w:p>
    <w:p>
      <w:pPr>
        <w:pStyle w:val="1137"/>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8.《国家地表水水质自动监测站运行维护管理实施细则（试行）》（总站水字〔2022〕494号）；</w:t>
      </w:r>
      <w:r>
        <w:rPr>
          <w:rFonts w:hint="eastAsia" w:ascii="宋体" w:hAnsi="宋体" w:cs="宋体"/>
          <w:sz w:val="24"/>
          <w:highlight w:val="none"/>
        </w:rPr>
      </w:r>
      <w:r/>
    </w:p>
    <w:p>
      <w:pPr>
        <w:pStyle w:val="1137"/>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9.《江苏省地表水自动监测站运行管理办法（试行）》（苏环办〔2020〕174号）。</w:t>
      </w:r>
      <w:r>
        <w:rPr>
          <w:rFonts w:hint="eastAsia" w:ascii="宋体" w:hAnsi="宋体" w:cs="宋体"/>
          <w:sz w:val="24"/>
          <w:highlight w:val="none"/>
        </w:rPr>
      </w:r>
      <w:r/>
    </w:p>
    <w:p>
      <w:pPr>
        <w:pStyle w:val="1137"/>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四、具体站点及设备情况</w:t>
      </w:r>
      <w:r>
        <w:rPr>
          <w:rFonts w:hint="eastAsia" w:ascii="宋体" w:hAnsi="宋体" w:cs="宋体"/>
          <w:b/>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（一）站点情况</w:t>
      </w:r>
      <w:r>
        <w:rPr>
          <w:rFonts w:hint="eastAsia" w:ascii="宋体" w:hAnsi="宋体" w:cs="宋体"/>
          <w:b/>
          <w:bCs/>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1.采购包1站点情况</w:t>
      </w:r>
      <w:r>
        <w:rPr>
          <w:rFonts w:hint="eastAsia" w:ascii="宋体" w:hAnsi="宋体" w:cs="宋体"/>
          <w:b/>
          <w:bCs/>
          <w:sz w:val="24"/>
          <w:highlight w:val="none"/>
        </w:rPr>
      </w:r>
      <w:r/>
    </w:p>
    <w:p>
      <w:pPr>
        <w:pStyle w:val="1137"/>
        <w:contextualSpacing/>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采购包1：三号桥等11个水站优化调整及全托管运维项目</w:t>
      </w:r>
      <w:r>
        <w:rPr>
          <w:rFonts w:hint="eastAsia" w:ascii="宋体" w:hAnsi="宋体" w:cs="宋体"/>
          <w:b/>
          <w:bCs/>
          <w:sz w:val="24"/>
          <w:highlight w:val="none"/>
        </w:rPr>
      </w:r>
      <w:r/>
    </w:p>
    <w:tbl>
      <w:tblPr>
        <w:tblW w:w="89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940"/>
        <w:gridCol w:w="829"/>
        <w:gridCol w:w="1355"/>
        <w:gridCol w:w="3402"/>
        <w:gridCol w:w="850"/>
        <w:gridCol w:w="993"/>
      </w:tblGrid>
      <w:tr>
        <w:trPr>
          <w:trHeight w:val="289"/>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b/>
                <w:bCs/>
                <w:sz w:val="24"/>
                <w:highlight w:val="none"/>
              </w:rPr>
              <w:t xml:space="preserve">序号</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b/>
                <w:bCs/>
                <w:sz w:val="24"/>
                <w:highlight w:val="none"/>
              </w:rPr>
              <w:t xml:space="preserve">所属区域</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b/>
                <w:bCs/>
                <w:sz w:val="24"/>
                <w:highlight w:val="none"/>
              </w:rPr>
              <w:t xml:space="preserve">所在水体</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b/>
                <w:bCs/>
                <w:sz w:val="24"/>
                <w:highlight w:val="none"/>
              </w:rPr>
              <w:t xml:space="preserve">站点名称</w:t>
            </w:r>
            <w:r>
              <w:rPr>
                <w:rFonts w:hint="eastAsia" w:ascii="宋体" w:hAnsi="宋体" w:cs="宋体"/>
                <w:sz w:val="24"/>
                <w:highlight w:val="none"/>
              </w:rPr>
            </w:r>
            <w:r/>
          </w:p>
        </w:tc>
        <w:tc>
          <w:tcPr>
            <w:tcW w:w="340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监测参数</w:t>
            </w:r>
            <w:r>
              <w:rPr>
                <w:rFonts w:hint="eastAsia" w:ascii="宋体" w:hAnsi="宋体" w:cs="宋体"/>
                <w:b/>
                <w:bCs/>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站点搬迁</w:t>
            </w: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流量计搬迁</w:t>
            </w:r>
            <w:r>
              <w:rPr>
                <w:rFonts w:hint="eastAsia" w:ascii="宋体" w:hAnsi="宋体" w:cs="宋体"/>
                <w:b/>
                <w:bCs/>
                <w:sz w:val="24"/>
                <w:highlight w:val="none"/>
              </w:rPr>
            </w:r>
            <w:r/>
          </w:p>
        </w:tc>
      </w:tr>
      <w:tr>
        <w:trPr>
          <w:trHeight w:val="63"/>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金坛区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湟里河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spacing w:line="100" w:lineRule="atLeast"/>
              <w:widowControl/>
              <w:rPr>
                <w:rFonts w:hint="eastAsia" w:ascii="宋体" w:hAnsi="宋体" w:cs="宋体"/>
                <w:sz w:val="24"/>
                <w:highlight w:val="none"/>
              </w:rPr>
            </w:pPr>
            <w:r>
              <w:rPr>
                <w:rFonts w:hint="eastAsia" w:ascii="宋体" w:hAnsi="宋体" w:cs="宋体"/>
                <w:sz w:val="24"/>
                <w:highlight w:val="none"/>
              </w:rPr>
              <w:t xml:space="preserve">张塘村(四号桥)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总磷、高锰酸盐指数、氨氮、总氮、</w:t>
            </w:r>
            <w:r>
              <w:rPr>
                <w:rFonts w:hint="eastAsia" w:ascii="宋体" w:hAnsi="宋体" w:cs="宋体"/>
                <w:b/>
                <w:bCs/>
                <w:sz w:val="24"/>
                <w:highlight w:val="none"/>
              </w:rPr>
              <w:t xml:space="preserve">化学需氧量</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金坛区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尧塘河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河北桥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总磷、高锰酸盐指数、氨氮、总氮、</w:t>
            </w:r>
            <w:r>
              <w:rPr>
                <w:rFonts w:hint="eastAsia" w:ascii="宋体" w:hAnsi="宋体" w:cs="宋体"/>
                <w:b/>
                <w:bCs/>
                <w:sz w:val="24"/>
                <w:highlight w:val="none"/>
              </w:rPr>
              <w:t xml:space="preserve">氟化物</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金坛区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夏溪河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太平桥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金坛区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北干河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庄上桥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r>
      <w:tr>
        <w:trPr>
          <w:trHeight w:val="62"/>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武进区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孟津河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嘉成桥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总磷、高锰酸盐指数、氨氮、总氮、流量</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bookmarkStart w:id="387" w:name="OLE_LINK4"/>
            <w:r>
              <w:rPr>
                <w:rFonts w:hint="eastAsia" w:ascii="宋体" w:hAnsi="宋体" w:cs="宋体"/>
                <w:b/>
                <w:bCs/>
                <w:sz w:val="24"/>
                <w:highlight w:val="none"/>
              </w:rPr>
              <w:t xml:space="preserve">√</w:t>
            </w:r>
            <w:bookmarkEnd w:id="387"/>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r>
      <w:tr>
        <w:trPr>
          <w:trHeight w:val="62"/>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武进区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北干河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上埝桥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武进区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湟里河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三号桥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武进区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新运河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湖滨大桥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295"/>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钟楼区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武宜运河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武宜河大桥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钟楼区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新孟河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杏干桥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940"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武进区</w:t>
            </w:r>
            <w:r>
              <w:rPr>
                <w:rFonts w:hint="eastAsia" w:ascii="宋体" w:hAnsi="宋体" w:cs="宋体"/>
                <w:sz w:val="24"/>
                <w:highlight w:val="none"/>
              </w:rPr>
            </w:r>
            <w:r/>
          </w:p>
        </w:tc>
        <w:tc>
          <w:tcPr>
            <w:tcW w:w="82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新运河</w:t>
            </w:r>
            <w:r>
              <w:rPr>
                <w:rFonts w:hint="eastAsia" w:ascii="宋体" w:hAnsi="宋体" w:cs="宋体"/>
                <w:sz w:val="24"/>
                <w:highlight w:val="none"/>
              </w:rPr>
            </w:r>
            <w:r/>
          </w:p>
        </w:tc>
        <w:tc>
          <w:tcPr>
            <w:tcW w:w="135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武进大桥</w:t>
            </w:r>
            <w:r>
              <w:rPr>
                <w:rFonts w:hint="eastAsia" w:ascii="宋体" w:hAnsi="宋体" w:cs="宋体"/>
                <w:sz w:val="24"/>
                <w:highlight w:val="none"/>
              </w:rPr>
            </w:r>
            <w:r/>
          </w:p>
        </w:tc>
        <w:tc>
          <w:tcPr>
            <w:tcW w:w="3402"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w:t>
            </w:r>
            <w:r>
              <w:rPr>
                <w:rFonts w:hint="eastAsia" w:ascii="宋体" w:hAnsi="宋体" w:cs="宋体"/>
                <w:sz w:val="24"/>
                <w:highlight w:val="none"/>
              </w:rPr>
            </w:r>
            <w:r/>
          </w:p>
        </w:tc>
        <w:tc>
          <w:tcPr>
            <w:tcW w:w="85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bl>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注：</w:t>
      </w:r>
      <w:r>
        <w:rPr>
          <w:rFonts w:hint="eastAsia" w:ascii="宋体" w:hAnsi="宋体" w:cs="宋体"/>
          <w:sz w:val="24"/>
          <w:highlight w:val="none"/>
        </w:rPr>
      </w:r>
      <w:r/>
    </w:p>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（1）站点位置根据实际情况可能会有所调整，中标人应配合做好仪器、搬迁接入工作；</w:t>
      </w:r>
      <w:r>
        <w:rPr>
          <w:rFonts w:hint="eastAsia" w:ascii="宋体" w:hAnsi="宋体" w:cs="宋体"/>
          <w:sz w:val="24"/>
          <w:highlight w:val="none"/>
        </w:rPr>
      </w:r>
      <w:r/>
    </w:p>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（2）标注搬迁点位相关费用已包含在报价中，采购人不再另外支付；</w:t>
      </w:r>
      <w:r>
        <w:rPr>
          <w:rFonts w:hint="eastAsia" w:ascii="宋体" w:hAnsi="宋体" w:cs="宋体"/>
          <w:sz w:val="24"/>
          <w:highlight w:val="none"/>
        </w:rPr>
      </w:r>
      <w:r/>
    </w:p>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（3）供应商应注意站点包含的特征因子，相关运维费用已包含在报价中。</w:t>
      </w:r>
      <w:r>
        <w:rPr>
          <w:rFonts w:hint="eastAsia" w:ascii="宋体" w:hAnsi="宋体" w:cs="宋体"/>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2.采购包2站点情况</w:t>
      </w:r>
      <w:r>
        <w:rPr>
          <w:rFonts w:hint="eastAsia" w:ascii="宋体" w:hAnsi="宋体" w:cs="宋体"/>
          <w:b/>
          <w:bCs/>
          <w:sz w:val="24"/>
          <w:highlight w:val="none"/>
        </w:rPr>
      </w:r>
      <w:r/>
    </w:p>
    <w:p>
      <w:pPr>
        <w:pStyle w:val="1137"/>
        <w:contextualSpacing/>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采购包2：扁担河桥等9个水站优化调整及全托管运维项目</w:t>
      </w:r>
      <w:r>
        <w:rPr>
          <w:rFonts w:hint="eastAsia" w:ascii="宋体" w:hAnsi="宋体" w:cs="宋体"/>
          <w:b/>
          <w:bCs/>
          <w:sz w:val="24"/>
          <w:highlight w:val="none"/>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39"/>
        <w:gridCol w:w="841"/>
        <w:gridCol w:w="1002"/>
        <w:gridCol w:w="3544"/>
        <w:gridCol w:w="840"/>
        <w:gridCol w:w="993"/>
      </w:tblGrid>
      <w:tr>
        <w:trPr>
          <w:trHeight w:val="157"/>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b/>
                <w:bCs/>
                <w:sz w:val="24"/>
                <w:highlight w:val="none"/>
              </w:rPr>
              <w:t xml:space="preserve">序号</w:t>
            </w:r>
            <w:r>
              <w:rPr>
                <w:rFonts w:hint="eastAsia" w:ascii="宋体" w:hAnsi="宋体" w:cs="宋体"/>
                <w:sz w:val="24"/>
                <w:highlight w:val="none"/>
              </w:rPr>
            </w:r>
            <w:r/>
          </w:p>
        </w:tc>
        <w:tc>
          <w:tcPr>
            <w:tcW w:w="113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b/>
                <w:bCs/>
                <w:sz w:val="24"/>
                <w:highlight w:val="none"/>
              </w:rPr>
              <w:t xml:space="preserve">所属区域</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b/>
                <w:bCs/>
                <w:sz w:val="24"/>
                <w:highlight w:val="none"/>
              </w:rPr>
              <w:t xml:space="preserve">所在水体</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b/>
                <w:bCs/>
                <w:sz w:val="24"/>
                <w:highlight w:val="none"/>
              </w:rPr>
              <w:t xml:space="preserve">站点名称</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监测参数</w:t>
            </w:r>
            <w:r>
              <w:rPr>
                <w:rFonts w:hint="eastAsia" w:ascii="宋体" w:hAnsi="宋体" w:cs="宋体"/>
                <w:b/>
                <w:bCs/>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站点搬迁</w:t>
            </w: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流量计搬迁</w:t>
            </w:r>
            <w:r>
              <w:rPr>
                <w:rFonts w:hint="eastAsia" w:ascii="宋体" w:hAnsi="宋体" w:cs="宋体"/>
                <w:b/>
                <w:bCs/>
                <w:sz w:val="24"/>
                <w:highlight w:val="none"/>
              </w:rPr>
            </w:r>
            <w:r/>
          </w:p>
        </w:tc>
      </w:tr>
      <w:tr>
        <w:trPr>
          <w:trHeight w:val="63"/>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139" w:type="dxa"/>
            <w:vAlign w:val="center"/>
            <w:textDirection w:val="lrTb"/>
            <w:noWrap w:val="false"/>
          </w:tcPr>
          <w:p>
            <w:pPr>
              <w:pStyle w:val="1137"/>
              <w:contextualSpacing/>
              <w:jc w:val="center"/>
              <w:spacing w:line="160" w:lineRule="atLeast"/>
              <w:widowControl/>
              <w:rPr>
                <w:rFonts w:hint="eastAsia" w:ascii="宋体" w:hAnsi="宋体" w:cs="宋体"/>
                <w:sz w:val="24"/>
                <w:highlight w:val="none"/>
              </w:rPr>
            </w:pPr>
            <w:r>
              <w:rPr>
                <w:rFonts w:hint="eastAsia" w:ascii="宋体" w:hAnsi="宋体" w:cs="宋体"/>
                <w:sz w:val="24"/>
                <w:highlight w:val="none"/>
              </w:rPr>
              <w:t xml:space="preserve">新北区/江阴市</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长江</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西石桥水厂</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w:t>
            </w:r>
            <w:r>
              <w:rPr>
                <w:rFonts w:hint="eastAsia" w:ascii="宋体" w:hAnsi="宋体" w:cs="宋体"/>
                <w:b/>
                <w:bCs/>
                <w:sz w:val="24"/>
                <w:highlight w:val="none"/>
              </w:rPr>
              <w:t xml:space="preserve">VOC</w:t>
            </w:r>
            <w:r>
              <w:rPr>
                <w:rFonts w:hint="eastAsia" w:ascii="宋体" w:hAnsi="宋体" w:cs="宋体"/>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13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德胜河</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东潘桥</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r>
      <w:tr>
        <w:trPr>
          <w:trHeight w:val="62"/>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13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老藻江河</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常柴桥</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总磷、高锰酸盐指数、氨氮、总氮、流量</w:t>
            </w:r>
            <w:r>
              <w:rPr>
                <w:rFonts w:hint="eastAsia" w:ascii="宋体" w:hAnsi="宋体" w:cs="宋体"/>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113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德胜河</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德胜河桥</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总磷、高锰酸盐指数、氨氮、总氮、流量</w:t>
            </w:r>
            <w:r>
              <w:rPr>
                <w:rFonts w:hint="eastAsia" w:ascii="宋体" w:hAnsi="宋体" w:cs="宋体"/>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113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新孟河</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城巷桥</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总磷、高锰酸盐指数、氨氮、总氮</w:t>
            </w:r>
            <w:r>
              <w:rPr>
                <w:rFonts w:hint="eastAsia" w:ascii="宋体" w:hAnsi="宋体" w:cs="宋体"/>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113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扁担河</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扁担河桥</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113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京杭运河</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连江桥上</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113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新孟河</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乌拉基</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总磷、高锰酸盐指数、氨氮、总氮</w:t>
            </w:r>
            <w:r>
              <w:rPr>
                <w:rFonts w:hint="eastAsia" w:ascii="宋体" w:hAnsi="宋体" w:cs="宋体"/>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295"/>
        </w:trPr>
        <w:tc>
          <w:tcPr>
            <w:tcW w:w="567"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tc>
        <w:tc>
          <w:tcPr>
            <w:tcW w:w="1139"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W w:w="84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长江</w:t>
            </w:r>
            <w:r>
              <w:rPr>
                <w:rFonts w:hint="eastAsia" w:ascii="宋体" w:hAnsi="宋体" w:cs="宋体"/>
                <w:sz w:val="24"/>
                <w:highlight w:val="none"/>
              </w:rPr>
            </w:r>
            <w:r/>
          </w:p>
        </w:tc>
        <w:tc>
          <w:tcPr>
            <w:tcW w:w="100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魏村VOC</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重金属（</w:t>
            </w:r>
            <w:r>
              <w:rPr>
                <w:rFonts w:ascii="宋体" w:hAnsi="宋体" w:cs="宋体"/>
                <w:sz w:val="24"/>
                <w:highlight w:val="none"/>
              </w:rPr>
              <w:t xml:space="preserve">砷</w:t>
            </w:r>
            <w:r>
              <w:rPr>
                <w:rFonts w:hint="eastAsia" w:ascii="宋体" w:hAnsi="宋体" w:cs="宋体"/>
                <w:sz w:val="24"/>
                <w:highlight w:val="none"/>
              </w:rPr>
              <w:t xml:space="preserve">、镍、铅）、</w:t>
            </w:r>
            <w:r>
              <w:rPr>
                <w:rFonts w:hint="eastAsia" w:ascii="宋体" w:hAnsi="宋体" w:cs="宋体"/>
                <w:b/>
                <w:bCs/>
                <w:sz w:val="24"/>
                <w:highlight w:val="none"/>
              </w:rPr>
              <w:t xml:space="preserve">氟化物</w:t>
            </w:r>
            <w:r>
              <w:rPr>
                <w:rFonts w:hint="eastAsia" w:ascii="宋体" w:hAnsi="宋体" w:cs="宋体"/>
                <w:sz w:val="24"/>
                <w:highlight w:val="none"/>
              </w:rPr>
              <w:t xml:space="preserve">、</w:t>
            </w:r>
            <w:r>
              <w:rPr>
                <w:rFonts w:hint="eastAsia" w:ascii="宋体" w:hAnsi="宋体" w:cs="宋体"/>
                <w:b/>
                <w:bCs/>
                <w:sz w:val="24"/>
                <w:highlight w:val="none"/>
              </w:rPr>
              <w:t xml:space="preserve">VOC</w:t>
            </w:r>
            <w:r>
              <w:rPr>
                <w:rFonts w:hint="eastAsia" w:ascii="宋体" w:hAnsi="宋体" w:cs="宋体"/>
                <w:sz w:val="24"/>
                <w:highlight w:val="none"/>
              </w:rPr>
            </w:r>
            <w:r/>
          </w:p>
        </w:tc>
        <w:tc>
          <w:tcPr>
            <w:tcW w:w="840"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3"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bl>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注：</w:t>
      </w:r>
      <w:r>
        <w:rPr>
          <w:rFonts w:hint="eastAsia" w:ascii="宋体" w:hAnsi="宋体" w:cs="宋体"/>
          <w:sz w:val="24"/>
          <w:highlight w:val="none"/>
        </w:rPr>
      </w:r>
      <w:r/>
    </w:p>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（1）站点位置根据实际情况可能会有所调整，中标人应配合做好仪器、搬迁接入工作；</w:t>
      </w:r>
      <w:r>
        <w:rPr>
          <w:rFonts w:hint="eastAsia" w:ascii="宋体" w:hAnsi="宋体" w:cs="宋体"/>
          <w:sz w:val="24"/>
          <w:highlight w:val="none"/>
        </w:rPr>
      </w:r>
      <w:r/>
    </w:p>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（2）标注搬迁点位相关费用已包含在报价中，采购人不再另外支付；</w:t>
      </w:r>
      <w:r>
        <w:rPr>
          <w:rFonts w:hint="eastAsia" w:ascii="宋体" w:hAnsi="宋体" w:cs="宋体"/>
          <w:sz w:val="24"/>
          <w:highlight w:val="none"/>
        </w:rPr>
      </w:r>
      <w:r/>
    </w:p>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（3）供应商应注意站点包含的特征因子，相关运维费用已包含在报价中。</w:t>
      </w:r>
      <w:r>
        <w:rPr>
          <w:rFonts w:hint="eastAsia" w:ascii="宋体" w:hAnsi="宋体" w:cs="宋体"/>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3.采购包3站点情况</w:t>
      </w:r>
      <w:r>
        <w:rPr>
          <w:rFonts w:hint="eastAsia" w:ascii="宋体" w:hAnsi="宋体" w:cs="宋体"/>
          <w:b/>
          <w:bCs/>
          <w:sz w:val="24"/>
          <w:highlight w:val="none"/>
        </w:rPr>
      </w:r>
      <w:r/>
    </w:p>
    <w:p>
      <w:pPr>
        <w:pStyle w:val="1137"/>
        <w:contextualSpacing/>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采购包3：粮庄桥等9个水站优化调整及全托管运维项目</w:t>
      </w:r>
      <w:r>
        <w:rPr>
          <w:rFonts w:hint="eastAsia" w:ascii="宋体" w:hAnsi="宋体" w:cs="宋体"/>
          <w:b/>
          <w:bCs/>
          <w:sz w:val="24"/>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973"/>
        <w:gridCol w:w="1275"/>
        <w:gridCol w:w="851"/>
        <w:gridCol w:w="3544"/>
        <w:gridCol w:w="992"/>
        <w:gridCol w:w="992"/>
      </w:tblGrid>
      <w:tr>
        <w:trPr>
          <w:trHeight w:val="157"/>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b/>
                <w:bCs/>
                <w:sz w:val="24"/>
                <w:highlight w:val="none"/>
              </w:rPr>
              <w:t xml:space="preserve">序号</w:t>
            </w:r>
            <w:r>
              <w:rPr>
                <w:rFonts w:hint="eastAsia" w:ascii="宋体" w:hAnsi="宋体" w:cs="宋体"/>
                <w:sz w:val="24"/>
                <w:highlight w:val="none"/>
              </w:rPr>
            </w:r>
            <w:r/>
          </w:p>
        </w:tc>
        <w:tc>
          <w:tcPr>
            <w:tcW w:w="973"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b/>
                <w:bCs/>
                <w:sz w:val="24"/>
                <w:highlight w:val="none"/>
              </w:rPr>
              <w:t xml:space="preserve">所属区域</w:t>
            </w:r>
            <w:r>
              <w:rPr>
                <w:rFonts w:hint="eastAsia" w:ascii="宋体" w:hAnsi="宋体" w:cs="宋体"/>
                <w:sz w:val="24"/>
                <w:highlight w:val="none"/>
              </w:rPr>
            </w:r>
            <w:r/>
          </w:p>
        </w:tc>
        <w:tc>
          <w:tcPr>
            <w:tcW w:w="1275"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b/>
                <w:bCs/>
                <w:sz w:val="24"/>
                <w:highlight w:val="none"/>
              </w:rPr>
              <w:t xml:space="preserve">所在水体</w:t>
            </w:r>
            <w:r>
              <w:rPr>
                <w:rFonts w:hint="eastAsia" w:ascii="宋体" w:hAnsi="宋体" w:cs="宋体"/>
                <w:sz w:val="24"/>
                <w:highlight w:val="none"/>
              </w:rPr>
            </w:r>
            <w:r/>
          </w:p>
        </w:tc>
        <w:tc>
          <w:tcPr>
            <w:tcW w:w="851"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b/>
                <w:bCs/>
                <w:sz w:val="24"/>
                <w:highlight w:val="none"/>
              </w:rPr>
              <w:t xml:space="preserve">站点名称</w:t>
            </w:r>
            <w:r>
              <w:rPr>
                <w:rFonts w:hint="eastAsia" w:ascii="宋体" w:hAnsi="宋体" w:cs="宋体"/>
                <w:sz w:val="24"/>
                <w:highlight w:val="none"/>
              </w:rPr>
            </w:r>
            <w:r/>
          </w:p>
        </w:tc>
        <w:tc>
          <w:tcPr>
            <w:tcW w:w="3544" w:type="dxa"/>
            <w:vAlign w:val="center"/>
            <w:textDirection w:val="lrTb"/>
            <w:noWrap w:val="false"/>
          </w:tcPr>
          <w:p>
            <w:pPr>
              <w:pStyle w:val="1137"/>
              <w:contextualSpacing/>
              <w:widowControl/>
              <w:rPr>
                <w:rFonts w:hint="eastAsia" w:ascii="宋体" w:hAnsi="宋体" w:cs="宋体"/>
                <w:b/>
                <w:bCs/>
                <w:sz w:val="24"/>
                <w:highlight w:val="none"/>
              </w:rPr>
            </w:pPr>
            <w:r>
              <w:rPr>
                <w:rFonts w:hint="eastAsia" w:ascii="宋体" w:hAnsi="宋体" w:cs="宋体"/>
                <w:b/>
                <w:bCs/>
                <w:sz w:val="24"/>
                <w:highlight w:val="none"/>
              </w:rPr>
              <w:t xml:space="preserve">监测参数</w:t>
            </w:r>
            <w:r>
              <w:rPr>
                <w:rFonts w:hint="eastAsia" w:ascii="宋体" w:hAnsi="宋体" w:cs="宋体"/>
                <w:b/>
                <w:bCs/>
                <w:sz w:val="24"/>
                <w:highlight w:val="none"/>
              </w:rPr>
            </w:r>
            <w:r/>
          </w:p>
        </w:tc>
        <w:tc>
          <w:tcPr>
            <w:tcW w:w="992" w:type="dxa"/>
            <w:vAlign w:val="center"/>
            <w:textDirection w:val="lrTb"/>
            <w:noWrap w:val="false"/>
          </w:tcPr>
          <w:p>
            <w:pPr>
              <w:pStyle w:val="1137"/>
              <w:contextualSpacing/>
              <w:widowControl/>
              <w:rPr>
                <w:rFonts w:hint="eastAsia" w:ascii="宋体" w:hAnsi="宋体" w:cs="宋体"/>
                <w:b/>
                <w:bCs/>
                <w:sz w:val="24"/>
                <w:highlight w:val="none"/>
              </w:rPr>
            </w:pPr>
            <w:r>
              <w:rPr>
                <w:rFonts w:hint="eastAsia" w:ascii="宋体" w:hAnsi="宋体" w:cs="宋体"/>
                <w:b/>
                <w:bCs/>
                <w:sz w:val="24"/>
                <w:highlight w:val="none"/>
              </w:rPr>
              <w:t xml:space="preserve">站点搬迁</w:t>
            </w:r>
            <w:r>
              <w:rPr>
                <w:rFonts w:hint="eastAsia" w:ascii="宋体" w:hAnsi="宋体" w:cs="宋体"/>
                <w:b/>
                <w:bCs/>
                <w:sz w:val="24"/>
                <w:highlight w:val="none"/>
              </w:rPr>
            </w:r>
            <w:r/>
          </w:p>
        </w:tc>
        <w:tc>
          <w:tcPr>
            <w:tcW w:w="992" w:type="dxa"/>
            <w:vAlign w:val="center"/>
            <w:textDirection w:val="lrTb"/>
            <w:noWrap w:val="false"/>
          </w:tcPr>
          <w:p>
            <w:pPr>
              <w:pStyle w:val="1137"/>
              <w:contextualSpacing/>
              <w:widowControl/>
              <w:rPr>
                <w:rFonts w:hint="eastAsia" w:ascii="宋体" w:hAnsi="宋体" w:cs="宋体"/>
                <w:b/>
                <w:bCs/>
                <w:sz w:val="24"/>
                <w:highlight w:val="none"/>
              </w:rPr>
            </w:pPr>
            <w:r>
              <w:rPr>
                <w:rFonts w:hint="eastAsia" w:ascii="宋体" w:hAnsi="宋体" w:cs="宋体"/>
                <w:b/>
                <w:bCs/>
                <w:sz w:val="24"/>
                <w:highlight w:val="none"/>
              </w:rPr>
              <w:t xml:space="preserve">流量计搬迁</w:t>
            </w:r>
            <w:r>
              <w:rPr>
                <w:rFonts w:hint="eastAsia" w:ascii="宋体" w:hAnsi="宋体" w:cs="宋体"/>
                <w:b/>
                <w:bCs/>
                <w:sz w:val="24"/>
                <w:highlight w:val="none"/>
              </w:rPr>
            </w:r>
            <w:r/>
          </w:p>
        </w:tc>
      </w:tr>
      <w:tr>
        <w:trPr>
          <w:trHeight w:val="63"/>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973" w:type="dxa"/>
            <w:vAlign w:val="center"/>
            <w:textDirection w:val="lrTb"/>
            <w:noWrap w:val="false"/>
          </w:tcPr>
          <w:p>
            <w:pPr>
              <w:pStyle w:val="1137"/>
              <w:contextualSpacing/>
              <w:spacing w:line="160" w:lineRule="atLeast"/>
              <w:widowControl/>
              <w:rPr>
                <w:rFonts w:hint="eastAsia" w:ascii="宋体" w:hAnsi="宋体" w:cs="宋体"/>
                <w:sz w:val="24"/>
                <w:highlight w:val="none"/>
              </w:rPr>
            </w:pPr>
            <w:r>
              <w:rPr>
                <w:rFonts w:hint="eastAsia" w:ascii="宋体" w:hAnsi="宋体" w:cs="宋体"/>
                <w:sz w:val="24"/>
                <w:highlight w:val="none"/>
              </w:rPr>
              <w:t xml:space="preserve">天宁区</w:t>
            </w:r>
            <w:r>
              <w:rPr>
                <w:rFonts w:hint="eastAsia" w:ascii="宋体" w:hAnsi="宋体" w:cs="宋体"/>
                <w:sz w:val="24"/>
                <w:highlight w:val="none"/>
              </w:rPr>
            </w:r>
            <w:r/>
          </w:p>
        </w:tc>
        <w:tc>
          <w:tcPr>
            <w:tcW w:w="12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北塘河</w:t>
            </w:r>
            <w:r>
              <w:rPr>
                <w:rFonts w:hint="eastAsia" w:ascii="宋体" w:hAnsi="宋体" w:cs="宋体"/>
                <w:sz w:val="24"/>
                <w:highlight w:val="none"/>
              </w:rPr>
            </w:r>
            <w:r/>
          </w:p>
        </w:tc>
        <w:tc>
          <w:tcPr>
            <w:tcW w:w="85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青洋桥</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973"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天宁区</w:t>
            </w:r>
            <w:r>
              <w:rPr>
                <w:rFonts w:hint="eastAsia" w:ascii="宋体" w:hAnsi="宋体" w:cs="宋体"/>
                <w:sz w:val="24"/>
                <w:highlight w:val="none"/>
              </w:rPr>
            </w:r>
            <w:r/>
          </w:p>
        </w:tc>
        <w:tc>
          <w:tcPr>
            <w:tcW w:w="12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老新沟河段</w:t>
            </w:r>
            <w:r>
              <w:rPr>
                <w:rFonts w:hint="eastAsia" w:ascii="宋体" w:hAnsi="宋体" w:cs="宋体"/>
                <w:sz w:val="24"/>
                <w:highlight w:val="none"/>
              </w:rPr>
            </w:r>
            <w:r/>
          </w:p>
        </w:tc>
        <w:tc>
          <w:tcPr>
            <w:tcW w:w="85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粮庄桥</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五参数、总磷、高锰酸盐指数、氨氮、流量</w:t>
            </w:r>
            <w:r>
              <w:rPr>
                <w:rFonts w:hint="eastAsia" w:ascii="宋体" w:hAnsi="宋体" w:cs="宋体"/>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973"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天宁区</w:t>
            </w:r>
            <w:r>
              <w:rPr>
                <w:rFonts w:hint="eastAsia" w:ascii="宋体" w:hAnsi="宋体" w:cs="宋体"/>
                <w:sz w:val="24"/>
                <w:highlight w:val="none"/>
              </w:rPr>
            </w:r>
            <w:r/>
          </w:p>
        </w:tc>
        <w:tc>
          <w:tcPr>
            <w:tcW w:w="12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新运河</w:t>
            </w:r>
            <w:r>
              <w:rPr>
                <w:rFonts w:hint="eastAsia" w:ascii="宋体" w:hAnsi="宋体" w:cs="宋体"/>
                <w:sz w:val="24"/>
                <w:highlight w:val="none"/>
              </w:rPr>
            </w:r>
            <w:r/>
          </w:p>
        </w:tc>
        <w:tc>
          <w:tcPr>
            <w:tcW w:w="85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东方大桥</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r>
      <w:tr>
        <w:trPr>
          <w:trHeight w:val="62"/>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973"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天宁区</w:t>
            </w:r>
            <w:r>
              <w:rPr>
                <w:rFonts w:hint="eastAsia" w:ascii="宋体" w:hAnsi="宋体" w:cs="宋体"/>
                <w:sz w:val="24"/>
                <w:highlight w:val="none"/>
              </w:rPr>
            </w:r>
            <w:r/>
          </w:p>
        </w:tc>
        <w:tc>
          <w:tcPr>
            <w:tcW w:w="12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东市河</w:t>
            </w:r>
            <w:r>
              <w:rPr>
                <w:rFonts w:hint="eastAsia" w:ascii="宋体" w:hAnsi="宋体" w:cs="宋体"/>
                <w:sz w:val="24"/>
                <w:highlight w:val="none"/>
              </w:rPr>
            </w:r>
            <w:r/>
          </w:p>
        </w:tc>
        <w:tc>
          <w:tcPr>
            <w:tcW w:w="85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九华桥</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w:t>
            </w:r>
            <w:r>
              <w:rPr>
                <w:rFonts w:hint="eastAsia" w:ascii="宋体" w:hAnsi="宋体" w:cs="宋体"/>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973"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钟楼区</w:t>
            </w:r>
            <w:r>
              <w:rPr>
                <w:rFonts w:hint="eastAsia" w:ascii="宋体" w:hAnsi="宋体" w:cs="宋体"/>
                <w:sz w:val="24"/>
                <w:highlight w:val="none"/>
              </w:rPr>
            </w:r>
            <w:r/>
          </w:p>
        </w:tc>
        <w:tc>
          <w:tcPr>
            <w:tcW w:w="12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京杭运河</w:t>
            </w:r>
            <w:r>
              <w:rPr>
                <w:rFonts w:hint="eastAsia" w:ascii="宋体" w:hAnsi="宋体" w:cs="宋体"/>
                <w:sz w:val="24"/>
                <w:highlight w:val="none"/>
              </w:rPr>
            </w:r>
            <w:r/>
          </w:p>
        </w:tc>
        <w:tc>
          <w:tcPr>
            <w:tcW w:w="85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怀德桥</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w:t>
            </w:r>
            <w:r>
              <w:rPr>
                <w:rFonts w:hint="eastAsia" w:ascii="宋体" w:hAnsi="宋体" w:cs="宋体"/>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973"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钟楼区</w:t>
            </w:r>
            <w:r>
              <w:rPr>
                <w:rFonts w:hint="eastAsia" w:ascii="宋体" w:hAnsi="宋体" w:cs="宋体"/>
                <w:sz w:val="24"/>
                <w:highlight w:val="none"/>
              </w:rPr>
            </w:r>
            <w:r/>
          </w:p>
        </w:tc>
        <w:tc>
          <w:tcPr>
            <w:tcW w:w="12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关河</w:t>
            </w:r>
            <w:r>
              <w:rPr>
                <w:rFonts w:hint="eastAsia" w:ascii="宋体" w:hAnsi="宋体" w:cs="宋体"/>
                <w:sz w:val="24"/>
                <w:highlight w:val="none"/>
              </w:rPr>
            </w:r>
            <w:r/>
          </w:p>
        </w:tc>
        <w:tc>
          <w:tcPr>
            <w:tcW w:w="85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青山桥</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r>
      <w:tr>
        <w:trPr>
          <w:trHeight w:val="62"/>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973"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钟楼区</w:t>
            </w:r>
            <w:r>
              <w:rPr>
                <w:rFonts w:hint="eastAsia" w:ascii="宋体" w:hAnsi="宋体" w:cs="宋体"/>
                <w:sz w:val="24"/>
                <w:highlight w:val="none"/>
              </w:rPr>
            </w:r>
            <w:r/>
          </w:p>
        </w:tc>
        <w:tc>
          <w:tcPr>
            <w:tcW w:w="12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京杭运河</w:t>
            </w:r>
            <w:r>
              <w:rPr>
                <w:rFonts w:hint="eastAsia" w:ascii="宋体" w:hAnsi="宋体" w:cs="宋体"/>
                <w:sz w:val="24"/>
                <w:highlight w:val="none"/>
              </w:rPr>
            </w:r>
            <w:r/>
          </w:p>
        </w:tc>
        <w:tc>
          <w:tcPr>
            <w:tcW w:w="85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同安桥</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62"/>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973"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武进区</w:t>
            </w:r>
            <w:r>
              <w:rPr>
                <w:rFonts w:hint="eastAsia" w:ascii="宋体" w:hAnsi="宋体" w:cs="宋体"/>
                <w:sz w:val="24"/>
                <w:highlight w:val="none"/>
              </w:rPr>
            </w:r>
            <w:r/>
          </w:p>
        </w:tc>
        <w:tc>
          <w:tcPr>
            <w:tcW w:w="12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采菱港</w:t>
            </w:r>
            <w:r>
              <w:rPr>
                <w:rFonts w:hint="eastAsia" w:ascii="宋体" w:hAnsi="宋体" w:cs="宋体"/>
                <w:sz w:val="24"/>
                <w:highlight w:val="none"/>
              </w:rPr>
            </w:r>
            <w:r/>
          </w:p>
        </w:tc>
        <w:tc>
          <w:tcPr>
            <w:tcW w:w="85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青洋路桥</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总磷、高锰酸盐指数、氨氮、总氮、流量</w:t>
            </w:r>
            <w:r>
              <w:rPr>
                <w:rFonts w:hint="eastAsia" w:ascii="宋体" w:hAnsi="宋体" w:cs="宋体"/>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r>
            <w:r/>
          </w:p>
        </w:tc>
      </w:tr>
      <w:tr>
        <w:trPr>
          <w:trHeight w:val="295"/>
        </w:trPr>
        <w:tc>
          <w:tcPr>
            <w:tcW w:w="582"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tc>
        <w:tc>
          <w:tcPr>
            <w:tcW w:w="973"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经开区</w:t>
            </w:r>
            <w:r>
              <w:rPr>
                <w:rFonts w:hint="eastAsia" w:ascii="宋体" w:hAnsi="宋体" w:cs="宋体"/>
                <w:sz w:val="24"/>
                <w:highlight w:val="none"/>
              </w:rPr>
            </w:r>
            <w:r/>
          </w:p>
        </w:tc>
        <w:tc>
          <w:tcPr>
            <w:tcW w:w="12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京杭运河</w:t>
            </w:r>
            <w:r>
              <w:rPr>
                <w:rFonts w:hint="eastAsia" w:ascii="宋体" w:hAnsi="宋体" w:cs="宋体"/>
                <w:sz w:val="24"/>
                <w:highlight w:val="none"/>
              </w:rPr>
            </w:r>
            <w:r/>
          </w:p>
        </w:tc>
        <w:tc>
          <w:tcPr>
            <w:tcW w:w="851"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横洛间</w:t>
            </w:r>
            <w:r>
              <w:rPr>
                <w:rFonts w:hint="eastAsia" w:ascii="宋体" w:hAnsi="宋体" w:cs="宋体"/>
                <w:sz w:val="24"/>
                <w:highlight w:val="none"/>
              </w:rPr>
            </w:r>
            <w:r/>
          </w:p>
        </w:tc>
        <w:tc>
          <w:tcPr>
            <w:tcW w:w="3544"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五参数、总磷、高锰酸盐指数、氨氮、总氮、流量</w:t>
            </w:r>
            <w:r>
              <w:rPr>
                <w:rFonts w:hint="eastAsia" w:ascii="宋体" w:hAnsi="宋体" w:cs="宋体"/>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992" w:type="dxa"/>
            <w:vAlign w:val="center"/>
            <w:textDirection w:val="lrTb"/>
            <w:noWrap w:val="false"/>
          </w:tcPr>
          <w:p>
            <w:pPr>
              <w:pStyle w:val="1137"/>
              <w:contextualSpacing/>
              <w:jc w:val="center"/>
              <w:widowControl/>
              <w:rPr>
                <w:rFonts w:hint="eastAsia" w:ascii="宋体" w:hAnsi="宋体" w:cs="宋体"/>
                <w:b/>
                <w:bCs/>
                <w:sz w:val="24"/>
                <w:highlight w:val="none"/>
              </w:rPr>
            </w:pPr>
            <w:r>
              <w:rPr>
                <w:rFonts w:hint="eastAsia" w:ascii="宋体" w:hAnsi="宋体" w:cs="宋体"/>
                <w:b/>
                <w:bCs/>
                <w:sz w:val="24"/>
                <w:highlight w:val="none"/>
              </w:rPr>
            </w:r>
            <w:r/>
          </w:p>
        </w:tc>
      </w:tr>
    </w:tbl>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注：</w:t>
      </w:r>
      <w:r>
        <w:rPr>
          <w:rFonts w:hint="eastAsia" w:ascii="宋体" w:hAnsi="宋体" w:cs="宋体"/>
          <w:sz w:val="24"/>
          <w:highlight w:val="none"/>
        </w:rPr>
      </w:r>
      <w:r/>
    </w:p>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（1）站点位置根据实际情况可能会有所调整，中标人应配合做好仪器、搬迁接入工作；</w:t>
      </w:r>
      <w:r>
        <w:rPr>
          <w:rFonts w:hint="eastAsia" w:ascii="宋体" w:hAnsi="宋体" w:cs="宋体"/>
          <w:sz w:val="24"/>
          <w:highlight w:val="none"/>
        </w:rPr>
      </w:r>
      <w:r/>
    </w:p>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（2）标注搬迁点位相关费用已包含在报价中，采购人不再另外支付；</w:t>
      </w:r>
      <w:r>
        <w:rPr>
          <w:rFonts w:hint="eastAsia" w:ascii="宋体" w:hAnsi="宋体" w:cs="宋体"/>
          <w:sz w:val="24"/>
          <w:highlight w:val="none"/>
        </w:rPr>
      </w:r>
      <w:r/>
    </w:p>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（3）供应商应注意站点包含的特征因子，相关运维费用已包含在报价中。</w:t>
      </w:r>
      <w:r>
        <w:rPr>
          <w:rFonts w:hint="eastAsia" w:ascii="宋体" w:hAnsi="宋体" w:cs="宋体"/>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（二）设备和设施情况</w:t>
      </w:r>
      <w:r>
        <w:rPr>
          <w:rFonts w:hint="eastAsia" w:ascii="宋体" w:hAnsi="宋体" w:cs="宋体"/>
          <w:b/>
          <w:bCs/>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供应商负责运维的设备主要包括监测仪器、数据采集与传输设备和辅助设备设施等。其中，监测仪器主要包括：水温、pH值、溶解氧、电导率、浊度、高锰酸盐指数、氨氮、总磷、总氮九项参数，部分站点含氟化物、化学需氧量、VOC、流量计（根据站点具体情况运维）。辅助设备设施主要包括UPS、供电系统、通讯系统、防雷系统、视频监控系统、安防设施、自动采样器、空调等。</w:t>
      </w:r>
      <w:r>
        <w:rPr>
          <w:rFonts w:hint="eastAsia" w:ascii="宋体" w:hAnsi="宋体" w:cs="宋体"/>
          <w:sz w:val="24"/>
          <w:highlight w:val="none"/>
        </w:rPr>
      </w:r>
      <w:r/>
    </w:p>
    <w:p>
      <w:pPr>
        <w:pStyle w:val="1137"/>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五、采购包1、包2、包3运维管理采购内容和要求</w:t>
      </w:r>
      <w:r>
        <w:rPr>
          <w:rFonts w:hint="eastAsia" w:ascii="宋体" w:hAnsi="宋体" w:cs="宋体"/>
          <w:b/>
          <w:sz w:val="24"/>
          <w:highlight w:val="none"/>
        </w:rPr>
      </w:r>
      <w:r/>
    </w:p>
    <w:p>
      <w:pPr>
        <w:pStyle w:val="1137"/>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（一）运维内容</w:t>
      </w:r>
      <w:r>
        <w:rPr>
          <w:rFonts w:hint="eastAsia" w:ascii="宋体" w:hAnsi="宋体" w:cs="宋体"/>
          <w:b/>
          <w:sz w:val="24"/>
          <w:highlight w:val="none"/>
        </w:rPr>
      </w:r>
      <w:r/>
    </w:p>
    <w:p>
      <w:pPr>
        <w:pStyle w:val="1137"/>
        <w:contextualSpacing/>
        <w:ind w:firstLine="480"/>
        <w:spacing w:line="400" w:lineRule="exact"/>
        <w:rPr>
          <w:rFonts w:hint="eastAsia" w:ascii="宋体" w:hAnsi="宋体" w:cs="宋体"/>
          <w:sz w:val="24"/>
          <w:highlight w:val="none"/>
        </w:rPr>
      </w:pPr>
      <w:r/>
      <w:bookmarkStart w:id="388" w:name="_Hlk170826514"/>
      <w:r>
        <w:rPr>
          <w:rFonts w:hint="eastAsia" w:ascii="宋体" w:hAnsi="宋体" w:cs="宋体"/>
          <w:sz w:val="24"/>
          <w:highlight w:val="none"/>
        </w:rPr>
        <w:t xml:space="preserve">1.水质自动监测站具体运营维护内容主要包括：</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（1）制定年度运行维护计划；包括日常维护及应急保障等。</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（2）开展定期检查，对系统和仪器进行定期检修、保养；保养检修须包括系统的全面清洗和检修、仪器管路清洗、主要备件的更换、仪器的性能测试检查等内容；</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（3）定期更换仪器所需试剂以及备品备件 (按照仪器厂商备品备件更换要求说明)；按照相关要求提供、配置并定期更换，保障自动站正常运行；</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（4）按照要求完成仪器的标液核查、集成干预核查、多点线性核查等质控措施；</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（5）配合采购人完成自动站质量保证和质量控制相关工作；</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（6）及时排除仪器、软件和系统出现的故障；</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（7）保证站房清洁、整齐；</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（8）认真、及时做好各类维护记录，定期上报。</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（9）配合采购人完成定期的运维考核项目及要求。</w:t>
      </w:r>
      <w:r>
        <w:rPr>
          <w:rFonts w:hint="eastAsia" w:ascii="宋体" w:hAnsi="宋体" w:cs="宋体"/>
          <w:sz w:val="24"/>
          <w:highlight w:val="none"/>
        </w:rPr>
      </w:r>
      <w:r/>
    </w:p>
    <w:p>
      <w:pPr>
        <w:pStyle w:val="1137"/>
        <w:ind w:firstLine="482"/>
        <w:spacing w:line="400" w:lineRule="exact"/>
        <w:rPr>
          <w:rFonts w:hint="eastAsia" w:ascii="宋体" w:hAnsi="宋体" w:cs="宋体"/>
          <w:b/>
          <w:sz w:val="24"/>
          <w:highlight w:val="none"/>
        </w:rPr>
      </w:pPr>
      <w:r/>
      <w:bookmarkEnd w:id="388"/>
      <w:r>
        <w:rPr>
          <w:rFonts w:hint="eastAsia" w:ascii="宋体" w:hAnsi="宋体" w:cs="宋体"/>
          <w:b/>
          <w:sz w:val="24"/>
          <w:highlight w:val="none"/>
        </w:rPr>
        <w:t xml:space="preserve">（二）运维管理要求</w:t>
      </w:r>
      <w:r>
        <w:rPr>
          <w:rFonts w:hint="eastAsia" w:ascii="宋体" w:hAnsi="宋体" w:cs="宋体"/>
          <w:b/>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1.基本参数运维要求</w:t>
      </w:r>
      <w:r>
        <w:rPr>
          <w:rFonts w:hint="eastAsia" w:ascii="宋体" w:hAnsi="宋体" w:cs="宋体"/>
          <w:b/>
          <w:bCs/>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（1）在运行维护期间，中标人必须按照《地表水水质自动监测站（常规五参数、COD</w:t>
      </w:r>
      <w:r>
        <w:rPr>
          <w:rFonts w:hint="eastAsia" w:ascii="宋体" w:hAnsi="宋体" w:cs="宋体"/>
          <w:sz w:val="24"/>
          <w:highlight w:val="none"/>
          <w:vertAlign w:val="subscript"/>
        </w:rPr>
        <w:t xml:space="preserve">Mn</w:t>
      </w:r>
      <w:r>
        <w:rPr>
          <w:rFonts w:hint="eastAsia" w:ascii="宋体" w:hAnsi="宋体" w:cs="宋体"/>
          <w:sz w:val="24"/>
          <w:highlight w:val="none"/>
        </w:rPr>
        <w:t xml:space="preserve">、NH3⁃N、TP、TN）运行维护技术规范》（HJ 915.3—2024）、《国家地表水水质自动监测站运行维护管理实施细则（试行）》（总站水字〔20</w:t>
      </w:r>
      <w:r>
        <w:rPr>
          <w:rFonts w:hint="eastAsia" w:ascii="宋体" w:hAnsi="宋体" w:cs="宋体"/>
          <w:sz w:val="24"/>
          <w:highlight w:val="none"/>
        </w:rPr>
        <w:t xml:space="preserve">22〕494号）、《环境水质（地表水）自动监测站运行维护技术规范》（DB 32/T 4536—2023）、《省生态环境厅&lt;关于印发江苏省地表水自动监测站运行管理办法（试行）&gt;的通知》（苏环办〔2020〕174号）、《省生态环境厅关于印发&lt;江苏省地表水水质自动监测站建设技术规范（试行）&gt;及&lt;江苏省地表水水质自动监测站安装验收技术规范（试行）&gt;的通知》（苏环办〔2024〕37号）、《常州市地表水自动监测站运维及考核管理办法（试行）》的要求执行。如文件中有矛盾之处，以最新发布的文件为准，采购人保留对文件的解释权。</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b/>
          <w:bCs/>
          <w:sz w:val="24"/>
          <w:highlight w:val="none"/>
          <w:u w:val="single"/>
        </w:rPr>
        <w:t xml:space="preserve">根据站点实际情况，按所投包实际情况提供运维交接实施方案，至少包括时间人员安排、职责分工、交接内容、交接流程等内容，尽可能详实可行。</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（3）根据站点实际编制日常维护运行方案，内容包括站房环境、仪器设备、排水管路、监控及记录、运维记录等，保证每个水站每周至少到站巡检一次。</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b/>
          <w:bCs/>
          <w:sz w:val="24"/>
          <w:highlight w:val="none"/>
          <w:u w:val="single"/>
        </w:rPr>
        <w:t xml:space="preserve">供应商对水质自动站系统和仪表进行定期检修、维护保养，站房设备养护要求包括仪器设备、电极等清洁干净、站房内外部环境干净整洁；仪器设备运行是否正常，是否及时维修；内部管路正常；取水设备正常，管路通畅，取水口无漂浮垃圾、植物；仪器设备避免阳光直射，保持环境温度稳定，避免仪器震动；日常应经常检查其供电、供水是否正常、过程温度是否正常、工作时序是否正常、是否需要添加和更换试剂、是否更换备件、是否有漏液、电机工作是否正常等。定期维护保养涉及的试剂、备品备件更换、维修等费用由供应商承担</w:t>
      </w:r>
      <w:r>
        <w:rPr>
          <w:rFonts w:hint="eastAsia" w:ascii="宋体" w:hAnsi="宋体" w:cs="宋体"/>
          <w:sz w:val="24"/>
          <w:highlight w:val="none"/>
        </w:rPr>
        <w:t xml:space="preserve">。</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b/>
          <w:bCs/>
          <w:sz w:val="24"/>
          <w:highlight w:val="none"/>
          <w:u w:val="single"/>
        </w:rPr>
        <w:t xml:space="preserve">供应商须负责站房的安全、整洁及栈桥等相关附属设施的维修、维护工作，并对站房内的空调设施进行维护，保障室内温度满足规范要求，相关更新维护费用包含在采购费用中。保证站房安全、墙面整洁；及时对栈桥或取水设施进行修缮，确保水样取水的代表性；每年对防雷设施进行一次全面检测，并提供检测报告；对站房门禁、灭火器、标志牌、LOGO等附属设施进行安装和维护，满足采购人要求的站点文化建设，及时更新、维护</w:t>
      </w:r>
      <w:r>
        <w:rPr>
          <w:rFonts w:hint="eastAsia" w:ascii="宋体" w:hAnsi="宋体" w:cs="宋体"/>
          <w:sz w:val="24"/>
          <w:highlight w:val="none"/>
        </w:rPr>
        <w:t xml:space="preserve">。</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b/>
          <w:bCs/>
          <w:sz w:val="24"/>
          <w:highlight w:val="none"/>
          <w:u w:val="single"/>
        </w:rPr>
        <w:t xml:space="preserve">对站房已有的视频监控设施做到及时维护及更新，确保在取水口、站房内外实现全方位监控；确保对站房内外仪器、进出入人员、来往船只实现24小时不间断监控，实时获取监控区域内清晰的监控图像，支持前端存储和中心存储两种模式，存储周期不低于半年。如对应站点未设置监控，需在中标后1个月内安装相关监控，配置的监控设备已达报废年限且无法满足日常监控需求的站点，需要中标单位根据实际情况自行更新），并接入监控平台。如视频监控不符合采购人要求，需及时整改。</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（7）本项目总价包括采购文件所确定的采购范围相应服务，包含</w:t>
      </w:r>
      <w:r>
        <w:rPr>
          <w:rFonts w:hint="eastAsia" w:ascii="宋体" w:hAnsi="宋体" w:cs="宋体"/>
          <w:sz w:val="24"/>
          <w:highlight w:val="none"/>
        </w:rPr>
        <w:t xml:space="preserve">且不限于：各分析仪药剂费用（标准物质等测试质量控制）、社会化运行维护费用（含维护过程产生的人工费、差旅费、工资、补贴、办公场所及设施、保险、劳保、管理、各种税费、利润、税金、政策性文件规定及合同包含的所有风险、责任、中标人应当提供的伴随服务/售后服务费用）等、设备维修费用（空调更新维护费、灯光照明、吊顶地砖、消防设备等站房基础设施更新维修费用）、检测报告费用（如水样比对、防雷报告等）、废液转运费用、站房运转费用（水电、通讯、场地租赁等）及为完成该项服务项目所涉及到的一切相关费用，采购人不再支付其他任何费用。</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（8）定期养护内容及频次如下表：</w:t>
      </w:r>
      <w:r>
        <w:rPr>
          <w:rFonts w:hint="eastAsia" w:ascii="宋体" w:hAnsi="宋体" w:cs="宋体"/>
          <w:sz w:val="24"/>
          <w:highlight w:val="none"/>
        </w:rPr>
      </w:r>
      <w:r/>
    </w:p>
    <w:p>
      <w:pPr>
        <w:pStyle w:val="1137"/>
        <w:contextualSpacing/>
        <w:ind w:firstLine="480"/>
        <w:jc w:val="center"/>
        <w:spacing w:line="360" w:lineRule="auto"/>
        <w:rPr>
          <w:rFonts w:hint="eastAsia" w:ascii="宋体" w:hAnsi="宋体" w:cs="宋体"/>
          <w:b/>
          <w:bCs/>
          <w:highlight w:val="none"/>
        </w:rPr>
      </w:pPr>
      <w:r>
        <w:rPr>
          <w:rFonts w:hint="eastAsia" w:ascii="宋体" w:hAnsi="宋体" w:cs="宋体"/>
          <w:b/>
          <w:bCs/>
          <w:highlight w:val="none"/>
        </w:rPr>
        <w:t xml:space="preserve">表3-1 定期养护内容及频次要求表</w:t>
      </w:r>
      <w:r>
        <w:rPr>
          <w:rFonts w:hint="eastAsia" w:ascii="宋体" w:hAnsi="宋体" w:cs="宋体"/>
          <w:b/>
          <w:bCs/>
          <w:highlight w:val="none"/>
        </w:rPr>
      </w:r>
      <w:r/>
    </w:p>
    <w:tbl>
      <w:tblPr>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35"/>
        <w:gridCol w:w="2673"/>
        <w:gridCol w:w="701"/>
        <w:gridCol w:w="841"/>
        <w:gridCol w:w="841"/>
        <w:gridCol w:w="841"/>
        <w:gridCol w:w="841"/>
        <w:gridCol w:w="1684"/>
      </w:tblGrid>
      <w:tr>
        <w:trPr>
          <w:trHeight w:val="437"/>
          <w:tblHeader/>
        </w:trPr>
        <w:tc>
          <w:tcPr>
            <w:gridSpan w:val="2"/>
            <w:tcW w:w="4008" w:type="dxa"/>
            <w:vAlign w:val="center"/>
            <w:textDirection w:val="lrTb"/>
            <w:noWrap w:val="false"/>
          </w:tcPr>
          <w:p>
            <w:pPr>
              <w:pStyle w:val="1137"/>
              <w:jc w:val="center"/>
              <w:rPr>
                <w:sz w:val="24"/>
                <w:highlight w:val="none"/>
              </w:rPr>
            </w:pPr>
            <w:r>
              <w:rPr>
                <w:rFonts w:hint="eastAsia"/>
                <w:sz w:val="24"/>
                <w:highlight w:val="none"/>
              </w:rPr>
              <w:t xml:space="preserve">工作内容</w:t>
            </w:r>
            <w:r>
              <w:rPr>
                <w:sz w:val="24"/>
                <w:highlight w:val="none"/>
              </w:rPr>
            </w:r>
            <w:r/>
          </w:p>
        </w:tc>
        <w:tc>
          <w:tcPr>
            <w:tcW w:w="359" w:type="dxa"/>
            <w:vAlign w:val="center"/>
            <w:textDirection w:val="lrTb"/>
            <w:noWrap w:val="false"/>
          </w:tcPr>
          <w:p>
            <w:pPr>
              <w:pStyle w:val="1137"/>
              <w:jc w:val="center"/>
              <w:rPr>
                <w:sz w:val="24"/>
                <w:highlight w:val="none"/>
              </w:rPr>
            </w:pPr>
            <w:r>
              <w:rPr>
                <w:rFonts w:hint="eastAsia"/>
                <w:sz w:val="24"/>
                <w:highlight w:val="none"/>
              </w:rPr>
              <w:t xml:space="preserve">周</w:t>
            </w:r>
            <w:r>
              <w:rPr>
                <w:sz w:val="24"/>
                <w:highlight w:val="none"/>
              </w:rPr>
            </w:r>
            <w:r/>
          </w:p>
        </w:tc>
        <w:tc>
          <w:tcPr>
            <w:tcW w:w="431" w:type="dxa"/>
            <w:vAlign w:val="center"/>
            <w:textDirection w:val="lrTb"/>
            <w:noWrap w:val="false"/>
          </w:tcPr>
          <w:p>
            <w:pPr>
              <w:pStyle w:val="1137"/>
              <w:jc w:val="center"/>
              <w:rPr>
                <w:sz w:val="24"/>
                <w:highlight w:val="none"/>
              </w:rPr>
            </w:pPr>
            <w:r>
              <w:rPr>
                <w:rFonts w:hint="eastAsia"/>
                <w:sz w:val="24"/>
                <w:highlight w:val="none"/>
              </w:rPr>
              <w:t xml:space="preserve">月</w:t>
            </w:r>
            <w:r>
              <w:rPr>
                <w:sz w:val="24"/>
                <w:highlight w:val="none"/>
              </w:rPr>
            </w:r>
            <w:r/>
          </w:p>
        </w:tc>
        <w:tc>
          <w:tcPr>
            <w:tcW w:w="431" w:type="dxa"/>
            <w:vAlign w:val="center"/>
            <w:textDirection w:val="lrTb"/>
            <w:noWrap w:val="false"/>
          </w:tcPr>
          <w:p>
            <w:pPr>
              <w:pStyle w:val="1137"/>
              <w:jc w:val="center"/>
              <w:rPr>
                <w:sz w:val="24"/>
                <w:highlight w:val="none"/>
              </w:rPr>
            </w:pPr>
            <w:r>
              <w:rPr>
                <w:rFonts w:hint="eastAsia"/>
                <w:sz w:val="24"/>
                <w:highlight w:val="none"/>
              </w:rPr>
              <w:t xml:space="preserve">季度</w:t>
            </w:r>
            <w:r>
              <w:rPr>
                <w:sz w:val="24"/>
                <w:highlight w:val="none"/>
              </w:rPr>
            </w:r>
            <w:r/>
          </w:p>
        </w:tc>
        <w:tc>
          <w:tcPr>
            <w:tcW w:w="431" w:type="dxa"/>
            <w:vAlign w:val="center"/>
            <w:textDirection w:val="lrTb"/>
            <w:noWrap w:val="false"/>
          </w:tcPr>
          <w:p>
            <w:pPr>
              <w:pStyle w:val="1137"/>
              <w:jc w:val="center"/>
              <w:rPr>
                <w:sz w:val="24"/>
                <w:highlight w:val="none"/>
              </w:rPr>
            </w:pPr>
            <w:r>
              <w:rPr>
                <w:rFonts w:hint="eastAsia"/>
                <w:sz w:val="24"/>
                <w:highlight w:val="none"/>
              </w:rPr>
              <w:t xml:space="preserve">半年</w:t>
            </w:r>
            <w:r>
              <w:rPr>
                <w:sz w:val="24"/>
                <w:highlight w:val="none"/>
              </w:rPr>
            </w:r>
            <w:r/>
          </w:p>
        </w:tc>
        <w:tc>
          <w:tcPr>
            <w:tcW w:w="431" w:type="dxa"/>
            <w:vAlign w:val="center"/>
            <w:textDirection w:val="lrTb"/>
            <w:noWrap w:val="false"/>
          </w:tcPr>
          <w:p>
            <w:pPr>
              <w:pStyle w:val="1137"/>
              <w:jc w:val="center"/>
              <w:rPr>
                <w:sz w:val="24"/>
                <w:highlight w:val="none"/>
              </w:rPr>
            </w:pPr>
            <w:r>
              <w:rPr>
                <w:rFonts w:hint="eastAsia"/>
                <w:sz w:val="24"/>
                <w:highlight w:val="none"/>
              </w:rPr>
              <w:t xml:space="preserve">年</w:t>
            </w:r>
            <w:r>
              <w:rPr>
                <w:sz w:val="24"/>
                <w:highlight w:val="none"/>
              </w:rPr>
            </w:r>
            <w:r/>
          </w:p>
        </w:tc>
        <w:tc>
          <w:tcPr>
            <w:tcW w:w="864" w:type="dxa"/>
            <w:vAlign w:val="center"/>
            <w:textDirection w:val="lrTb"/>
            <w:noWrap w:val="false"/>
          </w:tcPr>
          <w:p>
            <w:pPr>
              <w:pStyle w:val="1137"/>
              <w:jc w:val="center"/>
              <w:rPr>
                <w:sz w:val="24"/>
                <w:highlight w:val="none"/>
              </w:rPr>
            </w:pPr>
            <w:r>
              <w:rPr>
                <w:rFonts w:hint="eastAsia"/>
                <w:sz w:val="24"/>
                <w:highlight w:val="none"/>
              </w:rPr>
              <w:t xml:space="preserve">备注</w:t>
            </w:r>
            <w:r>
              <w:rPr>
                <w:sz w:val="24"/>
                <w:highlight w:val="none"/>
              </w:rPr>
            </w:r>
            <w:r/>
          </w:p>
        </w:tc>
      </w:tr>
      <w:tr>
        <w:trPr>
          <w:trHeight w:val="178"/>
        </w:trPr>
        <w:tc>
          <w:tcPr>
            <w:tcW w:w="684" w:type="dxa"/>
            <w:vAlign w:val="center"/>
            <w:vMerge w:val="restart"/>
            <w:textDirection w:val="lrTb"/>
            <w:noWrap w:val="false"/>
          </w:tcPr>
          <w:p>
            <w:pPr>
              <w:pStyle w:val="1137"/>
              <w:jc w:val="center"/>
              <w:rPr>
                <w:sz w:val="24"/>
                <w:highlight w:val="none"/>
              </w:rPr>
            </w:pPr>
            <w:r>
              <w:rPr>
                <w:rFonts w:hint="eastAsia"/>
                <w:sz w:val="24"/>
                <w:highlight w:val="none"/>
              </w:rPr>
              <w:t xml:space="preserve">站房</w:t>
            </w: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消防设施更换</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128"/>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防雷检测</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256"/>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空调及供暖设施维护</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124"/>
        </w:trPr>
        <w:tc>
          <w:tcPr>
            <w:tcW w:w="684" w:type="dxa"/>
            <w:vAlign w:val="center"/>
            <w:vMerge w:val="restart"/>
            <w:textDirection w:val="lrTb"/>
            <w:noWrap w:val="false"/>
          </w:tcPr>
          <w:p>
            <w:pPr>
              <w:pStyle w:val="1137"/>
              <w:jc w:val="center"/>
              <w:rPr>
                <w:sz w:val="24"/>
                <w:highlight w:val="none"/>
              </w:rPr>
            </w:pPr>
            <w:r>
              <w:rPr>
                <w:rFonts w:hint="eastAsia"/>
                <w:sz w:val="24"/>
                <w:highlight w:val="none"/>
              </w:rPr>
              <w:t xml:space="preserve">采配水单元</w:t>
            </w: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潜水泵清洗</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200"/>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采水辅助设施</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55"/>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五参数检测池清洗</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55"/>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沉降池清洗</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464"/>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过滤器清洗</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55"/>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水样杯清洗</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576"/>
        </w:trPr>
        <w:tc>
          <w:tcPr>
            <w:tcW w:w="684" w:type="dxa"/>
            <w:vAlign w:val="center"/>
            <w:vMerge w:val="restart"/>
            <w:textDirection w:val="lrTb"/>
            <w:noWrap w:val="false"/>
          </w:tcPr>
          <w:p>
            <w:pPr>
              <w:pStyle w:val="1137"/>
              <w:jc w:val="center"/>
              <w:rPr>
                <w:sz w:val="24"/>
                <w:highlight w:val="none"/>
              </w:rPr>
            </w:pPr>
            <w:r>
              <w:rPr>
                <w:rFonts w:hint="eastAsia"/>
                <w:sz w:val="24"/>
                <w:highlight w:val="none"/>
              </w:rPr>
              <w:t xml:space="preserve">分析单元</w:t>
            </w: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试剂更换</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rFonts w:hint="eastAsia"/>
                <w:sz w:val="24"/>
                <w:highlight w:val="none"/>
              </w:rPr>
              <w:t xml:space="preserve">根据仪器要求执行</w:t>
            </w:r>
            <w:r>
              <w:rPr>
                <w:sz w:val="24"/>
                <w:highlight w:val="none"/>
              </w:rPr>
            </w:r>
            <w:r/>
          </w:p>
        </w:tc>
      </w:tr>
      <w:tr>
        <w:trPr>
          <w:trHeight w:val="298"/>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耗材及配件更换</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rFonts w:hint="eastAsia"/>
                <w:sz w:val="24"/>
                <w:highlight w:val="none"/>
              </w:rPr>
              <w:t xml:space="preserve">根据厂商说明执行</w:t>
            </w:r>
            <w:r>
              <w:rPr>
                <w:sz w:val="24"/>
                <w:highlight w:val="none"/>
              </w:rPr>
            </w:r>
            <w:r/>
          </w:p>
        </w:tc>
      </w:tr>
      <w:tr>
        <w:trPr>
          <w:trHeight w:val="92"/>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废液处置</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168"/>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保养检修</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518"/>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试剂贮存箱温度检查</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jc w:val="center"/>
              <w:rPr>
                <w:sz w:val="24"/>
                <w:highlight w:val="none"/>
              </w:rPr>
            </w:pPr>
            <w:r>
              <w:rPr>
                <w:sz w:val="24"/>
                <w:highlight w:val="none"/>
              </w:rPr>
            </w:r>
            <w:r/>
          </w:p>
        </w:tc>
      </w:tr>
      <w:tr>
        <w:trPr>
          <w:trHeight w:val="433"/>
        </w:trPr>
        <w:tc>
          <w:tcPr>
            <w:tcW w:w="684" w:type="dxa"/>
            <w:vAlign w:val="center"/>
            <w:vMerge w:val="restart"/>
            <w:textDirection w:val="lrTb"/>
            <w:noWrap w:val="false"/>
          </w:tcPr>
          <w:p>
            <w:pPr>
              <w:pStyle w:val="1137"/>
              <w:jc w:val="center"/>
              <w:rPr>
                <w:sz w:val="24"/>
                <w:highlight w:val="none"/>
              </w:rPr>
            </w:pPr>
            <w:r>
              <w:rPr>
                <w:rFonts w:hint="eastAsia"/>
                <w:sz w:val="24"/>
                <w:highlight w:val="none"/>
              </w:rPr>
              <w:t xml:space="preserve">控制单元及数据采集传输单元</w:t>
            </w: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网络通讯设备检查</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r>
        <w:trPr>
          <w:trHeight w:val="553"/>
        </w:trPr>
        <w:tc>
          <w:tcPr>
            <w:tcW w:w="684" w:type="dxa"/>
            <w:vAlign w:val="center"/>
            <w:vMerge w:val="continue"/>
            <w:textDirection w:val="lrTb"/>
            <w:noWrap w:val="false"/>
          </w:tcPr>
          <w:p>
            <w:pPr>
              <w:pStyle w:val="1137"/>
              <w:jc w:val="center"/>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工控机检查</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r>
        <w:trPr>
          <w:trHeight w:val="454"/>
        </w:trPr>
        <w:tc>
          <w:tcPr>
            <w:tcW w:w="684" w:type="dxa"/>
            <w:vAlign w:val="center"/>
            <w:vMerge w:val="restart"/>
            <w:textDirection w:val="lrTb"/>
            <w:noWrap w:val="false"/>
          </w:tcPr>
          <w:p>
            <w:pPr>
              <w:pStyle w:val="1137"/>
              <w:jc w:val="center"/>
              <w:rPr>
                <w:sz w:val="24"/>
                <w:highlight w:val="none"/>
              </w:rPr>
            </w:pPr>
            <w:r>
              <w:rPr>
                <w:rFonts w:hint="eastAsia"/>
                <w:sz w:val="24"/>
                <w:highlight w:val="none"/>
              </w:rPr>
              <w:t xml:space="preserve">辅助设备</w:t>
            </w: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稳压电源检查</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r>
        <w:trPr>
          <w:trHeight w:val="477"/>
        </w:trPr>
        <w:tc>
          <w:tcPr>
            <w:tcW w:w="684" w:type="dxa"/>
            <w:vAlign w:val="center"/>
            <w:vMerge w:val="continue"/>
            <w:textDirection w:val="lrTb"/>
            <w:noWrap w:val="false"/>
          </w:tcPr>
          <w:p>
            <w:pPr>
              <w:pStyle w:val="1137"/>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UPS 检查</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r>
        <w:trPr>
          <w:trHeight w:val="477"/>
        </w:trPr>
        <w:tc>
          <w:tcPr>
            <w:tcW w:w="684" w:type="dxa"/>
            <w:vAlign w:val="center"/>
            <w:vMerge w:val="continue"/>
            <w:textDirection w:val="lrTb"/>
            <w:noWrap w:val="false"/>
          </w:tcPr>
          <w:p>
            <w:pPr>
              <w:pStyle w:val="1137"/>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空压机检查</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r>
        <w:trPr>
          <w:trHeight w:val="477"/>
        </w:trPr>
        <w:tc>
          <w:tcPr>
            <w:tcW w:w="684" w:type="dxa"/>
            <w:vAlign w:val="center"/>
            <w:vMerge w:val="continue"/>
            <w:textDirection w:val="lrTb"/>
            <w:noWrap w:val="false"/>
          </w:tcPr>
          <w:p>
            <w:pPr>
              <w:pStyle w:val="1137"/>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警示灯</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r>
        <w:trPr>
          <w:trHeight w:val="477"/>
        </w:trPr>
        <w:tc>
          <w:tcPr>
            <w:tcW w:w="684" w:type="dxa"/>
            <w:vAlign w:val="center"/>
            <w:vMerge w:val="continue"/>
            <w:textDirection w:val="lrTb"/>
            <w:noWrap w:val="false"/>
          </w:tcPr>
          <w:p>
            <w:pPr>
              <w:pStyle w:val="1137"/>
              <w:rPr>
                <w:sz w:val="24"/>
                <w:highlight w:val="none"/>
              </w:rPr>
            </w:pPr>
            <w:r>
              <w:rPr>
                <w:sz w:val="24"/>
                <w:highlight w:val="none"/>
              </w:rPr>
            </w:r>
            <w:r/>
          </w:p>
        </w:tc>
        <w:tc>
          <w:tcPr>
            <w:tcW w:w="1369" w:type="dxa"/>
            <w:vAlign w:val="center"/>
            <w:textDirection w:val="lrTb"/>
            <w:noWrap w:val="false"/>
          </w:tcPr>
          <w:p>
            <w:pPr>
              <w:pStyle w:val="1137"/>
              <w:jc w:val="center"/>
              <w:rPr>
                <w:sz w:val="24"/>
                <w:highlight w:val="none"/>
              </w:rPr>
            </w:pPr>
            <w:r>
              <w:rPr>
                <w:rFonts w:hint="eastAsia"/>
                <w:sz w:val="24"/>
                <w:highlight w:val="none"/>
              </w:rPr>
              <w:t xml:space="preserve">视频设备检查</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r>
        <w:trPr>
          <w:trHeight w:val="477"/>
        </w:trPr>
        <w:tc>
          <w:tcPr>
            <w:gridSpan w:val="2"/>
            <w:tcW w:w="4008" w:type="dxa"/>
            <w:vAlign w:val="center"/>
            <w:textDirection w:val="lrTb"/>
            <w:noWrap w:val="false"/>
          </w:tcPr>
          <w:p>
            <w:pPr>
              <w:pStyle w:val="1137"/>
              <w:jc w:val="center"/>
              <w:rPr>
                <w:sz w:val="24"/>
                <w:highlight w:val="none"/>
              </w:rPr>
            </w:pPr>
            <w:r>
              <w:rPr>
                <w:rFonts w:hint="eastAsia"/>
                <w:sz w:val="24"/>
                <w:highlight w:val="none"/>
              </w:rPr>
              <w:t xml:space="preserve">流量计</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r>
        <w:trPr>
          <w:trHeight w:val="477"/>
        </w:trPr>
        <w:tc>
          <w:tcPr>
            <w:gridSpan w:val="2"/>
            <w:tcW w:w="4008" w:type="dxa"/>
            <w:vAlign w:val="center"/>
            <w:textDirection w:val="lrTb"/>
            <w:noWrap w:val="false"/>
          </w:tcPr>
          <w:p>
            <w:pPr>
              <w:pStyle w:val="1137"/>
              <w:jc w:val="center"/>
              <w:rPr>
                <w:sz w:val="24"/>
                <w:highlight w:val="none"/>
              </w:rPr>
            </w:pPr>
            <w:r>
              <w:rPr>
                <w:rFonts w:hint="eastAsia"/>
                <w:sz w:val="24"/>
                <w:highlight w:val="none"/>
              </w:rPr>
              <w:t xml:space="preserve">数据备份</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r>
        <w:trPr>
          <w:trHeight w:val="477"/>
        </w:trPr>
        <w:tc>
          <w:tcPr>
            <w:gridSpan w:val="2"/>
            <w:tcW w:w="4008" w:type="dxa"/>
            <w:vAlign w:val="center"/>
            <w:textDirection w:val="lrTb"/>
            <w:noWrap w:val="false"/>
          </w:tcPr>
          <w:p>
            <w:pPr>
              <w:pStyle w:val="1137"/>
              <w:jc w:val="center"/>
              <w:rPr>
                <w:sz w:val="24"/>
                <w:highlight w:val="none"/>
              </w:rPr>
            </w:pPr>
            <w:r>
              <w:rPr>
                <w:rFonts w:hint="eastAsia"/>
                <w:sz w:val="24"/>
                <w:highlight w:val="none"/>
              </w:rPr>
              <w:t xml:space="preserve">备机维护</w:t>
            </w:r>
            <w:r>
              <w:rPr>
                <w:sz w:val="24"/>
                <w:highlight w:val="none"/>
              </w:rPr>
            </w:r>
            <w:r/>
          </w:p>
        </w:tc>
        <w:tc>
          <w:tcPr>
            <w:tcW w:w="359"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lang w:val="en"/>
              </w:rPr>
              <w:t xml:space="preserve">√</w:t>
            </w: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431" w:type="dxa"/>
            <w:vAlign w:val="center"/>
            <w:textDirection w:val="lrTb"/>
            <w:noWrap w:val="false"/>
          </w:tcPr>
          <w:p>
            <w:pPr>
              <w:pStyle w:val="1137"/>
              <w:jc w:val="center"/>
              <w:rPr>
                <w:sz w:val="24"/>
                <w:highlight w:val="none"/>
              </w:rPr>
            </w:pPr>
            <w:r>
              <w:rPr>
                <w:sz w:val="24"/>
                <w:highlight w:val="none"/>
              </w:rPr>
            </w:r>
            <w:r/>
          </w:p>
        </w:tc>
        <w:tc>
          <w:tcPr>
            <w:tcW w:w="864" w:type="dxa"/>
            <w:vAlign w:val="center"/>
            <w:textDirection w:val="lrTb"/>
            <w:noWrap w:val="false"/>
          </w:tcPr>
          <w:p>
            <w:pPr>
              <w:pStyle w:val="1137"/>
              <w:rPr>
                <w:sz w:val="24"/>
                <w:highlight w:val="none"/>
              </w:rPr>
            </w:pPr>
            <w:r>
              <w:rPr>
                <w:sz w:val="24"/>
                <w:highlight w:val="none"/>
              </w:rPr>
            </w:r>
            <w:r/>
          </w:p>
        </w:tc>
      </w:tr>
    </w:tbl>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注：具体实施按各站点实际情况执行。</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9）对水质自动站仪表进行定期校准、核查、比对和性能测试工作，每周对各水质自动站至少一次现场巡查，每周至少一次仪器校准和标准溶液自查测试，每月自行开展一次实际水样的实验室比对测试。配合采购人进行水质自动站质量保证和质量质控工作。现场巡查、标液核查、水样比对等日常运维及质控数据上传数据平台。定期对仪器进行检修保证出值正常。</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（10）供应商的各项质控措施及实施频次不得少于下表要求：</w:t>
      </w:r>
      <w:r>
        <w:rPr>
          <w:rFonts w:hint="eastAsia" w:ascii="宋体" w:hAnsi="宋体" w:cs="宋体"/>
          <w:sz w:val="24"/>
          <w:highlight w:val="none"/>
        </w:rPr>
      </w:r>
      <w:r/>
    </w:p>
    <w:p>
      <w:pPr>
        <w:pStyle w:val="1137"/>
        <w:contextualSpacing/>
        <w:ind w:firstLine="480"/>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表3-2 质控措施及实施频次表</w:t>
      </w:r>
      <w:r>
        <w:rPr>
          <w:rFonts w:hint="eastAsia" w:ascii="宋体" w:hAnsi="宋体" w:cs="宋体"/>
          <w:b/>
          <w:bCs/>
          <w:sz w:val="24"/>
          <w:highlight w:val="none"/>
        </w:rPr>
      </w:r>
      <w:r/>
    </w:p>
    <w:tbl>
      <w:tblPr>
        <w:tblW w:w="4998"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96"/>
        <w:gridCol w:w="1068"/>
        <w:gridCol w:w="1121"/>
        <w:gridCol w:w="5458"/>
      </w:tblGrid>
      <w:tr>
        <w:trPr>
          <w:trHeight w:val="618" w:hRule="exact"/>
        </w:trPr>
        <w:tc>
          <w:tcPr>
            <w:tcW w:w="1075" w:type="dxa"/>
            <w:vAlign w:val="center"/>
            <w:textDirection w:val="lrTb"/>
            <w:noWrap w:val="false"/>
          </w:tcPr>
          <w:p>
            <w:pPr>
              <w:pStyle w:val="1137"/>
              <w:contextualSpacing/>
              <w:jc w:val="center"/>
              <w:spacing w:line="140" w:lineRule="atLeast"/>
              <w:rPr>
                <w:rFonts w:hint="eastAsia" w:ascii="宋体" w:hAnsi="宋体" w:cs="宋体"/>
                <w:b/>
                <w:bCs/>
                <w:sz w:val="24"/>
                <w:highlight w:val="none"/>
              </w:rPr>
            </w:pPr>
            <w:r>
              <w:rPr>
                <w:rFonts w:hint="eastAsia" w:ascii="宋体" w:hAnsi="宋体" w:cs="宋体"/>
                <w:b/>
                <w:bCs/>
                <w:sz w:val="24"/>
                <w:highlight w:val="none"/>
              </w:rPr>
              <w:t xml:space="preserve">质控措施</w:t>
            </w:r>
            <w:r>
              <w:rPr>
                <w:rFonts w:hint="eastAsia" w:ascii="宋体" w:hAnsi="宋体" w:cs="宋体"/>
                <w:b/>
                <w:bCs/>
                <w:sz w:val="24"/>
                <w:highlight w:val="none"/>
              </w:rPr>
            </w:r>
            <w:r/>
          </w:p>
        </w:tc>
        <w:tc>
          <w:tcPr>
            <w:tcW w:w="548" w:type="dxa"/>
            <w:vAlign w:val="center"/>
            <w:textDirection w:val="lrTb"/>
            <w:noWrap w:val="false"/>
          </w:tcPr>
          <w:p>
            <w:pPr>
              <w:pStyle w:val="1137"/>
              <w:contextualSpacing/>
              <w:jc w:val="center"/>
              <w:spacing w:line="140" w:lineRule="atLeast"/>
              <w:rPr>
                <w:rFonts w:hint="eastAsia" w:ascii="宋体" w:hAnsi="宋体" w:cs="宋体"/>
                <w:b/>
                <w:bCs/>
                <w:sz w:val="24"/>
                <w:highlight w:val="none"/>
              </w:rPr>
            </w:pPr>
            <w:r>
              <w:rPr>
                <w:rFonts w:hint="eastAsia" w:ascii="宋体" w:hAnsi="宋体" w:cs="宋体"/>
                <w:b/>
                <w:bCs/>
                <w:sz w:val="24"/>
                <w:highlight w:val="none"/>
              </w:rPr>
              <w:t xml:space="preserve">质控单位</w:t>
            </w:r>
            <w:r>
              <w:rPr>
                <w:rFonts w:hint="eastAsia" w:ascii="宋体" w:hAnsi="宋体" w:cs="宋体"/>
                <w:b/>
                <w:bCs/>
                <w:sz w:val="24"/>
                <w:highlight w:val="none"/>
              </w:rPr>
            </w:r>
            <w:r/>
          </w:p>
        </w:tc>
        <w:tc>
          <w:tcPr>
            <w:tcW w:w="575" w:type="dxa"/>
            <w:vAlign w:val="center"/>
            <w:textDirection w:val="lrTb"/>
            <w:noWrap w:val="false"/>
          </w:tcPr>
          <w:p>
            <w:pPr>
              <w:pStyle w:val="1137"/>
              <w:contextualSpacing/>
              <w:jc w:val="center"/>
              <w:spacing w:line="140" w:lineRule="atLeast"/>
              <w:rPr>
                <w:rFonts w:hint="eastAsia" w:ascii="宋体" w:hAnsi="宋体" w:cs="宋体"/>
                <w:b/>
                <w:bCs/>
                <w:sz w:val="24"/>
                <w:highlight w:val="none"/>
              </w:rPr>
            </w:pPr>
            <w:r>
              <w:rPr>
                <w:rFonts w:hint="eastAsia" w:ascii="宋体" w:hAnsi="宋体" w:cs="宋体"/>
                <w:b/>
                <w:bCs/>
                <w:sz w:val="24"/>
                <w:highlight w:val="none"/>
              </w:rPr>
              <w:t xml:space="preserve">质控频次</w:t>
            </w:r>
            <w:r>
              <w:rPr>
                <w:rFonts w:hint="eastAsia" w:ascii="宋体" w:hAnsi="宋体" w:cs="宋体"/>
                <w:b/>
                <w:bCs/>
                <w:sz w:val="24"/>
                <w:highlight w:val="none"/>
              </w:rPr>
            </w:r>
            <w:r/>
          </w:p>
        </w:tc>
        <w:tc>
          <w:tcPr>
            <w:tcW w:w="2800" w:type="dxa"/>
            <w:vAlign w:val="center"/>
            <w:textDirection w:val="lrTb"/>
            <w:noWrap w:val="false"/>
          </w:tcPr>
          <w:p>
            <w:pPr>
              <w:pStyle w:val="1137"/>
              <w:contextualSpacing/>
              <w:jc w:val="center"/>
              <w:spacing w:line="140" w:lineRule="atLeast"/>
              <w:rPr>
                <w:rFonts w:hint="eastAsia" w:ascii="宋体" w:hAnsi="宋体" w:cs="宋体"/>
                <w:b/>
                <w:bCs/>
                <w:sz w:val="24"/>
                <w:highlight w:val="none"/>
              </w:rPr>
            </w:pPr>
            <w:r>
              <w:rPr>
                <w:rFonts w:hint="eastAsia" w:ascii="宋体" w:hAnsi="宋体" w:cs="宋体"/>
                <w:b/>
                <w:bCs/>
                <w:sz w:val="24"/>
                <w:highlight w:val="none"/>
              </w:rPr>
              <w:t xml:space="preserve">实施对象</w:t>
            </w:r>
            <w:r>
              <w:rPr>
                <w:rFonts w:hint="eastAsia" w:ascii="宋体" w:hAnsi="宋体" w:cs="宋体"/>
                <w:b/>
                <w:bCs/>
                <w:sz w:val="24"/>
                <w:highlight w:val="none"/>
              </w:rPr>
            </w:r>
            <w:r/>
          </w:p>
        </w:tc>
      </w:tr>
      <w:tr>
        <w:trPr>
          <w:trHeight w:val="753" w:hRule="exact"/>
        </w:trPr>
        <w:tc>
          <w:tcPr>
            <w:tcW w:w="10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标样核查</w:t>
            </w:r>
            <w:r>
              <w:rPr>
                <w:rFonts w:hint="eastAsia" w:ascii="宋体" w:hAnsi="宋体" w:cs="宋体"/>
                <w:sz w:val="24"/>
                <w:highlight w:val="none"/>
              </w:rPr>
            </w:r>
            <w:r/>
          </w:p>
        </w:tc>
        <w:tc>
          <w:tcPr>
            <w:tcW w:w="548" w:type="dxa"/>
            <w:vAlign w:val="center"/>
            <w:vMerge w:val="restart"/>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中标人</w:t>
            </w:r>
            <w:r>
              <w:rPr>
                <w:rFonts w:hint="eastAsia" w:ascii="宋体" w:hAnsi="宋体" w:cs="宋体"/>
                <w:sz w:val="24"/>
                <w:highlight w:val="none"/>
              </w:rPr>
            </w:r>
            <w:r/>
          </w:p>
        </w:tc>
        <w:tc>
          <w:tcPr>
            <w:tcW w:w="5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每周</w:t>
            </w:r>
            <w:r>
              <w:rPr>
                <w:rFonts w:hint="eastAsia" w:ascii="宋体" w:hAnsi="宋体" w:cs="宋体"/>
                <w:sz w:val="24"/>
                <w:highlight w:val="none"/>
              </w:rPr>
            </w:r>
            <w:r/>
          </w:p>
        </w:tc>
        <w:tc>
          <w:tcPr>
            <w:tcW w:w="2800"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pH、电导率、浊度、氧化还原电位、氨氮、高锰酸盐指数、总磷、总氮等</w:t>
            </w:r>
            <w:r>
              <w:rPr>
                <w:rFonts w:hint="eastAsia" w:ascii="宋体" w:hAnsi="宋体" w:cs="宋体"/>
                <w:sz w:val="24"/>
                <w:highlight w:val="none"/>
              </w:rPr>
            </w:r>
            <w:r/>
          </w:p>
        </w:tc>
      </w:tr>
      <w:tr>
        <w:trPr>
          <w:trHeight w:val="657" w:hRule="exact"/>
        </w:trPr>
        <w:tc>
          <w:tcPr>
            <w:tcW w:w="10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实际水样月比对</w:t>
            </w:r>
            <w:r>
              <w:rPr>
                <w:rFonts w:hint="eastAsia" w:ascii="宋体" w:hAnsi="宋体" w:cs="宋体"/>
                <w:sz w:val="24"/>
                <w:highlight w:val="none"/>
              </w:rPr>
            </w:r>
            <w:r/>
          </w:p>
        </w:tc>
        <w:tc>
          <w:tcPr>
            <w:tcW w:w="548" w:type="dxa"/>
            <w:vAlign w:val="center"/>
            <w:vMerge w:val="continue"/>
            <w:textDirection w:val="lrTb"/>
            <w:noWrap w:val="false"/>
          </w:tcPr>
          <w:p>
            <w:pPr>
              <w:pStyle w:val="1137"/>
              <w:contextualSpacing/>
              <w:jc w:val="center"/>
              <w:rPr>
                <w:rFonts w:hint="eastAsia" w:ascii="宋体" w:hAnsi="宋体" w:cs="宋体"/>
                <w:sz w:val="24"/>
                <w:highlight w:val="none"/>
              </w:rPr>
            </w:pPr>
            <w:r>
              <w:rPr>
                <w:rFonts w:hint="eastAsia" w:ascii="宋体" w:hAnsi="宋体" w:cs="宋体"/>
                <w:sz w:val="24"/>
                <w:highlight w:val="none"/>
              </w:rPr>
            </w:r>
            <w:r/>
          </w:p>
        </w:tc>
        <w:tc>
          <w:tcPr>
            <w:tcW w:w="5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每月</w:t>
            </w:r>
            <w:r>
              <w:rPr>
                <w:rFonts w:hint="eastAsia" w:ascii="宋体" w:hAnsi="宋体" w:cs="宋体"/>
                <w:sz w:val="24"/>
                <w:highlight w:val="none"/>
              </w:rPr>
            </w:r>
            <w:r/>
          </w:p>
        </w:tc>
        <w:tc>
          <w:tcPr>
            <w:tcW w:w="2800"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常规五参数、氨氮、总磷、高锰酸盐指数、总氮等</w:t>
            </w:r>
            <w:r>
              <w:rPr>
                <w:rFonts w:hint="eastAsia" w:ascii="宋体" w:hAnsi="宋体" w:cs="宋体"/>
                <w:sz w:val="24"/>
                <w:highlight w:val="none"/>
              </w:rPr>
            </w:r>
            <w:r/>
          </w:p>
        </w:tc>
      </w:tr>
      <w:tr>
        <w:trPr>
          <w:trHeight w:val="590" w:hRule="exact"/>
        </w:trPr>
        <w:tc>
          <w:tcPr>
            <w:tcW w:w="10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多点线性核查</w:t>
            </w:r>
            <w:r>
              <w:rPr>
                <w:rFonts w:hint="eastAsia" w:ascii="宋体" w:hAnsi="宋体" w:cs="宋体"/>
                <w:sz w:val="24"/>
                <w:highlight w:val="none"/>
              </w:rPr>
            </w:r>
            <w:r/>
          </w:p>
        </w:tc>
        <w:tc>
          <w:tcPr>
            <w:tcW w:w="548" w:type="dxa"/>
            <w:vAlign w:val="center"/>
            <w:vMerge w:val="continue"/>
            <w:textDirection w:val="lrTb"/>
            <w:noWrap w:val="false"/>
          </w:tcPr>
          <w:p>
            <w:pPr>
              <w:pStyle w:val="1137"/>
              <w:contextualSpacing/>
              <w:jc w:val="center"/>
              <w:rPr>
                <w:rFonts w:hint="eastAsia" w:ascii="宋体" w:hAnsi="宋体" w:cs="宋体"/>
                <w:sz w:val="24"/>
                <w:highlight w:val="none"/>
              </w:rPr>
            </w:pPr>
            <w:r>
              <w:rPr>
                <w:rFonts w:hint="eastAsia" w:ascii="宋体" w:hAnsi="宋体" w:cs="宋体"/>
                <w:sz w:val="24"/>
                <w:highlight w:val="none"/>
              </w:rPr>
            </w:r>
            <w:r/>
          </w:p>
        </w:tc>
        <w:tc>
          <w:tcPr>
            <w:tcW w:w="5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每月</w:t>
            </w:r>
            <w:r>
              <w:rPr>
                <w:rFonts w:hint="eastAsia" w:ascii="宋体" w:hAnsi="宋体" w:cs="宋体"/>
                <w:sz w:val="24"/>
                <w:highlight w:val="none"/>
              </w:rPr>
            </w:r>
            <w:r/>
          </w:p>
        </w:tc>
        <w:tc>
          <w:tcPr>
            <w:tcW w:w="2800"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氨氮、高锰酸盐指数、总磷、总氮等</w:t>
            </w:r>
            <w:r>
              <w:rPr>
                <w:rFonts w:hint="eastAsia" w:ascii="宋体" w:hAnsi="宋体" w:cs="宋体"/>
                <w:sz w:val="24"/>
                <w:highlight w:val="none"/>
              </w:rPr>
            </w:r>
            <w:r/>
          </w:p>
        </w:tc>
      </w:tr>
      <w:tr>
        <w:trPr>
          <w:trHeight w:val="590" w:hRule="exact"/>
        </w:trPr>
        <w:tc>
          <w:tcPr>
            <w:tcW w:w="10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集成干预检查</w:t>
            </w:r>
            <w:r>
              <w:rPr>
                <w:rFonts w:hint="eastAsia" w:ascii="宋体" w:hAnsi="宋体" w:cs="宋体"/>
                <w:sz w:val="24"/>
                <w:highlight w:val="none"/>
              </w:rPr>
            </w:r>
            <w:r/>
          </w:p>
        </w:tc>
        <w:tc>
          <w:tcPr>
            <w:tcW w:w="548" w:type="dxa"/>
            <w:vAlign w:val="center"/>
            <w:vMerge w:val="continue"/>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r>
            <w:r/>
          </w:p>
        </w:tc>
        <w:tc>
          <w:tcPr>
            <w:tcW w:w="5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每月</w:t>
            </w:r>
            <w:r>
              <w:rPr>
                <w:rFonts w:hint="eastAsia" w:ascii="宋体" w:hAnsi="宋体" w:cs="宋体"/>
                <w:sz w:val="24"/>
                <w:highlight w:val="none"/>
              </w:rPr>
            </w:r>
            <w:r/>
          </w:p>
        </w:tc>
        <w:tc>
          <w:tcPr>
            <w:tcW w:w="2800"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氨氮、高锰酸盐指数、总磷、总氮等</w:t>
            </w:r>
            <w:r>
              <w:rPr>
                <w:rFonts w:hint="eastAsia" w:ascii="宋体" w:hAnsi="宋体" w:cs="宋体"/>
                <w:sz w:val="24"/>
                <w:highlight w:val="none"/>
              </w:rPr>
            </w:r>
            <w:r/>
          </w:p>
        </w:tc>
      </w:tr>
      <w:tr>
        <w:trPr>
          <w:trHeight w:val="590" w:hRule="exact"/>
        </w:trPr>
        <w:tc>
          <w:tcPr>
            <w:tcW w:w="10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加标回收</w:t>
            </w:r>
            <w:r>
              <w:rPr>
                <w:rFonts w:hint="eastAsia" w:ascii="宋体" w:hAnsi="宋体" w:cs="宋体"/>
                <w:sz w:val="24"/>
                <w:highlight w:val="none"/>
              </w:rPr>
            </w:r>
            <w:r/>
          </w:p>
        </w:tc>
        <w:tc>
          <w:tcPr>
            <w:tcW w:w="548" w:type="dxa"/>
            <w:vAlign w:val="center"/>
            <w:vMerge w:val="continue"/>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r>
            <w:r/>
          </w:p>
        </w:tc>
        <w:tc>
          <w:tcPr>
            <w:tcW w:w="575" w:type="dxa"/>
            <w:vAlign w:val="center"/>
            <w:textDirection w:val="lrTb"/>
            <w:noWrap w:val="false"/>
          </w:tcPr>
          <w:p>
            <w:pPr>
              <w:pStyle w:val="1137"/>
              <w:contextualSpacing/>
              <w:jc w:val="center"/>
              <w:widowControl/>
              <w:rPr>
                <w:rFonts w:hint="eastAsia" w:ascii="宋体" w:hAnsi="宋体" w:cs="宋体"/>
                <w:sz w:val="24"/>
                <w:highlight w:val="none"/>
              </w:rPr>
            </w:pPr>
            <w:r>
              <w:rPr>
                <w:rFonts w:hint="eastAsia" w:ascii="宋体" w:hAnsi="宋体" w:cs="宋体"/>
                <w:sz w:val="24"/>
                <w:highlight w:val="none"/>
              </w:rPr>
              <w:t xml:space="preserve">每月</w:t>
            </w:r>
            <w:r>
              <w:rPr>
                <w:rFonts w:hint="eastAsia" w:ascii="宋体" w:hAnsi="宋体" w:cs="宋体"/>
                <w:sz w:val="24"/>
                <w:highlight w:val="none"/>
              </w:rPr>
            </w:r>
            <w:r/>
          </w:p>
        </w:tc>
        <w:tc>
          <w:tcPr>
            <w:tcW w:w="2800" w:type="dxa"/>
            <w:vAlign w:val="center"/>
            <w:textDirection w:val="lrTb"/>
            <w:noWrap w:val="false"/>
          </w:tcPr>
          <w:p>
            <w:pPr>
              <w:pStyle w:val="1137"/>
              <w:contextualSpacing/>
              <w:widowControl/>
              <w:rPr>
                <w:rFonts w:hint="eastAsia" w:ascii="宋体" w:hAnsi="宋体" w:cs="宋体"/>
                <w:sz w:val="24"/>
                <w:highlight w:val="none"/>
              </w:rPr>
            </w:pPr>
            <w:r>
              <w:rPr>
                <w:rFonts w:hint="eastAsia" w:ascii="宋体" w:hAnsi="宋体" w:cs="宋体"/>
                <w:sz w:val="24"/>
                <w:highlight w:val="none"/>
              </w:rPr>
              <w:t xml:space="preserve">氨氮、高锰酸盐指数、总磷、总氮等</w:t>
            </w:r>
            <w:r>
              <w:rPr>
                <w:rFonts w:hint="eastAsia" w:ascii="宋体" w:hAnsi="宋体" w:cs="宋体"/>
                <w:sz w:val="24"/>
                <w:highlight w:val="none"/>
              </w:rPr>
            </w:r>
            <w:r/>
          </w:p>
        </w:tc>
      </w:tr>
    </w:tbl>
    <w:p>
      <w:pPr>
        <w:pStyle w:val="1137"/>
        <w:contextualSpacing/>
        <w:ind w:firstLine="480"/>
        <w:spacing w:line="400" w:lineRule="exact"/>
        <w:tabs>
          <w:tab w:val="left" w:pos="2280" w:leader="none"/>
        </w:tabs>
        <w:rPr>
          <w:rFonts w:hint="eastAsia" w:ascii="宋体" w:hAnsi="宋体" w:cs="宋体"/>
          <w:sz w:val="24"/>
          <w:highlight w:val="none"/>
        </w:rPr>
      </w:pPr>
      <w:r>
        <w:rPr>
          <w:rFonts w:hint="eastAsia" w:ascii="宋体" w:hAnsi="宋体" w:cs="宋体"/>
          <w:sz w:val="24"/>
          <w:highlight w:val="none"/>
        </w:rPr>
        <w:t xml:space="preserve">注：“实际水样月比对”由中标人每月委托具有CMA认证的第三方检测公司进行实样比对（以站点仪器参数为准）。设备维护后质控措施实施要求：更换试剂(清洗水除外)后，应再次进行校准；当监测仪器关键部件更换后，应进行多点线性核查，必要时应开展实际水样比对；当监测仪器长时间停机恢复运行时应进行多点线性核查和集成干预检查；</w:t>
      </w:r>
      <w:r>
        <w:rPr>
          <w:rFonts w:hint="eastAsia" w:ascii="宋体" w:hAnsi="宋体" w:cs="宋体"/>
          <w:sz w:val="24"/>
          <w:highlight w:val="none"/>
          <w:u w:val="single"/>
        </w:rPr>
        <w:t xml:space="preserve">其余如氟化物、VOC等特征因子（如有）按照要求进行质控措施</w:t>
      </w:r>
      <w:r>
        <w:rPr>
          <w:rFonts w:hint="eastAsia" w:ascii="宋体" w:hAnsi="宋体" w:cs="宋体"/>
          <w:sz w:val="24"/>
          <w:highlight w:val="none"/>
        </w:rPr>
        <w:t xml:space="preserve">。</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运维人员应每日通过平台查看监测数据，至少上、下午各一次，对水站运行状态和数据质量进行相应判断，并在每日9:00前完成常州市生态环境监测监控一体化平台上一审工作，每月总结自动站运维内容形成月报并上传一体化平台。</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color w:val="000000"/>
          <w:sz w:val="24"/>
          <w:highlight w:val="none"/>
        </w:rPr>
        <w:t xml:space="preserve">须保证满足生态环境部门对省控站仪器设备故障的响应时间要求，当仪器设备每日8时～17时出现故障，应在1小时之内响应，4小时内到达现场解决。若仪器故障无法排除，运维单位必须在48小时内提供并更换相应的备机，保证自动站正常运行。须通过更</w:t>
      </w:r>
      <w:r>
        <w:rPr>
          <w:rFonts w:hint="eastAsia" w:ascii="宋体" w:hAnsi="宋体" w:cs="宋体"/>
          <w:sz w:val="24"/>
          <w:highlight w:val="none"/>
        </w:rPr>
        <w:t xml:space="preserve">换备机或委托有资质的检测机构进行检测以确保数据的完整性，所需费用由中标人负责。对于一些关键维护，包括贵重消耗件的更换，需与采购人沟通确认，所产生的维修费用</w:t>
      </w:r>
      <w:r>
        <w:rPr>
          <w:rFonts w:hint="eastAsia" w:ascii="宋体" w:hAnsi="宋体" w:cs="宋体"/>
          <w:b/>
          <w:bCs/>
          <w:sz w:val="24"/>
          <w:highlight w:val="none"/>
        </w:rPr>
        <w:t xml:space="preserve">由中标人承担</w:t>
      </w:r>
      <w:r>
        <w:rPr>
          <w:rFonts w:hint="eastAsia" w:ascii="宋体" w:hAnsi="宋体" w:cs="宋体"/>
          <w:sz w:val="24"/>
          <w:highlight w:val="none"/>
        </w:rPr>
        <w:t xml:space="preserve">。</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（13）当运维人员查看数据时发现水站预警指标发生突变，应</w:t>
      </w:r>
      <w:r>
        <w:rPr>
          <w:rFonts w:hint="eastAsia" w:ascii="宋体" w:hAnsi="宋体" w:cs="宋体"/>
          <w:b/>
          <w:bCs/>
          <w:sz w:val="24"/>
          <w:highlight w:val="none"/>
        </w:rPr>
        <w:t xml:space="preserve">立即组织人员复核仪器设备状态</w:t>
      </w:r>
      <w:r>
        <w:rPr>
          <w:rFonts w:hint="eastAsia" w:ascii="宋体" w:hAnsi="宋体" w:cs="宋体"/>
          <w:sz w:val="24"/>
          <w:highlight w:val="none"/>
        </w:rPr>
        <w:t xml:space="preserve">，若仪器设备问题应立即排除故障，并做好相关说明。当确认设备正常后，应立即将书面情况说明上报上级管理部门，同时加密自动站采集和分析频率。必要时，采取人工采样实验室分析的方式进行数据比对，直至水质恢复正常水平。</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（14）供应商对数据平台应每日进行检查，检查水站监测数据与中心数据平台的传输情况是否正常，传输异常时，应立即查明原因并及时排除故障，检查每日监测数据存储情况，每季度对监测数据备份一次。</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（15）承担水质自动站运行期间产生的废液处置及相关费用，成交后需明确提供处置协议并经采购人同意。</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（16）认真、及时做好运行维护记录，内容包括：每日运行数据监控统计表、现场维护记录、仪器设备故障及排除情况登记表、每月运行情况、备品备件管理登记表、仪器质控统计表等。</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17）运行维护期间，委托中标人运行维护及管理的全部资产（包括站房及其配套设施、配套监控系统产生的各类数据信息及相关文档资料）属采购人所有，未经采购人书面同意，中标人不得以任何方式对各类财产进行出售、抵押或转移。</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（18）在委托运行维护及管理期间，中标人有责任保护上述全部资产的完整、安全并处于良好状态，遇到自然灾害等不可预防、抗拒外部因素造成资产损害，中标人应第一时间向采购人上报相关情况。</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19）中标人须全面承担水质自动站资产的保护工作，切实做好安全保卫、防盗、防火、防雷击以及防止其他人为或自然事故的发生。凡是由于保卫、保管疏漏或使用不当造成的资产损失，由中标人负责赔偿，必要时采购人要追究中标人的责任。</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（20）协助采购人做好水质自动站固定资产的管理、备品配件的登记等工作。</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（21）中标人须确保运维人员的相对固定，人员频繁调动、缺乏熟练的运维人员都将视为管理制度混乱而扣减运维费用；节假日期间，中标人必须安排值班人员，保证水质自动站正常运行。</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（22）采购人根据管理要求和运维服务成效考核的情况，有权要求中标人适当增加车辆和人员。采购人有增加监测需求时，中标人须无条件满足增加监测参数的运行维护工作。</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（23）中标人每月需上传运维站点月报至一体化平台，每运维年结束需提供半年度运维报告、年度运维报告并通过采购人验收合格。</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（24）切实按照国家、省相关自动站管理要求对运营水质自动站进行管理，若出台新的管理办法或技术规范时，按新要求执行。</w:t>
      </w:r>
      <w:r>
        <w:rPr>
          <w:rFonts w:hint="eastAsia" w:ascii="宋体" w:hAnsi="宋体" w:cs="宋体"/>
          <w:sz w:val="24"/>
          <w:highlight w:val="none"/>
        </w:rPr>
      </w:r>
      <w:r/>
    </w:p>
    <w:p>
      <w:pPr>
        <w:pStyle w:val="1137"/>
        <w:contextualSpacing/>
        <w:ind w:firstLine="482"/>
        <w:spacing w:line="400" w:lineRule="exact"/>
        <w:rPr>
          <w:rFonts w:hint="eastAsia" w:ascii="宋体" w:hAnsi="宋体" w:cs="宋体"/>
          <w:sz w:val="24"/>
          <w:highlight w:val="none"/>
        </w:rPr>
      </w:pPr>
      <w:r>
        <w:rPr>
          <w:rFonts w:hint="eastAsia" w:ascii="宋体" w:hAnsi="宋体" w:cs="宋体"/>
          <w:sz w:val="24"/>
          <w:highlight w:val="none"/>
        </w:rPr>
        <w:t xml:space="preserve">（25）如甲方有变动需求，甲方有权随时终止合同，根据实际运维周期结算费用。</w:t>
      </w:r>
      <w:r>
        <w:rPr>
          <w:rFonts w:hint="eastAsia" w:ascii="宋体" w:hAnsi="宋体" w:cs="宋体"/>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2.流量计运维管理要求</w:t>
      </w:r>
      <w:r>
        <w:rPr>
          <w:rFonts w:hint="eastAsia" w:ascii="宋体" w:hAnsi="宋体" w:cs="宋体"/>
          <w:b/>
          <w:bCs/>
          <w:sz w:val="24"/>
          <w:highlight w:val="none"/>
        </w:rPr>
      </w:r>
      <w:r/>
    </w:p>
    <w:p>
      <w:pPr>
        <w:pStyle w:val="1137"/>
        <w:contextualSpacing/>
        <w:ind w:firstLine="482"/>
        <w:spacing w:line="4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b/>
          <w:bCs/>
          <w:sz w:val="24"/>
          <w:highlight w:val="none"/>
          <w:u w:val="single"/>
        </w:rPr>
        <w:t xml:space="preserve">流量计运维工作的开展须严格按照《省生态环境厅&lt;关于印发江苏省地表水自动监测站运行管理办法（试行）&gt;的通知》（苏环办〔2020〕174号）、《河流流量测验规范》（GB 50179—2015）、《环境水质（地表水）自动监测站运行维护技术规范》（DB 32/T 4536—2023）以及其他相关国家规范文件的要求执行。如文件中有矛盾之处，以最新发布的文件为准，采购人保留对文件的解释权</w:t>
      </w:r>
      <w:r>
        <w:rPr>
          <w:rFonts w:hint="eastAsia" w:ascii="宋体" w:hAnsi="宋体" w:cs="宋体"/>
          <w:sz w:val="24"/>
          <w:highlight w:val="none"/>
        </w:rPr>
        <w:t xml:space="preserve">。</w:t>
      </w:r>
      <w:r>
        <w:rPr>
          <w:rFonts w:hint="eastAsia" w:ascii="宋体" w:hAnsi="宋体" w:cs="宋体"/>
          <w:sz w:val="24"/>
          <w:highlight w:val="none"/>
        </w:rPr>
      </w:r>
      <w:r/>
    </w:p>
    <w:p>
      <w:pPr>
        <w:pStyle w:val="1137"/>
        <w:contextualSpacing/>
        <w:ind w:firstLine="482"/>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b/>
          <w:bCs/>
          <w:sz w:val="24"/>
          <w:highlight w:val="none"/>
          <w:u w:val="single"/>
        </w:rPr>
        <w:t xml:space="preserve">须结合现场实际情况，对不符合安装测验要求的流量计进行调整至满足相关规范要求。</w:t>
      </w:r>
      <w:r>
        <w:rPr>
          <w:rFonts w:hint="eastAsia" w:ascii="宋体" w:hAnsi="宋体" w:cs="宋体"/>
          <w:sz w:val="24"/>
          <w:highlight w:val="none"/>
        </w:rPr>
      </w:r>
      <w:r/>
    </w:p>
    <w:p>
      <w:pPr>
        <w:pStyle w:val="1137"/>
        <w:contextualSpacing/>
        <w:ind w:firstLine="482"/>
        <w:spacing w:line="400" w:lineRule="exact"/>
        <w:rPr>
          <w:rFonts w:hint="eastAsia" w:ascii="宋体" w:hAnsi="宋体" w:cs="宋体"/>
          <w:sz w:val="24"/>
          <w:highlight w:val="none"/>
        </w:rPr>
      </w:pPr>
      <w:r>
        <w:rPr>
          <w:rFonts w:hint="eastAsia" w:ascii="宋体" w:hAnsi="宋体" w:cs="宋体"/>
          <w:sz w:val="24"/>
          <w:highlight w:val="none"/>
        </w:rPr>
        <w:t xml:space="preserve">（3）每日须远程查看流量计发射声波回波强度、分层流速、姿态、水位、电池电量等重要参数和工况信息是否正常。发现异常情况时，应进行记录和报告，必要时进行现场核实。</w:t>
      </w:r>
      <w:r>
        <w:rPr>
          <w:rFonts w:hint="eastAsia" w:ascii="宋体" w:hAnsi="宋体" w:cs="宋体"/>
          <w:sz w:val="24"/>
          <w:highlight w:val="none"/>
        </w:rPr>
      </w:r>
      <w:r/>
    </w:p>
    <w:p>
      <w:pPr>
        <w:pStyle w:val="1137"/>
        <w:contextualSpacing/>
        <w:ind w:firstLine="482"/>
        <w:spacing w:line="400" w:lineRule="exact"/>
        <w:rPr>
          <w:rFonts w:hint="eastAsia" w:ascii="宋体" w:hAnsi="宋体" w:cs="宋体"/>
          <w:sz w:val="24"/>
          <w:highlight w:val="none"/>
        </w:rPr>
      </w:pPr>
      <w:r>
        <w:rPr>
          <w:rFonts w:hint="eastAsia" w:ascii="宋体" w:hAnsi="宋体" w:cs="宋体"/>
          <w:sz w:val="24"/>
          <w:highlight w:val="none"/>
        </w:rPr>
        <w:t xml:space="preserve">（4）每周开展现场巡检维护，检查流量计支架安装是否牢固，电源供电是否正常。检查流量计安装位置、水尺状态、线缆走线及接头连接是否正常，对仪器表面进行清洁，读取标准水尺读数，对仪器水位进行校准。若流量计数据传输采用单独无线传输的，需对无线传输设备（RTU）和太阳能供电系统进行检查和维护，保证传输及供电正常。</w:t>
      </w:r>
      <w:r>
        <w:rPr>
          <w:rFonts w:hint="eastAsia" w:ascii="宋体" w:hAnsi="宋体" w:cs="宋体"/>
          <w:sz w:val="24"/>
          <w:highlight w:val="none"/>
        </w:rPr>
      </w:r>
      <w:r/>
    </w:p>
    <w:p>
      <w:pPr>
        <w:pStyle w:val="1137"/>
        <w:contextualSpacing/>
        <w:ind w:firstLine="482"/>
        <w:spacing w:line="40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b/>
          <w:bCs/>
          <w:sz w:val="24"/>
          <w:highlight w:val="none"/>
          <w:u w:val="single"/>
        </w:rPr>
        <w:t xml:space="preserve">每年对流量计安装支架、周边环境进行一次全面检查和维护，需委托有资质的单位按照《河流流量测验规范》（GB 50179—2015）要求开展大断面测量和流量率定，至少须覆盖丰、平、枯三个水期，提供大断面测量和流量率定报告。</w:t>
      </w:r>
      <w:r>
        <w:rPr>
          <w:rFonts w:hint="eastAsia" w:ascii="宋体" w:hAnsi="宋体" w:cs="宋体"/>
          <w:sz w:val="24"/>
          <w:highlight w:val="none"/>
        </w:rPr>
      </w:r>
      <w:r/>
    </w:p>
    <w:p>
      <w:pPr>
        <w:pStyle w:val="1137"/>
        <w:contextualSpacing/>
        <w:ind w:firstLine="482"/>
        <w:spacing w:line="400" w:lineRule="exact"/>
        <w:rPr>
          <w:rFonts w:hint="eastAsia" w:ascii="宋体" w:hAnsi="宋体" w:cs="宋体"/>
          <w:sz w:val="24"/>
          <w:highlight w:val="none"/>
        </w:rPr>
      </w:pPr>
      <w:r>
        <w:rPr>
          <w:rFonts w:hint="eastAsia" w:ascii="宋体" w:hAnsi="宋体" w:cs="宋体"/>
          <w:sz w:val="24"/>
          <w:highlight w:val="none"/>
        </w:rPr>
        <w:t xml:space="preserve">（6）须针对技术需求并结合现场流量计的运行情况编写数据审核方案，并提交采购人审核。方案内容包含但不限于职责分工、数据审核规则、内部数据审核制度、数据复核以及运维相关视频、日志、关键参数日常审核。</w:t>
      </w:r>
      <w:r>
        <w:rPr>
          <w:rFonts w:hint="eastAsia" w:ascii="宋体" w:hAnsi="宋体" w:cs="宋体"/>
          <w:sz w:val="24"/>
          <w:highlight w:val="none"/>
        </w:rPr>
      </w:r>
      <w:r/>
    </w:p>
    <w:p>
      <w:pPr>
        <w:pStyle w:val="1137"/>
        <w:contextualSpacing/>
        <w:ind w:firstLine="482"/>
        <w:spacing w:line="400" w:lineRule="exact"/>
        <w:rPr>
          <w:rFonts w:hint="eastAsia" w:ascii="宋体" w:hAnsi="宋体" w:cs="宋体"/>
          <w:sz w:val="24"/>
          <w:highlight w:val="none"/>
        </w:rPr>
      </w:pPr>
      <w:r>
        <w:rPr>
          <w:rFonts w:hint="eastAsia" w:ascii="宋体" w:hAnsi="宋体" w:cs="宋体"/>
          <w:sz w:val="24"/>
          <w:highlight w:val="none"/>
        </w:rPr>
        <w:t xml:space="preserve">（7）须做好站点运维记录的规范上报。认真、及时做好运行维护记录，并上传至常州市生态环境监测监控一体化平台，并根据数据审核有关要求按时完成数据审核、异常数据核实等工作。</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（8）当点位需要新增、撤销、变更时，涉及站点迁移的，运维单位应做好迁移前后监测仪器设备检查工作并做好相关记录。</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（9）须保证满足生态环境部门对市建站仪器设备故障的响应时间要求，当仪器设备每日</w:t>
      </w:r>
      <w:r>
        <w:rPr>
          <w:rFonts w:hint="eastAsia" w:ascii="宋体" w:hAnsi="宋体" w:cs="宋体"/>
          <w:sz w:val="24"/>
          <w:highlight w:val="none"/>
        </w:rPr>
        <w:t xml:space="preserve">8时～17时出现故障，应在1小时之内响应，4小时内到达现场解决。若仪器故障无法排除，运维单位必须在48小时内提供并更换相应的</w:t>
      </w:r>
      <w:r>
        <w:rPr>
          <w:rFonts w:hint="eastAsia" w:ascii="宋体" w:hAnsi="宋体" w:cs="宋体"/>
          <w:b/>
          <w:bCs/>
          <w:sz w:val="24"/>
          <w:highlight w:val="none"/>
        </w:rPr>
        <w:t xml:space="preserve">备机</w:t>
      </w:r>
      <w:r>
        <w:rPr>
          <w:rFonts w:hint="eastAsia" w:ascii="宋体" w:hAnsi="宋体" w:cs="宋体"/>
          <w:sz w:val="24"/>
          <w:highlight w:val="none"/>
        </w:rPr>
        <w:t xml:space="preserve">，保证流量计正常运行。</w:t>
      </w:r>
      <w:r>
        <w:rPr>
          <w:rFonts w:hint="eastAsia" w:ascii="宋体" w:hAnsi="宋体" w:cs="宋体"/>
          <w:sz w:val="24"/>
          <w:highlight w:val="none"/>
        </w:rPr>
      </w:r>
      <w:r/>
    </w:p>
    <w:p>
      <w:pPr>
        <w:pStyle w:val="1137"/>
        <w:contextualSpacing/>
        <w:ind w:firstLine="482"/>
        <w:spacing w:line="400" w:lineRule="exact"/>
        <w:rPr>
          <w:rFonts w:hint="eastAsia" w:ascii="宋体" w:hAnsi="宋体" w:cs="宋体"/>
          <w:b/>
          <w:bCs/>
          <w:sz w:val="24"/>
          <w:highlight w:val="none"/>
        </w:rPr>
      </w:pPr>
      <w:r/>
      <w:bookmarkStart w:id="389" w:name="_Toc150333473"/>
      <w:r/>
      <w:bookmarkStart w:id="390" w:name="_Toc86147042"/>
      <w:r>
        <w:rPr>
          <w:rFonts w:hint="eastAsia" w:ascii="宋体" w:hAnsi="宋体" w:cs="宋体"/>
          <w:b/>
          <w:bCs/>
          <w:sz w:val="24"/>
          <w:highlight w:val="none"/>
        </w:rPr>
        <w:t xml:space="preserve">3.人员、车辆、设备要求</w:t>
      </w:r>
      <w:r>
        <w:rPr>
          <w:rFonts w:hint="eastAsia" w:ascii="宋体" w:hAnsi="宋体" w:cs="宋体"/>
          <w:b/>
          <w:bCs/>
          <w:sz w:val="24"/>
          <w:highlight w:val="none"/>
        </w:rPr>
      </w:r>
      <w:r/>
    </w:p>
    <w:p>
      <w:pPr>
        <w:pStyle w:val="1137"/>
        <w:contextualSpacing/>
        <w:ind w:firstLine="480"/>
        <w:spacing w:line="400" w:lineRule="exact"/>
        <w:widowControl/>
        <w:rPr>
          <w:rFonts w:hint="eastAsia" w:ascii="宋体" w:hAnsi="宋体" w:cs="宋体"/>
          <w:sz w:val="24"/>
          <w:highlight w:val="none"/>
        </w:rPr>
      </w:pPr>
      <w:r/>
      <w:bookmarkEnd w:id="389"/>
      <w:r/>
      <w:bookmarkEnd w:id="390"/>
      <w:r>
        <w:rPr>
          <w:rFonts w:ascii="宋体" w:hAnsi="宋体" w:cs="宋体"/>
          <w:sz w:val="24"/>
          <w:highlight w:val="none"/>
        </w:rPr>
        <w:t xml:space="preserve">★</w:t>
      </w:r>
      <w:r>
        <w:rPr>
          <w:rFonts w:hint="eastAsia" w:ascii="宋体" w:hAnsi="宋体" w:cs="宋体"/>
          <w:sz w:val="24"/>
          <w:highlight w:val="none"/>
        </w:rPr>
        <w:t xml:space="preserve">（1）</w:t>
      </w:r>
      <w:r>
        <w:rPr>
          <w:rFonts w:hint="eastAsia" w:ascii="宋体" w:hAnsi="宋体" w:cs="宋体"/>
          <w:b/>
          <w:bCs/>
          <w:sz w:val="24"/>
          <w:highlight w:val="none"/>
          <w:u w:val="single"/>
        </w:rPr>
        <w:t xml:space="preserve">供应商应配备足够数量和经验丰富的运维人员，运维人员须具备大专及以上学历，每6个站点至少配备1名运维人员，不足6个站点按6个站点配置，为本项目配置的运维人员应通过省级及以上水质自动站持证上岗考核或培训。</w:t>
      </w:r>
      <w:r>
        <w:rPr>
          <w:rFonts w:hint="eastAsia" w:ascii="宋体" w:hAnsi="宋体" w:cs="宋体"/>
          <w:b/>
          <w:bCs/>
          <w:sz w:val="24"/>
          <w:highlight w:val="none"/>
        </w:rPr>
        <w:t xml:space="preserve">（本项为实质性要求，供应商必须响应，否则作无效响应文件处理。响应文件中提供相关证明材料加盖供应商公章）。</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b/>
          <w:bCs/>
          <w:sz w:val="24"/>
          <w:highlight w:val="none"/>
          <w:u w:val="single"/>
        </w:rPr>
        <w:t xml:space="preserve">须配备</w:t>
      </w:r>
      <w:bookmarkStart w:id="391" w:name="_Hlk147995563"/>
      <w:r>
        <w:rPr>
          <w:rFonts w:hint="eastAsia" w:ascii="宋体" w:hAnsi="宋体" w:cs="宋体"/>
          <w:b/>
          <w:bCs/>
          <w:sz w:val="24"/>
          <w:highlight w:val="none"/>
          <w:u w:val="single"/>
        </w:rPr>
        <w:t xml:space="preserve">水</w:t>
      </w:r>
      <w:bookmarkStart w:id="392" w:name="_Hlk147995557"/>
      <w:r>
        <w:rPr>
          <w:rFonts w:hint="eastAsia" w:ascii="宋体" w:hAnsi="宋体" w:cs="宋体"/>
          <w:b/>
          <w:bCs/>
          <w:sz w:val="24"/>
          <w:highlight w:val="none"/>
          <w:u w:val="single"/>
        </w:rPr>
        <w:t xml:space="preserve">质五参数（水温、pH值、溶解氧、电导率、浊度）</w:t>
      </w:r>
      <w:bookmarkEnd w:id="392"/>
      <w:r>
        <w:rPr>
          <w:rFonts w:hint="eastAsia" w:ascii="宋体" w:hAnsi="宋体" w:cs="宋体"/>
          <w:b/>
          <w:bCs/>
          <w:sz w:val="24"/>
          <w:highlight w:val="none"/>
          <w:u w:val="single"/>
        </w:rPr>
        <w:t xml:space="preserve">、高锰酸盐指数、氨氮、总磷、总氮分析仪备机</w:t>
      </w:r>
      <w:bookmarkEnd w:id="391"/>
      <w:r>
        <w:rPr>
          <w:rFonts w:hint="eastAsia" w:ascii="宋体" w:hAnsi="宋体" w:cs="宋体"/>
          <w:b/>
          <w:bCs/>
          <w:sz w:val="24"/>
          <w:highlight w:val="none"/>
          <w:u w:val="single"/>
        </w:rPr>
        <w:t xml:space="preserve">。</w:t>
      </w:r>
      <w:r>
        <w:rPr>
          <w:rFonts w:ascii="宋体" w:hAnsi="宋体" w:cs="宋体"/>
          <w:b/>
          <w:bCs/>
          <w:sz w:val="24"/>
          <w:highlight w:val="none"/>
          <w:u w:val="single"/>
        </w:rPr>
        <w:t xml:space="preserve">每</w:t>
      </w:r>
      <w:r>
        <w:rPr>
          <w:rFonts w:hint="eastAsia" w:ascii="宋体" w:hAnsi="宋体" w:cs="宋体"/>
          <w:b/>
          <w:bCs/>
          <w:sz w:val="24"/>
          <w:highlight w:val="none"/>
          <w:u w:val="single"/>
        </w:rPr>
        <w:t xml:space="preserve">6</w:t>
      </w:r>
      <w:r>
        <w:rPr>
          <w:rFonts w:ascii="宋体" w:hAnsi="宋体" w:cs="宋体"/>
          <w:b/>
          <w:bCs/>
          <w:sz w:val="24"/>
          <w:highlight w:val="none"/>
          <w:u w:val="single"/>
        </w:rPr>
        <w:t xml:space="preserve">个站点应配备不少于1套备机，不足</w:t>
      </w:r>
      <w:r>
        <w:rPr>
          <w:rFonts w:hint="eastAsia" w:ascii="宋体" w:hAnsi="宋体" w:cs="宋体"/>
          <w:b/>
          <w:bCs/>
          <w:sz w:val="24"/>
          <w:highlight w:val="none"/>
          <w:u w:val="single"/>
        </w:rPr>
        <w:t xml:space="preserve">6</w:t>
      </w:r>
      <w:r>
        <w:rPr>
          <w:rFonts w:ascii="宋体" w:hAnsi="宋体" w:cs="宋体"/>
          <w:b/>
          <w:bCs/>
          <w:sz w:val="24"/>
          <w:highlight w:val="none"/>
          <w:u w:val="single"/>
        </w:rPr>
        <w:t xml:space="preserve">个站点按</w:t>
      </w:r>
      <w:r>
        <w:rPr>
          <w:rFonts w:hint="eastAsia" w:ascii="宋体" w:hAnsi="宋体" w:cs="宋体"/>
          <w:b/>
          <w:bCs/>
          <w:sz w:val="24"/>
          <w:highlight w:val="none"/>
          <w:u w:val="single"/>
        </w:rPr>
        <w:t xml:space="preserve">6</w:t>
      </w:r>
      <w:r>
        <w:rPr>
          <w:rFonts w:ascii="宋体" w:hAnsi="宋体" w:cs="宋体"/>
          <w:b/>
          <w:bCs/>
          <w:sz w:val="24"/>
          <w:highlight w:val="none"/>
          <w:u w:val="single"/>
        </w:rPr>
        <w:t xml:space="preserve">个站点配置，</w:t>
      </w:r>
      <w:r>
        <w:rPr>
          <w:rFonts w:hint="eastAsia" w:ascii="宋体" w:hAnsi="宋体" w:cs="宋体"/>
          <w:b/>
          <w:bCs/>
          <w:sz w:val="24"/>
          <w:highlight w:val="none"/>
          <w:u w:val="single"/>
        </w:rPr>
        <w:t xml:space="preserve">后期需根据采购人实际需要适当调整。备机性能及功能应满足相关技术规范要求和管理需求。备机均应通过生态环境部环境监测仪器质量监督检验中心的适用性检测，具有生态环境部环境监测仪器质量监督检验中心出具的在有效期内的检测合格报告。测量数据等参数按水站数据传输协议上传监测监控一体化平台。</w:t>
      </w:r>
      <w:r>
        <w:rPr>
          <w:rFonts w:hint="eastAsia" w:ascii="宋体" w:hAnsi="宋体" w:cs="宋体"/>
          <w:b/>
          <w:bCs/>
          <w:sz w:val="24"/>
          <w:highlight w:val="none"/>
        </w:rPr>
        <w:t xml:space="preserve">（已经购买的须提供购置发票或采购合同证明；未购买备机的须提供承诺书，中标后一个月内须提供购置发票或采购合同证明）。</w:t>
      </w:r>
      <w:r>
        <w:rPr>
          <w:rFonts w:hint="eastAsia" w:ascii="宋体" w:hAnsi="宋体" w:cs="宋体"/>
          <w:sz w:val="24"/>
          <w:highlight w:val="none"/>
        </w:rPr>
      </w:r>
      <w:r/>
    </w:p>
    <w:p>
      <w:pPr>
        <w:pStyle w:val="1137"/>
        <w:contextualSpacing/>
        <w:ind w:firstLine="480"/>
        <w:spacing w:line="400" w:lineRule="exact"/>
        <w:rPr>
          <w:rFonts w:hint="eastAsia" w:ascii="宋体" w:hAnsi="宋体" w:cs="宋体"/>
          <w:b/>
          <w:bCs/>
          <w:sz w:val="24"/>
          <w:highlight w:val="none"/>
        </w:rPr>
      </w:pPr>
      <w:r>
        <w:rPr>
          <w:rFonts w:hint="eastAsia" w:ascii="宋体" w:hAnsi="宋体" w:cs="宋体"/>
          <w:sz w:val="24"/>
          <w:highlight w:val="none"/>
        </w:rPr>
        <w:t xml:space="preserve">（3）</w:t>
      </w:r>
      <w:r>
        <w:rPr>
          <w:rFonts w:hint="eastAsia" w:ascii="宋体" w:hAnsi="宋体" w:cs="宋体"/>
          <w:b/>
          <w:bCs/>
          <w:sz w:val="24"/>
          <w:highlight w:val="none"/>
          <w:u w:val="single"/>
        </w:rPr>
        <w:t xml:space="preserve">每6个站点需要配备1套通过计量检定/校准的便携式五参数（水温、pH值、溶解氧、电导率和浊度）监测设备，溶解氧便携监测设备应满足原位监测要求，并在需要时用于水质自动监测站的质控及比对考核。</w:t>
      </w:r>
      <w:r>
        <w:rPr>
          <w:rFonts w:hint="eastAsia" w:ascii="宋体" w:hAnsi="宋体" w:cs="宋体"/>
          <w:b/>
          <w:bCs/>
          <w:sz w:val="24"/>
          <w:highlight w:val="none"/>
        </w:rPr>
        <w:t xml:space="preserve">（已经购</w:t>
      </w:r>
      <w:r>
        <w:rPr>
          <w:rFonts w:hint="eastAsia" w:ascii="宋体" w:hAnsi="宋体" w:cs="宋体"/>
          <w:b/>
          <w:bCs/>
          <w:sz w:val="24"/>
          <w:highlight w:val="none"/>
        </w:rPr>
        <w:t xml:space="preserve">买的须提供购置发票或采购合同证明；未购买的须提供承诺书，中标后一个月内须提供购置发票或采购合同证明）。</w:t>
      </w:r>
      <w:r>
        <w:rPr>
          <w:rFonts w:hint="eastAsia" w:ascii="宋体" w:hAnsi="宋体" w:cs="宋体"/>
          <w:b/>
          <w:bCs/>
          <w:sz w:val="24"/>
          <w:highlight w:val="none"/>
        </w:rPr>
      </w:r>
      <w:r/>
    </w:p>
    <w:p>
      <w:pPr>
        <w:pStyle w:val="1137"/>
        <w:contextualSpacing/>
        <w:ind w:firstLine="480"/>
        <w:spacing w:line="400" w:lineRule="exact"/>
        <w:rPr>
          <w:rFonts w:hint="eastAsia" w:ascii="宋体" w:hAnsi="宋体" w:cs="宋体"/>
          <w:color w:val="000000"/>
          <w:sz w:val="24"/>
          <w:highlight w:val="none"/>
        </w:rPr>
      </w:pPr>
      <w:r>
        <w:rPr>
          <w:rFonts w:hint="eastAsia" w:ascii="宋体" w:hAnsi="宋体" w:cs="宋体"/>
          <w:sz w:val="24"/>
          <w:highlight w:val="none"/>
        </w:rPr>
        <w:t xml:space="preserve">（4）</w:t>
      </w:r>
      <w:r>
        <w:rPr>
          <w:rFonts w:hint="eastAsia" w:ascii="宋体" w:hAnsi="宋体" w:cs="宋体"/>
          <w:b/>
          <w:bCs/>
          <w:sz w:val="24"/>
          <w:highlight w:val="none"/>
          <w:u w:val="single"/>
        </w:rPr>
        <w:t xml:space="preserve">须承诺中标后1个月（30日历日）内配齐本技术要求中所涉及的仪器设备、耗材和备件。耗材、备件的配置量应保障水站的连续、稳定运行。使用原厂生产的备品</w:t>
      </w:r>
      <w:r>
        <w:rPr>
          <w:rFonts w:hint="eastAsia" w:ascii="宋体" w:hAnsi="宋体" w:cs="宋体"/>
          <w:b/>
          <w:bCs/>
          <w:color w:val="000000"/>
          <w:sz w:val="24"/>
          <w:highlight w:val="none"/>
          <w:u w:val="single"/>
        </w:rPr>
        <w:t xml:space="preserve">备件和耗材</w:t>
      </w:r>
      <w:r>
        <w:rPr>
          <w:rFonts w:hint="eastAsia" w:ascii="宋体" w:hAnsi="宋体" w:cs="宋体"/>
          <w:b/>
          <w:bCs/>
          <w:color w:val="000000"/>
          <w:sz w:val="24"/>
          <w:highlight w:val="none"/>
        </w:rPr>
        <w:t xml:space="preserve">（若无原厂生产的，则应使用经权威机构检定合格的产品），严禁使用未经权威机构检定合格或劣质备品备件和耗材。（提供服务承诺加盖供应商公章）</w:t>
      </w:r>
      <w:r>
        <w:rPr>
          <w:rFonts w:hint="eastAsia" w:ascii="宋体" w:hAnsi="宋体" w:cs="宋体"/>
          <w:color w:val="000000"/>
          <w:sz w:val="24"/>
          <w:highlight w:val="none"/>
        </w:rPr>
      </w:r>
      <w:r/>
    </w:p>
    <w:p>
      <w:pPr>
        <w:pStyle w:val="1137"/>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b/>
          <w:bCs/>
          <w:color w:val="000000"/>
          <w:sz w:val="24"/>
          <w:highlight w:val="none"/>
          <w:u w:val="single"/>
        </w:rPr>
        <w:t xml:space="preserve">供应商承诺：</w:t>
      </w:r>
      <w:r>
        <w:rPr>
          <w:rFonts w:hint="eastAsia" w:ascii="宋体" w:hAnsi="宋体" w:cs="宋体"/>
          <w:b/>
          <w:bCs/>
          <w:color w:val="000000"/>
          <w:sz w:val="24"/>
          <w:highlight w:val="none"/>
          <w:u w:val="single"/>
        </w:rPr>
        <w:t xml:space="preserve">针对</w:t>
      </w:r>
      <w:r>
        <w:rPr>
          <w:rFonts w:ascii="宋体" w:hAnsi="宋体" w:cs="宋体"/>
          <w:b/>
          <w:bCs/>
          <w:color w:val="000000"/>
          <w:sz w:val="24"/>
          <w:highlight w:val="none"/>
          <w:u w:val="single"/>
        </w:rPr>
        <w:t xml:space="preserve">本项目每</w:t>
      </w:r>
      <w:r>
        <w:rPr>
          <w:rFonts w:hint="eastAsia" w:ascii="宋体" w:hAnsi="宋体" w:cs="宋体"/>
          <w:b/>
          <w:bCs/>
          <w:color w:val="000000"/>
          <w:sz w:val="24"/>
          <w:highlight w:val="none"/>
          <w:u w:val="single"/>
        </w:rPr>
        <w:t xml:space="preserve">6</w:t>
      </w:r>
      <w:r>
        <w:rPr>
          <w:rFonts w:ascii="宋体" w:hAnsi="宋体" w:cs="宋体"/>
          <w:b/>
          <w:bCs/>
          <w:color w:val="000000"/>
          <w:sz w:val="24"/>
          <w:highlight w:val="none"/>
          <w:u w:val="single"/>
        </w:rPr>
        <w:t xml:space="preserve">个站点配置1辆性能较好的专用车辆，不足</w:t>
      </w:r>
      <w:r>
        <w:rPr>
          <w:rFonts w:hint="eastAsia" w:ascii="宋体" w:hAnsi="宋体" w:cs="宋体"/>
          <w:b/>
          <w:bCs/>
          <w:color w:val="000000"/>
          <w:sz w:val="24"/>
          <w:highlight w:val="none"/>
          <w:u w:val="single"/>
        </w:rPr>
        <w:t xml:space="preserve">6</w:t>
      </w:r>
      <w:r>
        <w:rPr>
          <w:rFonts w:ascii="宋体" w:hAnsi="宋体" w:cs="宋体"/>
          <w:b/>
          <w:bCs/>
          <w:color w:val="000000"/>
          <w:sz w:val="24"/>
          <w:highlight w:val="none"/>
          <w:u w:val="single"/>
        </w:rPr>
        <w:t xml:space="preserve">个按</w:t>
      </w:r>
      <w:r>
        <w:rPr>
          <w:rFonts w:hint="eastAsia" w:ascii="宋体" w:hAnsi="宋体" w:cs="宋体"/>
          <w:b/>
          <w:bCs/>
          <w:color w:val="000000"/>
          <w:sz w:val="24"/>
          <w:highlight w:val="none"/>
          <w:u w:val="single"/>
        </w:rPr>
        <w:t xml:space="preserve">6</w:t>
      </w:r>
      <w:r>
        <w:rPr>
          <w:rFonts w:ascii="宋体" w:hAnsi="宋体" w:cs="宋体"/>
          <w:b/>
          <w:bCs/>
          <w:color w:val="000000"/>
          <w:sz w:val="24"/>
          <w:highlight w:val="none"/>
          <w:u w:val="single"/>
        </w:rPr>
        <w:t xml:space="preserve">个站点配置。中标后一个月内配齐投标所述的全部车辆，并向采购人提交采购或租赁证明材料，租赁合同需覆盖服务全周期。（响应文件中提供承诺书加盖供应商公章。）</w:t>
      </w:r>
      <w:r>
        <w:rPr>
          <w:rFonts w:hint="eastAsia" w:ascii="宋体" w:hAnsi="宋体" w:cs="宋体"/>
          <w:color w:val="000000"/>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（6）供应商运维人员必须配备专用工具，包括便携式电脑、万用表、各种硬件接口线、改线工具、接口调试软件及常用零部件等。</w:t>
      </w:r>
      <w:r>
        <w:rPr>
          <w:rFonts w:hint="eastAsia" w:ascii="宋体" w:hAnsi="宋体" w:cs="宋体"/>
          <w:sz w:val="24"/>
          <w:highlight w:val="none"/>
        </w:rPr>
      </w:r>
      <w:r/>
    </w:p>
    <w:p>
      <w:pPr>
        <w:pStyle w:val="1137"/>
        <w:contextualSpacing/>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4.搬迁要求</w:t>
      </w:r>
      <w:r>
        <w:rPr>
          <w:rFonts w:hint="eastAsia" w:ascii="宋体" w:hAnsi="宋体" w:cs="宋体"/>
          <w:b/>
          <w:bCs/>
          <w:sz w:val="24"/>
          <w:highlight w:val="none"/>
        </w:rPr>
      </w:r>
      <w:r/>
    </w:p>
    <w:p>
      <w:pPr>
        <w:pStyle w:val="1137"/>
        <w:contextualSpacing/>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（1）各采购包搬迁情况</w:t>
      </w:r>
      <w:r>
        <w:rPr>
          <w:rFonts w:hint="eastAsia" w:ascii="宋体" w:hAnsi="宋体" w:cs="宋体"/>
          <w:b/>
          <w:bCs/>
          <w:sz w:val="24"/>
          <w:highlight w:val="none"/>
        </w:rPr>
      </w:r>
      <w:r/>
    </w:p>
    <w:p>
      <w:pPr>
        <w:pStyle w:val="1137"/>
        <w:contextualSpacing/>
        <w:ind w:firstLine="480"/>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各采购包搬迁情况表</w:t>
      </w:r>
      <w:r>
        <w:rPr>
          <w:rFonts w:hint="eastAsia" w:ascii="宋体" w:hAnsi="宋体" w:cs="宋体"/>
          <w:b/>
          <w:bCs/>
          <w:sz w:val="24"/>
          <w:highlight w:val="none"/>
        </w:rPr>
      </w:r>
      <w:r/>
    </w:p>
    <w:tbl>
      <w:tblPr>
        <w:tblW w:w="46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39"/>
        <w:gridCol w:w="702"/>
        <w:gridCol w:w="1008"/>
        <w:gridCol w:w="1008"/>
        <w:gridCol w:w="1008"/>
        <w:gridCol w:w="2518"/>
        <w:gridCol w:w="1769"/>
      </w:tblGrid>
      <w:tr>
        <w:trPr>
          <w:trHeight w:val="54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1137"/>
              <w:jc w:val="center"/>
              <w:spacing w:line="340" w:lineRule="exact"/>
              <w:widowControl/>
              <w:rPr>
                <w:rFonts w:hint="eastAsia" w:ascii="宋体" w:hAnsi="宋体" w:cs="宋体"/>
                <w:b/>
                <w:bCs/>
                <w:sz w:val="24"/>
                <w:highlight w:val="none"/>
              </w:rPr>
            </w:pPr>
            <w:r>
              <w:rPr>
                <w:rFonts w:hint="eastAsia" w:ascii="宋体" w:hAnsi="宋体" w:cs="宋体"/>
                <w:b/>
                <w:bCs/>
                <w:sz w:val="24"/>
                <w:highlight w:val="none"/>
              </w:rPr>
              <w:t xml:space="preserve">分包</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b/>
                <w:bCs/>
                <w:sz w:val="24"/>
                <w:highlight w:val="none"/>
              </w:rPr>
            </w:pPr>
            <w:r>
              <w:rPr>
                <w:rFonts w:hint="eastAsia" w:ascii="宋体" w:hAnsi="宋体" w:cs="宋体"/>
                <w:b/>
                <w:bCs/>
                <w:sz w:val="24"/>
                <w:highlight w:val="none"/>
              </w:rPr>
              <w:t xml:space="preserve">所属区域</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b/>
                <w:bCs/>
                <w:sz w:val="24"/>
                <w:highlight w:val="none"/>
              </w:rPr>
            </w:pPr>
            <w:r>
              <w:rPr>
                <w:rFonts w:hint="eastAsia" w:ascii="宋体" w:hAnsi="宋体" w:cs="宋体"/>
                <w:b/>
                <w:bCs/>
                <w:sz w:val="24"/>
                <w:highlight w:val="none"/>
              </w:rPr>
              <w:t xml:space="preserve">所在水体</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b/>
                <w:bCs/>
                <w:sz w:val="24"/>
                <w:highlight w:val="none"/>
              </w:rPr>
            </w:pPr>
            <w:r>
              <w:rPr>
                <w:rFonts w:hint="eastAsia" w:ascii="宋体" w:hAnsi="宋体" w:cs="宋体"/>
                <w:b/>
                <w:bCs/>
                <w:sz w:val="24"/>
                <w:highlight w:val="none"/>
              </w:rPr>
              <w:t xml:space="preserve">站点名称</w:t>
            </w:r>
            <w:r>
              <w:rPr>
                <w:rFonts w:hint="eastAsia" w:ascii="宋体" w:hAnsi="宋体" w:cs="宋体"/>
                <w:b/>
                <w:bCs/>
                <w:sz w:val="24"/>
                <w:highlight w:val="none"/>
              </w:rPr>
            </w:r>
            <w:r/>
          </w:p>
        </w:tc>
        <w:tc>
          <w:tcPr>
            <w:gridSpan w:val="2"/>
            <w:tcBorders>
              <w:top w:val="single" w:color="000000" w:sz="4" w:space="0"/>
              <w:left w:val="none" w:color="000000" w:sz="4" w:space="0"/>
              <w:bottom w:val="single" w:color="000000" w:sz="4" w:space="0"/>
              <w:right w:val="single" w:color="000000" w:sz="4" w:space="0"/>
            </w:tcBorders>
            <w:tcW w:w="4287" w:type="dxa"/>
            <w:vAlign w:val="center"/>
            <w:textDirection w:val="lrTb"/>
            <w:noWrap w:val="false"/>
          </w:tcPr>
          <w:p>
            <w:pPr>
              <w:pStyle w:val="1137"/>
              <w:jc w:val="center"/>
              <w:spacing w:line="340" w:lineRule="exact"/>
              <w:widowControl/>
              <w:rPr>
                <w:rFonts w:hint="eastAsia" w:ascii="宋体" w:hAnsi="宋体" w:cs="宋体"/>
                <w:b/>
                <w:bCs/>
                <w:sz w:val="24"/>
                <w:highlight w:val="none"/>
              </w:rPr>
            </w:pPr>
            <w:r>
              <w:rPr>
                <w:rFonts w:hint="eastAsia" w:ascii="宋体" w:hAnsi="宋体" w:cs="宋体"/>
                <w:b/>
                <w:bCs/>
                <w:sz w:val="24"/>
                <w:highlight w:val="none"/>
              </w:rPr>
              <w:t xml:space="preserve">搬迁内容</w:t>
            </w:r>
            <w:r>
              <w:rPr>
                <w:rFonts w:hint="eastAsia" w:ascii="宋体" w:hAnsi="宋体" w:cs="宋体"/>
                <w:b/>
                <w:bCs/>
                <w:sz w:val="24"/>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716" w:type="dxa"/>
            <w:vAlign w:val="center"/>
            <w:vMerge w:val="restart"/>
            <w:textDirection w:val="lrTb"/>
            <w:noWrap/>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t xml:space="preserve">采购包1</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金坛区</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北干河</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庄上桥</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流量计搬迁并率定</w:t>
            </w:r>
            <w:r>
              <w:rPr>
                <w:rFonts w:hint="eastAsia" w:ascii="宋体" w:hAnsi="宋体" w:cs="宋体"/>
                <w:sz w:val="24"/>
                <w:highlight w:val="none"/>
              </w:rPr>
            </w:r>
            <w:r/>
          </w:p>
        </w:tc>
      </w:tr>
      <w:tr>
        <w:trPr>
          <w:trHeight w:val="675"/>
        </w:trPr>
        <w:tc>
          <w:tcPr>
            <w:tcBorders>
              <w:top w:val="non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武进区</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孟津河</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嘉成桥</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已有站点整体搬迁</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流量计搬迁并率定</w:t>
            </w:r>
            <w:r>
              <w:rPr>
                <w:rFonts w:hint="eastAsia" w:ascii="宋体" w:hAnsi="宋体" w:cs="宋体"/>
                <w:sz w:val="24"/>
                <w:highlight w:val="none"/>
              </w:rPr>
            </w:r>
            <w:r/>
          </w:p>
        </w:tc>
      </w:tr>
      <w:tr>
        <w:trPr>
          <w:trHeight w:val="675"/>
        </w:trPr>
        <w:tc>
          <w:tcPr>
            <w:tcBorders>
              <w:top w:val="non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钟楼区</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新孟河</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杏干桥</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已有站点设备搬迁</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r>
            <w:r/>
          </w:p>
        </w:tc>
      </w:tr>
      <w:tr>
        <w:trPr>
          <w:trHeight w:val="699"/>
        </w:trPr>
        <w:tc>
          <w:tcPr>
            <w:tcBorders>
              <w:top w:val="none" w:color="000000" w:sz="4" w:space="0"/>
              <w:left w:val="single" w:color="000000" w:sz="4" w:space="0"/>
              <w:bottom w:val="none" w:color="000000" w:sz="0" w:space="0"/>
              <w:right w:val="single" w:color="000000" w:sz="4" w:space="0"/>
            </w:tcBorders>
            <w:tcW w:w="716" w:type="dxa"/>
            <w:vAlign w:val="center"/>
            <w:vMerge w:val="restart"/>
            <w:textDirection w:val="lrTb"/>
            <w:noWrap/>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t xml:space="preserve">采购包2</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德胜河</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东潘桥</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已有站点设备搬迁（若无法配套站房，需提供集装箱方案，采购方不再额外支付相关费用）</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流量计搬迁并率定</w:t>
            </w:r>
            <w:r>
              <w:rPr>
                <w:rFonts w:hint="eastAsia" w:ascii="宋体" w:hAnsi="宋体" w:cs="宋体"/>
                <w:sz w:val="24"/>
                <w:highlight w:val="none"/>
              </w:rPr>
            </w:r>
            <w:r/>
          </w:p>
        </w:tc>
      </w:tr>
      <w:tr>
        <w:trPr>
          <w:trHeight w:val="675"/>
        </w:trPr>
        <w:tc>
          <w:tcPr>
            <w:tcBorders>
              <w:top w:val="none" w:color="000000" w:sz="0"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新北区</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老藻江河</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常柴桥</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已有站点设备搬迁</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t xml:space="preserve">采购包3</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天宁区</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北塘河</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青洋桥</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已有站点设备搬迁</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r>
            <w:r/>
          </w:p>
        </w:tc>
      </w:tr>
      <w:tr>
        <w:trPr>
          <w:trHeight w:val="675"/>
        </w:trPr>
        <w:tc>
          <w:tcPr>
            <w:tcBorders>
              <w:top w:val="non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钟楼区</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京杭运河</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怀德桥</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已有站点整体搬迁</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钟楼区</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关河</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青山桥</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流量计搬迁并率定</w:t>
            </w:r>
            <w:r>
              <w:rPr>
                <w:rFonts w:hint="eastAsia" w:ascii="宋体" w:hAnsi="宋体" w:cs="宋体"/>
                <w:sz w:val="24"/>
                <w:highlight w:val="none"/>
              </w:rPr>
            </w:r>
            <w:r/>
          </w:p>
        </w:tc>
      </w:tr>
      <w:tr>
        <w:trPr>
          <w:trHeight w:val="675"/>
        </w:trPr>
        <w:tc>
          <w:tcPr>
            <w:tcBorders>
              <w:top w:val="none" w:color="000000" w:sz="4" w:space="0"/>
              <w:left w:val="single" w:color="000000" w:sz="4" w:space="0"/>
              <w:bottom w:val="none" w:color="000000" w:sz="4" w:space="0"/>
              <w:right w:val="single" w:color="000000" w:sz="4" w:space="0"/>
            </w:tcBorders>
            <w:tcW w:w="716" w:type="dxa"/>
            <w:vAlign w:val="center"/>
            <w:vMerge w:val="continue"/>
            <w:textDirection w:val="lrTb"/>
            <w:noWrap w:val="false"/>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non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武进区</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采菱港</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青洋路桥</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已有站点整体搬迁</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流量计搬迁并率定</w:t>
            </w:r>
            <w:r>
              <w:rPr>
                <w:rFonts w:hint="eastAsia" w:ascii="宋体" w:hAnsi="宋体" w:cs="宋体"/>
                <w:sz w:val="24"/>
                <w:highlight w:val="none"/>
              </w:rPr>
            </w:r>
            <w:r/>
          </w:p>
        </w:tc>
      </w:tr>
      <w:tr>
        <w:trPr>
          <w:trHeight w:val="675"/>
        </w:trPr>
        <w:tc>
          <w:tcPr>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pStyle w:val="1137"/>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天宁区</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新运河</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东方大桥</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7"/>
              <w:jc w:val="center"/>
              <w:spacing w:line="340" w:lineRule="exact"/>
              <w:widowControl/>
              <w:rPr>
                <w:rFonts w:hint="eastAsia" w:ascii="宋体" w:hAnsi="宋体" w:cs="宋体"/>
                <w:sz w:val="24"/>
                <w:highlight w:val="none"/>
              </w:rPr>
            </w:pPr>
            <w:r>
              <w:rPr>
                <w:rFonts w:hint="eastAsia" w:ascii="宋体" w:hAnsi="宋体" w:cs="宋体"/>
                <w:sz w:val="24"/>
                <w:highlight w:val="none"/>
              </w:rPr>
              <w:t xml:space="preserve">流量计搬迁并率定</w:t>
            </w:r>
            <w:r>
              <w:rPr>
                <w:rFonts w:hint="eastAsia" w:ascii="宋体" w:hAnsi="宋体" w:cs="宋体"/>
                <w:sz w:val="24"/>
                <w:highlight w:val="none"/>
              </w:rPr>
            </w:r>
            <w:r/>
          </w:p>
        </w:tc>
      </w:tr>
    </w:tbl>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注：站点搬迁情况根据实际情况可能会有所调整，中标人应按要求做好仪器、搬迁接入工作，如发现设备故障，需确定故障来源并由中标人进行维修；搬迁点位相关费用已包含在报价中，搬迁至调试正常运行过程中产生的基建、设备调试、维修、系统集成、数据联网等一切费用均包含在报价中，采购人不再另外支付相关费用；如出现搬迁停止或更改，采购人有权核减相关费用。</w:t>
      </w:r>
      <w:r>
        <w:rPr>
          <w:rFonts w:hint="eastAsia" w:ascii="宋体" w:hAnsi="宋体" w:cs="宋体"/>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（2）站房搬迁要求</w:t>
      </w:r>
      <w:r>
        <w:rPr>
          <w:rFonts w:hint="eastAsia" w:ascii="宋体" w:hAnsi="宋体" w:cs="宋体"/>
          <w:b/>
          <w:bCs/>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站房搬迁及安装调试：</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1）监测站房屋搬迁：监测站需要整体搬迁，需制定详细的搬迁计划，并确保房屋结构安全。</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2）设备清单确认：需详细列出水质监测站现有所有设备的清单，包括但不限于水质分析仪、传感器、数据采集系统、电源设备、通讯设备、视频监控等。</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3）设备拆卸与打包：按照专业规范，对所有设备进行安全拆卸，并妥善打包，确保在搬迁过程中不受损坏。同时，对易损部件和精密仪器进行特殊保护。</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4）运输安排：选择合适的运输方式和工具，确保设备安全、准时到达对应水质监测站新址。</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5）设备安装与调试：在新址按照原有布局或优化后的布局进行设备安装，并进行全面调试，确保设备正常运行并满足监测要求。</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采水系统搬迁：</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1）采水点确认：根据水质监测站的具体环境，重新确定采水点的位置和深度，确保采样的代表性和准确性。</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2）采水设备搬迁：将原有的采水泵、管道、过滤器等采水设备搬迁至新址，并进行必要的清洗和维护，或重新布设相关采水设施。</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3）采水系统调试：在新址进行采水系统的调试，确保采水顺畅、水质稳定，并满足监测需求。</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控制单元搬迁及调试：</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1）控制单元拆卸与打包：对控制单元（包括控制器、显示器、输入输出设备等）进行安全拆卸，并妥善打包。</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2）控制单元运输与安装：将控制单元运输至新址，并按照要求进行安装。</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3）系统调试与测试：对控制单元进行全面调试，包括软件设置、新增设备的联调、通讯测试、数据采集与处理等功能，确保系统稳定运行。</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基建搬迁调试：</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1）基础设施建设与改造：根据新址的具体情况，进行必要的基础设施建设和改造，如供电、供水、排水、通讯等。</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2）环境监测与调试：在新址进行环境监测，确保监测站的工作环境满足要求。同时，对整体系统进行全面调试，确保各项功能正常运行。</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3）培训与交接：对新址的工作人员进行设备操作和维护的培训，确保他们能够熟练操作并维护设备。</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水泥浇筑地基（如有）：</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1）地基处理：对新址的地面进行平整，并进行必要的地基处理，包括排水、土壤加固、夯实等，以确保地基的稳定性。</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2）钢筋框架制作（如需）：根据站房结构特点，制作并安装合适的钢筋框架，以满足混凝土浇筑的需要。</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3）混凝土浇筑：按照国家及地方的相关规定，采用合格的水泥及其他原材料，进行混凝土浇筑，并达到规定的强度和密实度。</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4）地基固化与保养：完成混凝土浇筑后，进行适当的固化与保养，确保地基在站房长期使用时能够保持稳定。</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流量计搬迁及安装调试：</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1）采水点确认：根据水质监测站的具体环境，重新确定流量计的位置和深度，确保采样的代表性和准确性，需与取水口保持一致。</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2）设备搬迁：将原有的流量计等配套设施搬迁至新址，并进行必要的清洗和维护，</w:t>
      </w:r>
      <w:r>
        <w:rPr>
          <w:rFonts w:hint="eastAsia" w:ascii="宋体" w:hAnsi="宋体" w:cs="宋体"/>
          <w:b/>
          <w:bCs/>
          <w:sz w:val="24"/>
          <w:highlight w:val="none"/>
        </w:rPr>
        <w:t xml:space="preserve">如缺少栈桥安装条件或需重新购置支架，需由中标人采购实施，采购人不再支付相关费用</w:t>
      </w:r>
      <w:r>
        <w:rPr>
          <w:rFonts w:hint="eastAsia" w:ascii="宋体" w:hAnsi="宋体" w:cs="宋体"/>
          <w:sz w:val="24"/>
          <w:highlight w:val="none"/>
        </w:rPr>
        <w:t xml:space="preserve">。</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3）流量率定：在新址进行率定测试并出具率定报告，确保流量计出值可靠，并满足监测需求。</w:t>
      </w:r>
      <w:r>
        <w:rPr>
          <w:rFonts w:hint="eastAsia" w:ascii="宋体" w:hAnsi="宋体" w:cs="宋体"/>
          <w:sz w:val="24"/>
          <w:highlight w:val="none"/>
        </w:rPr>
      </w:r>
      <w:r/>
    </w:p>
    <w:p>
      <w:pPr>
        <w:pStyle w:val="1137"/>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六、付款方式</w:t>
      </w:r>
      <w:r>
        <w:rPr>
          <w:rFonts w:hint="eastAsia" w:ascii="宋体" w:hAnsi="宋体" w:cs="宋体"/>
          <w:b/>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1.合同签订后，首付款支付合同金额的30%；</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中标人</w:t>
      </w:r>
      <w:r>
        <w:rPr>
          <w:rFonts w:hint="eastAsia" w:ascii="宋体" w:hAnsi="宋体" w:cs="宋体"/>
          <w:sz w:val="24"/>
          <w:highlight w:val="none"/>
        </w:rPr>
        <w:t xml:space="preserve">完成站点搬迁并通过验收支付至合同金额的50%；</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3.运维期满，根据运维质量考核结果支付剩余尾款。</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备注：具体支付进度根据市财政下拨经费时间支付，相关费用根据实际搬迁情况及运维时间结算。</w:t>
      </w:r>
      <w:r>
        <w:rPr>
          <w:rFonts w:hint="eastAsia" w:ascii="宋体" w:hAnsi="宋体" w:cs="宋体"/>
          <w:sz w:val="24"/>
          <w:highlight w:val="none"/>
        </w:rPr>
      </w:r>
      <w:r/>
    </w:p>
    <w:p>
      <w:pPr>
        <w:pStyle w:val="1137"/>
        <w:contextualSpacing/>
        <w:ind w:firstLine="482"/>
        <w:spacing w:line="400" w:lineRule="exact"/>
        <w:rPr>
          <w:rFonts w:hint="eastAsia" w:ascii="宋体" w:hAnsi="宋体" w:cs="宋体"/>
          <w:b/>
          <w:bCs/>
          <w:sz w:val="24"/>
          <w:highlight w:val="none"/>
        </w:rPr>
      </w:pPr>
      <w:r/>
      <w:bookmarkEnd w:id="386"/>
      <w:r>
        <w:rPr>
          <w:rFonts w:hint="eastAsia" w:ascii="宋体" w:hAnsi="宋体" w:cs="宋体"/>
          <w:b/>
          <w:sz w:val="24"/>
          <w:highlight w:val="none"/>
        </w:rPr>
        <w:t xml:space="preserve">七、</w:t>
      </w:r>
      <w:r>
        <w:rPr>
          <w:rFonts w:hint="eastAsia" w:ascii="宋体" w:hAnsi="宋体" w:cs="宋体"/>
          <w:b/>
          <w:bCs/>
          <w:sz w:val="24"/>
          <w:highlight w:val="none"/>
        </w:rPr>
        <w:t xml:space="preserve">报价要求</w:t>
      </w:r>
      <w:r>
        <w:rPr>
          <w:rFonts w:hint="eastAsia" w:ascii="宋体" w:hAnsi="宋体" w:cs="宋体"/>
          <w:b/>
          <w:bCs/>
          <w:sz w:val="24"/>
          <w:highlight w:val="none"/>
        </w:rPr>
      </w:r>
      <w:r/>
    </w:p>
    <w:p>
      <w:pPr>
        <w:pStyle w:val="1137"/>
        <w:contextualSpacing/>
        <w:ind w:firstLine="480"/>
        <w:jc w:val="center"/>
        <w:spacing w:line="400" w:lineRule="exact"/>
        <w:rPr>
          <w:rFonts w:hint="eastAsia" w:ascii="宋体" w:hAnsi="宋体" w:cs="宋体"/>
          <w:sz w:val="24"/>
          <w:highlight w:val="none"/>
        </w:rPr>
      </w:pPr>
      <w:r>
        <w:rPr>
          <w:rFonts w:hint="eastAsia" w:ascii="宋体" w:hAnsi="宋体" w:cs="宋体"/>
          <w:sz w:val="24"/>
          <w:highlight w:val="none"/>
        </w:rPr>
        <w:t xml:space="preserve">本项目总价包括采购文件所确定的采购范围相应服务，包</w:t>
      </w:r>
      <w:r>
        <w:rPr>
          <w:rFonts w:hint="eastAsia" w:ascii="宋体" w:hAnsi="宋体" w:cs="宋体"/>
          <w:sz w:val="24"/>
          <w:highlight w:val="none"/>
        </w:rPr>
        <w:t xml:space="preserve">含且不限于各分析仪药剂费用（标准物质等测试质量控制）、社会化运行维护费用（含维护过程产生的人工费、差旅费、工资、补贴、办公场所及设施、保险、劳保、管理、各种税费、利润、税金、政策性文件规定及合同包含的所有风险、责任、中标人应当提供的伴随服务/售后服务费用）等、设备维修费用（空调更新维护费、灯光照明、吊顶地砖、消防设备等站房基础设施更新维修费用）、检测报告费用（如水样比对、防雷报告等）、废液转运费用、站房运转费用（水电、通讯、场地租赁等）及为完成该项服务项目所涉及到的一切相关费用，采购人不再支付其他任何费用。</w:t>
      </w:r>
      <w:r>
        <w:rPr>
          <w:rFonts w:hint="eastAsia" w:ascii="宋体" w:hAnsi="宋体" w:cs="宋体"/>
          <w:sz w:val="24"/>
          <w:highlight w:val="none"/>
        </w:rPr>
      </w:r>
      <w:r/>
    </w:p>
    <w:p>
      <w:pPr>
        <w:pStyle w:val="1137"/>
        <w:contextualSpacing/>
        <w:jc w:val="center"/>
        <w:spacing w:line="400" w:lineRule="exact"/>
        <w:rPr>
          <w:b/>
          <w:sz w:val="36"/>
          <w:szCs w:val="36"/>
          <w:highlight w:val="none"/>
        </w:rPr>
      </w:pPr>
      <w:r>
        <w:rPr>
          <w:rFonts w:hint="eastAsia" w:ascii="宋体" w:hAnsi="宋体" w:cs="宋体"/>
          <w:sz w:val="24"/>
          <w:highlight w:val="none"/>
        </w:rPr>
        <w:br w:type="page" w:clear="all"/>
      </w:r>
      <w:r>
        <w:rPr>
          <w:b/>
          <w:sz w:val="36"/>
          <w:szCs w:val="36"/>
          <w:highlight w:val="none"/>
        </w:rPr>
        <w:t xml:space="preserve">第六章   拟签订的合同文本</w:t>
      </w:r>
      <w:bookmarkEnd w:id="385"/>
      <w:r>
        <w:rPr>
          <w:b/>
          <w:sz w:val="36"/>
          <w:szCs w:val="36"/>
          <w:highlight w:val="none"/>
        </w:rPr>
      </w:r>
      <w:r/>
    </w:p>
    <w:p>
      <w:pPr>
        <w:pStyle w:val="1137"/>
        <w:spacing w:line="360" w:lineRule="auto"/>
        <w:tabs>
          <w:tab w:val="left" w:pos="900" w:leader="none"/>
          <w:tab w:val="left" w:pos="1080" w:leader="none"/>
        </w:tabs>
        <w:rPr>
          <w:sz w:val="18"/>
          <w:szCs w:val="18"/>
          <w:highlight w:val="none"/>
        </w:rPr>
      </w:pPr>
      <w:r>
        <w:rPr>
          <w:sz w:val="18"/>
          <w:szCs w:val="18"/>
          <w:highlight w:val="none"/>
        </w:rPr>
      </w:r>
      <w:r/>
    </w:p>
    <w:p>
      <w:pPr>
        <w:pStyle w:val="1137"/>
        <w:jc w:val="center"/>
        <w:spacing w:line="360" w:lineRule="auto"/>
        <w:rPr>
          <w:b/>
          <w:sz w:val="36"/>
          <w:szCs w:val="36"/>
          <w:highlight w:val="none"/>
        </w:rPr>
        <w:outlineLvl w:val="0"/>
      </w:pPr>
      <w:r/>
      <w:bookmarkStart w:id="393" w:name="_Toc1889"/>
      <w:r>
        <w:rPr>
          <w:rFonts w:hint="eastAsia"/>
          <w:b/>
          <w:sz w:val="36"/>
          <w:szCs w:val="36"/>
          <w:highlight w:val="none"/>
        </w:rPr>
        <w:t xml:space="preserve">常州市政府采购合同（服务类）</w:t>
      </w:r>
      <w:r>
        <w:rPr>
          <w:b/>
          <w:sz w:val="36"/>
          <w:szCs w:val="36"/>
          <w:highlight w:val="none"/>
        </w:rPr>
      </w:r>
      <w:r/>
    </w:p>
    <w:p>
      <w:pPr>
        <w:pStyle w:val="1137"/>
        <w:rPr>
          <w:rFonts w:hint="eastAsia" w:ascii="宋体" w:hAnsi="宋体" w:cs="宋体"/>
          <w:sz w:val="24"/>
          <w:highlight w:val="none"/>
          <w:u w:val="single"/>
        </w:rPr>
      </w:pPr>
      <w:r>
        <w:rPr>
          <w:rFonts w:hint="eastAsia" w:ascii="宋体" w:hAnsi="宋体" w:cs="宋体"/>
          <w:b/>
          <w:bCs/>
          <w:sz w:val="24"/>
          <w:highlight w:val="none"/>
        </w:rPr>
        <w:t xml:space="preserve">合同编号：</w:t>
      </w:r>
      <w:r>
        <w:rPr>
          <w:rFonts w:hint="eastAsia" w:ascii="宋体" w:hAnsi="宋体" w:cs="宋体"/>
          <w:sz w:val="24"/>
          <w:highlight w:val="none"/>
          <w:u w:val="single"/>
        </w:rPr>
      </w:r>
      <w:r/>
    </w:p>
    <w:p>
      <w:pPr>
        <w:pStyle w:val="1137"/>
        <w:jc w:val="center"/>
        <w:rPr>
          <w:rFonts w:hint="eastAsia" w:ascii="宋体" w:hAnsi="宋体" w:cs="宋体"/>
          <w:b/>
          <w:sz w:val="28"/>
          <w:szCs w:val="28"/>
          <w:highlight w:val="none"/>
        </w:rPr>
      </w:pPr>
      <w:r>
        <w:rPr>
          <w:rFonts w:hint="eastAsia" w:ascii="宋体" w:hAnsi="宋体" w:cs="宋体"/>
          <w:b/>
          <w:sz w:val="32"/>
          <w:szCs w:val="32"/>
          <w:highlight w:val="none"/>
        </w:rPr>
        <w:t xml:space="preserve">        </w:t>
      </w:r>
      <w:r>
        <w:rPr>
          <w:rFonts w:hint="eastAsia" w:ascii="宋体" w:hAnsi="宋体" w:cs="宋体"/>
          <w:b/>
          <w:sz w:val="28"/>
          <w:szCs w:val="28"/>
          <w:highlight w:val="none"/>
        </w:rPr>
      </w:r>
      <w:r/>
    </w:p>
    <w:p>
      <w:pPr>
        <w:pStyle w:val="1137"/>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常州市地表水环境质量自动监测站优化调整及运维服务项目合同</w:t>
      </w:r>
      <w:r>
        <w:rPr>
          <w:rFonts w:hint="eastAsia" w:ascii="宋体" w:hAnsi="宋体" w:cs="宋体"/>
          <w:b/>
          <w:bCs/>
          <w:sz w:val="32"/>
          <w:szCs w:val="32"/>
          <w:highlight w:val="none"/>
        </w:rPr>
      </w:r>
      <w:r/>
    </w:p>
    <w:p>
      <w:pPr>
        <w:pStyle w:val="1173"/>
        <w:spacing w:line="400" w:lineRule="exact"/>
        <w:rPr>
          <w:rFonts w:hAnsi="宋体"/>
          <w:sz w:val="24"/>
          <w:szCs w:val="24"/>
          <w:highlight w:val="none"/>
        </w:rPr>
      </w:pPr>
      <w:r>
        <w:rPr>
          <w:rFonts w:hAnsi="宋体"/>
          <w:sz w:val="24"/>
          <w:szCs w:val="24"/>
          <w:highlight w:val="none"/>
        </w:rPr>
      </w:r>
      <w:r/>
    </w:p>
    <w:p>
      <w:pPr>
        <w:pStyle w:val="1173"/>
        <w:spacing w:line="400" w:lineRule="exact"/>
        <w:rPr>
          <w:rFonts w:hAnsi="宋体"/>
          <w:sz w:val="24"/>
          <w:szCs w:val="24"/>
          <w:highlight w:val="none"/>
        </w:rPr>
      </w:pPr>
      <w:r>
        <w:rPr>
          <w:rFonts w:hAnsi="宋体"/>
          <w:sz w:val="24"/>
          <w:szCs w:val="24"/>
          <w:highlight w:val="none"/>
        </w:rPr>
        <w:t xml:space="preserve">甲方:常州市生态环境监控中心</w:t>
      </w:r>
      <w:r>
        <w:rPr>
          <w:rFonts w:hAnsi="宋体"/>
          <w:sz w:val="24"/>
          <w:szCs w:val="24"/>
          <w:highlight w:val="none"/>
        </w:rPr>
      </w:r>
      <w:r/>
    </w:p>
    <w:p>
      <w:pPr>
        <w:pStyle w:val="1173"/>
        <w:spacing w:line="400" w:lineRule="exact"/>
        <w:rPr>
          <w:rFonts w:hAnsi="宋体"/>
          <w:sz w:val="24"/>
          <w:szCs w:val="24"/>
          <w:highlight w:val="none"/>
        </w:rPr>
      </w:pPr>
      <w:r>
        <w:rPr>
          <w:rFonts w:hAnsi="宋体"/>
          <w:sz w:val="24"/>
          <w:szCs w:val="24"/>
          <w:highlight w:val="none"/>
        </w:rPr>
        <w:t xml:space="preserve">乙方:</w:t>
      </w:r>
      <w:r>
        <w:rPr>
          <w:rFonts w:hAnsi="宋体"/>
          <w:sz w:val="24"/>
          <w:szCs w:val="24"/>
          <w:highlight w:val="none"/>
        </w:rPr>
      </w:r>
      <w:r/>
    </w:p>
    <w:p>
      <w:pPr>
        <w:pStyle w:val="1173"/>
        <w:spacing w:line="400" w:lineRule="exact"/>
        <w:rPr>
          <w:rFonts w:hAnsi="宋体"/>
          <w:sz w:val="24"/>
          <w:szCs w:val="24"/>
          <w:highlight w:val="none"/>
        </w:rPr>
      </w:pPr>
      <w:r>
        <w:rPr>
          <w:rFonts w:hAnsi="宋体"/>
          <w:sz w:val="24"/>
          <w:szCs w:val="24"/>
          <w:highlight w:val="none"/>
        </w:rPr>
        <w:t xml:space="preserve">签订地点：常州</w:t>
      </w:r>
      <w:r>
        <w:rPr>
          <w:rFonts w:hAnsi="宋体"/>
          <w:sz w:val="24"/>
          <w:szCs w:val="24"/>
          <w:highlight w:val="none"/>
        </w:rPr>
      </w:r>
      <w:r/>
    </w:p>
    <w:p>
      <w:pPr>
        <w:pStyle w:val="1173"/>
        <w:spacing w:line="400" w:lineRule="exact"/>
        <w:tabs>
          <w:tab w:val="left" w:pos="417" w:leader="none"/>
        </w:tabs>
        <w:rPr>
          <w:rFonts w:hAnsi="宋体"/>
          <w:sz w:val="24"/>
          <w:szCs w:val="24"/>
          <w:highlight w:val="none"/>
        </w:rPr>
      </w:pPr>
      <w:r>
        <w:rPr>
          <w:rFonts w:hAnsi="宋体"/>
          <w:sz w:val="24"/>
          <w:szCs w:val="24"/>
          <w:highlight w:val="none"/>
        </w:rPr>
        <w:t xml:space="preserve">合同时间:    年  月   日</w:t>
      </w:r>
      <w:r>
        <w:rPr>
          <w:rFonts w:hAnsi="宋体"/>
          <w:sz w:val="24"/>
          <w:szCs w:val="24"/>
          <w:highlight w:val="none"/>
        </w:rPr>
      </w:r>
      <w:r/>
    </w:p>
    <w:p>
      <w:pPr>
        <w:pStyle w:val="1173"/>
        <w:ind w:firstLine="480"/>
        <w:spacing w:line="400" w:lineRule="exact"/>
        <w:rPr>
          <w:rFonts w:hAnsi="宋体"/>
          <w:sz w:val="24"/>
          <w:szCs w:val="24"/>
          <w:highlight w:val="none"/>
        </w:rPr>
      </w:pPr>
      <w:r>
        <w:rPr>
          <w:rFonts w:hAnsi="宋体"/>
          <w:sz w:val="24"/>
          <w:szCs w:val="24"/>
          <w:highlight w:val="none"/>
        </w:rPr>
        <w:t xml:space="preserve">根据常州润邦招标代理有限公司</w:t>
      </w:r>
      <w:r>
        <w:rPr>
          <w:rFonts w:hAnsi="宋体"/>
          <w:sz w:val="24"/>
          <w:szCs w:val="24"/>
          <w:highlight w:val="none"/>
          <w:u w:val="single"/>
        </w:rPr>
        <w:t xml:space="preserve">2026年  月  日</w:t>
      </w:r>
      <w:r>
        <w:rPr>
          <w:rFonts w:hAnsi="宋体"/>
          <w:sz w:val="24"/>
          <w:szCs w:val="24"/>
          <w:highlight w:val="none"/>
        </w:rPr>
        <w:t xml:space="preserve">进行的公开招标采购项目，甲、乙双方就</w:t>
      </w:r>
      <w:r>
        <w:rPr>
          <w:rFonts w:hAnsi="宋体" w:cs="宋体"/>
          <w:b/>
          <w:bCs/>
          <w:sz w:val="24"/>
          <w:szCs w:val="24"/>
          <w:highlight w:val="none"/>
          <w:u w:val="single"/>
        </w:rPr>
        <w:t xml:space="preserve">常州市地表水环境质量自动监测站优化调整及运维服务项目（项目编号：        采购包号：        ）</w:t>
      </w:r>
      <w:r>
        <w:rPr>
          <w:rFonts w:hAnsi="宋体" w:cs="宋体"/>
          <w:sz w:val="24"/>
          <w:szCs w:val="24"/>
          <w:highlight w:val="none"/>
        </w:rPr>
        <w:t xml:space="preserve">采购结果</w:t>
      </w:r>
      <w:r>
        <w:rPr>
          <w:rFonts w:hAnsi="宋体"/>
          <w:sz w:val="24"/>
          <w:szCs w:val="24"/>
          <w:highlight w:val="none"/>
        </w:rPr>
        <w:t xml:space="preserve">，本着平等互利的原则，通过共同协商，根据《中华人民共和国民法典》及有关法律法规，就相关事宜达成如下合同。</w:t>
      </w:r>
      <w:r>
        <w:rPr>
          <w:rFonts w:hAnsi="宋体"/>
          <w:sz w:val="24"/>
          <w:szCs w:val="24"/>
          <w:highlight w:val="none"/>
        </w:rPr>
      </w:r>
      <w:r/>
    </w:p>
    <w:p>
      <w:pPr>
        <w:pStyle w:val="1408"/>
        <w:ind w:firstLine="482"/>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一、合同内容</w:t>
      </w:r>
      <w:r>
        <w:rPr>
          <w:rFonts w:hint="eastAsia" w:ascii="宋体" w:hAnsi="宋体" w:eastAsia="宋体" w:cs="宋体"/>
          <w:b/>
          <w:bCs/>
          <w:sz w:val="24"/>
          <w:szCs w:val="24"/>
          <w:highlight w:val="none"/>
        </w:rPr>
      </w:r>
      <w:r/>
    </w:p>
    <w:p>
      <w:pPr>
        <w:pStyle w:val="1137"/>
        <w:numPr>
          <w:ilvl w:val="0"/>
          <w:numId w:val="11"/>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标的名称：常州市地表水环境质量自动监测站优化调整及运维服务项目</w:t>
      </w:r>
      <w:r>
        <w:rPr>
          <w:rFonts w:hint="eastAsia" w:ascii="宋体" w:hAnsi="宋体" w:cs="宋体"/>
          <w:sz w:val="24"/>
          <w:highlight w:val="none"/>
        </w:rPr>
      </w:r>
      <w:r/>
    </w:p>
    <w:p>
      <w:pPr>
        <w:pStyle w:val="1137"/>
        <w:numPr>
          <w:ilvl w:val="0"/>
          <w:numId w:val="11"/>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标的质量：</w:t>
      </w:r>
      <w:r>
        <w:rPr>
          <w:rFonts w:hint="eastAsia" w:ascii="宋体" w:hAnsi="宋体" w:cs="宋体"/>
          <w:sz w:val="24"/>
          <w:highlight w:val="none"/>
        </w:rPr>
      </w:r>
      <w:r/>
    </w:p>
    <w:p>
      <w:pPr>
        <w:pStyle w:val="1137"/>
        <w:numPr>
          <w:ilvl w:val="0"/>
          <w:numId w:val="11"/>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标的规模（服务内容及要求）：</w:t>
      </w:r>
      <w:r>
        <w:rPr>
          <w:rFonts w:hint="eastAsia" w:ascii="宋体" w:hAnsi="宋体" w:cs="宋体"/>
          <w:sz w:val="24"/>
          <w:highlight w:val="none"/>
        </w:rPr>
      </w:r>
      <w:r/>
    </w:p>
    <w:p>
      <w:pPr>
        <w:pStyle w:val="1137"/>
        <w:numPr>
          <w:ilvl w:val="0"/>
          <w:numId w:val="11"/>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履行期限：</w:t>
      </w:r>
      <w:r>
        <w:rPr>
          <w:rFonts w:hint="eastAsia" w:ascii="宋体" w:hAnsi="宋体" w:cs="宋体"/>
          <w:sz w:val="24"/>
          <w:highlight w:val="none"/>
        </w:rPr>
      </w:r>
      <w:r/>
    </w:p>
    <w:p>
      <w:pPr>
        <w:pStyle w:val="1137"/>
        <w:numPr>
          <w:ilvl w:val="0"/>
          <w:numId w:val="11"/>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履行地点：</w:t>
      </w:r>
      <w:r>
        <w:rPr>
          <w:rFonts w:hint="eastAsia" w:ascii="宋体" w:hAnsi="宋体" w:cs="宋体"/>
          <w:sz w:val="24"/>
          <w:highlight w:val="none"/>
        </w:rPr>
      </w:r>
      <w:r/>
    </w:p>
    <w:p>
      <w:pPr>
        <w:pStyle w:val="1137"/>
        <w:numPr>
          <w:ilvl w:val="0"/>
          <w:numId w:val="11"/>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履行方式：</w:t>
      </w:r>
      <w:r>
        <w:rPr>
          <w:rFonts w:hint="eastAsia" w:ascii="宋体" w:hAnsi="宋体" w:cs="宋体"/>
          <w:sz w:val="24"/>
          <w:highlight w:val="none"/>
        </w:rPr>
      </w:r>
      <w:r/>
    </w:p>
    <w:p>
      <w:pPr>
        <w:pStyle w:val="1408"/>
        <w:ind w:firstLine="482"/>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二、合同金额</w:t>
      </w:r>
      <w:r>
        <w:rPr>
          <w:rFonts w:hint="eastAsia" w:ascii="宋体" w:hAnsi="宋体" w:eastAsia="宋体" w:cs="宋体"/>
          <w:b/>
          <w:bCs/>
          <w:sz w:val="24"/>
          <w:szCs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sz w:val="24"/>
          <w:highlight w:val="none"/>
        </w:rPr>
        <w:t xml:space="preserve">本合同金额为（大写）：</w:t>
      </w:r>
      <w:r>
        <w:rPr>
          <w:rFonts w:hint="eastAsia" w:ascii="宋体" w:hAnsi="宋体" w:cs="宋体"/>
          <w:sz w:val="24"/>
          <w:highlight w:val="none"/>
          <w:u w:val="single"/>
        </w:rPr>
        <w:t xml:space="preserve">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人民币。）合同价格包括采购文件所确定的采购范围相应服务</w:t>
      </w:r>
      <w:r>
        <w:rPr>
          <w:rFonts w:hint="eastAsia" w:ascii="宋体" w:hAnsi="宋体" w:cs="宋体"/>
          <w:sz w:val="24"/>
          <w:highlight w:val="none"/>
        </w:rPr>
        <w:t xml:space="preserve">，包含且不限于各分析仪药剂费用（标准物质等测试质量控制）、社会化运行维护费用（含维护过程产生的人工费、差旅费、工资、补贴、办公场所及设施、保险、劳保、管理、各种税费、利润、税金、政策性文件规定及合同包含的所有风险、责任、乙方应当提供的伴随服务/售后服务费用）等、设备维修费用（空调更新维护费、灯光照明、吊顶地砖、消防设备等站房基础设施更新维修费用）、检测报告费用（如水样比对、防雷报告等）、废液转运费用、站房运转费用（水电、通讯、场地租赁等）及为完成该项服务项目所涉及到的一切相关费用，甲方不再支付其他任何费用。</w:t>
      </w:r>
      <w:r>
        <w:rPr>
          <w:rFonts w:hint="eastAsia" w:ascii="宋体" w:hAnsi="宋体" w:cs="宋体"/>
          <w:sz w:val="24"/>
          <w:highlight w:val="none"/>
        </w:rPr>
      </w:r>
      <w:r/>
    </w:p>
    <w:p>
      <w:pPr>
        <w:pStyle w:val="1408"/>
        <w:ind w:firstLine="482"/>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三、服务内容及要求</w:t>
      </w:r>
      <w:r>
        <w:rPr>
          <w:rFonts w:hint="eastAsia" w:ascii="宋体" w:hAnsi="宋体" w:eastAsia="宋体" w:cs="宋体"/>
          <w:b/>
          <w:bCs/>
          <w:sz w:val="24"/>
          <w:szCs w:val="24"/>
          <w:highlight w:val="none"/>
        </w:rPr>
      </w:r>
      <w:r/>
    </w:p>
    <w:p>
      <w:pPr>
        <w:pStyle w:val="1408"/>
        <w:ind w:firstLine="482"/>
        <w:spacing w:line="4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按采购文件项目需求进行细化。</w:t>
      </w:r>
      <w:r>
        <w:rPr>
          <w:rFonts w:ascii="宋体" w:hAnsi="宋体" w:eastAsia="宋体" w:cs="宋体"/>
          <w:b/>
          <w:sz w:val="24"/>
          <w:szCs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四、保密要求</w:t>
      </w:r>
      <w:r>
        <w:rPr>
          <w:rFonts w:hint="eastAsia" w:ascii="宋体" w:hAnsi="宋体" w:eastAsia="宋体" w:cs="宋体"/>
          <w:b/>
          <w:sz w:val="24"/>
          <w:szCs w:val="24"/>
          <w:highlight w:val="none"/>
        </w:rPr>
      </w:r>
      <w:r/>
    </w:p>
    <w:p>
      <w:pPr>
        <w:pStyle w:val="14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参加本项目工作的单位和个人，对属于国家秘密、商业机密的信息，必须严格遵守有关保密法律法规，确保不发生失泄密问题。</w:t>
      </w:r>
      <w:r>
        <w:rPr>
          <w:rFonts w:hint="eastAsia" w:ascii="宋体" w:hAnsi="宋体" w:eastAsia="宋体" w:cs="宋体"/>
          <w:bCs/>
          <w:sz w:val="24"/>
          <w:szCs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五、知识产权</w:t>
      </w:r>
      <w:r>
        <w:rPr>
          <w:rFonts w:hint="eastAsia" w:ascii="宋体" w:hAnsi="宋体" w:eastAsia="宋体" w:cs="宋体"/>
          <w:b/>
          <w:sz w:val="24"/>
          <w:szCs w:val="24"/>
          <w:highlight w:val="none"/>
        </w:rPr>
      </w:r>
      <w:r/>
    </w:p>
    <w:p>
      <w:pPr>
        <w:pStyle w:val="1137"/>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宋体"/>
          <w:bCs/>
          <w:sz w:val="24"/>
          <w:highlight w:val="none"/>
        </w:rPr>
      </w:r>
      <w:r/>
    </w:p>
    <w:p>
      <w:pPr>
        <w:pStyle w:val="1137"/>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2.乙方提交的所有响应文件及成果，其所有权均归甲方所有，甲方可任意使用其全部成果。乙方未经甲方允许或授权，不得为本合同规定目的以外的自身利益和其他任何一方利益而使用。</w:t>
      </w:r>
      <w:r>
        <w:rPr>
          <w:rFonts w:hint="eastAsia" w:ascii="宋体" w:hAnsi="宋体" w:cs="宋体"/>
          <w:bCs/>
          <w:sz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六、履约保证金</w:t>
      </w:r>
      <w:r>
        <w:rPr>
          <w:rFonts w:hint="eastAsia" w:ascii="宋体" w:hAnsi="宋体" w:eastAsia="宋体" w:cs="宋体"/>
          <w:b/>
          <w:sz w:val="24"/>
          <w:szCs w:val="24"/>
          <w:highlight w:val="none"/>
        </w:rPr>
      </w:r>
      <w:r/>
    </w:p>
    <w:p>
      <w:pPr>
        <w:pStyle w:val="1137"/>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本项目不收取履约保证金。</w:t>
      </w:r>
      <w:r>
        <w:rPr>
          <w:rFonts w:hint="eastAsia" w:ascii="宋体" w:hAnsi="宋体" w:cs="宋体"/>
          <w:bCs/>
          <w:sz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七、合同转包或分包</w:t>
      </w:r>
      <w:r>
        <w:rPr>
          <w:rFonts w:hint="eastAsia" w:ascii="宋体" w:hAnsi="宋体" w:eastAsia="宋体" w:cs="宋体"/>
          <w:b/>
          <w:sz w:val="24"/>
          <w:szCs w:val="24"/>
          <w:highlight w:val="none"/>
        </w:rPr>
      </w:r>
      <w:r/>
    </w:p>
    <w:p>
      <w:pPr>
        <w:pStyle w:val="1137"/>
        <w:numPr>
          <w:ilvl w:val="0"/>
          <w:numId w:val="12"/>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乙方不得将合同标的转包给他人履行。</w:t>
      </w:r>
      <w:r>
        <w:rPr>
          <w:rFonts w:hint="eastAsia" w:ascii="宋体" w:hAnsi="宋体" w:cs="宋体"/>
          <w:bCs/>
          <w:sz w:val="24"/>
          <w:highlight w:val="none"/>
        </w:rPr>
      </w:r>
      <w:r/>
    </w:p>
    <w:p>
      <w:pPr>
        <w:pStyle w:val="1137"/>
        <w:numPr>
          <w:ilvl w:val="0"/>
          <w:numId w:val="12"/>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乙方不得将合同标的分包给他人履行。</w:t>
      </w:r>
      <w:r>
        <w:rPr>
          <w:rFonts w:hint="eastAsia" w:ascii="宋体" w:hAnsi="宋体" w:cs="宋体"/>
          <w:bCs/>
          <w:sz w:val="24"/>
          <w:highlight w:val="none"/>
        </w:rPr>
      </w:r>
      <w:r/>
    </w:p>
    <w:p>
      <w:pPr>
        <w:pStyle w:val="1137"/>
        <w:numPr>
          <w:ilvl w:val="0"/>
          <w:numId w:val="12"/>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乙方如有转包或未经甲方同意的分包行为，甲方有权解除合同。</w:t>
      </w:r>
      <w:r>
        <w:rPr>
          <w:rFonts w:hint="eastAsia" w:ascii="宋体" w:hAnsi="宋体" w:cs="宋体"/>
          <w:bCs/>
          <w:sz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八、合同款项支付</w:t>
      </w:r>
      <w:r>
        <w:rPr>
          <w:rFonts w:hint="eastAsia" w:ascii="宋体" w:hAnsi="宋体" w:eastAsia="宋体" w:cs="宋体"/>
          <w:b/>
          <w:sz w:val="24"/>
          <w:szCs w:val="24"/>
          <w:highlight w:val="none"/>
        </w:rPr>
      </w:r>
      <w:r/>
    </w:p>
    <w:p>
      <w:pPr>
        <w:pStyle w:val="1137"/>
        <w:contextualSpacing/>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付款方式：</w:t>
      </w:r>
      <w:r>
        <w:rPr>
          <w:rFonts w:hint="eastAsia" w:ascii="宋体" w:hAnsi="宋体" w:cs="宋体"/>
          <w:b/>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1.合同签订后，首付款支付合同金额的30%；</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2.乙方完成站点搬迁并通过验收支付至合同金额的50%；</w:t>
      </w:r>
      <w:r>
        <w:rPr>
          <w:rFonts w:hint="eastAsia" w:ascii="宋体" w:hAnsi="宋体" w:cs="宋体"/>
          <w:sz w:val="24"/>
          <w:highlight w:val="none"/>
        </w:rPr>
      </w:r>
      <w:r/>
    </w:p>
    <w:p>
      <w:pPr>
        <w:pStyle w:val="1137"/>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3.运维期满，根据运维质量考核结果支付剩余尾款。</w:t>
      </w:r>
      <w:r>
        <w:rPr>
          <w:rFonts w:hint="eastAsia" w:ascii="宋体" w:hAnsi="宋体" w:cs="宋体"/>
          <w:sz w:val="24"/>
          <w:highlight w:val="none"/>
        </w:rPr>
      </w:r>
      <w:r/>
    </w:p>
    <w:p>
      <w:pPr>
        <w:pStyle w:val="1137"/>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备注：具体支付进度根据市财政下拨经费时间支付，相</w:t>
      </w:r>
      <w:r>
        <w:rPr>
          <w:rFonts w:hint="eastAsia" w:ascii="宋体" w:hAnsi="宋体" w:cs="宋体"/>
          <w:b/>
          <w:bCs/>
          <w:sz w:val="24"/>
          <w:highlight w:val="none"/>
        </w:rPr>
        <w:t xml:space="preserve">关费用根据实际搬迁情况及运维时间结算。</w:t>
      </w:r>
      <w:r>
        <w:rPr>
          <w:rFonts w:hint="eastAsia" w:ascii="宋体" w:hAnsi="宋体" w:cs="宋体"/>
          <w:b/>
          <w:bCs/>
          <w:sz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九、税费</w:t>
      </w:r>
      <w:r>
        <w:rPr>
          <w:rFonts w:hint="eastAsia" w:ascii="宋体" w:hAnsi="宋体" w:eastAsia="宋体" w:cs="宋体"/>
          <w:b/>
          <w:sz w:val="24"/>
          <w:szCs w:val="24"/>
          <w:highlight w:val="none"/>
        </w:rPr>
      </w:r>
      <w:r/>
    </w:p>
    <w:p>
      <w:pPr>
        <w:pStyle w:val="1137"/>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本合同执行中相关的一切税费均由乙方负担。</w:t>
      </w:r>
      <w:r>
        <w:rPr>
          <w:rFonts w:hint="eastAsia" w:ascii="宋体" w:hAnsi="宋体" w:cs="宋体"/>
          <w:bCs/>
          <w:sz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十、项目验收</w:t>
      </w:r>
      <w:r>
        <w:rPr>
          <w:rFonts w:hint="eastAsia" w:ascii="宋体" w:hAnsi="宋体" w:eastAsia="宋体" w:cs="宋体"/>
          <w:b/>
          <w:sz w:val="24"/>
          <w:szCs w:val="24"/>
          <w:highlight w:val="none"/>
        </w:rPr>
      </w:r>
      <w:r/>
    </w:p>
    <w:p>
      <w:pPr>
        <w:pStyle w:val="1137"/>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1.符合国家及地方相关法律、法规及规范性文件的规定。</w:t>
      </w:r>
      <w:r>
        <w:rPr>
          <w:rFonts w:hint="eastAsia" w:ascii="宋体" w:hAnsi="宋体" w:cs="宋体"/>
          <w:bCs/>
          <w:sz w:val="24"/>
          <w:highlight w:val="none"/>
        </w:rPr>
      </w:r>
      <w:r/>
    </w:p>
    <w:p>
      <w:pPr>
        <w:pStyle w:val="1137"/>
        <w:ind w:firstLine="480"/>
        <w:spacing w:line="400" w:lineRule="exact"/>
        <w:rPr>
          <w:rFonts w:hint="eastAsia" w:ascii="宋体" w:hAnsi="宋体" w:cs="宋体"/>
          <w:sz w:val="24"/>
          <w:highlight w:val="none"/>
        </w:rPr>
      </w:pPr>
      <w:r>
        <w:rPr>
          <w:rFonts w:hint="eastAsia" w:ascii="宋体" w:hAnsi="宋体" w:cs="宋体"/>
          <w:bCs/>
          <w:sz w:val="24"/>
          <w:highlight w:val="none"/>
        </w:rPr>
        <w:t xml:space="preserve">2.甲方将对乙方的服务进行考核，具体考核细则由甲方另行制定，双方可签订补充协议。</w:t>
      </w:r>
      <w:r>
        <w:rPr>
          <w:rFonts w:hint="eastAsia" w:ascii="宋体" w:hAnsi="宋体" w:cs="宋体"/>
          <w:sz w:val="24"/>
          <w:highlight w:val="none"/>
        </w:rPr>
      </w:r>
      <w:r/>
    </w:p>
    <w:p>
      <w:pPr>
        <w:pStyle w:val="1137"/>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十一、安全要求</w:t>
      </w:r>
      <w:r>
        <w:rPr>
          <w:rFonts w:hint="eastAsia" w:ascii="宋体" w:hAnsi="宋体" w:cs="宋体"/>
          <w:b/>
          <w:sz w:val="24"/>
          <w:highlight w:val="none"/>
        </w:rPr>
      </w:r>
      <w:r/>
    </w:p>
    <w:p>
      <w:pPr>
        <w:pStyle w:val="1137"/>
        <w:ind w:firstLine="480"/>
        <w:spacing w:line="400" w:lineRule="exact"/>
        <w:rPr>
          <w:rFonts w:hint="eastAsia" w:ascii="宋体" w:hAnsi="宋体" w:cs="宋体"/>
          <w:b/>
          <w:sz w:val="24"/>
          <w:highlight w:val="none"/>
        </w:rPr>
      </w:pPr>
      <w:r>
        <w:rPr>
          <w:rFonts w:hint="eastAsia" w:ascii="宋体" w:hAnsi="宋体" w:cs="宋体"/>
          <w:bCs/>
          <w:sz w:val="24"/>
          <w:highlight w:val="none"/>
          <w:lang w:val="zh-CN"/>
        </w:rPr>
        <w:t xml:space="preserve">在项目服务期间应制定项目安全实施管理措施，并严格遵守安全管理要求，乙方在项目服务过程中因管理不当、维护措施不当等因素或不按安全管理要求，造成人员安全或财产损失事故的，其责任均由乙方自行承担，甲方不承担责任。与本项目有关的所有质量、安全问题均由</w:t>
      </w:r>
      <w:r>
        <w:rPr>
          <w:rFonts w:hint="eastAsia" w:ascii="宋体" w:hAnsi="宋体" w:cs="宋体"/>
          <w:bCs/>
          <w:sz w:val="24"/>
          <w:highlight w:val="none"/>
        </w:rPr>
        <w:t xml:space="preserve">乙方</w:t>
      </w:r>
      <w:r>
        <w:rPr>
          <w:rFonts w:hint="eastAsia" w:ascii="宋体" w:hAnsi="宋体" w:cs="宋体"/>
          <w:bCs/>
          <w:sz w:val="24"/>
          <w:highlight w:val="none"/>
          <w:lang w:val="zh-CN"/>
        </w:rPr>
        <w:t xml:space="preserve">终身负责，如因上述原因造成的一切后果均由</w:t>
      </w:r>
      <w:r>
        <w:rPr>
          <w:rFonts w:hint="eastAsia" w:ascii="宋体" w:hAnsi="宋体" w:cs="宋体"/>
          <w:bCs/>
          <w:sz w:val="24"/>
          <w:highlight w:val="none"/>
        </w:rPr>
        <w:t xml:space="preserve">乙方</w:t>
      </w:r>
      <w:r>
        <w:rPr>
          <w:rFonts w:hint="eastAsia" w:ascii="宋体" w:hAnsi="宋体" w:cs="宋体"/>
          <w:bCs/>
          <w:sz w:val="24"/>
          <w:highlight w:val="none"/>
          <w:lang w:val="zh-CN"/>
        </w:rPr>
        <w:t xml:space="preserve">自行承担，与他人无涉。</w:t>
      </w:r>
      <w:r>
        <w:rPr>
          <w:rFonts w:hint="eastAsia" w:ascii="宋体" w:hAnsi="宋体" w:cs="宋体"/>
          <w:b/>
          <w:sz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十二、违约责任</w:t>
      </w:r>
      <w:r>
        <w:rPr>
          <w:rFonts w:hint="eastAsia" w:ascii="宋体" w:hAnsi="宋体" w:eastAsia="宋体" w:cs="宋体"/>
          <w:b/>
          <w:sz w:val="24"/>
          <w:szCs w:val="24"/>
          <w:highlight w:val="none"/>
        </w:rPr>
      </w:r>
      <w:r/>
    </w:p>
    <w:p>
      <w:pPr>
        <w:pStyle w:val="1137"/>
        <w:numPr>
          <w:ilvl w:val="0"/>
          <w:numId w:val="13"/>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甲方无正当理由拒绝接受乙方提供服务的，甲方向乙方偿付拒绝接受服务合同价款总值10%的违约金。</w:t>
      </w:r>
      <w:r>
        <w:rPr>
          <w:rFonts w:hint="eastAsia" w:ascii="宋体" w:hAnsi="宋体" w:cs="宋体"/>
          <w:bCs/>
          <w:sz w:val="24"/>
          <w:highlight w:val="none"/>
        </w:rPr>
      </w:r>
      <w:r/>
    </w:p>
    <w:p>
      <w:pPr>
        <w:pStyle w:val="1137"/>
        <w:numPr>
          <w:ilvl w:val="0"/>
          <w:numId w:val="13"/>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甲方无故逾期验收和办理合同款项支付手续的,甲方应按逾期付款总额6‰每日向乙方支付违约金，但违约金总额不超过逾期付款总额的10%。</w:t>
      </w:r>
      <w:r>
        <w:rPr>
          <w:rFonts w:hint="eastAsia" w:ascii="宋体" w:hAnsi="宋体" w:cs="宋体"/>
          <w:bCs/>
          <w:sz w:val="24"/>
          <w:highlight w:val="none"/>
        </w:rPr>
      </w:r>
      <w:r/>
    </w:p>
    <w:p>
      <w:pPr>
        <w:pStyle w:val="1137"/>
        <w:numPr>
          <w:ilvl w:val="0"/>
          <w:numId w:val="13"/>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20%的违约金，如造成甲方损失超过违约金的，超出部分由乙方继续承担赔偿责任。</w:t>
      </w:r>
      <w:r>
        <w:rPr>
          <w:rFonts w:hint="eastAsia" w:ascii="宋体" w:hAnsi="宋体" w:cs="宋体"/>
          <w:bCs/>
          <w:sz w:val="24"/>
          <w:highlight w:val="none"/>
        </w:rPr>
      </w:r>
      <w:r/>
    </w:p>
    <w:p>
      <w:pPr>
        <w:pStyle w:val="1137"/>
        <w:numPr>
          <w:ilvl w:val="0"/>
          <w:numId w:val="13"/>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乙方所提供服务的标准不符合合同规定及采购文件规定标准的或不能通过验收的，应当按要求及时整改。否则，甲方有权解除本合同、不予支付后续款项并要求乙方支付合同总额20%的违约金，如造成甲方损失超过违约金的，超出部分由乙方继续承担赔偿责任。</w:t>
      </w:r>
      <w:r>
        <w:rPr>
          <w:rFonts w:hint="eastAsia" w:ascii="宋体" w:hAnsi="宋体" w:cs="宋体"/>
          <w:bCs/>
          <w:sz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十三、不可抗力事件处理</w:t>
      </w:r>
      <w:r>
        <w:rPr>
          <w:rFonts w:hint="eastAsia" w:ascii="宋体" w:hAnsi="宋体" w:eastAsia="宋体" w:cs="宋体"/>
          <w:b/>
          <w:sz w:val="24"/>
          <w:szCs w:val="24"/>
          <w:highlight w:val="none"/>
        </w:rPr>
      </w:r>
      <w:r/>
    </w:p>
    <w:p>
      <w:pPr>
        <w:pStyle w:val="1137"/>
        <w:numPr>
          <w:ilvl w:val="0"/>
          <w:numId w:val="14"/>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在合同有效期内，任何一方因不可抗力事件导致不能履行合同，则合同履行期可延长，其延长期与不可抗力影响期相同。</w:t>
      </w:r>
      <w:r>
        <w:rPr>
          <w:rFonts w:hint="eastAsia" w:ascii="宋体" w:hAnsi="宋体" w:cs="宋体"/>
          <w:bCs/>
          <w:sz w:val="24"/>
          <w:highlight w:val="none"/>
        </w:rPr>
      </w:r>
      <w:r/>
    </w:p>
    <w:p>
      <w:pPr>
        <w:pStyle w:val="1137"/>
        <w:numPr>
          <w:ilvl w:val="0"/>
          <w:numId w:val="14"/>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不可抗力事件发生后应立即通知对方，并寄送有关权威机构出具的证明。</w:t>
      </w:r>
      <w:r>
        <w:rPr>
          <w:rFonts w:hint="eastAsia" w:ascii="宋体" w:hAnsi="宋体" w:cs="宋体"/>
          <w:bCs/>
          <w:sz w:val="24"/>
          <w:highlight w:val="none"/>
        </w:rPr>
      </w:r>
      <w:r/>
    </w:p>
    <w:p>
      <w:pPr>
        <w:pStyle w:val="1137"/>
        <w:numPr>
          <w:ilvl w:val="0"/>
          <w:numId w:val="14"/>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不可抗力事件延续60天以上，双方应通过友好协商，确定是否继续履行合同。</w:t>
      </w:r>
      <w:r>
        <w:rPr>
          <w:rFonts w:hint="eastAsia" w:ascii="宋体" w:hAnsi="宋体" w:cs="宋体"/>
          <w:bCs/>
          <w:sz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十四、解决争议的方法</w:t>
      </w:r>
      <w:r>
        <w:rPr>
          <w:rFonts w:hint="eastAsia" w:ascii="宋体" w:hAnsi="宋体" w:eastAsia="宋体" w:cs="宋体"/>
          <w:b/>
          <w:sz w:val="24"/>
          <w:szCs w:val="24"/>
          <w:highlight w:val="none"/>
        </w:rPr>
      </w:r>
      <w:r/>
    </w:p>
    <w:p>
      <w:pPr>
        <w:pStyle w:val="1137"/>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双方在签订、履行合同中所发生的一切争议，应通过友好协商解决。如协商不成，由甲方住所地人民法院管辖。争议解决过程中发生的费用（包括但不限于仲裁费或诉讼费、公证费、律师费、鉴定费、差旅费、保全费、担保费等），应由违约方承担。</w:t>
      </w:r>
      <w:r>
        <w:rPr>
          <w:rFonts w:hint="eastAsia" w:ascii="宋体" w:hAnsi="宋体" w:cs="宋体"/>
          <w:bCs/>
          <w:sz w:val="24"/>
          <w:highlight w:val="none"/>
        </w:rPr>
      </w:r>
      <w:r/>
    </w:p>
    <w:p>
      <w:pPr>
        <w:pStyle w:val="1408"/>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十五、合同生效及其他</w:t>
      </w:r>
      <w:r>
        <w:rPr>
          <w:rFonts w:hint="eastAsia" w:ascii="宋体" w:hAnsi="宋体" w:eastAsia="宋体" w:cs="宋体"/>
          <w:b/>
          <w:sz w:val="24"/>
          <w:szCs w:val="24"/>
          <w:highlight w:val="none"/>
        </w:rPr>
      </w:r>
      <w:r/>
    </w:p>
    <w:p>
      <w:pPr>
        <w:pStyle w:val="1137"/>
        <w:numPr>
          <w:ilvl w:val="0"/>
          <w:numId w:val="15"/>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本合同自双方当事人盖章、签字时生效。</w:t>
      </w:r>
      <w:r>
        <w:rPr>
          <w:rFonts w:hint="eastAsia" w:ascii="宋体" w:hAnsi="宋体" w:cs="宋体"/>
          <w:bCs/>
          <w:sz w:val="24"/>
          <w:highlight w:val="none"/>
        </w:rPr>
      </w:r>
      <w:r/>
    </w:p>
    <w:p>
      <w:pPr>
        <w:pStyle w:val="1137"/>
        <w:numPr>
          <w:ilvl w:val="0"/>
          <w:numId w:val="15"/>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本合同未尽事宜，遵照《中华人民共和国民法典》《中华人民共和国政府采购法》有关条文执行。</w:t>
      </w:r>
      <w:r>
        <w:rPr>
          <w:rFonts w:hint="eastAsia" w:ascii="宋体" w:hAnsi="宋体" w:cs="宋体"/>
          <w:bCs/>
          <w:sz w:val="24"/>
          <w:highlight w:val="none"/>
        </w:rPr>
      </w:r>
      <w:r/>
    </w:p>
    <w:p>
      <w:pPr>
        <w:pStyle w:val="1137"/>
        <w:numPr>
          <w:ilvl w:val="0"/>
          <w:numId w:val="15"/>
        </w:num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本合同正本一式六份，具有同等法律效力，甲乙双方、代理机构各执二份。</w:t>
      </w:r>
      <w:r>
        <w:rPr>
          <w:rFonts w:hint="eastAsia" w:ascii="宋体" w:hAnsi="宋体" w:cs="宋体"/>
          <w:bCs/>
          <w:sz w:val="24"/>
          <w:highlight w:val="none"/>
        </w:rPr>
      </w:r>
      <w:r/>
    </w:p>
    <w:p>
      <w:pPr>
        <w:pStyle w:val="1137"/>
        <w:ind w:firstLine="480"/>
        <w:spacing w:line="400" w:lineRule="exact"/>
        <w:rPr>
          <w:rFonts w:hint="eastAsia" w:ascii="宋体" w:hAnsi="宋体" w:cs="宋体"/>
          <w:bCs/>
          <w:sz w:val="24"/>
          <w:highlight w:val="none"/>
        </w:rPr>
      </w:pPr>
      <w:r>
        <w:rPr>
          <w:rFonts w:hint="eastAsia" w:ascii="宋体" w:hAnsi="宋体" w:cs="宋体"/>
          <w:bCs/>
          <w:sz w:val="24"/>
          <w:highlight w:val="none"/>
        </w:rPr>
        <w:br w:type="page" w:clear="all"/>
      </w:r>
      <w:r>
        <w:rPr>
          <w:rFonts w:hint="eastAsia" w:ascii="宋体" w:hAnsi="宋体" w:cs="宋体"/>
          <w:bCs/>
          <w:sz w:val="24"/>
          <w:highlight w:val="none"/>
        </w:rPr>
      </w:r>
      <w:r/>
    </w:p>
    <w:p>
      <w:pPr>
        <w:pStyle w:val="1170"/>
        <w:ind w:firstLine="0"/>
        <w:spacing w:line="400" w:lineRule="exact"/>
        <w:rPr>
          <w:rFonts w:hint="eastAsia" w:ascii="宋体" w:hAnsi="宋体" w:cs="宋体"/>
          <w:b/>
          <w:bCs/>
          <w:highlight w:val="none"/>
        </w:rPr>
      </w:pPr>
      <w:r>
        <w:rPr>
          <w:rFonts w:hint="eastAsia" w:ascii="宋体" w:hAnsi="宋体" w:cs="宋体"/>
          <w:b/>
          <w:bCs/>
          <w:highlight w:val="none"/>
        </w:rPr>
        <w:t xml:space="preserve">（以下无正文）</w:t>
      </w:r>
      <w:r>
        <w:rPr>
          <w:rFonts w:hint="eastAsia" w:ascii="宋体" w:hAnsi="宋体" w:cs="宋体"/>
          <w:b/>
          <w:bCs/>
          <w:highlight w:val="none"/>
        </w:rPr>
      </w:r>
      <w:r/>
    </w:p>
    <w:tbl>
      <w:tblPr>
        <w:tblW w:w="827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37"/>
        <w:gridCol w:w="4138"/>
      </w:tblGrid>
      <w:tr>
        <w:trPr>
          <w:trHeight w:val="580"/>
        </w:trPr>
        <w:tc>
          <w:tcPr>
            <w:tcBorders>
              <w:top w:val="none" w:color="000000" w:sz="0" w:space="0"/>
              <w:left w:val="none" w:color="000000" w:sz="0" w:space="0"/>
              <w:bottom w:val="none" w:color="000000" w:sz="0" w:space="0"/>
              <w:right w:val="none" w:color="000000" w:sz="0" w:space="0"/>
            </w:tcBorders>
            <w:tcW w:w="4137" w:type="dxa"/>
            <w:vAlign w:val="top"/>
            <w:textDirection w:val="lrTb"/>
            <w:noWrap w:val="false"/>
          </w:tcPr>
          <w:p>
            <w:pPr>
              <w:pStyle w:val="1137"/>
              <w:spacing w:line="400" w:lineRule="exact"/>
              <w:rPr>
                <w:rFonts w:hint="eastAsia" w:ascii="宋体" w:hAnsi="宋体" w:cs="宋体"/>
                <w:sz w:val="24"/>
                <w:highlight w:val="none"/>
              </w:rPr>
            </w:pPr>
            <w:r>
              <w:rPr>
                <w:rFonts w:hint="eastAsia" w:ascii="宋体" w:hAnsi="宋体" w:cs="宋体"/>
                <w:b/>
                <w:bCs/>
                <w:sz w:val="24"/>
                <w:highlight w:val="none"/>
              </w:rPr>
              <w:t xml:space="preserve">甲方</w:t>
            </w:r>
            <w:r>
              <w:rPr>
                <w:rFonts w:hint="eastAsia" w:ascii="宋体" w:hAnsi="宋体" w:cs="宋体"/>
                <w:sz w:val="24"/>
                <w:highlight w:val="none"/>
              </w:rPr>
              <w:t xml:space="preserve">：常州市生态环境监控中心</w:t>
            </w: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138" w:type="dxa"/>
            <w:vAlign w:val="top"/>
            <w:textDirection w:val="lrTb"/>
            <w:noWrap w:val="false"/>
          </w:tcPr>
          <w:p>
            <w:pPr>
              <w:pStyle w:val="1137"/>
              <w:spacing w:line="400" w:lineRule="exact"/>
              <w:rPr>
                <w:rFonts w:hint="eastAsia" w:ascii="宋体" w:hAnsi="宋体" w:cs="宋体"/>
                <w:bCs/>
                <w:sz w:val="24"/>
                <w:highlight w:val="none"/>
              </w:rPr>
            </w:pPr>
            <w:r>
              <w:rPr>
                <w:rFonts w:hint="eastAsia" w:ascii="宋体" w:hAnsi="宋体" w:cs="宋体"/>
                <w:b/>
                <w:bCs/>
                <w:sz w:val="24"/>
                <w:highlight w:val="none"/>
              </w:rPr>
              <w:t xml:space="preserve">乙方</w:t>
            </w:r>
            <w:r>
              <w:rPr>
                <w:rFonts w:hint="eastAsia" w:ascii="宋体" w:hAnsi="宋体" w:cs="宋体"/>
                <w:sz w:val="24"/>
                <w:highlight w:val="none"/>
              </w:rPr>
              <w:t xml:space="preserve">：</w:t>
            </w:r>
            <w:r>
              <w:rPr>
                <w:rFonts w:hint="eastAsia" w:ascii="宋体" w:hAnsi="宋体" w:cs="宋体"/>
                <w:bCs/>
                <w:sz w:val="24"/>
                <w:highlight w:val="none"/>
              </w:rPr>
            </w:r>
            <w:r/>
          </w:p>
        </w:tc>
      </w:tr>
      <w:tr>
        <w:trPr>
          <w:trHeight w:val="1035"/>
        </w:trPr>
        <w:tc>
          <w:tcPr>
            <w:tcBorders>
              <w:top w:val="none" w:color="000000" w:sz="0" w:space="0"/>
              <w:left w:val="none" w:color="000000" w:sz="0" w:space="0"/>
              <w:bottom w:val="none" w:color="000000" w:sz="0" w:space="0"/>
              <w:right w:val="none" w:color="000000" w:sz="0" w:space="0"/>
            </w:tcBorders>
            <w:tcW w:w="4137" w:type="dxa"/>
            <w:vAlign w:val="top"/>
            <w:textDirection w:val="lrTb"/>
            <w:noWrap w:val="false"/>
          </w:tcPr>
          <w:p>
            <w:pPr>
              <w:pStyle w:val="1137"/>
              <w:ind w:left="1920" w:hanging="1920"/>
              <w:spacing w:line="400" w:lineRule="exact"/>
              <w:rPr>
                <w:rFonts w:hint="eastAsia" w:ascii="宋体" w:hAnsi="宋体" w:cs="宋体"/>
                <w:sz w:val="24"/>
                <w:highlight w:val="none"/>
              </w:rPr>
            </w:pPr>
            <w:r>
              <w:rPr>
                <w:rFonts w:hint="eastAsia" w:ascii="宋体" w:hAnsi="宋体" w:cs="宋体"/>
                <w:sz w:val="24"/>
                <w:highlight w:val="none"/>
              </w:rPr>
              <w:t xml:space="preserve">单位名称（章）：</w:t>
            </w:r>
            <w:r>
              <w:rPr>
                <w:rFonts w:ascii="宋体" w:hAnsi="宋体" w:cs="宋体"/>
                <w:sz w:val="24"/>
                <w:highlight w:val="none"/>
              </w:rPr>
              <w:t xml:space="preserve"> </w:t>
            </w: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138" w:type="dxa"/>
            <w:vAlign w:val="top"/>
            <w:textDirection w:val="lrTb"/>
            <w:noWrap w:val="false"/>
          </w:tcPr>
          <w:p>
            <w:pPr>
              <w:pStyle w:val="1137"/>
              <w:ind w:left="1920" w:hanging="1920"/>
              <w:spacing w:line="400" w:lineRule="exact"/>
              <w:rPr>
                <w:rFonts w:hint="eastAsia" w:ascii="宋体" w:hAnsi="宋体" w:cs="宋体"/>
                <w:sz w:val="24"/>
                <w:highlight w:val="none"/>
              </w:rPr>
            </w:pPr>
            <w:r>
              <w:rPr>
                <w:rFonts w:hint="eastAsia" w:ascii="宋体" w:hAnsi="宋体" w:cs="宋体"/>
                <w:sz w:val="24"/>
                <w:highlight w:val="none"/>
              </w:rPr>
              <w:t xml:space="preserve">单位名称（章）：</w:t>
            </w:r>
            <w:r>
              <w:rPr>
                <w:rFonts w:ascii="宋体" w:hAnsi="宋体" w:cs="宋体"/>
                <w:sz w:val="24"/>
                <w:highlight w:val="none"/>
              </w:rPr>
              <w:t xml:space="preserve"> </w:t>
            </w:r>
            <w:r>
              <w:rPr>
                <w:rFonts w:hint="eastAsia" w:ascii="宋体" w:hAnsi="宋体" w:cs="宋体"/>
                <w:sz w:val="24"/>
                <w:highlight w:val="none"/>
              </w:rPr>
            </w:r>
            <w:r/>
          </w:p>
        </w:tc>
      </w:tr>
      <w:tr>
        <w:trPr>
          <w:trHeight w:val="580"/>
        </w:trPr>
        <w:tc>
          <w:tcPr>
            <w:tcBorders>
              <w:top w:val="none" w:color="000000" w:sz="0" w:space="0"/>
              <w:left w:val="none" w:color="000000" w:sz="0" w:space="0"/>
              <w:bottom w:val="none" w:color="000000" w:sz="0" w:space="0"/>
              <w:right w:val="none" w:color="000000" w:sz="0" w:space="0"/>
            </w:tcBorders>
            <w:tcW w:w="4137" w:type="dxa"/>
            <w:vAlign w:val="top"/>
            <w:textDirection w:val="lrTb"/>
            <w:noWrap w:val="false"/>
          </w:tcPr>
          <w:p>
            <w:pPr>
              <w:pStyle w:val="1137"/>
              <w:ind w:left="1200" w:hanging="1200"/>
              <w:jc w:val="left"/>
              <w:spacing w:line="400" w:lineRule="exact"/>
              <w:rPr>
                <w:rFonts w:hint="eastAsia" w:ascii="宋体" w:hAnsi="宋体" w:cs="宋体"/>
                <w:sz w:val="24"/>
                <w:highlight w:val="none"/>
              </w:rPr>
            </w:pPr>
            <w:r>
              <w:rPr>
                <w:rFonts w:hint="eastAsia" w:ascii="宋体" w:hAnsi="宋体" w:cs="宋体"/>
                <w:sz w:val="24"/>
                <w:highlight w:val="none"/>
              </w:rPr>
              <w:t xml:space="preserve">单位地址：常州市天宁区河海东路9号</w:t>
            </w: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138" w:type="dxa"/>
            <w:vAlign w:val="top"/>
            <w:textDirection w:val="lrTb"/>
            <w:noWrap w:val="false"/>
          </w:tcPr>
          <w:p>
            <w:pPr>
              <w:pStyle w:val="1137"/>
              <w:ind w:left="1200" w:hanging="1200"/>
              <w:spacing w:line="400" w:lineRule="exact"/>
              <w:rPr>
                <w:rFonts w:hint="eastAsia" w:ascii="宋体" w:hAnsi="宋体" w:cs="宋体"/>
                <w:sz w:val="24"/>
                <w:highlight w:val="none"/>
              </w:rPr>
            </w:pPr>
            <w:r>
              <w:rPr>
                <w:rFonts w:hint="eastAsia" w:ascii="宋体" w:hAnsi="宋体" w:cs="宋体"/>
                <w:sz w:val="24"/>
                <w:highlight w:val="none"/>
              </w:rPr>
              <w:t xml:space="preserve">单位地址：</w:t>
            </w:r>
            <w:r>
              <w:rPr>
                <w:rFonts w:ascii="宋体" w:hAnsi="宋体" w:cs="宋体"/>
                <w:sz w:val="24"/>
                <w:highlight w:val="none"/>
              </w:rPr>
              <w:t xml:space="preserve"> </w:t>
            </w:r>
            <w:r>
              <w:rPr>
                <w:rFonts w:hint="eastAsia" w:ascii="宋体" w:hAnsi="宋体" w:cs="宋体"/>
                <w:sz w:val="24"/>
                <w:highlight w:val="none"/>
              </w:rPr>
            </w:r>
            <w:r/>
          </w:p>
        </w:tc>
      </w:tr>
      <w:tr>
        <w:trPr>
          <w:trHeight w:val="580"/>
        </w:trPr>
        <w:tc>
          <w:tcPr>
            <w:tcBorders>
              <w:top w:val="none" w:color="000000" w:sz="0" w:space="0"/>
              <w:left w:val="none" w:color="000000" w:sz="0" w:space="0"/>
              <w:bottom w:val="none" w:color="000000" w:sz="0" w:space="0"/>
              <w:right w:val="none" w:color="000000" w:sz="0" w:space="0"/>
            </w:tcBorders>
            <w:tcW w:w="4137" w:type="dxa"/>
            <w:vAlign w:val="top"/>
            <w:textDirection w:val="lrTb"/>
            <w:noWrap w:val="false"/>
          </w:tcPr>
          <w:p>
            <w:pPr>
              <w:pStyle w:val="1137"/>
              <w:spacing w:line="400" w:lineRule="exact"/>
              <w:rPr>
                <w:rFonts w:hint="eastAsia" w:ascii="宋体" w:hAnsi="宋体" w:cs="宋体"/>
                <w:bCs/>
                <w:sz w:val="24"/>
                <w:highlight w:val="none"/>
              </w:rPr>
            </w:pPr>
            <w:r>
              <w:rPr>
                <w:rFonts w:hint="eastAsia" w:ascii="宋体" w:hAnsi="宋体" w:cs="宋体"/>
                <w:sz w:val="24"/>
                <w:highlight w:val="none"/>
              </w:rPr>
              <w:t xml:space="preserve">委托代理人：</w:t>
            </w:r>
            <w:r>
              <w:rPr>
                <w:rFonts w:hint="eastAsia" w:ascii="宋体" w:hAnsi="宋体" w:cs="宋体"/>
                <w:bCs/>
                <w:sz w:val="24"/>
                <w:highlight w:val="none"/>
              </w:rPr>
            </w:r>
            <w:r/>
          </w:p>
        </w:tc>
        <w:tc>
          <w:tcPr>
            <w:tcBorders>
              <w:top w:val="none" w:color="000000" w:sz="0" w:space="0"/>
              <w:left w:val="none" w:color="000000" w:sz="0" w:space="0"/>
              <w:bottom w:val="none" w:color="000000" w:sz="0" w:space="0"/>
              <w:right w:val="none" w:color="000000" w:sz="0" w:space="0"/>
            </w:tcBorders>
            <w:tcW w:w="4138" w:type="dxa"/>
            <w:vAlign w:val="top"/>
            <w:textDirection w:val="lrTb"/>
            <w:noWrap w:val="false"/>
          </w:tcPr>
          <w:p>
            <w:pPr>
              <w:pStyle w:val="1137"/>
              <w:spacing w:line="400" w:lineRule="exact"/>
              <w:rPr>
                <w:rFonts w:hint="eastAsia" w:ascii="宋体" w:hAnsi="宋体" w:cs="宋体"/>
                <w:bCs/>
                <w:sz w:val="24"/>
                <w:highlight w:val="none"/>
              </w:rPr>
            </w:pPr>
            <w:r>
              <w:rPr>
                <w:rFonts w:hint="eastAsia" w:ascii="宋体" w:hAnsi="宋体" w:cs="宋体"/>
                <w:sz w:val="24"/>
                <w:highlight w:val="none"/>
              </w:rPr>
              <w:t xml:space="preserve">委托代理人：</w:t>
            </w:r>
            <w:r>
              <w:rPr>
                <w:rFonts w:hint="eastAsia" w:ascii="宋体" w:hAnsi="宋体" w:cs="宋体"/>
                <w:bCs/>
                <w:sz w:val="24"/>
                <w:highlight w:val="none"/>
              </w:rPr>
            </w:r>
            <w:r/>
          </w:p>
        </w:tc>
      </w:tr>
    </w:tbl>
    <w:p>
      <w:pPr>
        <w:pStyle w:val="1137"/>
        <w:rPr>
          <w:highlight w:val="none"/>
        </w:rPr>
      </w:pPr>
      <w:r>
        <w:rPr>
          <w:highlight w:val="none"/>
        </w:rPr>
      </w:r>
      <w:r/>
    </w:p>
    <w:p>
      <w:pPr>
        <w:pStyle w:val="1137"/>
        <w:jc w:val="center"/>
        <w:rPr>
          <w:b/>
          <w:bCs/>
          <w:sz w:val="28"/>
          <w:szCs w:val="28"/>
          <w:highlight w:val="none"/>
        </w:rPr>
      </w:pPr>
      <w:r>
        <w:rPr>
          <w:b/>
          <w:bCs/>
          <w:sz w:val="28"/>
          <w:szCs w:val="28"/>
          <w:highlight w:val="none"/>
        </w:rPr>
      </w:r>
      <w:r/>
    </w:p>
    <w:p>
      <w:pPr>
        <w:pStyle w:val="1137"/>
        <w:jc w:val="center"/>
        <w:rPr>
          <w:b/>
          <w:bCs/>
          <w:sz w:val="28"/>
          <w:szCs w:val="28"/>
          <w:highlight w:val="none"/>
        </w:rPr>
      </w:pPr>
      <w:r>
        <w:rPr>
          <w:b/>
          <w:bCs/>
          <w:sz w:val="28"/>
          <w:szCs w:val="28"/>
          <w:highlight w:val="none"/>
        </w:rPr>
      </w:r>
      <w:r/>
    </w:p>
    <w:p>
      <w:pPr>
        <w:pStyle w:val="1137"/>
        <w:ind w:firstLine="482"/>
        <w:rPr>
          <w:rFonts w:hint="eastAsia" w:ascii="宋体" w:hAnsi="宋体" w:cs="宋体"/>
          <w:b/>
          <w:bCs/>
          <w:sz w:val="24"/>
          <w:highlight w:val="none"/>
        </w:rPr>
      </w:pPr>
      <w:r>
        <w:rPr>
          <w:rFonts w:hint="eastAsia" w:ascii="宋体" w:hAnsi="宋体" w:cs="宋体"/>
          <w:b/>
          <w:bCs/>
          <w:sz w:val="24"/>
          <w:highlight w:val="none"/>
        </w:rPr>
      </w:r>
      <w:r/>
    </w:p>
    <w:p>
      <w:pPr>
        <w:pStyle w:val="1137"/>
        <w:ind w:firstLine="482"/>
        <w:rPr>
          <w:rFonts w:hint="eastAsia" w:ascii="宋体" w:hAnsi="宋体" w:cs="宋体"/>
          <w:b/>
          <w:bCs/>
          <w:sz w:val="24"/>
          <w:highlight w:val="none"/>
        </w:rPr>
      </w:pPr>
      <w:r>
        <w:rPr>
          <w:rFonts w:hint="eastAsia" w:ascii="宋体" w:hAnsi="宋体" w:cs="宋体"/>
          <w:b/>
          <w:bCs/>
          <w:sz w:val="24"/>
          <w:highlight w:val="none"/>
        </w:rPr>
      </w:r>
      <w:r/>
    </w:p>
    <w:p>
      <w:pPr>
        <w:pStyle w:val="1137"/>
        <w:ind w:firstLine="964"/>
        <w:spacing w:line="360" w:lineRule="auto"/>
        <w:rPr>
          <w:b/>
          <w:sz w:val="36"/>
          <w:szCs w:val="36"/>
          <w:highlight w:val="none"/>
        </w:rPr>
        <w:outlineLvl w:val="0"/>
      </w:pPr>
      <w:r>
        <w:rPr>
          <w:rFonts w:hint="eastAsia" w:ascii="宋体" w:hAnsi="宋体" w:cs="宋体"/>
          <w:b/>
          <w:bCs/>
          <w:sz w:val="24"/>
          <w:highlight w:val="none"/>
        </w:rPr>
        <w:t xml:space="preserve">采购代理机构（盖章）：常州润邦招标代理有限公司</w:t>
      </w:r>
      <w:r>
        <w:rPr>
          <w:b/>
          <w:sz w:val="36"/>
          <w:szCs w:val="36"/>
          <w:highlight w:val="none"/>
        </w:rPr>
      </w:r>
      <w:r/>
    </w:p>
    <w:p>
      <w:pPr>
        <w:pStyle w:val="1137"/>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第七章   投标文件格式</w:t>
      </w:r>
      <w:bookmarkEnd w:id="393"/>
      <w:r>
        <w:rPr>
          <w:b/>
          <w:sz w:val="36"/>
          <w:szCs w:val="36"/>
          <w:highlight w:val="none"/>
        </w:rPr>
      </w:r>
      <w:r/>
    </w:p>
    <w:p>
      <w:pPr>
        <w:pStyle w:val="1137"/>
        <w:ind w:left="142"/>
        <w:spacing w:line="360" w:lineRule="auto"/>
        <w:tabs>
          <w:tab w:val="left" w:pos="900" w:leader="none"/>
          <w:tab w:val="left" w:pos="1980" w:leader="none"/>
        </w:tabs>
        <w:rPr>
          <w:b/>
          <w:sz w:val="24"/>
          <w:highlight w:val="none"/>
        </w:rPr>
      </w:pPr>
      <w:r>
        <w:rPr>
          <w:b/>
          <w:sz w:val="24"/>
          <w:highlight w:val="none"/>
        </w:rPr>
      </w:r>
      <w:r/>
    </w:p>
    <w:p>
      <w:pPr>
        <w:pStyle w:val="1137"/>
        <w:ind w:firstLine="482"/>
        <w:spacing w:line="400" w:lineRule="exact"/>
        <w:tabs>
          <w:tab w:val="left" w:pos="900" w:leader="none"/>
          <w:tab w:val="left" w:pos="1980" w:leader="none"/>
        </w:tabs>
        <w:rPr>
          <w:rFonts w:ascii="宋体" w:hAnsi="宋体" w:cs="宋体"/>
          <w:sz w:val="24"/>
          <w:highlight w:val="none"/>
        </w:rPr>
      </w:pPr>
      <w:r>
        <w:rPr>
          <w:rFonts w:hint="eastAsia" w:ascii="宋体" w:hAnsi="宋体" w:cs="宋体"/>
          <w:b/>
          <w:sz w:val="24"/>
          <w:highlight w:val="none"/>
        </w:rPr>
        <w:t xml:space="preserve">投标人编制文件须知</w:t>
      </w:r>
      <w:r>
        <w:rPr>
          <w:rFonts w:ascii="宋体" w:hAnsi="宋体" w:cs="宋体"/>
          <w:sz w:val="24"/>
          <w:highlight w:val="none"/>
        </w:rPr>
      </w:r>
      <w:r/>
    </w:p>
    <w:p>
      <w:pPr>
        <w:pStyle w:val="1137"/>
        <w:ind w:firstLine="480"/>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s="宋体"/>
          <w:sz w:val="24"/>
          <w:highlight w:val="none"/>
        </w:rPr>
      </w:r>
      <w:r/>
    </w:p>
    <w:p>
      <w:pPr>
        <w:pStyle w:val="1137"/>
        <w:ind w:firstLine="480"/>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对于招标文件中标记了“实质性格式”文件的，</w:t>
      </w:r>
      <w:r>
        <w:rPr>
          <w:rFonts w:hint="eastAsia" w:ascii="宋体" w:hAnsi="宋体" w:cs="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rPr>
          <w:rFonts w:ascii="宋体" w:hAnsi="宋体" w:cs="宋体"/>
          <w:sz w:val="24"/>
          <w:highlight w:val="none"/>
        </w:rPr>
      </w:r>
      <w:r/>
    </w:p>
    <w:p>
      <w:pPr>
        <w:pStyle w:val="1137"/>
        <w:ind w:firstLine="480"/>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rPr>
          <w:rFonts w:ascii="宋体" w:hAnsi="宋体" w:cs="宋体"/>
          <w:sz w:val="24"/>
          <w:highlight w:val="none"/>
        </w:rPr>
      </w:r>
      <w:r/>
    </w:p>
    <w:p>
      <w:pPr>
        <w:pStyle w:val="1137"/>
        <w:jc w:val="left"/>
        <w:widowControl/>
        <w:rPr>
          <w:sz w:val="24"/>
          <w:highlight w:val="none"/>
        </w:rPr>
      </w:pPr>
      <w:r>
        <w:rPr>
          <w:sz w:val="24"/>
          <w:highlight w:val="none"/>
        </w:rPr>
        <w:br w:type="page" w:clear="all"/>
      </w:r>
      <w:r>
        <w:rPr>
          <w:sz w:val="24"/>
          <w:highlight w:val="none"/>
        </w:rPr>
      </w:r>
      <w:r/>
    </w:p>
    <w:p>
      <w:pPr>
        <w:pStyle w:val="1137"/>
        <w:jc w:val="left"/>
        <w:keepLines/>
        <w:keepNext/>
        <w:spacing w:before="120" w:line="300" w:lineRule="auto"/>
        <w:rPr>
          <w:b/>
          <w:sz w:val="30"/>
          <w:szCs w:val="20"/>
          <w:highlight w:val="none"/>
        </w:rPr>
        <w:outlineLvl w:val="1"/>
      </w:pPr>
      <w:r/>
      <w:bookmarkEnd w:id="336"/>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b/>
          <w:spacing w:val="20"/>
          <w:sz w:val="24"/>
          <w:highlight w:val="none"/>
        </w:rPr>
        <w:t xml:space="preserve">一、资格证明文件格式</w:t>
      </w:r>
      <w:r>
        <w:rPr>
          <w:b/>
          <w:sz w:val="30"/>
          <w:szCs w:val="20"/>
          <w:highlight w:val="none"/>
        </w:rPr>
      </w:r>
      <w:r/>
    </w:p>
    <w:p>
      <w:pPr>
        <w:pStyle w:val="1137"/>
        <w:rPr>
          <w:b/>
          <w:spacing w:val="20"/>
          <w:szCs w:val="21"/>
          <w:highlight w:val="none"/>
        </w:rPr>
      </w:pPr>
      <w:r>
        <w:rPr>
          <w:b/>
          <w:spacing w:val="20"/>
          <w:szCs w:val="21"/>
          <w:highlight w:val="none"/>
        </w:rPr>
      </w:r>
      <w:r/>
    </w:p>
    <w:p>
      <w:pPr>
        <w:pStyle w:val="1137"/>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1137"/>
        <w:jc w:val="center"/>
        <w:rPr>
          <w:szCs w:val="21"/>
          <w:highlight w:val="none"/>
        </w:rPr>
      </w:pPr>
      <w:r>
        <w:rPr>
          <w:szCs w:val="21"/>
          <w:highlight w:val="none"/>
        </w:rPr>
      </w:r>
      <w:r/>
    </w:p>
    <w:p>
      <w:pPr>
        <w:pStyle w:val="1137"/>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137"/>
        <w:ind w:firstLine="963"/>
        <w:rPr>
          <w:b/>
          <w:spacing w:val="60"/>
          <w:sz w:val="52"/>
          <w:szCs w:val="52"/>
          <w:highlight w:val="none"/>
        </w:rPr>
      </w:pPr>
      <w:r>
        <w:rPr>
          <w:b/>
          <w:spacing w:val="60"/>
          <w:sz w:val="52"/>
          <w:szCs w:val="52"/>
          <w:highlight w:val="none"/>
        </w:rPr>
      </w:r>
      <w:r/>
    </w:p>
    <w:p>
      <w:pPr>
        <w:pStyle w:val="1137"/>
        <w:ind w:firstLine="963"/>
        <w:rPr>
          <w:b/>
          <w:spacing w:val="60"/>
          <w:sz w:val="52"/>
          <w:szCs w:val="52"/>
          <w:highlight w:val="none"/>
        </w:rPr>
      </w:pPr>
      <w:r>
        <w:rPr>
          <w:b/>
          <w:spacing w:val="60"/>
          <w:sz w:val="52"/>
          <w:szCs w:val="52"/>
          <w:highlight w:val="none"/>
        </w:rPr>
      </w:r>
      <w:r/>
    </w:p>
    <w:p>
      <w:pPr>
        <w:pStyle w:val="1137"/>
        <w:ind w:firstLine="542"/>
        <w:rPr>
          <w:b/>
          <w:spacing w:val="20"/>
          <w:sz w:val="32"/>
          <w:szCs w:val="32"/>
          <w:highlight w:val="none"/>
        </w:rPr>
      </w:pPr>
      <w:r>
        <w:rPr>
          <w:b/>
          <w:spacing w:val="20"/>
          <w:sz w:val="32"/>
          <w:szCs w:val="32"/>
          <w:highlight w:val="none"/>
        </w:rPr>
      </w:r>
      <w:r/>
    </w:p>
    <w:p>
      <w:pPr>
        <w:pStyle w:val="1137"/>
        <w:ind w:firstLine="542"/>
        <w:rPr>
          <w:b/>
          <w:spacing w:val="20"/>
          <w:sz w:val="32"/>
          <w:szCs w:val="32"/>
          <w:highlight w:val="none"/>
        </w:rPr>
      </w:pPr>
      <w:r>
        <w:rPr>
          <w:b/>
          <w:spacing w:val="20"/>
          <w:sz w:val="32"/>
          <w:szCs w:val="32"/>
          <w:highlight w:val="none"/>
        </w:rPr>
      </w:r>
      <w:r/>
    </w:p>
    <w:p>
      <w:pPr>
        <w:pStyle w:val="1137"/>
        <w:ind w:firstLine="1084"/>
        <w:rPr>
          <w:rFonts w:ascii="宋体" w:hAnsi="宋体"/>
          <w:b/>
          <w:sz w:val="36"/>
          <w:highlight w:val="none"/>
        </w:rPr>
      </w:pPr>
      <w:r>
        <w:rPr>
          <w:rFonts w:hint="eastAsia" w:ascii="宋体" w:hAnsi="宋体"/>
          <w:b/>
          <w:sz w:val="36"/>
          <w:highlight w:val="none"/>
        </w:rPr>
        <w:t xml:space="preserve">项 目 名 称：</w:t>
      </w:r>
      <w:r>
        <w:rPr>
          <w:rFonts w:ascii="宋体" w:hAnsi="宋体"/>
          <w:b/>
          <w:sz w:val="36"/>
          <w:highlight w:val="none"/>
        </w:rPr>
      </w:r>
      <w:r/>
    </w:p>
    <w:p>
      <w:pPr>
        <w:pStyle w:val="1137"/>
        <w:ind w:firstLine="1084"/>
        <w:rPr>
          <w:rFonts w:hint="eastAsia" w:ascii="宋体" w:hAnsi="宋体"/>
          <w:b/>
          <w:sz w:val="36"/>
          <w:highlight w:val="none"/>
        </w:rPr>
      </w:pPr>
      <w:r>
        <w:rPr>
          <w:rFonts w:hint="eastAsia" w:ascii="宋体" w:hAnsi="宋体"/>
          <w:b/>
          <w:sz w:val="36"/>
          <w:highlight w:val="none"/>
        </w:rPr>
        <w:t xml:space="preserve">项 目 编 号：</w:t>
      </w:r>
      <w:r>
        <w:rPr>
          <w:rFonts w:hint="eastAsia" w:ascii="宋体" w:hAnsi="宋体"/>
          <w:b/>
          <w:sz w:val="36"/>
          <w:highlight w:val="none"/>
        </w:rPr>
      </w:r>
      <w:r/>
    </w:p>
    <w:p>
      <w:pPr>
        <w:pStyle w:val="1137"/>
        <w:ind w:firstLine="1084"/>
        <w:rPr>
          <w:rFonts w:hint="eastAsia" w:ascii="宋体" w:hAnsi="宋体"/>
          <w:b/>
          <w:sz w:val="36"/>
          <w:highlight w:val="none"/>
        </w:rPr>
      </w:pPr>
      <w:r>
        <w:rPr>
          <w:rFonts w:hint="eastAsia" w:ascii="宋体" w:hAnsi="宋体"/>
          <w:b/>
          <w:sz w:val="36"/>
          <w:highlight w:val="none"/>
        </w:rPr>
        <w:t xml:space="preserve">投标人名称：</w:t>
      </w:r>
      <w:r>
        <w:rPr>
          <w:rFonts w:hint="eastAsia" w:ascii="宋体" w:hAnsi="宋体"/>
          <w:b/>
          <w:sz w:val="36"/>
          <w:highlight w:val="none"/>
        </w:rPr>
      </w:r>
      <w:r/>
    </w:p>
    <w:p>
      <w:pPr>
        <w:pStyle w:val="1137"/>
        <w:ind w:firstLine="1084"/>
        <w:rPr>
          <w:rFonts w:hint="eastAsia" w:ascii="宋体" w:hAnsi="宋体"/>
          <w:b/>
          <w:sz w:val="36"/>
          <w:highlight w:val="none"/>
        </w:rPr>
      </w:pPr>
      <w:r>
        <w:rPr>
          <w:rFonts w:hint="eastAsia" w:ascii="宋体" w:hAnsi="宋体"/>
          <w:b/>
          <w:sz w:val="36"/>
          <w:highlight w:val="none"/>
        </w:rPr>
        <w:t xml:space="preserve">日       期：</w:t>
      </w:r>
      <w:r>
        <w:rPr>
          <w:rFonts w:hint="eastAsia" w:ascii="宋体" w:hAnsi="宋体"/>
          <w:b/>
          <w:sz w:val="36"/>
          <w:highlight w:val="none"/>
        </w:rPr>
      </w:r>
      <w:r/>
    </w:p>
    <w:p>
      <w:pPr>
        <w:pStyle w:val="1137"/>
        <w:jc w:val="center"/>
        <w:rPr>
          <w:b/>
          <w:sz w:val="32"/>
          <w:szCs w:val="32"/>
          <w:highlight w:val="none"/>
        </w:rPr>
      </w:pPr>
      <w:r>
        <w:rPr>
          <w:b/>
          <w:sz w:val="32"/>
          <w:szCs w:val="32"/>
          <w:highlight w:val="none"/>
        </w:rPr>
      </w:r>
      <w:r/>
    </w:p>
    <w:p>
      <w:pPr>
        <w:pStyle w:val="1137"/>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137"/>
        <w:rPr>
          <w:b/>
          <w:highlight w:val="none"/>
        </w:rPr>
      </w:pPr>
      <w:r>
        <w:rPr>
          <w:b/>
          <w:highlight w:val="none"/>
        </w:rPr>
      </w:r>
      <w:r/>
    </w:p>
    <w:p>
      <w:pPr>
        <w:pStyle w:val="1137"/>
        <w:spacing w:line="400" w:lineRule="exact"/>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1140"/>
        <w:spacing w:before="0" w:after="0" w:line="400" w:lineRule="exact"/>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1137"/>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pStyle w:val="1137"/>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159"/>
        <w:ind w:firstLine="480"/>
        <w:spacing w:line="460" w:lineRule="exact"/>
        <w:rPr>
          <w:highlight w:val="none"/>
        </w:rPr>
      </w:pPr>
      <w:r>
        <w:rPr>
          <w:highlight w:val="none"/>
        </w:rPr>
      </w:r>
      <w:r/>
    </w:p>
    <w:p>
      <w:pPr>
        <w:pStyle w:val="1159"/>
        <w:ind w:firstLine="480"/>
        <w:spacing w:line="400" w:lineRule="exact"/>
        <w:rPr>
          <w:rFonts w:hint="eastAsia"/>
          <w:highlight w:val="none"/>
        </w:rPr>
      </w:pPr>
      <w:r>
        <w:rPr>
          <w:rFonts w:hint="eastAsia"/>
          <w:highlight w:val="none"/>
        </w:rPr>
        <w:t xml:space="preserve">致：常州润邦招标代理有限公司</w:t>
      </w:r>
      <w:r>
        <w:rPr>
          <w:rFonts w:hint="eastAsia"/>
          <w:highlight w:val="none"/>
        </w:rPr>
      </w:r>
      <w:r/>
    </w:p>
    <w:p>
      <w:pPr>
        <w:pStyle w:val="1159"/>
        <w:ind w:firstLine="960"/>
        <w:spacing w:line="400" w:lineRule="exact"/>
        <w:rPr>
          <w:highlight w:val="none"/>
          <w:u w:val="single"/>
        </w:rPr>
      </w:pPr>
      <w:r>
        <w:rPr>
          <w:rFonts w:hint="eastAsia"/>
          <w:highlight w:val="none"/>
          <w:u w:val="single"/>
        </w:rPr>
        <w:t xml:space="preserve">（采购人名称）</w:t>
      </w:r>
      <w:r>
        <w:rPr>
          <w:highlight w:val="none"/>
          <w:u w:val="single"/>
        </w:rPr>
      </w:r>
      <w:r/>
    </w:p>
    <w:p>
      <w:pPr>
        <w:pStyle w:val="1159"/>
        <w:ind w:firstLine="480"/>
        <w:spacing w:line="400" w:lineRule="exact"/>
        <w:rPr>
          <w:highlight w:val="none"/>
        </w:rPr>
      </w:pPr>
      <w:r>
        <w:rPr>
          <w:highlight w:val="none"/>
        </w:rPr>
      </w:r>
      <w:r/>
    </w:p>
    <w:p>
      <w:pPr>
        <w:pStyle w:val="1159"/>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1159"/>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159"/>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1159"/>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1159"/>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159"/>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159"/>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159"/>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159"/>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1159"/>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1159"/>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159"/>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159"/>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159"/>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1159"/>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1159"/>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159"/>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159"/>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159"/>
        <w:ind w:firstLine="480"/>
        <w:spacing w:line="400" w:lineRule="exact"/>
        <w:rPr>
          <w:highlight w:val="none"/>
        </w:rPr>
      </w:pPr>
      <w:r>
        <w:rPr>
          <w:highlight w:val="none"/>
        </w:rPr>
      </w:r>
      <w:r/>
    </w:p>
    <w:p>
      <w:pPr>
        <w:pStyle w:val="1159"/>
        <w:ind w:firstLine="480"/>
        <w:spacing w:line="40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159"/>
        <w:ind w:firstLine="480"/>
        <w:spacing w:line="400" w:lineRule="exact"/>
        <w:rPr>
          <w:highlight w:val="none"/>
        </w:rPr>
      </w:pPr>
      <w:r>
        <w:rPr>
          <w:highlight w:val="none"/>
        </w:rPr>
      </w:r>
      <w:r/>
    </w:p>
    <w:p>
      <w:pPr>
        <w:pStyle w:val="1159"/>
        <w:ind w:firstLine="480"/>
        <w:spacing w:line="400" w:lineRule="exact"/>
        <w:rPr>
          <w:highlight w:val="none"/>
        </w:rPr>
      </w:pPr>
      <w:r>
        <w:rPr>
          <w:highlight w:val="none"/>
        </w:rPr>
      </w:r>
      <w:r/>
    </w:p>
    <w:p>
      <w:pPr>
        <w:pStyle w:val="1159"/>
        <w:ind w:firstLine="480"/>
        <w:spacing w:line="400" w:lineRule="exact"/>
        <w:rPr>
          <w:highlight w:val="none"/>
        </w:rPr>
      </w:pPr>
      <w:r>
        <w:rPr>
          <w:rFonts w:hint="eastAsia"/>
          <w:highlight w:val="none"/>
        </w:rPr>
        <w:t xml:space="preserve">                                   投标人：（加盖公章）</w:t>
      </w:r>
      <w:r>
        <w:rPr>
          <w:highlight w:val="none"/>
        </w:rPr>
      </w:r>
      <w:r/>
    </w:p>
    <w:p>
      <w:pPr>
        <w:pStyle w:val="1159"/>
        <w:ind w:firstLine="480"/>
        <w:spacing w:line="400" w:lineRule="exact"/>
        <w:rPr>
          <w:highlight w:val="none"/>
        </w:rPr>
      </w:pPr>
      <w:r>
        <w:rPr>
          <w:rFonts w:hint="eastAsia"/>
          <w:highlight w:val="none"/>
        </w:rPr>
        <w:t xml:space="preserve">                                   法定代表人（或单位负责人）签字或盖章：</w:t>
      </w:r>
      <w:r>
        <w:rPr>
          <w:highlight w:val="none"/>
        </w:rPr>
      </w:r>
      <w:r/>
    </w:p>
    <w:p>
      <w:pPr>
        <w:pStyle w:val="1159"/>
        <w:ind w:firstLine="4920"/>
        <w:spacing w:line="400" w:lineRule="exact"/>
        <w:rPr>
          <w:highlight w:val="none"/>
        </w:rPr>
      </w:pPr>
      <w:r>
        <w:rPr>
          <w:rFonts w:hint="eastAsia"/>
          <w:highlight w:val="none"/>
        </w:rPr>
        <w:t xml:space="preserve">日期：    年    月    日</w:t>
      </w:r>
      <w:r>
        <w:rPr>
          <w:highlight w:val="none"/>
        </w:rPr>
      </w:r>
      <w:r/>
    </w:p>
    <w:p>
      <w:pPr>
        <w:pStyle w:val="1137"/>
        <w:spacing w:line="400" w:lineRule="exact"/>
        <w:rPr>
          <w:sz w:val="24"/>
          <w:highlight w:val="none"/>
        </w:rPr>
      </w:pPr>
      <w:r>
        <w:rPr>
          <w:sz w:val="24"/>
          <w:highlight w:val="none"/>
        </w:rPr>
      </w:r>
      <w:r/>
    </w:p>
    <w:p>
      <w:pPr>
        <w:pStyle w:val="1137"/>
        <w:spacing w:line="400" w:lineRule="exact"/>
        <w:rPr>
          <w:sz w:val="24"/>
          <w:highlight w:val="none"/>
        </w:rPr>
      </w:pPr>
      <w:r>
        <w:rPr>
          <w:sz w:val="24"/>
          <w:highlight w:val="none"/>
        </w:rPr>
      </w:r>
      <w:r/>
    </w:p>
    <w:p>
      <w:pPr>
        <w:pStyle w:val="1137"/>
        <w:spacing w:line="400" w:lineRule="exact"/>
        <w:rPr>
          <w:sz w:val="24"/>
          <w:highlight w:val="none"/>
        </w:rPr>
      </w:pPr>
      <w:r>
        <w:rPr>
          <w:sz w:val="24"/>
          <w:highlight w:val="none"/>
        </w:rPr>
      </w:r>
      <w:r/>
    </w:p>
    <w:p>
      <w:pPr>
        <w:pStyle w:val="1137"/>
        <w:ind w:firstLine="480"/>
        <w:spacing w:line="400" w:lineRule="exact"/>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137"/>
        <w:spacing w:line="400" w:lineRule="exact"/>
        <w:tabs>
          <w:tab w:val="left" w:pos="5580" w:leader="none"/>
        </w:tabs>
        <w:rPr>
          <w:sz w:val="24"/>
          <w:highlight w:val="none"/>
        </w:rPr>
        <w:sectPr>
          <w:footnotePr/>
          <w:endnotePr/>
          <w:type w:val="nextPage"/>
          <w:pgSz w:w="11907" w:h="16840" w:orient="portrait"/>
          <w:pgMar w:top="1440" w:right="1083" w:bottom="1440" w:left="1083" w:header="851" w:footer="850" w:gutter="0"/>
          <w:cols w:num="1" w:sep="0" w:space="1701" w:equalWidth="1"/>
          <w:docGrid w:linePitch="360"/>
          <w:titlePg/>
        </w:sectPr>
      </w:pPr>
      <w:r>
        <w:rPr>
          <w:sz w:val="24"/>
          <w:highlight w:val="none"/>
        </w:rPr>
      </w:r>
      <w:r/>
    </w:p>
    <w:p>
      <w:pPr>
        <w:pStyle w:val="1137"/>
        <w:spacing w:line="360" w:lineRule="auto"/>
        <w:rPr>
          <w:sz w:val="24"/>
          <w:szCs w:val="20"/>
          <w:highlight w:val="none"/>
        </w:rPr>
        <w:outlineLvl w:val="2"/>
      </w:pPr>
      <w:r>
        <w:rPr>
          <w:sz w:val="24"/>
          <w:szCs w:val="20"/>
          <w:highlight w:val="none"/>
        </w:rPr>
        <w:t xml:space="preserve">2 落实政府采购政策需满足的资格要求</w:t>
      </w:r>
      <w:r>
        <w:rPr>
          <w:rFonts w:hint="eastAsia"/>
          <w:sz w:val="24"/>
          <w:szCs w:val="20"/>
          <w:highlight w:val="none"/>
        </w:rPr>
        <w:t xml:space="preserve">：</w:t>
      </w:r>
      <w:r>
        <w:rPr>
          <w:sz w:val="24"/>
          <w:szCs w:val="20"/>
          <w:highlight w:val="none"/>
        </w:rPr>
      </w:r>
      <w:r/>
    </w:p>
    <w:p>
      <w:pPr>
        <w:pStyle w:val="1137"/>
        <w:jc w:val="center"/>
        <w:spacing w:line="360" w:lineRule="auto"/>
        <w:rPr>
          <w:rFonts w:ascii="宋体" w:hAnsi="宋体" w:cs="宋体"/>
          <w:b/>
          <w:bCs/>
          <w:sz w:val="24"/>
          <w:highlight w:val="none"/>
        </w:rPr>
        <w:outlineLvl w:val="2"/>
      </w:pPr>
      <w:r>
        <w:rPr>
          <w:rFonts w:hint="eastAsia" w:ascii="宋体" w:hAnsi="宋体" w:cs="宋体"/>
          <w:b/>
          <w:bCs/>
          <w:sz w:val="24"/>
          <w:szCs w:val="20"/>
          <w:highlight w:val="none"/>
        </w:rPr>
        <w:t xml:space="preserve">2-1 中小企业声明函</w:t>
      </w:r>
      <w:r>
        <w:rPr>
          <w:rFonts w:ascii="宋体" w:hAnsi="宋体" w:cs="宋体"/>
          <w:b/>
          <w:bCs/>
          <w:sz w:val="24"/>
          <w:highlight w:val="none"/>
        </w:rPr>
      </w:r>
      <w:r/>
    </w:p>
    <w:p>
      <w:pPr>
        <w:pStyle w:val="1137"/>
        <w:spacing w:line="360" w:lineRule="auto"/>
        <w:tabs>
          <w:tab w:val="left" w:pos="5580" w:leader="none"/>
        </w:tabs>
        <w:rPr>
          <w:rFonts w:ascii="宋体" w:hAnsi="宋体" w:cs="宋体"/>
          <w:b/>
          <w:bCs/>
          <w:sz w:val="24"/>
          <w:highlight w:val="none"/>
        </w:rPr>
      </w:pPr>
      <w:r>
        <w:rPr>
          <w:rFonts w:hint="eastAsia" w:ascii="宋体" w:hAnsi="宋体" w:cs="宋体"/>
          <w:b/>
          <w:bCs/>
          <w:sz w:val="24"/>
          <w:highlight w:val="none"/>
        </w:rPr>
        <w:t xml:space="preserve">说明：</w:t>
      </w:r>
      <w:r>
        <w:rPr>
          <w:rFonts w:ascii="宋体" w:hAnsi="宋体" w:cs="宋体"/>
          <w:b/>
          <w:bCs/>
          <w:sz w:val="24"/>
          <w:highlight w:val="none"/>
        </w:rPr>
      </w:r>
      <w:r/>
    </w:p>
    <w:p>
      <w:pPr>
        <w:pStyle w:val="1137"/>
        <w:ind w:firstLine="482"/>
        <w:spacing w:line="360" w:lineRule="auto"/>
        <w:tabs>
          <w:tab w:val="left" w:pos="5580" w:leader="none"/>
        </w:tabs>
        <w:rPr>
          <w:rFonts w:ascii="宋体" w:hAnsi="宋体" w:cs="宋体"/>
          <w:b/>
          <w:bCs/>
          <w:sz w:val="24"/>
          <w:highlight w:val="none"/>
        </w:rPr>
      </w:pPr>
      <w:r>
        <w:rPr>
          <w:rFonts w:hint="eastAsia" w:ascii="宋体" w:hAnsi="宋体" w:cs="宋体"/>
          <w:b/>
          <w:bCs/>
          <w:sz w:val="24"/>
          <w:highlight w:val="none"/>
        </w:rPr>
        <w:t xml:space="preserve">1.</w:t>
      </w:r>
      <w:r>
        <w:rPr>
          <w:rFonts w:hint="eastAsia" w:ascii="宋体" w:hAnsi="宋体" w:cs="宋体"/>
          <w:b/>
          <w:bCs/>
          <w:sz w:val="24"/>
          <w:highlight w:val="none"/>
          <w:u w:val="single"/>
        </w:rPr>
        <w:t xml:space="preserve">本项目采购包1、采购包2、采购包3专门面向中小企业采购，必须提供《中小企业声明函》</w:t>
      </w:r>
      <w:r>
        <w:rPr>
          <w:rFonts w:hint="eastAsia" w:ascii="宋体" w:hAnsi="宋体" w:cs="宋体"/>
          <w:b/>
          <w:bCs/>
          <w:sz w:val="24"/>
          <w:szCs w:val="20"/>
          <w:highlight w:val="none"/>
          <w:u w:val="single"/>
        </w:rPr>
        <w:t xml:space="preserve">（实质性格式）</w:t>
      </w:r>
      <w:r>
        <w:rPr>
          <w:rFonts w:hint="eastAsia" w:ascii="宋体" w:hAnsi="宋体" w:cs="宋体"/>
          <w:b/>
          <w:bCs/>
          <w:sz w:val="24"/>
          <w:highlight w:val="none"/>
        </w:rPr>
        <w:t xml:space="preserve">。</w:t>
      </w:r>
      <w:r>
        <w:rPr>
          <w:rFonts w:ascii="宋体" w:hAnsi="宋体" w:cs="宋体"/>
          <w:b/>
          <w:bCs/>
          <w:sz w:val="24"/>
          <w:highlight w:val="none"/>
        </w:rPr>
      </w:r>
      <w:r/>
    </w:p>
    <w:p>
      <w:pPr>
        <w:pStyle w:val="1137"/>
        <w:ind w:firstLine="482"/>
        <w:spacing w:line="360" w:lineRule="auto"/>
        <w:tabs>
          <w:tab w:val="left" w:pos="5580" w:leader="none"/>
        </w:tabs>
        <w:rPr>
          <w:rFonts w:ascii="宋体" w:hAnsi="宋体" w:cs="宋体"/>
          <w:b/>
          <w:bCs/>
          <w:sz w:val="24"/>
          <w:highlight w:val="none"/>
        </w:rPr>
      </w:pPr>
      <w:r>
        <w:rPr>
          <w:rFonts w:hint="eastAsia" w:ascii="宋体" w:hAnsi="宋体" w:cs="宋体"/>
          <w:b/>
          <w:bCs/>
          <w:sz w:val="24"/>
          <w:highlight w:val="none"/>
        </w:rPr>
        <w:t xml:space="preserve">2.温馨提示：为方便广大中小企业识别企业规模类型，工业和信息化部组织开发了中小企业规模类型自测小程序，在国务院客户端和工业和信息化部网站上均有链接（https://baosong.miit.gov.cn/ScaleTest），供应商填写所属的行业和指标数据可自动生成企业规模类型测试结果。</w:t>
      </w:r>
      <w:r>
        <w:rPr>
          <w:rFonts w:ascii="宋体" w:hAnsi="宋体" w:cs="宋体"/>
          <w:b/>
          <w:bCs/>
          <w:sz w:val="24"/>
          <w:highlight w:val="none"/>
        </w:rPr>
      </w:r>
      <w:r/>
    </w:p>
    <w:p>
      <w:pPr>
        <w:pStyle w:val="1137"/>
        <w:ind w:firstLine="482"/>
        <w:spacing w:line="360" w:lineRule="auto"/>
        <w:tabs>
          <w:tab w:val="left" w:pos="5580" w:leader="none"/>
        </w:tabs>
        <w:rPr>
          <w:rFonts w:ascii="宋体" w:hAnsi="宋体"/>
          <w:b/>
          <w:sz w:val="24"/>
          <w:highlight w:val="none"/>
        </w:rPr>
      </w:pPr>
      <w:r>
        <w:rPr>
          <w:rFonts w:hint="eastAsia" w:ascii="宋体" w:hAnsi="宋体"/>
          <w:b/>
          <w:sz w:val="24"/>
          <w:highlight w:val="none"/>
        </w:rPr>
        <w:t xml:space="preserve">3.填写请参考“常州市政府采购中心关于规范填写《中小企业声明函》的温馨提示”（网址：http://zfcg.changzhou.gov.cn/html/ns/tzgg/980332060316367.html）</w:t>
      </w:r>
      <w:r>
        <w:rPr>
          <w:rFonts w:ascii="宋体" w:hAnsi="宋体"/>
          <w:b/>
          <w:sz w:val="24"/>
          <w:highlight w:val="none"/>
        </w:rPr>
      </w:r>
      <w:r/>
    </w:p>
    <w:p>
      <w:pPr>
        <w:pStyle w:val="1137"/>
        <w:ind w:firstLine="482"/>
        <w:spacing w:line="360" w:lineRule="auto"/>
        <w:tabs>
          <w:tab w:val="left" w:pos="5580" w:leader="none"/>
        </w:tabs>
        <w:rPr>
          <w:rFonts w:ascii="宋体" w:hAnsi="宋体" w:cs="宋体"/>
          <w:b/>
          <w:bCs/>
          <w:sz w:val="24"/>
          <w:highlight w:val="none"/>
        </w:rPr>
      </w:pPr>
      <w:r>
        <w:rPr>
          <w:rFonts w:hint="eastAsia" w:ascii="宋体" w:hAnsi="宋体" w:cs="宋体"/>
          <w:b/>
          <w:bCs/>
          <w:sz w:val="24"/>
          <w:highlight w:val="none"/>
        </w:rPr>
        <w:t xml:space="preserve">4.本项目采购标的所属行业：</w:t>
      </w:r>
      <w:r>
        <w:rPr>
          <w:rFonts w:hint="eastAsia" w:ascii="宋体" w:hAnsi="宋体" w:cs="宋体"/>
          <w:b/>
          <w:bCs/>
          <w:sz w:val="24"/>
          <w:highlight w:val="none"/>
          <w:u w:val="single"/>
        </w:rPr>
        <w:t xml:space="preserve">其他未列明行业（请勿修改）</w:t>
      </w:r>
      <w:r>
        <w:rPr>
          <w:rFonts w:hint="eastAsia" w:ascii="宋体" w:hAnsi="宋体" w:cs="宋体"/>
          <w:b/>
          <w:bCs/>
          <w:sz w:val="24"/>
          <w:highlight w:val="none"/>
        </w:rPr>
        <w:t xml:space="preserve">。</w:t>
      </w:r>
      <w:r>
        <w:rPr>
          <w:rFonts w:ascii="宋体" w:hAnsi="宋体" w:cs="宋体"/>
          <w:b/>
          <w:bCs/>
          <w:sz w:val="24"/>
          <w:highlight w:val="none"/>
        </w:rPr>
      </w:r>
      <w:r/>
    </w:p>
    <w:p>
      <w:pPr>
        <w:pStyle w:val="1137"/>
        <w:jc w:val="center"/>
        <w:widowControl/>
        <w:rPr>
          <w:rFonts w:ascii="宋体" w:hAnsi="宋体"/>
          <w:b/>
          <w:sz w:val="32"/>
          <w:szCs w:val="32"/>
          <w:highlight w:val="none"/>
        </w:rPr>
      </w:pPr>
      <w:r>
        <w:rPr>
          <w:rFonts w:ascii="宋体" w:hAnsi="宋体"/>
          <w:b/>
          <w:sz w:val="32"/>
          <w:szCs w:val="32"/>
          <w:highlight w:val="none"/>
        </w:rPr>
      </w:r>
      <w:r/>
    </w:p>
    <w:p>
      <w:pPr>
        <w:pStyle w:val="1137"/>
        <w:jc w:val="center"/>
        <w:rPr>
          <w:rFonts w:hint="eastAsia" w:ascii="宋体" w:hAnsi="宋体" w:cs="宋体"/>
          <w:b/>
          <w:sz w:val="32"/>
          <w:szCs w:val="32"/>
          <w:highlight w:val="none"/>
        </w:rPr>
      </w:pPr>
      <w:r>
        <w:rPr>
          <w:rFonts w:hint="eastAsia"/>
          <w:b/>
          <w:bCs/>
          <w:sz w:val="36"/>
          <w:szCs w:val="36"/>
          <w:highlight w:val="none"/>
        </w:rPr>
        <w:br w:type="page" w:clear="all"/>
      </w:r>
      <w:r>
        <w:rPr>
          <w:rFonts w:hint="eastAsia" w:ascii="宋体" w:hAnsi="宋体" w:cs="宋体"/>
          <w:b/>
          <w:sz w:val="32"/>
          <w:szCs w:val="32"/>
          <w:highlight w:val="none"/>
        </w:rPr>
        <w:t xml:space="preserve">中小企业声明函（服务）格式</w:t>
      </w:r>
      <w:r>
        <w:rPr>
          <w:rFonts w:hint="eastAsia" w:ascii="宋体" w:hAnsi="宋体" w:cs="宋体"/>
          <w:b/>
          <w:sz w:val="32"/>
          <w:szCs w:val="32"/>
          <w:highlight w:val="none"/>
        </w:rPr>
      </w:r>
      <w:r/>
    </w:p>
    <w:p>
      <w:pPr>
        <w:pStyle w:val="1137"/>
        <w:ind w:firstLine="504"/>
        <w:spacing w:line="360" w:lineRule="auto"/>
        <w:rPr>
          <w:rFonts w:ascii="宋体" w:hAnsi="宋体" w:cs="宋体"/>
          <w:spacing w:val="6"/>
          <w:sz w:val="24"/>
          <w:highlight w:val="none"/>
        </w:rPr>
      </w:pPr>
      <w:r>
        <w:rPr>
          <w:rFonts w:ascii="宋体" w:hAnsi="宋体" w:cs="宋体"/>
          <w:spacing w:val="6"/>
          <w:sz w:val="24"/>
          <w:highlight w:val="none"/>
        </w:rPr>
      </w:r>
      <w:r/>
    </w:p>
    <w:p>
      <w:pPr>
        <w:pStyle w:val="1137"/>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本公司（联合体）郑重声明，根据《政府采购促进中小企业发展管理办法》（财库﹝2020﹞46号）的规定，本公司（联合体）参加</w:t>
      </w:r>
      <w:r>
        <w:rPr>
          <w:rFonts w:hint="eastAsia" w:ascii="宋体" w:hAnsi="宋体" w:cs="宋体"/>
          <w:spacing w:val="6"/>
          <w:sz w:val="24"/>
          <w:highlight w:val="none"/>
          <w:u w:val="single"/>
        </w:rPr>
        <w:t xml:space="preserve">常州市生态环境监控中心（单位名称）</w:t>
      </w:r>
      <w:r>
        <w:rPr>
          <w:rFonts w:hint="eastAsia" w:ascii="宋体" w:hAnsi="宋体" w:cs="宋体"/>
          <w:spacing w:val="6"/>
          <w:sz w:val="24"/>
          <w:highlight w:val="none"/>
        </w:rPr>
        <w:t xml:space="preserve">的</w:t>
      </w:r>
      <w:r>
        <w:rPr>
          <w:rFonts w:hint="eastAsia" w:ascii="宋体" w:hAnsi="宋体" w:cs="宋体"/>
          <w:spacing w:val="6"/>
          <w:sz w:val="24"/>
          <w:highlight w:val="none"/>
          <w:u w:val="single"/>
        </w:rPr>
        <w:t xml:space="preserve"> 常州市地表水环境质量自动监测站优化调整及运维服务项目（项目名称）</w:t>
      </w:r>
      <w:r>
        <w:rPr>
          <w:rFonts w:hint="eastAsia" w:ascii="宋体" w:hAnsi="宋体" w:cs="宋体"/>
          <w:spacing w:val="6"/>
          <w:sz w:val="24"/>
          <w:highlight w:val="none"/>
        </w:rPr>
        <w:t xml:space="preserve">采购活动，服务全部由符合政策要求的中小企业承接。相关企业（含联合体中的中小企业、签订分包意向协议的中小企业）的具体情况如下：</w:t>
      </w:r>
      <w:r>
        <w:rPr>
          <w:rFonts w:ascii="宋体" w:hAnsi="宋体" w:cs="宋体"/>
          <w:spacing w:val="6"/>
          <w:sz w:val="24"/>
          <w:highlight w:val="none"/>
        </w:rPr>
      </w:r>
      <w:r/>
    </w:p>
    <w:p>
      <w:pPr>
        <w:pStyle w:val="1137"/>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1.</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b/>
          <w:sz w:val="24"/>
          <w:highlight w:val="none"/>
          <w:u w:val="single"/>
        </w:rPr>
        <w:t xml:space="preserve">其他未列明</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w:t>
      </w:r>
      <w:r>
        <w:rPr>
          <w:rFonts w:hint="eastAsia" w:ascii="宋体" w:hAnsi="宋体" w:cs="宋体"/>
          <w:spacing w:val="6"/>
          <w:sz w:val="24"/>
          <w:highlight w:val="none"/>
          <w:vertAlign w:val="superscript"/>
        </w:rPr>
        <w:t xml:space="preserve">1</w:t>
      </w:r>
      <w:r>
        <w:rPr>
          <w:rFonts w:hint="eastAsia" w:ascii="宋体" w:hAnsi="宋体" w:cs="宋体"/>
          <w:spacing w:val="6"/>
          <w:sz w:val="24"/>
          <w:highlight w:val="none"/>
        </w:rPr>
        <w:t xml:space="preserve">，属于（中型企业、小型企业、微型企业）；</w:t>
      </w:r>
      <w:r>
        <w:rPr>
          <w:rFonts w:ascii="宋体" w:hAnsi="宋体" w:cs="宋体"/>
          <w:spacing w:val="6"/>
          <w:sz w:val="24"/>
          <w:highlight w:val="none"/>
        </w:rPr>
      </w:r>
      <w:r/>
    </w:p>
    <w:p>
      <w:pPr>
        <w:pStyle w:val="1137"/>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2.</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b/>
          <w:sz w:val="24"/>
          <w:highlight w:val="none"/>
          <w:u w:val="single"/>
        </w:rPr>
        <w:t xml:space="preserve">其他未列明</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，从业人员______人，营业收入为______万元，资产总额为______万元，属于</w:t>
      </w:r>
      <w:r>
        <w:rPr>
          <w:rFonts w:hint="eastAsia" w:ascii="宋体" w:hAnsi="宋体" w:cs="宋体"/>
          <w:spacing w:val="6"/>
          <w:sz w:val="24"/>
          <w:highlight w:val="none"/>
          <w:u w:val="single"/>
        </w:rPr>
        <w:t xml:space="preserve">（中型企业、小型企业、微型企业）</w:t>
      </w:r>
      <w:r>
        <w:rPr>
          <w:rFonts w:hint="eastAsia" w:ascii="宋体" w:hAnsi="宋体" w:cs="宋体"/>
          <w:spacing w:val="6"/>
          <w:sz w:val="24"/>
          <w:highlight w:val="none"/>
        </w:rPr>
        <w:t xml:space="preserve">；</w:t>
      </w:r>
      <w:r>
        <w:rPr>
          <w:rFonts w:ascii="宋体" w:hAnsi="宋体" w:cs="宋体"/>
          <w:spacing w:val="6"/>
          <w:sz w:val="24"/>
          <w:highlight w:val="none"/>
        </w:rPr>
      </w:r>
      <w:r/>
    </w:p>
    <w:p>
      <w:pPr>
        <w:pStyle w:val="1137"/>
        <w:ind w:firstLine="504"/>
        <w:spacing w:line="360" w:lineRule="auto"/>
        <w:rPr>
          <w:rFonts w:ascii="宋体" w:hAnsi="宋体" w:cs="宋体"/>
          <w:spacing w:val="6"/>
          <w:sz w:val="24"/>
          <w:highlight w:val="none"/>
        </w:rPr>
      </w:pPr>
      <w:r>
        <w:rPr>
          <w:rFonts w:ascii="宋体" w:hAnsi="宋体" w:cs="宋体"/>
          <w:spacing w:val="6"/>
          <w:sz w:val="24"/>
          <w:highlight w:val="none"/>
        </w:rPr>
      </w:r>
      <w:r/>
    </w:p>
    <w:p>
      <w:pPr>
        <w:pStyle w:val="1137"/>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1137"/>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137"/>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137"/>
        <w:ind w:right="360" w:firstLine="480"/>
        <w:jc w:val="right"/>
        <w:spacing w:line="360" w:lineRule="auto"/>
        <w:rPr>
          <w:sz w:val="24"/>
          <w:highlight w:val="none"/>
        </w:rPr>
      </w:pPr>
      <w:r>
        <w:rPr>
          <w:sz w:val="24"/>
          <w:highlight w:val="none"/>
        </w:rPr>
      </w:r>
      <w:r/>
    </w:p>
    <w:p>
      <w:pPr>
        <w:pStyle w:val="1137"/>
        <w:rPr>
          <w:rFonts w:ascii="宋体" w:hAnsi="宋体" w:cs="宋体"/>
          <w:b/>
          <w:bCs/>
          <w:color w:val="000000"/>
          <w:sz w:val="24"/>
          <w:szCs w:val="20"/>
          <w:highlight w:val="none"/>
        </w:rPr>
      </w:pPr>
      <w:r>
        <w:rPr>
          <w:rFonts w:ascii="宋体" w:hAnsi="宋体" w:cs="宋体"/>
          <w:b/>
          <w:bCs/>
          <w:color w:val="000000"/>
          <w:sz w:val="24"/>
          <w:szCs w:val="20"/>
          <w:highlight w:val="none"/>
        </w:rPr>
      </w:r>
      <w:r/>
    </w:p>
    <w:p>
      <w:pPr>
        <w:pStyle w:val="1137"/>
        <w:ind w:left="420" w:firstLine="408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rPr>
          <w:rFonts w:ascii="宋体" w:hAnsi="宋体" w:cs="宋体"/>
          <w:color w:val="000000"/>
          <w:sz w:val="24"/>
          <w:szCs w:val="20"/>
          <w:highlight w:val="none"/>
        </w:rPr>
      </w:r>
      <w:r/>
    </w:p>
    <w:p>
      <w:pPr>
        <w:pStyle w:val="1137"/>
        <w:ind w:left="420" w:firstLine="4080"/>
        <w:spacing w:line="400" w:lineRule="exact"/>
        <w:tabs>
          <w:tab w:val="left" w:pos="5580" w:leader="none"/>
        </w:tabs>
        <w:rPr>
          <w:rFonts w:ascii="宋体" w:hAnsi="宋体" w:cs="宋体"/>
          <w:color w:val="000000"/>
          <w:sz w:val="24"/>
          <w:szCs w:val="20"/>
          <w:highlight w:val="none"/>
          <w:u w:val="single"/>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szCs w:val="20"/>
          <w:highlight w:val="none"/>
          <w:u w:val="single"/>
        </w:rPr>
      </w:r>
      <w:r/>
    </w:p>
    <w:p>
      <w:pPr>
        <w:pStyle w:val="1137"/>
        <w:jc w:val="left"/>
        <w:rPr>
          <w:sz w:val="24"/>
          <w:szCs w:val="21"/>
          <w:highlight w:val="none"/>
        </w:rPr>
      </w:pPr>
      <w:r>
        <w:rPr>
          <w:sz w:val="24"/>
          <w:szCs w:val="21"/>
          <w:highlight w:val="none"/>
        </w:rPr>
      </w:r>
      <w:r/>
    </w:p>
    <w:p>
      <w:pPr>
        <w:pStyle w:val="1137"/>
        <w:jc w:val="left"/>
        <w:rPr>
          <w:sz w:val="24"/>
          <w:szCs w:val="21"/>
          <w:highlight w:val="none"/>
        </w:rPr>
      </w:pPr>
      <w:r>
        <w:rPr>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37"/>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rPr>
                <w:szCs w:val="21"/>
                <w:highlight w:val="none"/>
              </w:rPr>
            </w:r>
            <w:r/>
          </w:p>
        </w:tc>
      </w:tr>
    </w:tbl>
    <w:p>
      <w:pPr>
        <w:pStyle w:val="1137"/>
        <w:jc w:val="left"/>
        <w:rPr>
          <w:szCs w:val="21"/>
          <w:highlight w:val="none"/>
          <w:vertAlign w:val="superscript"/>
        </w:rPr>
      </w:pPr>
      <w:r>
        <w:rPr>
          <w:szCs w:val="21"/>
          <w:highlight w:val="none"/>
          <w:vertAlign w:val="superscript"/>
        </w:rPr>
      </w:r>
      <w:r/>
    </w:p>
    <w:p>
      <w:pPr>
        <w:pStyle w:val="1137"/>
        <w:rPr>
          <w:sz w:val="24"/>
          <w:highlight w:val="none"/>
        </w:rPr>
      </w:pPr>
      <w:r>
        <w:rPr>
          <w:sz w:val="24"/>
          <w:highlight w:val="none"/>
        </w:rPr>
        <w:br w:type="page" w:clear="all"/>
      </w:r>
      <w:r>
        <w:rPr>
          <w:sz w:val="24"/>
          <w:highlight w:val="none"/>
        </w:rPr>
      </w:r>
      <w:r/>
    </w:p>
    <w:p>
      <w:pPr>
        <w:pStyle w:val="1137"/>
        <w:jc w:val="center"/>
        <w:spacing w:before="120" w:line="400" w:lineRule="exact"/>
        <w:widowControl/>
        <w:rPr>
          <w:rFonts w:hint="eastAsia" w:ascii="宋体" w:hAnsi="宋体" w:cs="宋体"/>
          <w:b/>
          <w:sz w:val="32"/>
          <w:szCs w:val="32"/>
          <w:highlight w:val="none"/>
        </w:rPr>
      </w:pPr>
      <w:r>
        <w:rPr>
          <w:rFonts w:hint="eastAsia" w:ascii="宋体" w:hAnsi="宋体" w:cs="宋体"/>
          <w:b/>
          <w:sz w:val="32"/>
          <w:szCs w:val="32"/>
          <w:highlight w:val="none"/>
        </w:rPr>
        <w:t xml:space="preserve">残疾人福利性单位声明函格式 </w:t>
      </w:r>
      <w:r>
        <w:rPr>
          <w:rFonts w:hint="eastAsia" w:ascii="宋体" w:hAnsi="宋体" w:cs="宋体"/>
          <w:b/>
          <w:sz w:val="32"/>
          <w:szCs w:val="32"/>
          <w:highlight w:val="none"/>
        </w:rPr>
      </w:r>
      <w:r/>
    </w:p>
    <w:p>
      <w:pPr>
        <w:pStyle w:val="1137"/>
        <w:ind w:firstLine="504"/>
        <w:spacing w:line="588" w:lineRule="exact"/>
        <w:rPr>
          <w:rFonts w:ascii="宋体" w:hAnsi="宋体" w:cs="宋体"/>
          <w:spacing w:val="6"/>
          <w:sz w:val="24"/>
          <w:highlight w:val="none"/>
        </w:rPr>
      </w:pPr>
      <w:r>
        <w:rPr>
          <w:spacing w:val="6"/>
          <w:sz w:val="24"/>
          <w:highlight w:val="none"/>
        </w:rPr>
        <w:t xml:space="preserve">本</w:t>
      </w:r>
      <w:r>
        <w:rPr>
          <w:rFonts w:hint="eastAsia" w:ascii="宋体" w:hAnsi="宋体" w:cs="宋体"/>
          <w:spacing w:val="6"/>
          <w:sz w:val="24"/>
          <w:highlight w:val="none"/>
        </w:rPr>
        <w:t xml:space="preserve">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w:t>
      </w:r>
      <w:r>
        <w:rPr>
          <w:rFonts w:hint="eastAsia" w:ascii="宋体" w:hAnsi="宋体" w:cs="宋体"/>
          <w:b/>
          <w:sz w:val="24"/>
          <w:highlight w:val="none"/>
        </w:rPr>
        <w:t xml:space="preserve">（请进行勾选）</w:t>
      </w:r>
      <w:r>
        <w:rPr>
          <w:rFonts w:hint="eastAsia" w:ascii="宋体" w:hAnsi="宋体" w:cs="宋体"/>
          <w:spacing w:val="6"/>
          <w:sz w:val="24"/>
          <w:highlight w:val="none"/>
        </w:rPr>
        <w:t xml:space="preserve">：</w:t>
      </w:r>
      <w:r>
        <w:rPr>
          <w:rFonts w:ascii="宋体" w:hAnsi="宋体" w:cs="宋体"/>
          <w:spacing w:val="6"/>
          <w:sz w:val="24"/>
          <w:highlight w:val="none"/>
        </w:rPr>
      </w:r>
      <w:r/>
    </w:p>
    <w:p>
      <w:pPr>
        <w:pStyle w:val="1137"/>
        <w:ind w:firstLine="482"/>
        <w:spacing w:line="588" w:lineRule="exact"/>
        <w:rPr>
          <w:rFonts w:ascii="宋体" w:hAnsi="宋体" w:cs="宋体"/>
          <w:b/>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不属于符合条件的残疾人福利性单位。</w:t>
      </w:r>
      <w:r>
        <w:rPr>
          <w:rFonts w:ascii="宋体" w:hAnsi="宋体" w:cs="宋体"/>
          <w:b/>
          <w:spacing w:val="6"/>
          <w:sz w:val="24"/>
          <w:highlight w:val="none"/>
        </w:rPr>
      </w:r>
      <w:r/>
    </w:p>
    <w:p>
      <w:pPr>
        <w:pStyle w:val="1137"/>
        <w:ind w:firstLine="482"/>
        <w:spacing w:line="588" w:lineRule="exact"/>
        <w:rPr>
          <w:rFonts w:ascii="宋体" w:hAnsi="宋体" w:cs="宋体"/>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属于符合条件的残疾人福利性单位，</w:t>
      </w:r>
      <w:r>
        <w:rPr>
          <w:rFonts w:hint="eastAsia" w:ascii="宋体" w:hAnsi="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pacing w:val="6"/>
          <w:sz w:val="24"/>
          <w:highlight w:val="none"/>
        </w:rPr>
      </w:r>
      <w:r/>
    </w:p>
    <w:p>
      <w:pPr>
        <w:pStyle w:val="1137"/>
        <w:ind w:firstLine="506"/>
        <w:spacing w:line="588" w:lineRule="exact"/>
        <w:rPr>
          <w:rFonts w:ascii="宋体" w:hAnsi="宋体" w:cs="宋体"/>
          <w:spacing w:val="6"/>
          <w:sz w:val="24"/>
          <w:highlight w:val="none"/>
        </w:rPr>
      </w:pPr>
      <w:r>
        <w:rPr>
          <w:rFonts w:hint="eastAsia" w:ascii="宋体" w:hAnsi="宋体" w:cs="宋体"/>
          <w:b/>
          <w:spacing w:val="6"/>
          <w:sz w:val="24"/>
          <w:highlight w:val="none"/>
        </w:rPr>
        <w:t xml:space="preserve">本单位对上述声明的真实性负责。如有虚假，将依法承担相应责任。</w:t>
      </w:r>
      <w:r>
        <w:rPr>
          <w:rFonts w:ascii="宋体" w:hAnsi="宋体" w:cs="宋体"/>
          <w:spacing w:val="6"/>
          <w:sz w:val="24"/>
          <w:highlight w:val="none"/>
        </w:rPr>
      </w:r>
      <w:r/>
    </w:p>
    <w:p>
      <w:pPr>
        <w:pStyle w:val="1137"/>
        <w:ind w:firstLine="504"/>
        <w:spacing w:line="588" w:lineRule="exact"/>
        <w:rPr>
          <w:rFonts w:ascii="宋体" w:hAnsi="宋体" w:cs="宋体"/>
          <w:spacing w:val="6"/>
          <w:sz w:val="24"/>
          <w:highlight w:val="none"/>
        </w:rPr>
      </w:pPr>
      <w:r>
        <w:rPr>
          <w:rFonts w:ascii="宋体" w:hAnsi="宋体" w:cs="宋体"/>
          <w:spacing w:val="6"/>
          <w:sz w:val="24"/>
          <w:highlight w:val="none"/>
        </w:rPr>
      </w:r>
      <w:r/>
    </w:p>
    <w:p>
      <w:pPr>
        <w:pStyle w:val="1137"/>
        <w:ind w:firstLine="504"/>
        <w:spacing w:line="588" w:lineRule="exact"/>
        <w:rPr>
          <w:spacing w:val="6"/>
          <w:sz w:val="24"/>
          <w:highlight w:val="none"/>
        </w:rPr>
      </w:pPr>
      <w:r>
        <w:rPr>
          <w:spacing w:val="6"/>
          <w:sz w:val="24"/>
          <w:highlight w:val="none"/>
        </w:rPr>
      </w:r>
      <w:r/>
    </w:p>
    <w:p>
      <w:pPr>
        <w:pStyle w:val="1137"/>
        <w:rPr>
          <w:rFonts w:ascii="宋体" w:hAnsi="宋体" w:cs="宋体"/>
          <w:b/>
          <w:bCs/>
          <w:color w:val="000000"/>
          <w:sz w:val="24"/>
          <w:szCs w:val="20"/>
          <w:highlight w:val="none"/>
        </w:rPr>
      </w:pPr>
      <w:r>
        <w:rPr>
          <w:spacing w:val="6"/>
          <w:sz w:val="24"/>
          <w:highlight w:val="none"/>
        </w:rPr>
        <w:t xml:space="preserve">               </w:t>
      </w:r>
      <w:r>
        <w:rPr>
          <w:rFonts w:ascii="宋体" w:hAnsi="宋体" w:cs="宋体"/>
          <w:b/>
          <w:bCs/>
          <w:color w:val="000000"/>
          <w:sz w:val="24"/>
          <w:szCs w:val="20"/>
          <w:highlight w:val="none"/>
        </w:rPr>
      </w:r>
      <w:r/>
    </w:p>
    <w:p>
      <w:pPr>
        <w:pStyle w:val="1137"/>
        <w:ind w:firstLine="360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rPr>
          <w:rFonts w:ascii="宋体" w:hAnsi="宋体" w:cs="宋体"/>
          <w:color w:val="000000"/>
          <w:sz w:val="24"/>
          <w:szCs w:val="20"/>
          <w:highlight w:val="none"/>
        </w:rPr>
      </w:r>
      <w:r/>
    </w:p>
    <w:p>
      <w:pPr>
        <w:pStyle w:val="1137"/>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szCs w:val="20"/>
          <w:highlight w:val="none"/>
        </w:rPr>
      </w:r>
      <w:r/>
    </w:p>
    <w:p>
      <w:pPr>
        <w:pStyle w:val="1137"/>
        <w:spacing w:line="360" w:lineRule="auto"/>
        <w:rPr>
          <w:rFonts w:hint="eastAsia"/>
          <w:sz w:val="24"/>
          <w:szCs w:val="20"/>
          <w:highlight w:val="none"/>
        </w:rPr>
        <w:outlineLvl w:val="2"/>
      </w:pPr>
      <w:r>
        <w:rPr>
          <w:rFonts w:hint="eastAsia" w:ascii="宋体" w:hAnsi="宋体" w:cs="宋体"/>
          <w:color w:val="000000"/>
          <w:sz w:val="24"/>
          <w:szCs w:val="20"/>
          <w:highlight w:val="none"/>
        </w:rPr>
        <w:br w:type="page" w:clear="all"/>
      </w:r>
      <w:r>
        <w:rPr>
          <w:rFonts w:hint="eastAsia"/>
          <w:sz w:val="24"/>
          <w:szCs w:val="20"/>
          <w:highlight w:val="none"/>
        </w:rPr>
        <w:t xml:space="preserve">3 其他特定资格要求：无</w:t>
      </w:r>
      <w:r>
        <w:rPr>
          <w:rFonts w:hint="eastAsia"/>
          <w:sz w:val="24"/>
          <w:szCs w:val="20"/>
          <w:highlight w:val="none"/>
        </w:rPr>
      </w:r>
      <w:r/>
    </w:p>
    <w:p>
      <w:pPr>
        <w:pStyle w:val="1137"/>
        <w:spacing w:line="360" w:lineRule="auto"/>
        <w:rPr>
          <w:sz w:val="24"/>
          <w:szCs w:val="20"/>
          <w:highlight w:val="none"/>
        </w:rPr>
        <w:outlineLvl w:val="2"/>
      </w:pPr>
      <w:r>
        <w:rPr>
          <w:sz w:val="24"/>
          <w:szCs w:val="20"/>
          <w:highlight w:val="none"/>
        </w:rPr>
      </w:r>
      <w:r/>
    </w:p>
    <w:p>
      <w:pPr>
        <w:pStyle w:val="1137"/>
        <w:spacing w:line="360" w:lineRule="auto"/>
        <w:rPr>
          <w:sz w:val="24"/>
          <w:szCs w:val="20"/>
          <w:highlight w:val="none"/>
        </w:rPr>
        <w:outlineLvl w:val="2"/>
      </w:pPr>
      <w:r>
        <w:rPr>
          <w:sz w:val="24"/>
          <w:szCs w:val="20"/>
          <w:highlight w:val="none"/>
        </w:rPr>
      </w:r>
      <w:r/>
    </w:p>
    <w:p>
      <w:pPr>
        <w:pStyle w:val="1137"/>
        <w:spacing w:line="360" w:lineRule="auto"/>
        <w:rPr>
          <w:sz w:val="24"/>
          <w:szCs w:val="20"/>
          <w:highlight w:val="none"/>
        </w:rPr>
        <w:outlineLvl w:val="2"/>
      </w:pPr>
      <w:r>
        <w:rPr>
          <w:rFonts w:hint="eastAsia"/>
          <w:sz w:val="24"/>
          <w:szCs w:val="20"/>
          <w:highlight w:val="none"/>
        </w:rPr>
        <w:t xml:space="preserve">4 营业执照</w:t>
      </w:r>
      <w:r>
        <w:rPr>
          <w:sz w:val="24"/>
          <w:szCs w:val="20"/>
          <w:highlight w:val="none"/>
        </w:rPr>
      </w:r>
      <w:r/>
    </w:p>
    <w:p>
      <w:pPr>
        <w:pStyle w:val="1137"/>
        <w:jc w:val="left"/>
        <w:widowControl/>
        <w:rPr>
          <w:sz w:val="24"/>
          <w:highlight w:val="none"/>
        </w:rPr>
      </w:pPr>
      <w:r>
        <w:rPr>
          <w:sz w:val="24"/>
          <w:highlight w:val="none"/>
        </w:rPr>
      </w:r>
      <w:r/>
    </w:p>
    <w:p>
      <w:pPr>
        <w:pStyle w:val="1137"/>
        <w:jc w:val="center"/>
        <w:widowControl/>
        <w:rPr>
          <w:rFonts w:ascii="宋体" w:hAnsi="宋体"/>
          <w:b/>
          <w:sz w:val="32"/>
          <w:szCs w:val="32"/>
          <w:highlight w:val="none"/>
        </w:rPr>
      </w:pPr>
      <w:r>
        <w:rPr>
          <w:sz w:val="24"/>
          <w:szCs w:val="20"/>
          <w:highlight w:val="none"/>
        </w:rPr>
        <w:br w:type="page" w:clear="all"/>
      </w:r>
      <w:r>
        <w:rPr>
          <w:rFonts w:ascii="宋体" w:hAnsi="宋体"/>
          <w:b/>
          <w:sz w:val="32"/>
          <w:szCs w:val="32"/>
          <w:highlight w:val="none"/>
        </w:rPr>
        <w:t xml:space="preserve">二、商务技术文件格式</w:t>
      </w:r>
      <w:bookmarkStart w:id="394" w:name="_Toc480942349"/>
      <w:r/>
      <w:bookmarkStart w:id="395" w:name="_Toc520356217"/>
      <w:r/>
      <w:bookmarkStart w:id="396" w:name="_Toc150774761"/>
      <w:r/>
      <w:bookmarkStart w:id="397" w:name="_Toc226309800"/>
      <w:r/>
      <w:bookmarkStart w:id="398" w:name="_Ref467988698"/>
      <w:r/>
      <w:bookmarkStart w:id="399" w:name="_Toc226965746"/>
      <w:r/>
      <w:bookmarkStart w:id="400" w:name="_Toc195842921"/>
      <w:r/>
      <w:bookmarkStart w:id="401" w:name="_Toc226337252"/>
      <w:r/>
      <w:bookmarkStart w:id="402" w:name="_Toc226965829"/>
      <w:r/>
      <w:bookmarkStart w:id="403" w:name="_Toc142311058"/>
      <w:r/>
      <w:bookmarkStart w:id="404" w:name="_Toc150480794"/>
      <w:r/>
      <w:bookmarkStart w:id="405" w:name="_Toc127151556"/>
      <w:r>
        <w:rPr>
          <w:rFonts w:ascii="宋体" w:hAnsi="宋体"/>
          <w:b/>
          <w:sz w:val="32"/>
          <w:szCs w:val="32"/>
          <w:highlight w:val="none"/>
        </w:rPr>
      </w:r>
      <w:r/>
    </w:p>
    <w:p>
      <w:pPr>
        <w:pStyle w:val="1137"/>
        <w:jc w:val="center"/>
        <w:widowControl/>
        <w:rPr>
          <w:rFonts w:ascii="宋体" w:hAnsi="宋体"/>
          <w:b/>
          <w:sz w:val="32"/>
          <w:szCs w:val="32"/>
          <w:highlight w:val="none"/>
        </w:rPr>
      </w:pPr>
      <w:r>
        <w:rPr>
          <w:rFonts w:ascii="宋体" w:hAnsi="宋体"/>
          <w:b/>
          <w:sz w:val="32"/>
          <w:szCs w:val="32"/>
          <w:highlight w:val="none"/>
        </w:rPr>
      </w:r>
      <w:r/>
    </w:p>
    <w:p>
      <w:pPr>
        <w:pStyle w:val="1137"/>
        <w:spacing w:line="360" w:lineRule="auto"/>
        <w:rPr>
          <w:sz w:val="24"/>
          <w:szCs w:val="20"/>
          <w:highlight w:val="none"/>
        </w:rPr>
        <w:outlineLvl w:val="2"/>
      </w:pPr>
      <w:r>
        <w:rPr>
          <w:rFonts w:hint="eastAsia"/>
          <w:sz w:val="24"/>
          <w:highlight w:val="none"/>
        </w:rPr>
        <w:t xml:space="preserve">1</w:t>
      </w:r>
      <w:r>
        <w:rPr>
          <w:sz w:val="24"/>
          <w:highlight w:val="none"/>
        </w:rPr>
        <w:t xml:space="preserve">投标</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sz w:val="24"/>
          <w:highlight w:val="none"/>
        </w:rPr>
        <w:t xml:space="preserve">函</w:t>
      </w:r>
      <w:r>
        <w:rPr>
          <w:b/>
          <w:bCs/>
          <w:sz w:val="24"/>
          <w:szCs w:val="20"/>
          <w:highlight w:val="none"/>
        </w:rPr>
        <w:t xml:space="preserve">（实质性格式）</w:t>
      </w:r>
      <w:r>
        <w:rPr>
          <w:sz w:val="24"/>
          <w:szCs w:val="20"/>
          <w:highlight w:val="none"/>
        </w:rPr>
      </w:r>
      <w:r/>
    </w:p>
    <w:p>
      <w:pPr>
        <w:pStyle w:val="1137"/>
        <w:jc w:val="center"/>
        <w:spacing w:line="360" w:lineRule="auto"/>
        <w:rPr>
          <w:b/>
          <w:sz w:val="36"/>
          <w:szCs w:val="36"/>
          <w:highlight w:val="none"/>
        </w:rPr>
      </w:pPr>
      <w:r>
        <w:rPr>
          <w:rFonts w:hint="eastAsia"/>
          <w:b/>
          <w:sz w:val="36"/>
          <w:szCs w:val="36"/>
          <w:highlight w:val="none"/>
        </w:rPr>
        <w:t xml:space="preserve">投标函</w:t>
      </w:r>
      <w:r>
        <w:rPr>
          <w:b/>
          <w:sz w:val="36"/>
          <w:szCs w:val="36"/>
          <w:highlight w:val="none"/>
        </w:rPr>
      </w:r>
      <w:r/>
    </w:p>
    <w:p>
      <w:pPr>
        <w:pStyle w:val="1137"/>
        <w:spacing w:line="400" w:lineRule="exact"/>
        <w:tabs>
          <w:tab w:val="left" w:pos="5580" w:leader="none"/>
        </w:tabs>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（采购人或采购代理机构）</w:t>
      </w:r>
      <w:r>
        <w:rPr>
          <w:rFonts w:ascii="宋体" w:hAnsi="宋体" w:cs="宋体"/>
          <w:sz w:val="24"/>
          <w:highlight w:val="none"/>
        </w:rPr>
      </w:r>
      <w:r/>
    </w:p>
    <w:p>
      <w:pPr>
        <w:pStyle w:val="1137"/>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pStyle w:val="1137"/>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我方参加你方就___________（项目名称，项目编号/包号）组织的招标活动，并对此项目进行投标。</w:t>
      </w:r>
      <w:r>
        <w:rPr>
          <w:rFonts w:ascii="宋体" w:hAnsi="宋体" w:cs="宋体"/>
          <w:sz w:val="24"/>
          <w:szCs w:val="20"/>
          <w:highlight w:val="none"/>
        </w:rPr>
      </w:r>
      <w:r/>
    </w:p>
    <w:p>
      <w:pPr>
        <w:pStyle w:val="1137"/>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1.我方</w:t>
      </w:r>
      <w:r>
        <w:rPr>
          <w:rFonts w:hint="eastAsia" w:ascii="宋体" w:hAnsi="宋体" w:cs="宋体"/>
          <w:sz w:val="24"/>
          <w:highlight w:val="none"/>
        </w:rPr>
        <w:t xml:space="preserve">已详细审查全部招标文件</w:t>
      </w:r>
      <w:r>
        <w:rPr>
          <w:rFonts w:hint="eastAsia" w:ascii="宋体" w:hAnsi="宋体" w:cs="宋体"/>
          <w:sz w:val="24"/>
          <w:szCs w:val="20"/>
          <w:highlight w:val="none"/>
        </w:rPr>
        <w:t xml:space="preserve">，自愿参与投标并承诺如下：</w:t>
      </w:r>
      <w:r>
        <w:rPr>
          <w:rFonts w:ascii="宋体" w:hAnsi="宋体" w:cs="宋体"/>
          <w:sz w:val="24"/>
          <w:szCs w:val="20"/>
          <w:highlight w:val="none"/>
        </w:rPr>
      </w:r>
      <w:r/>
    </w:p>
    <w:p>
      <w:pPr>
        <w:pStyle w:val="1137"/>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（1）本投标有效期为自提交投标文件截止之日起</w:t>
      </w:r>
      <w:r>
        <w:rPr>
          <w:rFonts w:hint="eastAsia" w:ascii="宋体" w:hAnsi="宋体" w:cs="宋体"/>
          <w:sz w:val="24"/>
          <w:highlight w:val="none"/>
        </w:rPr>
        <w:t xml:space="preserve">60</w:t>
      </w:r>
      <w:r>
        <w:rPr>
          <w:rFonts w:hint="eastAsia" w:ascii="宋体" w:hAnsi="宋体" w:cs="宋体"/>
          <w:sz w:val="24"/>
          <w:szCs w:val="20"/>
          <w:highlight w:val="none"/>
        </w:rPr>
        <w:t xml:space="preserve">个日历日。</w:t>
      </w:r>
      <w:r>
        <w:rPr>
          <w:rFonts w:ascii="宋体" w:hAnsi="宋体" w:cs="宋体"/>
          <w:sz w:val="24"/>
          <w:szCs w:val="20"/>
          <w:highlight w:val="none"/>
        </w:rPr>
      </w:r>
      <w:r/>
    </w:p>
    <w:p>
      <w:pPr>
        <w:pStyle w:val="1137"/>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（2）除合同条款及采购需求偏离表列出的偏离外，我方响应招标文件的全部要求。</w:t>
      </w:r>
      <w:r>
        <w:rPr>
          <w:rFonts w:ascii="宋体" w:hAnsi="宋体" w:cs="宋体"/>
          <w:sz w:val="24"/>
          <w:szCs w:val="20"/>
          <w:highlight w:val="none"/>
        </w:rPr>
      </w:r>
      <w:r/>
    </w:p>
    <w:p>
      <w:pPr>
        <w:pStyle w:val="1137"/>
        <w:ind w:firstLine="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（3）我方已提供的全部文件资料是真实、准确的，并对此承担一切法律后果。</w:t>
      </w:r>
      <w:r>
        <w:rPr>
          <w:rFonts w:ascii="宋体" w:hAnsi="宋体" w:cs="宋体"/>
          <w:sz w:val="24"/>
          <w:szCs w:val="20"/>
          <w:highlight w:val="none"/>
        </w:rPr>
      </w:r>
      <w:r/>
    </w:p>
    <w:p>
      <w:pPr>
        <w:pStyle w:val="1137"/>
        <w:ind w:firstLine="420"/>
        <w:spacing w:line="400" w:lineRule="exact"/>
        <w:tabs>
          <w:tab w:val="left" w:pos="5580" w:leader="none"/>
        </w:tabs>
        <w:rPr>
          <w:rFonts w:ascii="宋体" w:hAnsi="宋体" w:cs="宋体"/>
          <w:sz w:val="24"/>
          <w:highlight w:val="none"/>
        </w:rPr>
      </w:pPr>
      <w:r>
        <w:rPr>
          <w:rFonts w:hint="eastAsia" w:ascii="宋体" w:hAnsi="宋体" w:cs="宋体"/>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s="宋体"/>
          <w:sz w:val="24"/>
          <w:highlight w:val="none"/>
        </w:rPr>
      </w:r>
      <w:r/>
    </w:p>
    <w:p>
      <w:pPr>
        <w:pStyle w:val="1137"/>
        <w:ind w:left="420"/>
        <w:spacing w:line="400" w:lineRule="exact"/>
        <w:rPr>
          <w:rFonts w:ascii="宋体" w:hAnsi="宋体" w:cs="宋体"/>
          <w:sz w:val="24"/>
          <w:highlight w:val="none"/>
        </w:rPr>
      </w:pPr>
      <w:r>
        <w:rPr>
          <w:rFonts w:hint="eastAsia" w:ascii="宋体" w:hAnsi="宋体" w:cs="宋体"/>
          <w:sz w:val="24"/>
          <w:highlight w:val="none"/>
        </w:rPr>
        <w:t xml:space="preserve">2.其他补充条款（如有）：</w:t>
      </w:r>
      <w:r>
        <w:rPr>
          <w:rFonts w:hint="eastAsia" w:ascii="宋体" w:hAnsi="宋体" w:cs="宋体"/>
          <w:sz w:val="24"/>
          <w:szCs w:val="20"/>
          <w:highlight w:val="none"/>
        </w:rPr>
        <w:t xml:space="preserve">___________</w:t>
      </w:r>
      <w:r>
        <w:rPr>
          <w:rFonts w:hint="eastAsia" w:ascii="宋体" w:hAnsi="宋体" w:cs="宋体"/>
          <w:sz w:val="24"/>
          <w:highlight w:val="none"/>
        </w:rPr>
        <w:t xml:space="preserve">。</w:t>
      </w:r>
      <w:r>
        <w:rPr>
          <w:rFonts w:ascii="宋体" w:hAnsi="宋体" w:cs="宋体"/>
          <w:sz w:val="24"/>
          <w:highlight w:val="none"/>
        </w:rPr>
      </w:r>
      <w:r/>
    </w:p>
    <w:p>
      <w:pPr>
        <w:pStyle w:val="1137"/>
        <w:ind w:firstLine="480"/>
        <w:spacing w:line="400" w:lineRule="exact"/>
        <w:rPr>
          <w:rFonts w:ascii="宋体" w:hAnsi="宋体" w:cs="宋体"/>
          <w:sz w:val="24"/>
          <w:highlight w:val="none"/>
        </w:rPr>
      </w:pPr>
      <w:r>
        <w:rPr>
          <w:rFonts w:hint="eastAsia" w:ascii="宋体" w:hAnsi="宋体" w:cs="宋体"/>
          <w:sz w:val="24"/>
          <w:highlight w:val="none"/>
        </w:rPr>
        <w:t xml:space="preserve">与本投标有关的一切正式往来信函请寄：</w:t>
      </w:r>
      <w:r>
        <w:rPr>
          <w:rFonts w:ascii="宋体" w:hAnsi="宋体" w:cs="宋体"/>
          <w:sz w:val="24"/>
          <w:highlight w:val="none"/>
        </w:rPr>
      </w:r>
      <w:r/>
    </w:p>
    <w:p>
      <w:pPr>
        <w:pStyle w:val="1137"/>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pStyle w:val="1137"/>
        <w:ind w:left="420"/>
        <w:spacing w:line="400" w:lineRule="exact"/>
        <w:tabs>
          <w:tab w:val="left" w:pos="5580" w:leader="none"/>
        </w:tabs>
        <w:rPr>
          <w:sz w:val="24"/>
          <w:szCs w:val="20"/>
          <w:highlight w:val="none"/>
        </w:rPr>
      </w:pPr>
      <w:r>
        <w:rPr>
          <w:sz w:val="24"/>
          <w:szCs w:val="20"/>
          <w:highlight w:val="none"/>
        </w:rPr>
        <w:t xml:space="preserve">地址_________________________  传真____________________________</w:t>
      </w:r>
      <w:r>
        <w:rPr>
          <w:sz w:val="24"/>
          <w:szCs w:val="20"/>
          <w:highlight w:val="none"/>
        </w:rPr>
      </w:r>
      <w:r/>
    </w:p>
    <w:p>
      <w:pPr>
        <w:pStyle w:val="1137"/>
        <w:ind w:left="420"/>
        <w:spacing w:line="400" w:lineRule="exact"/>
        <w:tabs>
          <w:tab w:val="left" w:pos="5580" w:leader="none"/>
        </w:tabs>
        <w:rPr>
          <w:sz w:val="24"/>
          <w:szCs w:val="20"/>
          <w:highlight w:val="none"/>
        </w:rPr>
      </w:pPr>
      <w:r>
        <w:rPr>
          <w:sz w:val="24"/>
          <w:szCs w:val="20"/>
          <w:highlight w:val="none"/>
        </w:rPr>
        <w:t xml:space="preserve">电话_________________________ 电子函件________________________</w:t>
      </w:r>
      <w:r>
        <w:rPr>
          <w:sz w:val="24"/>
          <w:szCs w:val="20"/>
          <w:highlight w:val="none"/>
        </w:rPr>
      </w:r>
      <w:r/>
    </w:p>
    <w:p>
      <w:pPr>
        <w:pStyle w:val="1137"/>
        <w:ind w:left="420"/>
        <w:spacing w:line="400" w:lineRule="exact"/>
        <w:tabs>
          <w:tab w:val="left" w:pos="5580" w:leader="none"/>
        </w:tabs>
        <w:rPr>
          <w:sz w:val="24"/>
          <w:szCs w:val="20"/>
          <w:highlight w:val="none"/>
        </w:rPr>
      </w:pPr>
      <w:r>
        <w:rPr>
          <w:sz w:val="24"/>
          <w:szCs w:val="20"/>
          <w:highlight w:val="none"/>
        </w:rPr>
      </w:r>
      <w:r/>
    </w:p>
    <w:p>
      <w:pPr>
        <w:pStyle w:val="1137"/>
        <w:ind w:left="420"/>
        <w:spacing w:line="400" w:lineRule="exact"/>
        <w:tabs>
          <w:tab w:val="left" w:pos="5580" w:leader="none"/>
        </w:tabs>
        <w:rPr>
          <w:sz w:val="24"/>
          <w:szCs w:val="20"/>
          <w:highlight w:val="none"/>
        </w:rPr>
      </w:pPr>
      <w:r>
        <w:rPr>
          <w:sz w:val="24"/>
          <w:szCs w:val="20"/>
          <w:highlight w:val="none"/>
        </w:rPr>
        <w:t xml:space="preserve">投标人名称（加盖公章） ___________</w:t>
      </w:r>
      <w:r>
        <w:rPr>
          <w:sz w:val="24"/>
          <w:szCs w:val="20"/>
          <w:highlight w:val="none"/>
        </w:rPr>
      </w:r>
      <w:r/>
    </w:p>
    <w:p>
      <w:pPr>
        <w:pStyle w:val="1137"/>
        <w:ind w:left="420"/>
        <w:spacing w:line="400" w:lineRule="exact"/>
        <w:tabs>
          <w:tab w:val="left" w:pos="5580" w:leader="none"/>
        </w:tabs>
        <w:rPr>
          <w:sz w:val="24"/>
          <w:szCs w:val="20"/>
          <w:highlight w:val="none"/>
        </w:rPr>
      </w:pPr>
      <w:r>
        <w:rPr>
          <w:sz w:val="24"/>
          <w:szCs w:val="20"/>
          <w:highlight w:val="none"/>
        </w:rPr>
        <w:t xml:space="preserve">日期：_____年______月______日    </w:t>
      </w:r>
      <w:r>
        <w:rPr>
          <w:sz w:val="24"/>
          <w:szCs w:val="20"/>
          <w:highlight w:val="none"/>
        </w:rPr>
      </w:r>
      <w:r/>
    </w:p>
    <w:p>
      <w:pPr>
        <w:pStyle w:val="1137"/>
        <w:ind w:left="420"/>
        <w:spacing w:line="360" w:lineRule="auto"/>
        <w:tabs>
          <w:tab w:val="left" w:pos="5580" w:leader="none"/>
        </w:tabs>
        <w:rPr>
          <w:sz w:val="24"/>
          <w:szCs w:val="20"/>
          <w:highlight w:val="none"/>
          <w:u w:val="single"/>
        </w:rPr>
      </w:pPr>
      <w:r>
        <w:rPr>
          <w:sz w:val="24"/>
          <w:szCs w:val="20"/>
          <w:highlight w:val="none"/>
          <w:u w:val="single"/>
        </w:rPr>
      </w:r>
      <w:r/>
    </w:p>
    <w:p>
      <w:pPr>
        <w:pStyle w:val="1137"/>
        <w:jc w:val="left"/>
        <w:widowControl/>
        <w:rPr>
          <w:sz w:val="24"/>
          <w:highlight w:val="none"/>
        </w:rPr>
      </w:pPr>
      <w:r/>
      <w:bookmarkStart w:id="406" w:name="_Hlt520356243"/>
      <w:r/>
      <w:bookmarkEnd w:id="406"/>
      <w:r/>
      <w:bookmarkStart w:id="407" w:name="_Hlt520355938"/>
      <w:r/>
      <w:bookmarkEnd w:id="407"/>
      <w:r>
        <w:rPr>
          <w:sz w:val="24"/>
          <w:highlight w:val="none"/>
        </w:rPr>
        <w:br w:type="page" w:clear="all"/>
      </w:r>
      <w:r>
        <w:rPr>
          <w:sz w:val="24"/>
          <w:highlight w:val="none"/>
        </w:rPr>
      </w:r>
      <w:r/>
    </w:p>
    <w:p>
      <w:pPr>
        <w:pStyle w:val="1137"/>
        <w:jc w:val="left"/>
        <w:widowControl/>
        <w:rPr>
          <w:sz w:val="24"/>
          <w:highlight w:val="none"/>
        </w:rPr>
      </w:pPr>
      <w:r>
        <w:rPr>
          <w:rFonts w:hint="eastAsia"/>
          <w:sz w:val="24"/>
          <w:highlight w:val="none"/>
        </w:rPr>
        <w:t xml:space="preserve">2法定代表人资格证明书/授权委托书</w:t>
      </w:r>
      <w:r>
        <w:rPr>
          <w:b/>
          <w:bCs/>
          <w:sz w:val="24"/>
          <w:szCs w:val="20"/>
          <w:highlight w:val="none"/>
        </w:rPr>
        <w:t xml:space="preserve">（实质性格式）</w:t>
      </w:r>
      <w:r>
        <w:rPr>
          <w:sz w:val="24"/>
          <w:highlight w:val="none"/>
        </w:rPr>
      </w:r>
      <w:r/>
    </w:p>
    <w:p>
      <w:pPr>
        <w:pStyle w:val="1137"/>
        <w:jc w:val="center"/>
        <w:spacing w:line="360" w:lineRule="auto"/>
        <w:rPr>
          <w:rFonts w:ascii="宋体" w:hAnsi="宋体"/>
          <w:b/>
          <w:sz w:val="32"/>
          <w:szCs w:val="32"/>
          <w:highlight w:val="none"/>
        </w:rPr>
      </w:pPr>
      <w:r>
        <w:rPr>
          <w:rFonts w:ascii="宋体" w:hAnsi="宋体"/>
          <w:b/>
          <w:sz w:val="32"/>
          <w:szCs w:val="32"/>
          <w:highlight w:val="none"/>
        </w:rPr>
      </w:r>
      <w:r/>
    </w:p>
    <w:p>
      <w:pPr>
        <w:pStyle w:val="1137"/>
        <w:jc w:val="center"/>
        <w:spacing w:line="360" w:lineRule="auto"/>
        <w:rPr>
          <w:b/>
          <w:sz w:val="36"/>
          <w:szCs w:val="36"/>
          <w:highlight w:val="none"/>
        </w:rPr>
      </w:pPr>
      <w:r>
        <w:rPr>
          <w:rFonts w:hint="eastAsia"/>
          <w:b/>
          <w:sz w:val="36"/>
          <w:szCs w:val="36"/>
          <w:highlight w:val="none"/>
        </w:rPr>
        <w:t xml:space="preserve">法定代表人（单位负责人）资格证明书</w:t>
      </w:r>
      <w:r>
        <w:rPr>
          <w:b/>
          <w:sz w:val="36"/>
          <w:szCs w:val="36"/>
          <w:highlight w:val="none"/>
        </w:rPr>
      </w:r>
      <w:r/>
    </w:p>
    <w:p>
      <w:pPr>
        <w:pStyle w:val="1137"/>
        <w:spacing w:line="40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137"/>
        <w:spacing w:line="40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137"/>
        <w:spacing w:line="40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137"/>
        <w:spacing w:line="40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的法定代表人（单位负责人）。为参与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1137"/>
        <w:spacing w:line="40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137"/>
        <w:spacing w:line="560" w:lineRule="exact"/>
        <w:rPr>
          <w:rFonts w:ascii="宋体" w:hAnsi="宋体"/>
          <w:sz w:val="24"/>
          <w:highlight w:val="none"/>
        </w:rPr>
      </w:pPr>
      <w:r>
        <w:rPr>
          <w:rFonts w:ascii="宋体" w:hAnsi="宋体"/>
          <w:sz w:val="24"/>
          <w:highlight w:val="none"/>
        </w:rPr>
      </w:r>
      <w:r/>
    </w:p>
    <w:p>
      <w:pPr>
        <w:pStyle w:val="1168"/>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电子件。</w:t>
      </w:r>
      <w:r>
        <w:rPr>
          <w:spacing w:val="-3"/>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13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13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13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113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13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13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1137"/>
        <w:spacing w:line="400" w:lineRule="exact"/>
        <w:rPr>
          <w:rFonts w:ascii="宋体" w:hAnsi="宋体"/>
          <w:sz w:val="24"/>
          <w:highlight w:val="none"/>
        </w:rPr>
      </w:pPr>
      <w:r>
        <w:rPr>
          <w:rFonts w:hint="eastAsia" w:ascii="宋体" w:hAnsi="宋体"/>
          <w:sz w:val="24"/>
          <w:highlight w:val="none"/>
        </w:rPr>
        <w:t xml:space="preserve">                     投标人名称：（加盖公章）</w:t>
      </w:r>
      <w:r>
        <w:rPr>
          <w:rFonts w:ascii="宋体" w:hAnsi="宋体"/>
          <w:sz w:val="24"/>
          <w:highlight w:val="none"/>
        </w:rPr>
      </w:r>
      <w:r/>
    </w:p>
    <w:p>
      <w:pPr>
        <w:pStyle w:val="1137"/>
        <w:spacing w:line="40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137"/>
        <w:ind w:firstLine="4320"/>
        <w:spacing w:line="40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137"/>
        <w:jc w:val="left"/>
        <w:spacing w:line="400" w:lineRule="exact"/>
        <w:widowControl/>
        <w:rPr>
          <w:sz w:val="24"/>
          <w:highlight w:val="none"/>
        </w:rPr>
      </w:pPr>
      <w:r>
        <w:rPr>
          <w:sz w:val="24"/>
          <w:highlight w:val="none"/>
        </w:rPr>
      </w:r>
      <w:r/>
    </w:p>
    <w:p>
      <w:pPr>
        <w:pStyle w:val="1137"/>
        <w:jc w:val="left"/>
        <w:spacing w:line="400" w:lineRule="exact"/>
        <w:widowControl/>
        <w:rPr>
          <w:sz w:val="24"/>
          <w:highlight w:val="none"/>
        </w:rPr>
      </w:pPr>
      <w:r>
        <w:rPr>
          <w:sz w:val="24"/>
          <w:highlight w:val="none"/>
        </w:rPr>
      </w:r>
      <w:r/>
    </w:p>
    <w:p>
      <w:pPr>
        <w:pStyle w:val="1137"/>
        <w:jc w:val="left"/>
        <w:spacing w:line="400" w:lineRule="exact"/>
        <w:widowControl/>
        <w:rPr>
          <w:sz w:val="24"/>
          <w:highlight w:val="none"/>
        </w:rPr>
      </w:pPr>
      <w:r>
        <w:rPr>
          <w:sz w:val="24"/>
          <w:highlight w:val="none"/>
        </w:rPr>
      </w:r>
      <w:r/>
    </w:p>
    <w:p>
      <w:pPr>
        <w:pStyle w:val="1137"/>
        <w:jc w:val="left"/>
        <w:spacing w:line="400" w:lineRule="exact"/>
        <w:tabs>
          <w:tab w:val="left" w:pos="5580" w:leader="none"/>
        </w:tabs>
        <w:rPr>
          <w:rFonts w:ascii="宋体" w:hAnsi="宋体"/>
          <w:sz w:val="24"/>
          <w:szCs w:val="20"/>
          <w:highlight w:val="none"/>
        </w:rPr>
      </w:pPr>
      <w:r>
        <w:rPr>
          <w:rFonts w:ascii="宋体" w:hAnsi="宋体"/>
          <w:sz w:val="24"/>
          <w:szCs w:val="20"/>
          <w:highlight w:val="none"/>
        </w:rPr>
      </w:r>
      <w:r/>
    </w:p>
    <w:p>
      <w:pPr>
        <w:pStyle w:val="1137"/>
        <w:jc w:val="left"/>
        <w:spacing w:line="400" w:lineRule="exact"/>
        <w:tabs>
          <w:tab w:val="left" w:pos="5580" w:leader="none"/>
        </w:tabs>
        <w:rPr>
          <w:rFonts w:ascii="宋体" w:hAnsi="宋体"/>
          <w:sz w:val="24"/>
          <w:szCs w:val="20"/>
          <w:highlight w:val="none"/>
        </w:rPr>
      </w:pPr>
      <w:r>
        <w:rPr>
          <w:rFonts w:ascii="宋体" w:hAnsi="宋体"/>
          <w:sz w:val="24"/>
          <w:szCs w:val="20"/>
          <w:highlight w:val="none"/>
        </w:rPr>
      </w:r>
      <w:r/>
    </w:p>
    <w:p>
      <w:pPr>
        <w:pStyle w:val="1137"/>
        <w:jc w:val="left"/>
        <w:spacing w:line="400" w:lineRule="exact"/>
        <w:tabs>
          <w:tab w:val="left" w:pos="5580" w:leader="none"/>
        </w:tabs>
        <w:rPr>
          <w:rFonts w:ascii="宋体" w:hAnsi="宋体"/>
          <w:sz w:val="24"/>
          <w:szCs w:val="20"/>
          <w:highlight w:val="none"/>
        </w:rPr>
      </w:pPr>
      <w:r>
        <w:rPr>
          <w:rFonts w:ascii="宋体" w:hAnsi="宋体"/>
          <w:sz w:val="24"/>
          <w:szCs w:val="20"/>
          <w:highlight w:val="none"/>
        </w:rPr>
      </w:r>
      <w:r/>
    </w:p>
    <w:p>
      <w:pPr>
        <w:pStyle w:val="1137"/>
        <w:jc w:val="left"/>
        <w:spacing w:line="400" w:lineRule="exact"/>
        <w:tabs>
          <w:tab w:val="left" w:pos="5580" w:leader="none"/>
        </w:tabs>
        <w:rPr>
          <w:rFonts w:ascii="宋体" w:hAnsi="宋体"/>
          <w:sz w:val="24"/>
          <w:szCs w:val="20"/>
          <w:highlight w:val="none"/>
        </w:rPr>
      </w:pPr>
      <w:r>
        <w:rPr>
          <w:rFonts w:ascii="宋体" w:hAnsi="宋体"/>
          <w:sz w:val="24"/>
          <w:szCs w:val="20"/>
          <w:highlight w:val="none"/>
        </w:rPr>
      </w:r>
      <w:r/>
    </w:p>
    <w:p>
      <w:pPr>
        <w:pStyle w:val="1137"/>
        <w:jc w:val="center"/>
        <w:spacing w:line="360" w:lineRule="auto"/>
        <w:rPr>
          <w:b/>
          <w:sz w:val="36"/>
          <w:szCs w:val="36"/>
          <w:highlight w:val="none"/>
        </w:rPr>
      </w:pPr>
      <w:r>
        <w:rPr>
          <w:rFonts w:hint="eastAsia" w:ascii="宋体" w:hAnsi="宋体" w:cs="宋体"/>
          <w:sz w:val="24"/>
          <w:szCs w:val="20"/>
          <w:highlight w:val="none"/>
        </w:rPr>
        <w:br w:type="page" w:clear="all"/>
      </w:r>
      <w:r>
        <w:rPr>
          <w:rFonts w:hint="eastAsia"/>
          <w:b/>
          <w:sz w:val="36"/>
          <w:szCs w:val="36"/>
          <w:highlight w:val="none"/>
        </w:rPr>
        <w:t xml:space="preserve">授权委托书</w:t>
      </w:r>
      <w:r>
        <w:rPr>
          <w:b/>
          <w:sz w:val="36"/>
          <w:szCs w:val="36"/>
          <w:highlight w:val="none"/>
        </w:rPr>
      </w:r>
      <w:r/>
    </w:p>
    <w:p>
      <w:pPr>
        <w:pStyle w:val="1137"/>
        <w:ind w:firstLine="420"/>
        <w:spacing w:line="360" w:lineRule="auto"/>
        <w:rPr>
          <w:sz w:val="24"/>
          <w:szCs w:val="20"/>
          <w:highlight w:val="none"/>
        </w:rPr>
      </w:pPr>
      <w:r>
        <w:rPr>
          <w:sz w:val="24"/>
          <w:szCs w:val="20"/>
          <w:highlight w:val="none"/>
        </w:rPr>
      </w:r>
      <w:r/>
    </w:p>
    <w:p>
      <w:pPr>
        <w:pStyle w:val="1137"/>
        <w:ind w:firstLine="420"/>
        <w:spacing w:line="360" w:lineRule="auto"/>
        <w:rPr>
          <w:sz w:val="24"/>
          <w:szCs w:val="20"/>
          <w:highlight w:val="none"/>
        </w:rPr>
      </w:pPr>
      <w:r>
        <w:rPr>
          <w:sz w:val="24"/>
          <w:szCs w:val="20"/>
          <w:highlight w:val="none"/>
        </w:rPr>
        <w:t xml:space="preserve">本人</w:t>
      </w:r>
      <w:r>
        <w:rPr>
          <w:sz w:val="24"/>
          <w:highlight w:val="none"/>
          <w:lang w:val="zh-CN"/>
        </w:rPr>
        <w:t xml:space="preserve">_______</w:t>
      </w:r>
      <w:r>
        <w:rPr>
          <w:sz w:val="24"/>
          <w:szCs w:val="20"/>
          <w:highlight w:val="none"/>
        </w:rPr>
        <w:t xml:space="preserve">（姓名）系</w:t>
      </w:r>
      <w:r>
        <w:rPr>
          <w:sz w:val="24"/>
          <w:highlight w:val="none"/>
          <w:lang w:val="zh-CN"/>
        </w:rPr>
        <w:t xml:space="preserve">________________</w:t>
      </w:r>
      <w:r>
        <w:rPr>
          <w:sz w:val="24"/>
          <w:szCs w:val="20"/>
          <w:highlight w:val="none"/>
        </w:rPr>
        <w:t xml:space="preserve">（</w:t>
      </w:r>
      <w:r>
        <w:rPr>
          <w:rFonts w:hint="eastAsia"/>
          <w:sz w:val="24"/>
          <w:szCs w:val="20"/>
          <w:highlight w:val="none"/>
        </w:rPr>
        <w:t xml:space="preserve">投标单位</w:t>
      </w:r>
      <w:r>
        <w:rPr>
          <w:sz w:val="24"/>
          <w:szCs w:val="20"/>
          <w:highlight w:val="none"/>
        </w:rPr>
        <w:t xml:space="preserve">名称）的法定代表人（单位负责人），现委托</w:t>
      </w:r>
      <w:r>
        <w:rPr>
          <w:sz w:val="24"/>
          <w:highlight w:val="none"/>
          <w:lang w:val="zh-CN"/>
        </w:rPr>
        <w:t xml:space="preserve">_______</w:t>
      </w:r>
      <w:r>
        <w:rPr>
          <w:sz w:val="24"/>
          <w:szCs w:val="20"/>
          <w:highlight w:val="none"/>
        </w:rPr>
        <w:t xml:space="preserve">（姓名）为我方代理人。代理人根据授权，以我方名义签署、澄清确认、递交、撤回、修改</w:t>
      </w:r>
      <w:r>
        <w:rPr>
          <w:sz w:val="24"/>
          <w:highlight w:val="none"/>
          <w:lang w:val="zh-CN"/>
        </w:rPr>
        <w:t xml:space="preserve">________________</w:t>
      </w:r>
      <w:r>
        <w:rPr>
          <w:sz w:val="24"/>
          <w:szCs w:val="20"/>
          <w:highlight w:val="none"/>
        </w:rPr>
        <w:t xml:space="preserve">（项目名称）响应文件和处理有关事宜，其法律后果由我方承担。</w:t>
      </w:r>
      <w:r>
        <w:rPr>
          <w:sz w:val="24"/>
          <w:szCs w:val="20"/>
          <w:highlight w:val="none"/>
        </w:rPr>
      </w:r>
      <w:r/>
    </w:p>
    <w:p>
      <w:pPr>
        <w:pStyle w:val="1137"/>
        <w:ind w:firstLine="420"/>
        <w:spacing w:line="360" w:lineRule="auto"/>
        <w:rPr>
          <w:sz w:val="24"/>
          <w:szCs w:val="20"/>
          <w:highlight w:val="none"/>
        </w:rPr>
      </w:pPr>
      <w:r>
        <w:rPr>
          <w:sz w:val="24"/>
          <w:szCs w:val="20"/>
          <w:highlight w:val="none"/>
        </w:rPr>
        <w:t xml:space="preserve">委托期限：自本授权委托书签署之日起至响应有效期届满之日止。</w:t>
      </w:r>
      <w:r>
        <w:rPr>
          <w:sz w:val="24"/>
          <w:szCs w:val="20"/>
          <w:highlight w:val="none"/>
        </w:rPr>
      </w:r>
      <w:r/>
    </w:p>
    <w:p>
      <w:pPr>
        <w:pStyle w:val="1137"/>
        <w:ind w:firstLine="420"/>
        <w:spacing w:line="360" w:lineRule="auto"/>
        <w:rPr>
          <w:sz w:val="24"/>
          <w:szCs w:val="20"/>
          <w:highlight w:val="none"/>
        </w:rPr>
      </w:pPr>
      <w:r>
        <w:rPr>
          <w:sz w:val="24"/>
          <w:szCs w:val="20"/>
          <w:highlight w:val="none"/>
        </w:rPr>
        <w:t xml:space="preserve">代理人无转委托权。</w:t>
      </w:r>
      <w:r>
        <w:rPr>
          <w:sz w:val="24"/>
          <w:szCs w:val="20"/>
          <w:highlight w:val="none"/>
        </w:rPr>
      </w:r>
      <w:r/>
    </w:p>
    <w:p>
      <w:pPr>
        <w:pStyle w:val="1137"/>
        <w:ind w:firstLine="420"/>
        <w:spacing w:line="360" w:lineRule="auto"/>
        <w:rPr>
          <w:sz w:val="24"/>
          <w:szCs w:val="20"/>
          <w:highlight w:val="none"/>
        </w:rPr>
      </w:pPr>
      <w:r>
        <w:rPr>
          <w:sz w:val="24"/>
          <w:szCs w:val="20"/>
          <w:highlight w:val="none"/>
        </w:rPr>
      </w:r>
      <w:r/>
    </w:p>
    <w:p>
      <w:pPr>
        <w:pStyle w:val="1137"/>
        <w:spacing w:line="360" w:lineRule="auto"/>
        <w:rPr>
          <w:sz w:val="24"/>
          <w:highlight w:val="none"/>
          <w:lang w:val="zh-CN"/>
        </w:rPr>
      </w:pPr>
      <w:r>
        <w:rPr>
          <w:rFonts w:hint="eastAsia" w:ascii="宋体" w:hAnsi="宋体"/>
          <w:sz w:val="24"/>
          <w:highlight w:val="none"/>
        </w:rPr>
        <w:t xml:space="preserve">投标人名称（加盖公章）</w:t>
      </w:r>
      <w:r>
        <w:rPr>
          <w:sz w:val="24"/>
          <w:highlight w:val="none"/>
          <w:lang w:val="zh-CN"/>
        </w:rPr>
        <w:t xml:space="preserve">：________________</w:t>
      </w:r>
      <w:r>
        <w:rPr>
          <w:sz w:val="24"/>
          <w:highlight w:val="none"/>
          <w:lang w:val="zh-CN"/>
        </w:rPr>
      </w:r>
      <w:r/>
    </w:p>
    <w:p>
      <w:pPr>
        <w:pStyle w:val="1137"/>
        <w:spacing w:line="360" w:lineRule="auto"/>
        <w:rPr>
          <w:sz w:val="24"/>
          <w:szCs w:val="20"/>
          <w:highlight w:val="none"/>
        </w:rPr>
      </w:pPr>
      <w:r>
        <w:rPr>
          <w:sz w:val="24"/>
          <w:szCs w:val="20"/>
          <w:highlight w:val="none"/>
        </w:rPr>
        <w:t xml:space="preserve">法定代表人（单位负责人）（签字</w:t>
      </w:r>
      <w:r>
        <w:rPr>
          <w:rFonts w:hint="eastAsia" w:ascii="宋体" w:hAnsi="宋体"/>
          <w:sz w:val="24"/>
          <w:szCs w:val="20"/>
          <w:highlight w:val="none"/>
        </w:rPr>
        <w:t xml:space="preserve">、签章</w:t>
      </w:r>
      <w:r>
        <w:rPr>
          <w:sz w:val="24"/>
          <w:szCs w:val="20"/>
          <w:highlight w:val="none"/>
        </w:rPr>
        <w:t xml:space="preserve">或印鉴）：</w:t>
      </w:r>
      <w:r>
        <w:rPr>
          <w:sz w:val="24"/>
          <w:highlight w:val="none"/>
          <w:lang w:val="zh-CN"/>
        </w:rPr>
        <w:t xml:space="preserve">________________</w:t>
      </w:r>
      <w:r>
        <w:rPr>
          <w:sz w:val="24"/>
          <w:szCs w:val="20"/>
          <w:highlight w:val="none"/>
        </w:rPr>
      </w:r>
      <w:r/>
    </w:p>
    <w:p>
      <w:pPr>
        <w:pStyle w:val="1137"/>
        <w:spacing w:line="360" w:lineRule="auto"/>
        <w:rPr>
          <w:sz w:val="24"/>
          <w:highlight w:val="none"/>
          <w:lang w:val="zh-CN"/>
        </w:rPr>
      </w:pPr>
      <w:r>
        <w:rPr>
          <w:sz w:val="24"/>
          <w:highlight w:val="none"/>
        </w:rPr>
        <w:t xml:space="preserve">委托代理人（签字</w:t>
      </w:r>
      <w:r>
        <w:rPr>
          <w:rFonts w:hint="eastAsia" w:ascii="宋体" w:hAnsi="宋体"/>
          <w:sz w:val="24"/>
          <w:szCs w:val="20"/>
          <w:highlight w:val="none"/>
        </w:rPr>
        <w:t xml:space="preserve">/签章</w:t>
      </w:r>
      <w:r>
        <w:rPr>
          <w:sz w:val="24"/>
          <w:highlight w:val="none"/>
        </w:rPr>
        <w:t xml:space="preserve">）：</w:t>
      </w:r>
      <w:r>
        <w:rPr>
          <w:sz w:val="24"/>
          <w:highlight w:val="none"/>
          <w:lang w:val="zh-CN"/>
        </w:rPr>
        <w:t xml:space="preserve">________________</w:t>
      </w:r>
      <w:r>
        <w:rPr>
          <w:sz w:val="24"/>
          <w:highlight w:val="none"/>
          <w:lang w:val="zh-CN"/>
        </w:rPr>
      </w:r>
      <w:r/>
    </w:p>
    <w:p>
      <w:pPr>
        <w:pStyle w:val="1137"/>
        <w:spacing w:line="360" w:lineRule="auto"/>
        <w:rPr>
          <w:sz w:val="24"/>
          <w:highlight w:val="none"/>
          <w:lang w:val="zh-CN"/>
        </w:rPr>
      </w:pPr>
      <w:r>
        <w:rPr>
          <w:sz w:val="24"/>
          <w:highlight w:val="none"/>
        </w:rPr>
        <w:t xml:space="preserve">日期：_____年______月______日</w:t>
      </w:r>
      <w:r>
        <w:rPr>
          <w:sz w:val="24"/>
          <w:highlight w:val="none"/>
          <w:lang w:val="zh-CN"/>
        </w:rPr>
      </w:r>
      <w:r/>
    </w:p>
    <w:p>
      <w:pPr>
        <w:pStyle w:val="1137"/>
        <w:ind w:firstLine="480"/>
        <w:spacing w:line="360" w:lineRule="auto"/>
        <w:tabs>
          <w:tab w:val="left" w:pos="5580" w:leader="none"/>
        </w:tabs>
        <w:rPr>
          <w:sz w:val="24"/>
          <w:szCs w:val="20"/>
          <w:highlight w:val="none"/>
        </w:rPr>
      </w:pPr>
      <w:r>
        <w:rPr>
          <w:sz w:val="24"/>
          <w:szCs w:val="20"/>
          <w:highlight w:val="none"/>
        </w:rPr>
      </w:r>
      <w:r/>
    </w:p>
    <w:p>
      <w:pPr>
        <w:pStyle w:val="1137"/>
        <w:jc w:val="left"/>
        <w:spacing w:line="360" w:lineRule="auto"/>
        <w:tabs>
          <w:tab w:val="left" w:pos="5580" w:leader="none"/>
        </w:tabs>
        <w:rPr>
          <w:sz w:val="24"/>
          <w:szCs w:val="20"/>
          <w:highlight w:val="none"/>
        </w:rPr>
      </w:pPr>
      <w:r>
        <w:rPr>
          <w:sz w:val="24"/>
          <w:szCs w:val="20"/>
          <w:highlight w:val="none"/>
        </w:rPr>
        <w:t xml:space="preserve">法定代表人（单位负责人）有效期内的身份证</w:t>
      </w:r>
      <w:r>
        <w:rPr>
          <w:b/>
          <w:sz w:val="24"/>
          <w:szCs w:val="20"/>
          <w:highlight w:val="none"/>
        </w:rPr>
        <w:t xml:space="preserve">正反面</w:t>
      </w:r>
      <w:r>
        <w:rPr>
          <w:rFonts w:hint="eastAsia"/>
          <w:b/>
          <w:sz w:val="24"/>
          <w:szCs w:val="20"/>
          <w:highlight w:val="none"/>
        </w:rPr>
        <w:t xml:space="preserve">电子件</w:t>
      </w:r>
      <w:r>
        <w:rPr>
          <w:sz w:val="24"/>
          <w:szCs w:val="20"/>
          <w:highlight w:val="none"/>
        </w:rPr>
        <w:t xml:space="preserve">：</w:t>
      </w:r>
      <w:r>
        <w:rPr>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37"/>
              <w:jc w:val="left"/>
              <w:spacing w:line="360" w:lineRule="auto"/>
              <w:tabs>
                <w:tab w:val="left" w:pos="5580" w:leader="none"/>
              </w:tabs>
              <w:rPr>
                <w:sz w:val="24"/>
                <w:szCs w:val="20"/>
                <w:highlight w:val="none"/>
              </w:rPr>
            </w:pPr>
            <w:r>
              <w:rPr>
                <w:sz w:val="24"/>
                <w:szCs w:val="20"/>
                <w:highlight w:val="none"/>
              </w:rPr>
            </w:r>
            <w:r/>
          </w:p>
          <w:p>
            <w:pPr>
              <w:pStyle w:val="1137"/>
              <w:jc w:val="left"/>
              <w:spacing w:line="360" w:lineRule="auto"/>
              <w:tabs>
                <w:tab w:val="left" w:pos="5580" w:leader="none"/>
              </w:tabs>
              <w:rPr>
                <w:sz w:val="24"/>
                <w:szCs w:val="20"/>
                <w:highlight w:val="none"/>
              </w:rPr>
            </w:pPr>
            <w:r>
              <w:rPr>
                <w:sz w:val="24"/>
                <w:szCs w:val="20"/>
                <w:highlight w:val="none"/>
              </w:rPr>
            </w:r>
            <w:r/>
          </w:p>
          <w:p>
            <w:pPr>
              <w:pStyle w:val="1137"/>
              <w:jc w:val="left"/>
              <w:spacing w:line="360" w:lineRule="auto"/>
              <w:tabs>
                <w:tab w:val="left" w:pos="5580" w:leader="none"/>
              </w:tabs>
              <w:rPr>
                <w:sz w:val="24"/>
                <w:szCs w:val="20"/>
                <w:highlight w:val="none"/>
              </w:rPr>
            </w:pPr>
            <w:r>
              <w:rPr>
                <w:sz w:val="24"/>
                <w:szCs w:val="20"/>
                <w:highlight w:val="none"/>
              </w:rPr>
            </w:r>
            <w:r/>
          </w:p>
        </w:tc>
        <w:tc>
          <w:tcPr>
            <w:tcW w:w="4536" w:type="dxa"/>
            <w:vAlign w:val="top"/>
            <w:textDirection w:val="lrTb"/>
            <w:noWrap w:val="false"/>
          </w:tcPr>
          <w:p>
            <w:pPr>
              <w:pStyle w:val="1137"/>
              <w:jc w:val="left"/>
              <w:spacing w:line="360" w:lineRule="auto"/>
              <w:tabs>
                <w:tab w:val="left" w:pos="5580" w:leader="none"/>
              </w:tabs>
              <w:rPr>
                <w:sz w:val="24"/>
                <w:szCs w:val="20"/>
                <w:highlight w:val="none"/>
              </w:rPr>
            </w:pPr>
            <w:r>
              <w:rPr>
                <w:sz w:val="24"/>
                <w:szCs w:val="20"/>
                <w:highlight w:val="none"/>
              </w:rPr>
            </w:r>
            <w:r/>
          </w:p>
          <w:p>
            <w:pPr>
              <w:pStyle w:val="1137"/>
              <w:jc w:val="left"/>
              <w:spacing w:line="360" w:lineRule="auto"/>
              <w:tabs>
                <w:tab w:val="left" w:pos="5580" w:leader="none"/>
              </w:tabs>
              <w:rPr>
                <w:sz w:val="24"/>
                <w:szCs w:val="20"/>
                <w:highlight w:val="none"/>
              </w:rPr>
            </w:pPr>
            <w:r>
              <w:rPr>
                <w:sz w:val="24"/>
                <w:szCs w:val="20"/>
                <w:highlight w:val="none"/>
              </w:rPr>
            </w:r>
            <w:r/>
          </w:p>
          <w:p>
            <w:pPr>
              <w:pStyle w:val="1137"/>
              <w:jc w:val="left"/>
              <w:spacing w:line="360" w:lineRule="auto"/>
              <w:tabs>
                <w:tab w:val="left" w:pos="5580" w:leader="none"/>
              </w:tabs>
              <w:rPr>
                <w:sz w:val="24"/>
                <w:szCs w:val="20"/>
                <w:highlight w:val="none"/>
              </w:rPr>
            </w:pPr>
            <w:r>
              <w:rPr>
                <w:sz w:val="24"/>
                <w:szCs w:val="20"/>
                <w:highlight w:val="none"/>
              </w:rPr>
            </w:r>
            <w:r/>
          </w:p>
        </w:tc>
      </w:tr>
    </w:tbl>
    <w:p>
      <w:pPr>
        <w:pStyle w:val="1137"/>
        <w:jc w:val="left"/>
        <w:spacing w:line="360" w:lineRule="auto"/>
        <w:tabs>
          <w:tab w:val="left" w:pos="5580" w:leader="none"/>
        </w:tabs>
        <w:rPr>
          <w:sz w:val="24"/>
          <w:szCs w:val="20"/>
          <w:highlight w:val="none"/>
        </w:rPr>
      </w:pPr>
      <w:r>
        <w:rPr>
          <w:sz w:val="24"/>
          <w:szCs w:val="20"/>
          <w:highlight w:val="none"/>
        </w:rPr>
        <w:t xml:space="preserve">委托代理人有效期内的身份证</w:t>
      </w:r>
      <w:r>
        <w:rPr>
          <w:b/>
          <w:sz w:val="24"/>
          <w:szCs w:val="20"/>
          <w:highlight w:val="none"/>
        </w:rPr>
        <w:t xml:space="preserve">正反面</w:t>
      </w:r>
      <w:r>
        <w:rPr>
          <w:rFonts w:hint="eastAsia"/>
          <w:b/>
          <w:sz w:val="24"/>
          <w:szCs w:val="20"/>
          <w:highlight w:val="none"/>
        </w:rPr>
        <w:t xml:space="preserve">电子件</w:t>
      </w:r>
      <w:r>
        <w:rPr>
          <w:sz w:val="24"/>
          <w:szCs w:val="20"/>
          <w:highlight w:val="none"/>
        </w:rPr>
        <w:t xml:space="preserve">：</w:t>
      </w:r>
      <w:r>
        <w:rPr>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400"/>
        </w:trPr>
        <w:tc>
          <w:tcPr>
            <w:tcW w:w="4673" w:type="dxa"/>
            <w:vAlign w:val="top"/>
            <w:textDirection w:val="lrTb"/>
            <w:noWrap w:val="false"/>
          </w:tcPr>
          <w:p>
            <w:pPr>
              <w:pStyle w:val="1137"/>
              <w:jc w:val="left"/>
              <w:spacing w:line="360" w:lineRule="auto"/>
              <w:tabs>
                <w:tab w:val="left" w:pos="5580" w:leader="none"/>
              </w:tabs>
              <w:rPr>
                <w:sz w:val="24"/>
                <w:szCs w:val="20"/>
                <w:highlight w:val="none"/>
              </w:rPr>
            </w:pPr>
            <w:r>
              <w:rPr>
                <w:sz w:val="24"/>
                <w:szCs w:val="20"/>
                <w:highlight w:val="none"/>
              </w:rPr>
            </w:r>
            <w:r/>
          </w:p>
          <w:p>
            <w:pPr>
              <w:pStyle w:val="1137"/>
              <w:jc w:val="left"/>
              <w:spacing w:line="360" w:lineRule="auto"/>
              <w:tabs>
                <w:tab w:val="left" w:pos="5580" w:leader="none"/>
              </w:tabs>
              <w:rPr>
                <w:sz w:val="24"/>
                <w:szCs w:val="20"/>
                <w:highlight w:val="none"/>
              </w:rPr>
            </w:pPr>
            <w:r>
              <w:rPr>
                <w:sz w:val="24"/>
                <w:szCs w:val="20"/>
                <w:highlight w:val="none"/>
              </w:rPr>
            </w:r>
            <w:r/>
          </w:p>
          <w:p>
            <w:pPr>
              <w:pStyle w:val="1137"/>
              <w:jc w:val="left"/>
              <w:spacing w:line="360" w:lineRule="auto"/>
              <w:tabs>
                <w:tab w:val="left" w:pos="5580" w:leader="none"/>
              </w:tabs>
              <w:rPr>
                <w:sz w:val="24"/>
                <w:szCs w:val="20"/>
                <w:highlight w:val="none"/>
              </w:rPr>
            </w:pPr>
            <w:r>
              <w:rPr>
                <w:sz w:val="24"/>
                <w:szCs w:val="20"/>
                <w:highlight w:val="none"/>
              </w:rPr>
            </w:r>
            <w:r/>
          </w:p>
        </w:tc>
        <w:tc>
          <w:tcPr>
            <w:tcW w:w="4536" w:type="dxa"/>
            <w:vAlign w:val="top"/>
            <w:textDirection w:val="lrTb"/>
            <w:noWrap w:val="false"/>
          </w:tcPr>
          <w:p>
            <w:pPr>
              <w:pStyle w:val="1137"/>
              <w:jc w:val="left"/>
              <w:spacing w:line="360" w:lineRule="auto"/>
              <w:tabs>
                <w:tab w:val="left" w:pos="5580" w:leader="none"/>
              </w:tabs>
              <w:rPr>
                <w:sz w:val="24"/>
                <w:szCs w:val="20"/>
                <w:highlight w:val="none"/>
              </w:rPr>
            </w:pPr>
            <w:r>
              <w:rPr>
                <w:sz w:val="24"/>
                <w:szCs w:val="20"/>
                <w:highlight w:val="none"/>
              </w:rPr>
            </w:r>
            <w:r/>
          </w:p>
          <w:p>
            <w:pPr>
              <w:pStyle w:val="1137"/>
              <w:jc w:val="left"/>
              <w:spacing w:line="360" w:lineRule="auto"/>
              <w:tabs>
                <w:tab w:val="left" w:pos="5580" w:leader="none"/>
              </w:tabs>
              <w:rPr>
                <w:sz w:val="24"/>
                <w:szCs w:val="20"/>
                <w:highlight w:val="none"/>
              </w:rPr>
            </w:pPr>
            <w:r>
              <w:rPr>
                <w:sz w:val="24"/>
                <w:szCs w:val="20"/>
                <w:highlight w:val="none"/>
              </w:rPr>
            </w:r>
            <w:r/>
          </w:p>
          <w:p>
            <w:pPr>
              <w:pStyle w:val="1137"/>
              <w:jc w:val="left"/>
              <w:spacing w:line="360" w:lineRule="auto"/>
              <w:tabs>
                <w:tab w:val="left" w:pos="5580" w:leader="none"/>
              </w:tabs>
              <w:rPr>
                <w:sz w:val="24"/>
                <w:szCs w:val="20"/>
                <w:highlight w:val="none"/>
              </w:rPr>
            </w:pPr>
            <w:r>
              <w:rPr>
                <w:sz w:val="24"/>
                <w:szCs w:val="20"/>
                <w:highlight w:val="none"/>
              </w:rPr>
            </w:r>
            <w:r/>
          </w:p>
        </w:tc>
      </w:tr>
    </w:tbl>
    <w:p>
      <w:pPr>
        <w:pStyle w:val="1137"/>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1137"/>
        <w:ind w:firstLine="480"/>
        <w:jc w:val="left"/>
        <w:spacing w:line="400" w:lineRule="exact"/>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sz w:val="24"/>
          <w:szCs w:val="20"/>
          <w:highlight w:val="none"/>
        </w:rPr>
      </w:r>
      <w:r/>
    </w:p>
    <w:p>
      <w:pPr>
        <w:pStyle w:val="1137"/>
        <w:ind w:firstLine="480"/>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2.</w:t>
      </w:r>
      <w:r>
        <w:rPr>
          <w:rFonts w:hint="eastAsia" w:ascii="宋体" w:hAnsi="宋体"/>
          <w:b/>
          <w:bCs/>
          <w:sz w:val="24"/>
          <w:szCs w:val="20"/>
          <w:highlight w:val="none"/>
          <w:u w:val="single"/>
        </w:rPr>
        <w:t xml:space="preserve">若法定代表人（单位负责人）参与开标的，则可不提供本《授权委托书》，但须提供《法定代表人（单位负责人）资格证明书》（实质性格式）。</w:t>
      </w:r>
      <w:r>
        <w:rPr>
          <w:rFonts w:ascii="宋体" w:hAnsi="宋体"/>
          <w:sz w:val="24"/>
          <w:szCs w:val="20"/>
          <w:highlight w:val="none"/>
        </w:rPr>
      </w:r>
      <w:r/>
    </w:p>
    <w:p>
      <w:pPr>
        <w:pStyle w:val="1137"/>
        <w:ind w:firstLine="480"/>
        <w:jc w:val="left"/>
        <w:spacing w:line="400" w:lineRule="exact"/>
        <w:tabs>
          <w:tab w:val="left" w:pos="5580" w:leader="none"/>
        </w:tabs>
        <w:rPr>
          <w:sz w:val="24"/>
          <w:highlight w:val="non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供应商为自然人的情形，仅提供身份证扫描件并签名，可不提供《法定代表人（单位负责人）资格证明书》和《授权委托书》。</w:t>
      </w:r>
      <w:r>
        <w:rPr>
          <w:sz w:val="24"/>
          <w:highlight w:val="none"/>
        </w:rPr>
      </w:r>
      <w:r/>
    </w:p>
    <w:p>
      <w:pPr>
        <w:pStyle w:val="1137"/>
        <w:jc w:val="left"/>
        <w:widowControl/>
        <w:rPr>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rPr>
          <w:sz w:val="24"/>
          <w:highlight w:val="none"/>
        </w:rPr>
      </w:r>
      <w:r/>
    </w:p>
    <w:p>
      <w:pPr>
        <w:pStyle w:val="1137"/>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pStyle w:val="1137"/>
        <w:jc w:val="center"/>
        <w:spacing w:line="360" w:lineRule="auto"/>
        <w:rPr>
          <w:b/>
          <w:sz w:val="36"/>
          <w:szCs w:val="36"/>
          <w:highlight w:val="none"/>
        </w:rPr>
      </w:pPr>
      <w:r>
        <w:rPr>
          <w:rFonts w:hint="eastAsia"/>
          <w:b/>
          <w:sz w:val="36"/>
          <w:szCs w:val="36"/>
          <w:highlight w:val="none"/>
        </w:rPr>
        <w:t xml:space="preserve">政府采购供应商信用承诺书</w:t>
      </w:r>
      <w:r>
        <w:rPr>
          <w:b/>
          <w:sz w:val="36"/>
          <w:szCs w:val="36"/>
          <w:highlight w:val="none"/>
        </w:rPr>
      </w:r>
      <w:r/>
    </w:p>
    <w:p>
      <w:pPr>
        <w:pStyle w:val="1137"/>
        <w:ind w:firstLine="640"/>
        <w:rPr>
          <w:highlight w:val="none"/>
        </w:rPr>
      </w:pPr>
      <w:r>
        <w:rPr>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137"/>
        <w:ind w:firstLine="482"/>
        <w:spacing w:line="400" w:lineRule="exact"/>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43"/>
        <w:ind w:right="1050" w:firstLine="2880"/>
        <w:jc w:val="both"/>
        <w:spacing w:line="400" w:lineRule="exact"/>
        <w:rPr>
          <w:rFonts w:ascii="宋体" w:hAnsi="宋体" w:eastAsia="宋体"/>
          <w:sz w:val="24"/>
          <w:szCs w:val="22"/>
          <w:highlight w:val="none"/>
        </w:rPr>
      </w:pPr>
      <w:r>
        <w:rPr>
          <w:rFonts w:ascii="宋体" w:hAnsi="宋体" w:eastAsia="宋体"/>
          <w:sz w:val="24"/>
          <w:szCs w:val="22"/>
          <w:highlight w:val="none"/>
        </w:rPr>
      </w:r>
      <w:r/>
    </w:p>
    <w:p>
      <w:pPr>
        <w:pStyle w:val="1137"/>
        <w:spacing w:line="400" w:lineRule="exact"/>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1137"/>
        <w:spacing w:line="400" w:lineRule="exact"/>
        <w:rPr>
          <w:sz w:val="24"/>
          <w:highlight w:val="none"/>
          <w:lang w:val="zh-CN"/>
        </w:rPr>
      </w:pPr>
      <w:r>
        <w:rPr>
          <w:sz w:val="24"/>
          <w:szCs w:val="20"/>
          <w:highlight w:val="none"/>
        </w:rPr>
        <w:t xml:space="preserve">日期：_____年______月______日   </w:t>
      </w:r>
      <w:r>
        <w:rPr>
          <w:sz w:val="24"/>
          <w:highlight w:val="none"/>
          <w:lang w:val="zh-CN"/>
        </w:rPr>
      </w:r>
      <w:r/>
    </w:p>
    <w:p>
      <w:pPr>
        <w:pStyle w:val="1137"/>
        <w:jc w:val="left"/>
        <w:widowControl/>
        <w:rPr>
          <w:sz w:val="24"/>
          <w:szCs w:val="20"/>
          <w:highlight w:val="none"/>
        </w:rPr>
      </w:pPr>
      <w:r/>
      <w:bookmarkStart w:id="408" w:name="_Hlt520355504"/>
      <w:r/>
      <w:bookmarkEnd w:id="408"/>
      <w:r/>
      <w:bookmarkStart w:id="409" w:name="_Hlt520271212"/>
      <w:r/>
      <w:bookmarkEnd w:id="409"/>
      <w:r/>
      <w:bookmarkStart w:id="410" w:name="_Hlt520343392"/>
      <w:r/>
      <w:bookmarkEnd w:id="410"/>
      <w:r/>
      <w:bookmarkStart w:id="411" w:name="_Hlt520350918"/>
      <w:r/>
      <w:bookmarkEnd w:id="411"/>
      <w:r/>
      <w:bookmarkStart w:id="412" w:name="_Hlt520273711"/>
      <w:r/>
      <w:bookmarkEnd w:id="412"/>
      <w:r/>
      <w:bookmarkStart w:id="413" w:name="_Hlt520274407"/>
      <w:r/>
      <w:bookmarkEnd w:id="413"/>
      <w:r/>
      <w:bookmarkStart w:id="414" w:name="_Hlt520343000"/>
      <w:r/>
      <w:bookmarkEnd w:id="414"/>
      <w:r/>
      <w:bookmarkStart w:id="415" w:name="_Hlt520274121"/>
      <w:r/>
      <w:bookmarkEnd w:id="415"/>
      <w:r/>
      <w:bookmarkStart w:id="416" w:name="_Hlt520274065"/>
      <w:r/>
      <w:bookmarkEnd w:id="416"/>
      <w:r/>
      <w:bookmarkStart w:id="417" w:name="_Hlt520274393"/>
      <w:r/>
      <w:bookmarkEnd w:id="417"/>
      <w:r/>
      <w:bookmarkStart w:id="418" w:name="_Toc305158825"/>
      <w:r/>
      <w:bookmarkStart w:id="419" w:name="_Toc265228395"/>
      <w:r/>
      <w:bookmarkStart w:id="420" w:name="_Toc150480795"/>
      <w:r/>
      <w:bookmarkStart w:id="421" w:name="_Toc226337253"/>
      <w:r/>
      <w:bookmarkStart w:id="422" w:name="_Toc195842922"/>
      <w:r/>
      <w:bookmarkStart w:id="423" w:name="_Toc264969247"/>
      <w:r/>
      <w:bookmarkStart w:id="424" w:name="_Ref467988705"/>
      <w:r/>
      <w:bookmarkStart w:id="425" w:name="_Toc480942350"/>
      <w:r/>
      <w:bookmarkStart w:id="426" w:name="_Toc305158899"/>
      <w:r/>
      <w:bookmarkStart w:id="427" w:name="_Toc226965747"/>
      <w:r/>
      <w:bookmarkStart w:id="428" w:name="_Toc520356218"/>
      <w:r/>
      <w:bookmarkStart w:id="429" w:name="_Toc142311059"/>
      <w:r/>
      <w:bookmarkStart w:id="430" w:name="_Toc226965830"/>
      <w:r/>
      <w:bookmarkStart w:id="431" w:name="_Toc150774762"/>
      <w:r/>
      <w:bookmarkStart w:id="432" w:name="_Toc226309801"/>
      <w:r/>
      <w:bookmarkStart w:id="433" w:name="_Toc127151557"/>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b/>
          <w:bCs/>
          <w:sz w:val="24"/>
          <w:szCs w:val="20"/>
          <w:highlight w:val="none"/>
        </w:rPr>
        <w:t xml:space="preserve">（实质性格式）</w:t>
      </w:r>
      <w:r>
        <w:rPr>
          <w:sz w:val="24"/>
          <w:szCs w:val="20"/>
          <w:highlight w:val="none"/>
        </w:rPr>
      </w:r>
      <w:r/>
    </w:p>
    <w:p>
      <w:pPr>
        <w:pStyle w:val="1137"/>
        <w:jc w:val="center"/>
        <w:spacing w:line="360" w:lineRule="exact"/>
        <w:rPr>
          <w:b/>
          <w:sz w:val="36"/>
          <w:szCs w:val="36"/>
          <w:highlight w:val="none"/>
        </w:rPr>
      </w:pPr>
      <w:r/>
      <w:bookmarkStart w:id="434" w:name="_Toc226965748"/>
      <w:r/>
      <w:bookmarkStart w:id="435" w:name="_Toc195842923"/>
      <w:r/>
      <w:bookmarkStart w:id="436" w:name="_Toc226309802"/>
      <w:r/>
      <w:bookmarkStart w:id="437" w:name="_Toc265228396"/>
      <w:r/>
      <w:bookmarkStart w:id="438" w:name="_Toc164608672"/>
      <w:r/>
      <w:bookmarkStart w:id="439" w:name="_Toc264969248"/>
      <w:r/>
      <w:bookmarkStart w:id="440" w:name="_Toc305158900"/>
      <w:r/>
      <w:bookmarkStart w:id="441" w:name="_Toc164608827"/>
      <w:r/>
      <w:bookmarkStart w:id="442" w:name="_Toc226965831"/>
      <w:r/>
      <w:bookmarkStart w:id="443" w:name="_Toc305158826"/>
      <w:r/>
      <w:bookmarkStart w:id="444" w:name="_Toc226337254"/>
      <w:r>
        <w:rPr>
          <w:b/>
          <w:sz w:val="36"/>
          <w:szCs w:val="36"/>
          <w:highlight w:val="none"/>
        </w:rPr>
      </w:r>
      <w:r/>
    </w:p>
    <w:p>
      <w:pPr>
        <w:pStyle w:val="1137"/>
        <w:jc w:val="center"/>
        <w:spacing w:line="360" w:lineRule="auto"/>
        <w:rPr>
          <w:b/>
          <w:sz w:val="36"/>
          <w:szCs w:val="36"/>
          <w:highlight w:val="none"/>
        </w:rPr>
      </w:pPr>
      <w:r>
        <w:rPr>
          <w:rFonts w:hint="eastAsia"/>
          <w:b/>
          <w:sz w:val="36"/>
          <w:szCs w:val="36"/>
          <w:highlight w:val="none"/>
        </w:rPr>
        <w:t xml:space="preserve">开标一览表</w:t>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cs="宋体"/>
          <w:b/>
          <w:sz w:val="32"/>
          <w:szCs w:val="32"/>
          <w:highlight w:val="none"/>
        </w:rPr>
        <w:t xml:space="preserve">（</w:t>
      </w:r>
      <w:r>
        <w:rPr>
          <w:rFonts w:hint="eastAsia" w:ascii="宋体" w:hAnsi="宋体" w:cs="宋体"/>
          <w:b/>
          <w:bCs/>
          <w:sz w:val="32"/>
          <w:szCs w:val="32"/>
          <w:highlight w:val="none"/>
        </w:rPr>
        <w:t xml:space="preserve">采购包</w:t>
      </w:r>
      <w:r>
        <w:rPr>
          <w:rFonts w:hint="eastAsia" w:ascii="宋体" w:hAnsi="宋体" w:cs="宋体"/>
          <w:b/>
          <w:bCs/>
          <w:sz w:val="32"/>
          <w:szCs w:val="32"/>
          <w:highlight w:val="none"/>
          <w:u w:val="single"/>
        </w:rPr>
        <w:t xml:space="preserve">    </w:t>
      </w:r>
      <w:r>
        <w:rPr>
          <w:rFonts w:hint="eastAsia" w:ascii="宋体" w:hAnsi="宋体" w:cs="宋体"/>
          <w:b/>
          <w:sz w:val="32"/>
          <w:szCs w:val="32"/>
          <w:highlight w:val="none"/>
        </w:rPr>
        <w:t xml:space="preserve">）</w:t>
      </w:r>
      <w:r>
        <w:rPr>
          <w:b/>
          <w:sz w:val="36"/>
          <w:szCs w:val="36"/>
          <w:highlight w:val="none"/>
        </w:rPr>
      </w:r>
      <w:r/>
    </w:p>
    <w:p>
      <w:pPr>
        <w:pStyle w:val="1137"/>
        <w:ind w:firstLine="240"/>
        <w:jc w:val="left"/>
        <w:spacing w:line="360" w:lineRule="auto"/>
        <w:tabs>
          <w:tab w:val="left" w:pos="1800" w:leader="none"/>
          <w:tab w:val="left" w:pos="5580" w:leader="none"/>
        </w:tabs>
        <w:rPr>
          <w:color w:val="000000"/>
          <w:sz w:val="24"/>
          <w:highlight w:val="none"/>
        </w:rPr>
      </w:pPr>
      <w:r/>
      <w:bookmarkStart w:id="445" w:name="_Toc195842924"/>
      <w:r/>
      <w:bookmarkStart w:id="446" w:name="_Toc226965832"/>
      <w:r/>
      <w:bookmarkStart w:id="447" w:name="_Toc226337255"/>
      <w:r/>
      <w:bookmarkStart w:id="448" w:name="_Toc150774763"/>
      <w:r/>
      <w:bookmarkStart w:id="449" w:name="_Toc226965749"/>
      <w:r/>
      <w:bookmarkStart w:id="450" w:name="_Toc127151558"/>
      <w:r/>
      <w:bookmarkStart w:id="451" w:name="_Toc265228397"/>
      <w:r/>
      <w:bookmarkStart w:id="452" w:name="_Toc226309803"/>
      <w:r/>
      <w:bookmarkStart w:id="453" w:name="_Toc150480796"/>
      <w:r/>
      <w:bookmarkStart w:id="454" w:name="_Toc305158827"/>
      <w:r/>
      <w:bookmarkStart w:id="455" w:name="_Toc142311060"/>
      <w:r/>
      <w:bookmarkStart w:id="456" w:name="_Toc264969249"/>
      <w:r/>
      <w:bookmarkStart w:id="457" w:name="_Toc305158901"/>
      <w:r>
        <w:rPr>
          <w:color w:val="000000"/>
          <w:sz w:val="24"/>
          <w:highlight w:val="none"/>
        </w:rPr>
        <w:t xml:space="preserve">项目编号/包号：_____________________     项目名称：____________</w:t>
      </w:r>
      <w:r>
        <w:rPr>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7"/>
        <w:gridCol w:w="3021"/>
        <w:gridCol w:w="2880"/>
        <w:gridCol w:w="2881"/>
      </w:tblGrid>
      <w:tr>
        <w:trPr>
          <w:trHeight w:val="531"/>
        </w:trPr>
        <w:tc>
          <w:tcPr>
            <w:tcW w:w="496" w:type="dxa"/>
            <w:vAlign w:val="center"/>
            <w:vMerge w:val="restart"/>
            <w:textDirection w:val="lrTb"/>
            <w:noWrap w:val="false"/>
          </w:tcPr>
          <w:p>
            <w:pPr>
              <w:pStyle w:val="1137"/>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549" w:type="dxa"/>
            <w:vAlign w:val="center"/>
            <w:vMerge w:val="restart"/>
            <w:textDirection w:val="lrTb"/>
            <w:noWrap w:val="false"/>
          </w:tcPr>
          <w:p>
            <w:pPr>
              <w:pStyle w:val="1137"/>
              <w:jc w:val="center"/>
              <w:tabs>
                <w:tab w:val="left" w:pos="5580" w:leader="none"/>
              </w:tabs>
              <w:rPr>
                <w:b/>
                <w:sz w:val="24"/>
                <w:highlight w:val="none"/>
              </w:rPr>
            </w:pPr>
            <w:r>
              <w:rPr>
                <w:rFonts w:hint="eastAsia"/>
                <w:b/>
                <w:sz w:val="24"/>
                <w:highlight w:val="none"/>
              </w:rPr>
              <w:t xml:space="preserve">投标人名称</w:t>
            </w:r>
            <w:r>
              <w:rPr>
                <w:b/>
                <w:sz w:val="24"/>
                <w:highlight w:val="none"/>
              </w:rPr>
            </w:r>
            <w:r/>
          </w:p>
        </w:tc>
        <w:tc>
          <w:tcPr>
            <w:gridSpan w:val="2"/>
            <w:tcW w:w="5761" w:type="dxa"/>
            <w:vAlign w:val="center"/>
            <w:textDirection w:val="lrTb"/>
            <w:noWrap w:val="false"/>
          </w:tcPr>
          <w:p>
            <w:pPr>
              <w:pStyle w:val="1137"/>
              <w:jc w:val="center"/>
              <w:tabs>
                <w:tab w:val="left" w:pos="5580" w:leader="none"/>
              </w:tabs>
              <w:rPr>
                <w:rFonts w:hint="eastAsia"/>
                <w:b/>
                <w:sz w:val="24"/>
                <w:highlight w:val="none"/>
              </w:rPr>
            </w:pPr>
            <w:r>
              <w:rPr>
                <w:rFonts w:hint="eastAsia"/>
                <w:b/>
                <w:sz w:val="24"/>
                <w:highlight w:val="none"/>
              </w:rPr>
              <w:t xml:space="preserve">报价（元）</w:t>
            </w:r>
            <w:r>
              <w:rPr>
                <w:rFonts w:hint="eastAsia"/>
                <w:b/>
                <w:sz w:val="24"/>
                <w:highlight w:val="none"/>
              </w:rPr>
            </w:r>
            <w:r/>
          </w:p>
        </w:tc>
      </w:tr>
      <w:tr>
        <w:trPr>
          <w:trHeight w:val="674"/>
        </w:trPr>
        <w:tc>
          <w:tcPr>
            <w:tcW w:w="496" w:type="dxa"/>
            <w:vAlign w:val="center"/>
            <w:vMerge w:val="continue"/>
            <w:textDirection w:val="lrTb"/>
            <w:noWrap w:val="false"/>
          </w:tcPr>
          <w:p>
            <w:pPr>
              <w:pStyle w:val="1137"/>
              <w:jc w:val="left"/>
              <w:widowControl/>
              <w:rPr>
                <w:b/>
                <w:sz w:val="24"/>
                <w:highlight w:val="none"/>
              </w:rPr>
            </w:pPr>
            <w:r>
              <w:rPr>
                <w:b/>
                <w:sz w:val="24"/>
                <w:highlight w:val="none"/>
              </w:rPr>
            </w:r>
            <w:r/>
          </w:p>
        </w:tc>
        <w:tc>
          <w:tcPr>
            <w:tcW w:w="1549" w:type="dxa"/>
            <w:vAlign w:val="center"/>
            <w:vMerge w:val="continue"/>
            <w:textDirection w:val="lrTb"/>
            <w:noWrap w:val="false"/>
          </w:tcPr>
          <w:p>
            <w:pPr>
              <w:pStyle w:val="1137"/>
              <w:jc w:val="left"/>
              <w:widowControl/>
              <w:rPr>
                <w:b/>
                <w:sz w:val="24"/>
                <w:highlight w:val="none"/>
              </w:rPr>
            </w:pPr>
            <w:r>
              <w:rPr>
                <w:b/>
                <w:sz w:val="24"/>
                <w:highlight w:val="none"/>
              </w:rPr>
            </w:r>
            <w:r/>
          </w:p>
        </w:tc>
        <w:tc>
          <w:tcPr>
            <w:tcW w:w="1477" w:type="dxa"/>
            <w:vAlign w:val="center"/>
            <w:textDirection w:val="lrTb"/>
            <w:noWrap w:val="false"/>
          </w:tcPr>
          <w:p>
            <w:pPr>
              <w:pStyle w:val="1137"/>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477" w:type="dxa"/>
            <w:vAlign w:val="center"/>
            <w:textDirection w:val="lrTb"/>
            <w:noWrap w:val="false"/>
          </w:tcPr>
          <w:p>
            <w:pPr>
              <w:pStyle w:val="1137"/>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1010"/>
        </w:trPr>
        <w:tc>
          <w:tcPr>
            <w:tcW w:w="496" w:type="dxa"/>
            <w:vAlign w:val="center"/>
            <w:textDirection w:val="lrTb"/>
            <w:noWrap w:val="false"/>
          </w:tcPr>
          <w:p>
            <w:pPr>
              <w:pStyle w:val="1137"/>
              <w:jc w:val="center"/>
              <w:tabs>
                <w:tab w:val="left" w:pos="5580" w:leader="none"/>
              </w:tabs>
              <w:rPr>
                <w:sz w:val="24"/>
                <w:highlight w:val="none"/>
              </w:rPr>
            </w:pPr>
            <w:r>
              <w:rPr>
                <w:sz w:val="24"/>
                <w:highlight w:val="none"/>
              </w:rPr>
            </w:r>
            <w:r/>
          </w:p>
        </w:tc>
        <w:tc>
          <w:tcPr>
            <w:tcW w:w="1549" w:type="dxa"/>
            <w:vAlign w:val="center"/>
            <w:textDirection w:val="lrTb"/>
            <w:noWrap w:val="false"/>
          </w:tcPr>
          <w:p>
            <w:pPr>
              <w:pStyle w:val="1137"/>
              <w:jc w:val="center"/>
              <w:tabs>
                <w:tab w:val="left" w:pos="5580" w:leader="none"/>
              </w:tabs>
              <w:rPr>
                <w:sz w:val="24"/>
                <w:highlight w:val="none"/>
              </w:rPr>
            </w:pPr>
            <w:r>
              <w:rPr>
                <w:sz w:val="24"/>
                <w:highlight w:val="none"/>
              </w:rPr>
            </w:r>
            <w:r/>
          </w:p>
        </w:tc>
        <w:tc>
          <w:tcPr>
            <w:tcW w:w="1477" w:type="dxa"/>
            <w:vAlign w:val="center"/>
            <w:textDirection w:val="lrTb"/>
            <w:noWrap w:val="false"/>
          </w:tcPr>
          <w:p>
            <w:pPr>
              <w:pStyle w:val="1137"/>
              <w:jc w:val="left"/>
              <w:tabs>
                <w:tab w:val="left" w:pos="5580" w:leader="none"/>
              </w:tabs>
              <w:rPr>
                <w:sz w:val="24"/>
                <w:highlight w:val="none"/>
              </w:rPr>
            </w:pPr>
            <w:r>
              <w:rPr>
                <w:sz w:val="24"/>
                <w:highlight w:val="none"/>
              </w:rPr>
            </w:r>
            <w:r/>
          </w:p>
        </w:tc>
        <w:tc>
          <w:tcPr>
            <w:tcW w:w="1477" w:type="dxa"/>
            <w:vAlign w:val="center"/>
            <w:textDirection w:val="lrTb"/>
            <w:noWrap w:val="false"/>
          </w:tcPr>
          <w:p>
            <w:pPr>
              <w:pStyle w:val="1137"/>
              <w:jc w:val="left"/>
              <w:tabs>
                <w:tab w:val="left" w:pos="5580" w:leader="none"/>
              </w:tabs>
              <w:rPr>
                <w:rFonts w:hint="eastAsia" w:cs="宋体"/>
                <w:sz w:val="24"/>
                <w:highlight w:val="none"/>
                <w:u w:val="single"/>
              </w:rPr>
            </w:pPr>
            <w:r>
              <w:rPr>
                <w:rFonts w:hint="eastAsia" w:cs="宋体"/>
                <w:sz w:val="24"/>
                <w:highlight w:val="none"/>
                <w:u w:val="single"/>
              </w:rPr>
            </w:r>
            <w:r/>
          </w:p>
        </w:tc>
      </w:tr>
    </w:tbl>
    <w:p>
      <w:pPr>
        <w:pStyle w:val="1187"/>
        <w:rPr>
          <w:highlight w:val="none"/>
        </w:rPr>
      </w:pPr>
      <w:r>
        <w:rPr>
          <w:highlight w:val="none"/>
        </w:rPr>
      </w:r>
      <w:r/>
    </w:p>
    <w:p>
      <w:pPr>
        <w:pStyle w:val="1170"/>
        <w:rPr>
          <w:b/>
          <w:bCs/>
          <w:color w:val="000000"/>
          <w:highlight w:val="none"/>
        </w:rPr>
      </w:pPr>
      <w:r>
        <w:rPr>
          <w:b/>
          <w:bCs/>
          <w:color w:val="000000"/>
          <w:highlight w:val="none"/>
        </w:rPr>
      </w:r>
      <w:r/>
    </w:p>
    <w:p>
      <w:pPr>
        <w:pStyle w:val="1137"/>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37"/>
        <w:ind w:firstLine="480"/>
        <w:jc w:val="left"/>
        <w:spacing w:line="400" w:lineRule="exact"/>
        <w:rPr>
          <w:rFonts w:hint="eastAsia" w:ascii="宋体" w:hAnsi="宋体" w:cs="宋体"/>
          <w:color w:val="000000"/>
          <w:sz w:val="24"/>
          <w:szCs w:val="20"/>
          <w:highlight w:val="none"/>
        </w:rPr>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.此表中，投标报价应和《投标分项报价表》中的总价相一致。</w:t>
      </w:r>
      <w:r>
        <w:rPr>
          <w:rFonts w:hint="eastAsia" w:ascii="宋体" w:hAnsi="宋体" w:cs="宋体"/>
          <w:color w:val="000000"/>
          <w:sz w:val="24"/>
          <w:szCs w:val="20"/>
          <w:highlight w:val="none"/>
        </w:rPr>
      </w:r>
      <w:r/>
    </w:p>
    <w:p>
      <w:pPr>
        <w:pStyle w:val="1137"/>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b/>
          <w:bCs/>
          <w:color w:val="000000"/>
          <w:sz w:val="24"/>
          <w:highlight w:val="none"/>
        </w:rPr>
        <w:t xml:space="preserve">本表必须按包（如有分包）分别填写。供应商的报价不得超过各个采购包的最高限价，否则作无效响应处理。</w:t>
      </w:r>
      <w:r>
        <w:rPr>
          <w:rFonts w:hint="eastAsia" w:ascii="宋体" w:hAnsi="宋体" w:cs="宋体"/>
          <w:color w:val="000000"/>
          <w:sz w:val="24"/>
          <w:highlight w:val="none"/>
        </w:rPr>
      </w:r>
      <w:r/>
    </w:p>
    <w:p>
      <w:pPr>
        <w:pStyle w:val="1137"/>
        <w:ind w:firstLine="482"/>
        <w:jc w:val="left"/>
        <w:spacing w:line="400" w:lineRule="exact"/>
        <w:tabs>
          <w:tab w:val="left" w:pos="1800" w:leader="none"/>
          <w:tab w:val="left" w:pos="5580" w:leader="none"/>
        </w:tabs>
        <w:rPr>
          <w:rFonts w:hint="eastAsia" w:ascii="宋体" w:hAnsi="宋体" w:cs="宋体"/>
          <w:b/>
          <w:bCs/>
          <w:sz w:val="24"/>
          <w:highlight w:val="none"/>
        </w:rPr>
      </w:pPr>
      <w:r>
        <w:rPr>
          <w:rFonts w:hint="eastAsia" w:ascii="宋体" w:hAnsi="宋体"/>
          <w:b/>
          <w:color w:val="000000"/>
          <w:sz w:val="24"/>
          <w:highlight w:val="none"/>
        </w:rPr>
        <w:t xml:space="preserve">3.供应商在提交响应文件时，按照投标工具（苏采云客户端）的提示流程编制提交报价一览表。</w:t>
      </w:r>
      <w:r>
        <w:rPr>
          <w:rFonts w:hint="eastAsia" w:ascii="宋体" w:hAnsi="宋体" w:cs="宋体"/>
          <w:b/>
          <w:bCs/>
          <w:sz w:val="24"/>
          <w:highlight w:val="none"/>
        </w:rPr>
      </w:r>
      <w:r/>
    </w:p>
    <w:p>
      <w:pPr>
        <w:pStyle w:val="1137"/>
        <w:spacing w:before="25" w:after="25" w:line="360" w:lineRule="auto"/>
        <w:rPr>
          <w:color w:val="000000"/>
          <w:sz w:val="24"/>
          <w:highlight w:val="none"/>
          <w:lang w:val="zh-CN"/>
        </w:rPr>
      </w:pPr>
      <w:r>
        <w:rPr>
          <w:color w:val="000000"/>
          <w:sz w:val="24"/>
          <w:highlight w:val="none"/>
          <w:lang w:val="zh-CN"/>
        </w:rPr>
      </w:r>
      <w:r/>
    </w:p>
    <w:p>
      <w:pPr>
        <w:pStyle w:val="113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3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3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37"/>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5</w:t>
      </w:r>
      <w:r>
        <w:rPr>
          <w:sz w:val="24"/>
          <w:szCs w:val="20"/>
          <w:highlight w:val="none"/>
        </w:rPr>
        <w:t xml:space="preserve">  投标分项报价表</w:t>
      </w:r>
      <w:r>
        <w:rPr>
          <w:b/>
          <w:bCs/>
          <w:sz w:val="24"/>
          <w:szCs w:val="20"/>
          <w:highlight w:val="none"/>
        </w:rPr>
        <w:t xml:space="preserve">（实质性格式）</w:t>
      </w:r>
      <w:r>
        <w:rPr>
          <w:sz w:val="24"/>
          <w:szCs w:val="20"/>
          <w:highlight w:val="none"/>
        </w:rPr>
      </w:r>
      <w:r/>
    </w:p>
    <w:p>
      <w:pPr>
        <w:pStyle w:val="1137"/>
        <w:jc w:val="center"/>
        <w:spacing w:line="360" w:lineRule="exact"/>
        <w:rPr>
          <w:sz w:val="36"/>
          <w:szCs w:val="36"/>
          <w:highlight w:val="none"/>
        </w:rPr>
      </w:pPr>
      <w:r>
        <w:rPr>
          <w:sz w:val="36"/>
          <w:szCs w:val="36"/>
          <w:highlight w:val="none"/>
        </w:rPr>
      </w:r>
      <w:r/>
    </w:p>
    <w:p>
      <w:pPr>
        <w:pStyle w:val="1137"/>
        <w:jc w:val="center"/>
        <w:spacing w:line="360" w:lineRule="auto"/>
        <w:rPr>
          <w:b/>
          <w:sz w:val="36"/>
          <w:szCs w:val="36"/>
          <w:highlight w:val="none"/>
        </w:rPr>
      </w:pPr>
      <w:r>
        <w:rPr>
          <w:rFonts w:hint="eastAsia"/>
          <w:b/>
          <w:sz w:val="36"/>
          <w:szCs w:val="36"/>
          <w:highlight w:val="none"/>
        </w:rPr>
        <w:t xml:space="preserve">投标分项报价表</w:t>
      </w:r>
      <w:r>
        <w:rPr>
          <w:rFonts w:hint="eastAsia" w:ascii="宋体" w:hAnsi="宋体" w:cs="宋体"/>
          <w:b/>
          <w:sz w:val="32"/>
          <w:szCs w:val="32"/>
          <w:highlight w:val="none"/>
        </w:rPr>
        <w:t xml:space="preserve">（</w:t>
      </w:r>
      <w:r>
        <w:rPr>
          <w:rFonts w:hint="eastAsia" w:ascii="宋体" w:hAnsi="宋体" w:cs="宋体"/>
          <w:b/>
          <w:bCs/>
          <w:sz w:val="32"/>
          <w:szCs w:val="32"/>
          <w:highlight w:val="none"/>
        </w:rPr>
        <w:t xml:space="preserve">采购包</w:t>
      </w:r>
      <w:r>
        <w:rPr>
          <w:rFonts w:hint="eastAsia" w:ascii="宋体" w:hAnsi="宋体" w:cs="宋体"/>
          <w:b/>
          <w:bCs/>
          <w:sz w:val="32"/>
          <w:szCs w:val="32"/>
          <w:highlight w:val="none"/>
          <w:u w:val="single"/>
        </w:rPr>
        <w:t xml:space="preserve">    </w:t>
      </w:r>
      <w:r>
        <w:rPr>
          <w:rFonts w:hint="eastAsia" w:ascii="宋体" w:hAnsi="宋体" w:cs="宋体"/>
          <w:b/>
          <w:sz w:val="32"/>
          <w:szCs w:val="32"/>
          <w:highlight w:val="none"/>
        </w:rPr>
        <w:t xml:space="preserve">）</w:t>
      </w:r>
      <w:r>
        <w:rPr>
          <w:b/>
          <w:sz w:val="36"/>
          <w:szCs w:val="36"/>
          <w:highlight w:val="none"/>
        </w:rPr>
      </w:r>
      <w:r/>
    </w:p>
    <w:p>
      <w:pPr>
        <w:pStyle w:val="1137"/>
        <w:jc w:val="center"/>
        <w:spacing w:line="260" w:lineRule="exact"/>
        <w:rPr>
          <w:sz w:val="36"/>
          <w:szCs w:val="36"/>
          <w:highlight w:val="none"/>
        </w:rPr>
      </w:pPr>
      <w:r>
        <w:rPr>
          <w:sz w:val="36"/>
          <w:szCs w:val="36"/>
          <w:highlight w:val="none"/>
        </w:rPr>
      </w:r>
      <w:r/>
    </w:p>
    <w:p>
      <w:pPr>
        <w:pStyle w:val="1137"/>
        <w:tabs>
          <w:tab w:val="left" w:pos="1800" w:leader="none"/>
          <w:tab w:val="left" w:pos="5580" w:leader="none"/>
        </w:tabs>
        <w:rPr>
          <w:rFonts w:hint="eastAsia"/>
          <w:sz w:val="24"/>
          <w:highlight w:val="none"/>
          <w:u w:val="single"/>
        </w:rPr>
      </w:pPr>
      <w:r>
        <w:rPr>
          <w:sz w:val="24"/>
          <w:highlight w:val="none"/>
        </w:rPr>
        <w:t xml:space="preserve">项目编号/包号：</w:t>
      </w:r>
      <w:r>
        <w:rPr>
          <w:rFonts w:hint="eastAsia"/>
          <w:sz w:val="24"/>
          <w:highlight w:val="none"/>
          <w:u w:val="single"/>
        </w:rPr>
        <w:t xml:space="preserve">           </w:t>
      </w:r>
      <w:r>
        <w:rPr>
          <w:sz w:val="24"/>
          <w:highlight w:val="none"/>
        </w:rPr>
        <w:t xml:space="preserve"> 项目名称：</w:t>
      </w:r>
      <w:r>
        <w:rPr>
          <w:rFonts w:hint="eastAsia"/>
          <w:sz w:val="24"/>
          <w:highlight w:val="none"/>
          <w:u w:val="single"/>
        </w:rPr>
        <w:t xml:space="preserve">                   </w:t>
      </w:r>
      <w:r>
        <w:rPr>
          <w:rFonts w:hint="eastAsia"/>
          <w:sz w:val="24"/>
          <w:highlight w:val="none"/>
          <w:u w:val="single"/>
        </w:rPr>
      </w:r>
      <w:r/>
    </w:p>
    <w:p>
      <w:pPr>
        <w:pStyle w:val="1137"/>
        <w:tabs>
          <w:tab w:val="left" w:pos="1800" w:leader="none"/>
          <w:tab w:val="left" w:pos="5580" w:leader="none"/>
        </w:tabs>
        <w:rPr>
          <w:rFonts w:hint="eastAsia"/>
          <w:sz w:val="24"/>
          <w:highlight w:val="none"/>
          <w:u w:val="single"/>
        </w:rPr>
      </w:pPr>
      <w:r>
        <w:rPr>
          <w:rFonts w:hint="eastAsia"/>
          <w:sz w:val="24"/>
          <w:highlight w:val="none"/>
          <w:u w:val="singl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637"/>
        <w:gridCol w:w="2917"/>
        <w:gridCol w:w="1199"/>
        <w:gridCol w:w="1141"/>
        <w:gridCol w:w="1057"/>
        <w:gridCol w:w="1234"/>
      </w:tblGrid>
      <w:tr>
        <w:trPr>
          <w:cantSplit/>
          <w:trHeight w:val="285"/>
        </w:trPr>
        <w:tc>
          <w:tcPr>
            <w:tcW w:w="386" w:type="dxa"/>
            <w:vAlign w:val="center"/>
            <w:vMerge w:val="restart"/>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822" w:type="dxa"/>
            <w:vAlign w:val="center"/>
            <w:vMerge w:val="restart"/>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分项名称</w:t>
            </w:r>
            <w:r>
              <w:rPr>
                <w:rFonts w:hint="eastAsia" w:ascii="宋体" w:hAnsi="宋体" w:cs="宋体"/>
                <w:sz w:val="24"/>
                <w:highlight w:val="none"/>
              </w:rPr>
            </w:r>
            <w:r/>
          </w:p>
        </w:tc>
        <w:tc>
          <w:tcPr>
            <w:tcW w:w="1464" w:type="dxa"/>
            <w:vAlign w:val="center"/>
            <w:vMerge w:val="restart"/>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服务内容</w:t>
            </w:r>
            <w:r>
              <w:rPr>
                <w:rFonts w:hint="eastAsia" w:ascii="宋体" w:hAnsi="宋体" w:cs="宋体"/>
                <w:sz w:val="24"/>
                <w:highlight w:val="none"/>
              </w:rPr>
            </w:r>
            <w:r/>
          </w:p>
        </w:tc>
        <w:tc>
          <w:tcPr>
            <w:tcW w:w="602" w:type="dxa"/>
            <w:vAlign w:val="center"/>
            <w:vMerge w:val="restart"/>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数量</w:t>
            </w:r>
            <w:r>
              <w:rPr>
                <w:rFonts w:hint="eastAsia" w:ascii="宋体" w:hAnsi="宋体" w:cs="宋体"/>
                <w:sz w:val="24"/>
                <w:highlight w:val="none"/>
              </w:rPr>
            </w:r>
            <w:r/>
          </w:p>
        </w:tc>
        <w:tc>
          <w:tcPr>
            <w:tcW w:w="573" w:type="dxa"/>
            <w:vAlign w:val="center"/>
            <w:vMerge w:val="restart"/>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单位</w:t>
            </w:r>
            <w:r>
              <w:rPr>
                <w:rFonts w:hint="eastAsia" w:ascii="宋体" w:hAnsi="宋体" w:cs="宋体"/>
                <w:sz w:val="24"/>
                <w:highlight w:val="none"/>
              </w:rPr>
            </w:r>
            <w:r/>
          </w:p>
        </w:tc>
        <w:tc>
          <w:tcPr>
            <w:gridSpan w:val="2"/>
            <w:tcW w:w="2291"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响应价格</w:t>
            </w:r>
            <w:r>
              <w:rPr>
                <w:rFonts w:hint="eastAsia" w:ascii="宋体" w:hAnsi="宋体" w:cs="宋体"/>
                <w:sz w:val="24"/>
                <w:highlight w:val="none"/>
              </w:rPr>
            </w:r>
            <w:r/>
          </w:p>
        </w:tc>
      </w:tr>
      <w:tr>
        <w:trPr>
          <w:cantSplit/>
          <w:trHeight w:val="285"/>
        </w:trPr>
        <w:tc>
          <w:tcPr>
            <w:tcW w:w="386" w:type="dxa"/>
            <w:vAlign w:val="center"/>
            <w:vMerge w:val="continue"/>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822" w:type="dxa"/>
            <w:vAlign w:val="center"/>
            <w:vMerge w:val="continue"/>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1464" w:type="dxa"/>
            <w:vAlign w:val="center"/>
            <w:vMerge w:val="continue"/>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02" w:type="dxa"/>
            <w:vAlign w:val="center"/>
            <w:vMerge w:val="continue"/>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73" w:type="dxa"/>
            <w:vAlign w:val="center"/>
            <w:vMerge w:val="continue"/>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31"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单价</w:t>
            </w:r>
            <w:r>
              <w:rPr>
                <w:rFonts w:hint="eastAsia" w:ascii="宋体" w:hAnsi="宋体" w:cs="宋体"/>
                <w:sz w:val="24"/>
                <w:highlight w:val="none"/>
              </w:rPr>
            </w:r>
            <w:r/>
          </w:p>
        </w:tc>
        <w:tc>
          <w:tcPr>
            <w:tcW w:w="619"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合价</w:t>
            </w:r>
            <w:r>
              <w:rPr>
                <w:rFonts w:hint="eastAsia" w:ascii="宋体" w:hAnsi="宋体" w:cs="宋体"/>
                <w:sz w:val="24"/>
                <w:highlight w:val="none"/>
              </w:rPr>
            </w:r>
            <w:r/>
          </w:p>
        </w:tc>
      </w:tr>
      <w:tr>
        <w:trPr>
          <w:trHeight w:val="480"/>
        </w:trPr>
        <w:tc>
          <w:tcPr>
            <w:tcW w:w="386"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82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1464"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0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73"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31"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19"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r>
      <w:tr>
        <w:trPr>
          <w:trHeight w:val="480"/>
        </w:trPr>
        <w:tc>
          <w:tcPr>
            <w:tcW w:w="386"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82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1464"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0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73"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31"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19"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r>
      <w:tr>
        <w:trPr>
          <w:trHeight w:val="480"/>
        </w:trPr>
        <w:tc>
          <w:tcPr>
            <w:tcW w:w="386"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82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1464"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0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73"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31"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19"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r>
      <w:tr>
        <w:trPr>
          <w:trHeight w:val="480"/>
        </w:trPr>
        <w:tc>
          <w:tcPr>
            <w:tcW w:w="386"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82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1464"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0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73"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31"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19"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r>
      <w:tr>
        <w:trPr>
          <w:trHeight w:val="480"/>
        </w:trPr>
        <w:tc>
          <w:tcPr>
            <w:tcW w:w="386"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82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1464"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0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73"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31"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19"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r>
      <w:tr>
        <w:trPr>
          <w:trHeight w:val="480"/>
        </w:trPr>
        <w:tc>
          <w:tcPr>
            <w:tcW w:w="386"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82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1464"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02"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73"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531"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c>
          <w:tcPr>
            <w:tcW w:w="619" w:type="dxa"/>
            <w:vAlign w:val="center"/>
            <w:textDirection w:val="lrTb"/>
            <w:noWrap w:val="false"/>
          </w:tcPr>
          <w:p>
            <w:pPr>
              <w:pStyle w:val="1137"/>
              <w:jc w:val="center"/>
              <w:rPr>
                <w:rFonts w:hint="eastAsia" w:ascii="宋体" w:hAnsi="宋体" w:cs="宋体"/>
                <w:sz w:val="24"/>
                <w:highlight w:val="none"/>
              </w:rPr>
            </w:pPr>
            <w:r>
              <w:rPr>
                <w:rFonts w:hint="eastAsia" w:ascii="宋体" w:hAnsi="宋体" w:cs="宋体"/>
                <w:sz w:val="24"/>
                <w:highlight w:val="none"/>
              </w:rPr>
            </w:r>
            <w:r/>
          </w:p>
        </w:tc>
      </w:tr>
      <w:tr>
        <w:trPr>
          <w:trHeight w:val="480"/>
        </w:trPr>
        <w:tc>
          <w:tcPr>
            <w:gridSpan w:val="3"/>
            <w:tcW w:w="5322" w:type="dxa"/>
            <w:vAlign w:val="center"/>
            <w:textDirection w:val="lrTb"/>
            <w:noWrap w:val="false"/>
          </w:tcPr>
          <w:p>
            <w:pPr>
              <w:pStyle w:val="1137"/>
              <w:rPr>
                <w:rFonts w:hint="eastAsia" w:ascii="宋体" w:hAnsi="宋体" w:cs="宋体"/>
                <w:sz w:val="24"/>
                <w:highlight w:val="none"/>
              </w:rPr>
            </w:pPr>
            <w:r>
              <w:rPr>
                <w:rFonts w:hint="eastAsia" w:ascii="宋体" w:hAnsi="宋体" w:cs="宋体"/>
                <w:sz w:val="24"/>
                <w:highlight w:val="none"/>
              </w:rPr>
              <w:t xml:space="preserve">总价</w:t>
            </w:r>
            <w:r>
              <w:rPr>
                <w:rFonts w:hint="eastAsia" w:ascii="宋体" w:hAnsi="宋体" w:cs="宋体"/>
                <w:sz w:val="24"/>
                <w:highlight w:val="none"/>
              </w:rPr>
            </w:r>
            <w:r/>
          </w:p>
        </w:tc>
        <w:tc>
          <w:tcPr>
            <w:gridSpan w:val="4"/>
            <w:tcW w:w="4631" w:type="dxa"/>
            <w:vAlign w:val="center"/>
            <w:textDirection w:val="lrTb"/>
            <w:noWrap w:val="false"/>
          </w:tcPr>
          <w:p>
            <w:pPr>
              <w:pStyle w:val="1137"/>
              <w:rPr>
                <w:rFonts w:hint="eastAsia" w:ascii="宋体" w:hAnsi="宋体" w:cs="宋体"/>
                <w:sz w:val="24"/>
                <w:highlight w:val="none"/>
              </w:rPr>
            </w:pPr>
            <w:r>
              <w:rPr>
                <w:rFonts w:hint="eastAsia" w:ascii="宋体" w:hAnsi="宋体" w:cs="宋体"/>
                <w:sz w:val="24"/>
                <w:highlight w:val="none"/>
              </w:rPr>
            </w:r>
            <w:r/>
          </w:p>
        </w:tc>
      </w:tr>
    </w:tbl>
    <w:p>
      <w:pPr>
        <w:pStyle w:val="1137"/>
        <w:jc w:val="left"/>
        <w:tabs>
          <w:tab w:val="left" w:pos="1800" w:leader="none"/>
          <w:tab w:val="left" w:pos="5580" w:leader="none"/>
        </w:tabs>
        <w:rPr>
          <w:sz w:val="24"/>
          <w:highlight w:val="none"/>
        </w:rPr>
      </w:pPr>
      <w:r>
        <w:rPr>
          <w:sz w:val="24"/>
          <w:highlight w:val="none"/>
        </w:rPr>
      </w:r>
      <w:r/>
    </w:p>
    <w:p>
      <w:pPr>
        <w:pStyle w:val="1137"/>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37"/>
        <w:ind w:firstLine="480"/>
        <w:jc w:val="left"/>
        <w:spacing w:line="400" w:lineRule="exact"/>
        <w:tabs>
          <w:tab w:val="left" w:pos="1800" w:leader="none"/>
          <w:tab w:val="left" w:pos="5580" w:leader="none"/>
        </w:tabs>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1.投</w:t>
      </w:r>
      <w:r>
        <w:rPr>
          <w:rFonts w:hint="eastAsia" w:ascii="宋体" w:hAnsi="宋体" w:cs="宋体"/>
          <w:color w:val="000000"/>
          <w:sz w:val="24"/>
          <w:highlight w:val="none"/>
        </w:rPr>
        <w:t xml:space="preserve">标人根据本项目实际情况填写分项报价表。</w:t>
      </w:r>
      <w:r>
        <w:rPr>
          <w:rFonts w:hint="eastAsia" w:ascii="宋体" w:hAnsi="宋体" w:cs="宋体"/>
          <w:b/>
          <w:bCs/>
          <w:color w:val="000000"/>
          <w:sz w:val="24"/>
          <w:highlight w:val="none"/>
          <w:u w:val="single"/>
        </w:rPr>
        <w:t xml:space="preserve">如果不提供分项报价将视为没有实质性响应采购文件。</w:t>
      </w:r>
      <w:r>
        <w:rPr>
          <w:rFonts w:hint="eastAsia" w:ascii="宋体" w:hAnsi="宋体" w:cs="宋体"/>
          <w:b/>
          <w:bCs/>
          <w:color w:val="000000"/>
          <w:sz w:val="24"/>
          <w:highlight w:val="none"/>
          <w:u w:val="single"/>
        </w:rPr>
      </w:r>
      <w:r/>
    </w:p>
    <w:p>
      <w:pPr>
        <w:pStyle w:val="1164"/>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2.供应商应按照站点搬迁、站点运维参数进行分项报价。</w:t>
      </w:r>
      <w:r>
        <w:rPr>
          <w:rFonts w:hint="eastAsia" w:ascii="宋体" w:hAnsi="宋体" w:cs="宋体"/>
          <w:color w:val="000000"/>
          <w:sz w:val="24"/>
          <w:highlight w:val="none"/>
        </w:rPr>
      </w:r>
      <w:r/>
    </w:p>
    <w:p>
      <w:pPr>
        <w:pStyle w:val="1137"/>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p>
    <w:p>
      <w:pPr>
        <w:pStyle w:val="1137"/>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4.本表必须按采购包分别填写。</w:t>
      </w:r>
      <w:r>
        <w:rPr>
          <w:rFonts w:hint="eastAsia" w:ascii="宋体" w:hAnsi="宋体" w:cs="宋体"/>
          <w:color w:val="000000"/>
          <w:sz w:val="24"/>
          <w:highlight w:val="none"/>
        </w:rPr>
      </w:r>
      <w:r/>
    </w:p>
    <w:p>
      <w:pPr>
        <w:pStyle w:val="1137"/>
        <w:spacing w:line="400" w:lineRule="exact"/>
        <w:rPr>
          <w:sz w:val="24"/>
          <w:highlight w:val="none"/>
          <w:lang w:val="zh-CN"/>
        </w:rPr>
      </w:pPr>
      <w:r>
        <w:rPr>
          <w:sz w:val="24"/>
          <w:highlight w:val="none"/>
          <w:lang w:val="zh-CN"/>
        </w:rPr>
        <w:t xml:space="preserve">                  </w:t>
      </w:r>
      <w:r>
        <w:rPr>
          <w:sz w:val="24"/>
          <w:highlight w:val="none"/>
          <w:lang w:val="zh-CN"/>
        </w:rPr>
      </w:r>
      <w:r/>
    </w:p>
    <w:p>
      <w:pPr>
        <w:pStyle w:val="1137"/>
        <w:spacing w:line="400" w:lineRule="exact"/>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1137"/>
        <w:spacing w:line="400" w:lineRule="exact"/>
        <w:rPr>
          <w:sz w:val="24"/>
          <w:highlight w:val="none"/>
          <w:lang w:val="zh-CN"/>
        </w:rPr>
      </w:pPr>
      <w:r>
        <w:rPr>
          <w:sz w:val="24"/>
          <w:szCs w:val="20"/>
          <w:highlight w:val="none"/>
        </w:rPr>
        <w:t xml:space="preserve">日期：_____年______月______日   </w:t>
      </w:r>
      <w:r>
        <w:rPr>
          <w:sz w:val="24"/>
          <w:highlight w:val="none"/>
          <w:lang w:val="zh-CN"/>
        </w:rPr>
      </w:r>
      <w:r/>
    </w:p>
    <w:p>
      <w:pPr>
        <w:pStyle w:val="1137"/>
        <w:jc w:val="left"/>
        <w:widowControl/>
        <w:rPr>
          <w:sz w:val="24"/>
          <w:szCs w:val="20"/>
          <w:highlight w:val="none"/>
        </w:rPr>
      </w:pPr>
      <w:r>
        <w:rPr>
          <w:sz w:val="24"/>
          <w:szCs w:val="20"/>
          <w:highlight w:val="none"/>
        </w:rPr>
        <w:br w:type="page" w:clear="all"/>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Start w:id="458" w:name="_Toc142311062"/>
      <w:r/>
      <w:bookmarkStart w:id="459" w:name="_Toc305158830"/>
      <w:r/>
      <w:bookmarkStart w:id="460" w:name="_Toc226965752"/>
      <w:r/>
      <w:bookmarkStart w:id="461" w:name="_Toc195842927"/>
      <w:r/>
      <w:bookmarkStart w:id="462" w:name="_Toc150774765"/>
      <w:r/>
      <w:bookmarkStart w:id="463" w:name="_Toc127151562"/>
      <w:r/>
      <w:bookmarkStart w:id="464" w:name="_Toc150480798"/>
      <w:r/>
      <w:bookmarkStart w:id="465" w:name="_Toc226309806"/>
      <w:r/>
      <w:bookmarkStart w:id="466" w:name="_Toc265228400"/>
      <w:r/>
      <w:bookmarkStart w:id="467" w:name="_Toc226337258"/>
      <w:r/>
      <w:bookmarkStart w:id="468" w:name="_Toc305158904"/>
      <w:r/>
      <w:bookmarkStart w:id="469" w:name="_Toc264969252"/>
      <w:r/>
      <w:bookmarkStart w:id="470" w:name="_Toc226965835"/>
      <w:r/>
      <w:bookmarkStart w:id="471" w:name="_Toc127151561"/>
      <w:r/>
      <w:bookmarkStart w:id="472" w:name="_Toc195842926"/>
      <w:r/>
      <w:bookmarkStart w:id="473" w:name="_Toc265228399"/>
      <w:r/>
      <w:bookmarkStart w:id="474" w:name="_Toc226965751"/>
      <w:r/>
      <w:bookmarkStart w:id="475" w:name="_Toc305158829"/>
      <w:r/>
      <w:bookmarkStart w:id="476" w:name="_Toc142311061"/>
      <w:r/>
      <w:bookmarkStart w:id="477" w:name="_Toc226337257"/>
      <w:r/>
      <w:bookmarkStart w:id="478" w:name="_Toc305158903"/>
      <w:r/>
      <w:bookmarkStart w:id="479" w:name="_Toc150480797"/>
      <w:r/>
      <w:bookmarkStart w:id="480" w:name="_Toc226965834"/>
      <w:r/>
      <w:bookmarkStart w:id="481" w:name="_Toc264969251"/>
      <w:r/>
      <w:bookmarkStart w:id="482" w:name="_Toc150774764"/>
      <w:r/>
      <w:bookmarkStart w:id="483" w:name="_Toc226309805"/>
      <w:r>
        <w:rPr>
          <w:rFonts w:hint="eastAsia"/>
          <w:sz w:val="24"/>
          <w:szCs w:val="20"/>
          <w:highlight w:val="none"/>
        </w:rPr>
        <w:t xml:space="preserve">6</w:t>
      </w:r>
      <w:r>
        <w:rPr>
          <w:sz w:val="24"/>
          <w:szCs w:val="20"/>
          <w:highlight w:val="none"/>
        </w:rPr>
        <w:t xml:space="preserve"> 合同条款偏离表</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sz w:val="24"/>
          <w:szCs w:val="20"/>
          <w:highlight w:val="none"/>
        </w:rPr>
        <w:t xml:space="preserve">（实质性格式）</w:t>
      </w:r>
      <w:r>
        <w:rPr>
          <w:sz w:val="24"/>
          <w:szCs w:val="20"/>
          <w:highlight w:val="none"/>
        </w:rPr>
      </w:r>
      <w:r/>
    </w:p>
    <w:p>
      <w:pPr>
        <w:pStyle w:val="1137"/>
        <w:spacing w:line="360" w:lineRule="auto"/>
        <w:rPr>
          <w:sz w:val="24"/>
          <w:szCs w:val="20"/>
          <w:highlight w:val="none"/>
        </w:rPr>
      </w:pPr>
      <w:r>
        <w:rPr>
          <w:sz w:val="24"/>
          <w:szCs w:val="20"/>
          <w:highlight w:val="none"/>
        </w:rPr>
      </w:r>
      <w:r/>
    </w:p>
    <w:p>
      <w:pPr>
        <w:pStyle w:val="1137"/>
        <w:jc w:val="center"/>
        <w:spacing w:line="360" w:lineRule="auto"/>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1137"/>
        <w:spacing w:line="360" w:lineRule="auto"/>
        <w:rPr>
          <w:sz w:val="24"/>
          <w:szCs w:val="20"/>
          <w:highlight w:val="none"/>
        </w:rPr>
      </w:pPr>
      <w:r>
        <w:rPr>
          <w:sz w:val="24"/>
          <w:szCs w:val="20"/>
          <w:highlight w:val="none"/>
        </w:rPr>
      </w:r>
      <w:r/>
    </w:p>
    <w:p>
      <w:pPr>
        <w:pStyle w:val="1137"/>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137"/>
              <w:jc w:val="left"/>
              <w:rPr>
                <w:rFonts w:ascii="宋体" w:hAnsi="宋体" w:cs="宋体"/>
                <w:b/>
                <w:sz w:val="24"/>
                <w:highlight w:val="none"/>
              </w:rPr>
            </w:pPr>
            <w:r>
              <w:rPr>
                <w:rFonts w:hint="eastAsia" w:ascii="宋体" w:hAnsi="宋体" w:cs="宋体"/>
                <w:b/>
                <w:sz w:val="24"/>
                <w:highlight w:val="none"/>
              </w:rPr>
              <w:t xml:space="preserve">对本项目合同条款的偏离情况（请进行勾选）：</w:t>
            </w:r>
            <w:r>
              <w:rPr>
                <w:rFonts w:ascii="宋体" w:hAnsi="宋体" w:cs="宋体"/>
                <w:b/>
                <w:sz w:val="24"/>
                <w:highlight w:val="none"/>
              </w:rPr>
            </w:r>
            <w:r/>
          </w:p>
          <w:p>
            <w:pPr>
              <w:pStyle w:val="1137"/>
              <w:jc w:val="left"/>
              <w:rPr>
                <w:rFonts w:ascii="宋体" w:hAnsi="宋体" w:cs="宋体"/>
                <w:b/>
                <w:sz w:val="24"/>
                <w:highlight w:val="none"/>
              </w:rPr>
            </w:pPr>
            <w:r>
              <w:rPr>
                <w:rFonts w:hint="eastAsia" w:ascii="宋体" w:hAnsi="宋体" w:cs="宋体"/>
                <w:b/>
                <w:sz w:val="24"/>
                <w:highlight w:val="none"/>
              </w:rPr>
              <w:t xml:space="preserve">□无偏离</w:t>
            </w:r>
            <w:r>
              <w:rPr>
                <w:rFonts w:hint="eastAsia" w:ascii="宋体" w:hAnsi="宋体" w:cs="宋体"/>
                <w:sz w:val="24"/>
                <w:highlight w:val="none"/>
              </w:rPr>
              <w:t xml:space="preserve">（</w:t>
            </w:r>
            <w:r>
              <w:rPr>
                <w:rFonts w:hint="eastAsia" w:ascii="宋体" w:hAnsi="宋体" w:cs="宋体"/>
                <w:sz w:val="24"/>
                <w:szCs w:val="21"/>
                <w:highlight w:val="none"/>
              </w:rPr>
              <w:t xml:space="preserve">如无偏离，仅勾选无偏离即可</w:t>
            </w:r>
            <w:r>
              <w:rPr>
                <w:rFonts w:hint="eastAsia" w:ascii="宋体" w:hAnsi="宋体" w:cs="宋体"/>
                <w:sz w:val="24"/>
                <w:highlight w:val="none"/>
              </w:rPr>
              <w:t xml:space="preserve">）</w:t>
            </w:r>
            <w:r>
              <w:rPr>
                <w:rFonts w:ascii="宋体" w:hAnsi="宋体" w:cs="宋体"/>
                <w:b/>
                <w:sz w:val="24"/>
                <w:highlight w:val="none"/>
              </w:rPr>
            </w:r>
            <w:r/>
          </w:p>
          <w:p>
            <w:pPr>
              <w:pStyle w:val="1137"/>
              <w:jc w:val="left"/>
              <w:rPr>
                <w:rFonts w:ascii="宋体" w:hAnsi="宋体" w:cs="宋体"/>
                <w:sz w:val="24"/>
                <w:highlight w:val="none"/>
              </w:rPr>
            </w:pPr>
            <w:r>
              <w:rPr>
                <w:rFonts w:hint="eastAsia" w:ascii="宋体" w:hAnsi="宋体" w:cs="宋体"/>
                <w:b/>
                <w:sz w:val="24"/>
                <w:highlight w:val="none"/>
              </w:rPr>
              <w:t xml:space="preserve">□有偏离</w:t>
            </w:r>
            <w:r>
              <w:rPr>
                <w:rFonts w:hint="eastAsia" w:ascii="宋体" w:hAnsi="宋体" w:cs="宋体"/>
                <w:sz w:val="24"/>
                <w:highlight w:val="none"/>
              </w:rPr>
              <w:t xml:space="preserve">（</w:t>
            </w:r>
            <w:r>
              <w:rPr>
                <w:rFonts w:hint="eastAsia" w:ascii="宋体" w:hAnsi="宋体" w:cs="宋体"/>
                <w:sz w:val="24"/>
                <w:szCs w:val="21"/>
                <w:highlight w:val="none"/>
              </w:rPr>
              <w:t xml:space="preserve">如有偏离，</w:t>
            </w:r>
            <w:r>
              <w:rPr>
                <w:rFonts w:hint="eastAsia" w:ascii="宋体" w:hAnsi="宋体" w:cs="宋体"/>
                <w:sz w:val="24"/>
                <w:highlight w:val="none"/>
              </w:rPr>
              <w:t xml:space="preserve">则应在本表中对偏离项逐一列明）</w:t>
            </w:r>
            <w:r>
              <w:rPr>
                <w:rFonts w:ascii="宋体" w:hAnsi="宋体" w:cs="宋体"/>
                <w:sz w:val="24"/>
                <w:highlight w:val="none"/>
              </w:rPr>
            </w:r>
            <w:r/>
          </w:p>
        </w:tc>
      </w:tr>
      <w:tr>
        <w:trPr>
          <w:trHeight w:val="930"/>
        </w:trPr>
        <w:tc>
          <w:tcPr>
            <w:tcW w:w="834" w:type="dxa"/>
            <w:vAlign w:val="center"/>
            <w:textDirection w:val="lrTb"/>
            <w:noWrap w:val="false"/>
          </w:tcPr>
          <w:p>
            <w:pPr>
              <w:pStyle w:val="1137"/>
              <w:jc w:val="center"/>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1301" w:type="dxa"/>
            <w:vAlign w:val="center"/>
            <w:textDirection w:val="lrTb"/>
            <w:noWrap w:val="false"/>
          </w:tcPr>
          <w:p>
            <w:pPr>
              <w:pStyle w:val="1137"/>
              <w:jc w:val="center"/>
              <w:rPr>
                <w:rFonts w:ascii="宋体" w:hAnsi="宋体" w:cs="宋体"/>
                <w:sz w:val="24"/>
                <w:highlight w:val="none"/>
              </w:rPr>
            </w:pPr>
            <w:r>
              <w:rPr>
                <w:rFonts w:hint="eastAsia" w:ascii="宋体" w:hAnsi="宋体" w:cs="宋体"/>
                <w:sz w:val="24"/>
                <w:szCs w:val="21"/>
                <w:highlight w:val="none"/>
              </w:rPr>
              <w:t xml:space="preserve">招标文件</w:t>
            </w:r>
            <w:r>
              <w:rPr>
                <w:rFonts w:hint="eastAsia" w:ascii="宋体" w:hAnsi="宋体" w:cs="宋体"/>
                <w:sz w:val="24"/>
                <w:highlight w:val="none"/>
              </w:rPr>
              <w:t xml:space="preserve">条目号（页码）</w:t>
            </w:r>
            <w:r>
              <w:rPr>
                <w:rFonts w:ascii="宋体" w:hAnsi="宋体" w:cs="宋体"/>
                <w:sz w:val="24"/>
                <w:highlight w:val="none"/>
              </w:rPr>
            </w:r>
            <w:r/>
          </w:p>
        </w:tc>
        <w:tc>
          <w:tcPr>
            <w:tcW w:w="2007" w:type="dxa"/>
            <w:vAlign w:val="center"/>
            <w:textDirection w:val="lrTb"/>
            <w:noWrap w:val="false"/>
          </w:tcPr>
          <w:p>
            <w:pPr>
              <w:pStyle w:val="1137"/>
              <w:jc w:val="center"/>
              <w:rPr>
                <w:rFonts w:ascii="宋体" w:hAnsi="宋体" w:cs="宋体"/>
                <w:sz w:val="24"/>
                <w:highlight w:val="none"/>
              </w:rPr>
            </w:pPr>
            <w:r>
              <w:rPr>
                <w:rFonts w:hint="eastAsia" w:ascii="宋体" w:hAnsi="宋体" w:cs="宋体"/>
                <w:sz w:val="24"/>
                <w:szCs w:val="21"/>
                <w:highlight w:val="none"/>
              </w:rPr>
              <w:t xml:space="preserve">招标文件</w:t>
            </w:r>
            <w:r>
              <w:rPr>
                <w:rFonts w:hint="eastAsia" w:ascii="宋体" w:hAnsi="宋体" w:cs="宋体"/>
                <w:sz w:val="24"/>
                <w:highlight w:val="none"/>
              </w:rPr>
              <w:t xml:space="preserve">要求</w:t>
            </w:r>
            <w:r>
              <w:rPr>
                <w:rFonts w:ascii="宋体" w:hAnsi="宋体" w:cs="宋体"/>
                <w:sz w:val="24"/>
                <w:highlight w:val="none"/>
              </w:rPr>
            </w:r>
            <w:r/>
          </w:p>
        </w:tc>
        <w:tc>
          <w:tcPr>
            <w:tcW w:w="2008" w:type="dxa"/>
            <w:vAlign w:val="center"/>
            <w:textDirection w:val="lrTb"/>
            <w:noWrap w:val="false"/>
          </w:tcPr>
          <w:p>
            <w:pPr>
              <w:pStyle w:val="1137"/>
              <w:jc w:val="center"/>
              <w:rPr>
                <w:rFonts w:ascii="宋体" w:hAnsi="宋体" w:cs="宋体"/>
                <w:sz w:val="24"/>
                <w:highlight w:val="none"/>
              </w:rPr>
            </w:pPr>
            <w:r>
              <w:rPr>
                <w:rFonts w:hint="eastAsia" w:ascii="宋体" w:hAnsi="宋体" w:cs="宋体"/>
                <w:sz w:val="24"/>
                <w:highlight w:val="none"/>
              </w:rPr>
              <w:t xml:space="preserve">投标文件内容</w:t>
            </w:r>
            <w:r>
              <w:rPr>
                <w:rFonts w:ascii="宋体" w:hAnsi="宋体" w:cs="宋体"/>
                <w:sz w:val="24"/>
                <w:highlight w:val="none"/>
              </w:rPr>
            </w:r>
            <w:r/>
          </w:p>
        </w:tc>
        <w:tc>
          <w:tcPr>
            <w:tcW w:w="2458" w:type="dxa"/>
            <w:vAlign w:val="center"/>
            <w:textDirection w:val="lrTb"/>
            <w:noWrap w:val="false"/>
          </w:tcPr>
          <w:p>
            <w:pPr>
              <w:pStyle w:val="1137"/>
              <w:jc w:val="center"/>
              <w:rPr>
                <w:rFonts w:ascii="宋体" w:hAnsi="宋体" w:cs="宋体"/>
                <w:sz w:val="24"/>
                <w:highlight w:val="none"/>
              </w:rPr>
            </w:pPr>
            <w:r>
              <w:rPr>
                <w:rFonts w:hint="eastAsia" w:ascii="宋体" w:hAnsi="宋体" w:cs="宋体"/>
                <w:sz w:val="24"/>
                <w:highlight w:val="none"/>
              </w:rPr>
              <w:t xml:space="preserve">偏离情况</w:t>
            </w:r>
            <w:r>
              <w:rPr>
                <w:rFonts w:ascii="宋体" w:hAnsi="宋体" w:cs="宋体"/>
                <w:sz w:val="24"/>
                <w:highlight w:val="none"/>
              </w:rPr>
            </w:r>
            <w:r/>
          </w:p>
        </w:tc>
        <w:tc>
          <w:tcPr>
            <w:tcW w:w="788" w:type="dxa"/>
            <w:vAlign w:val="center"/>
            <w:textDirection w:val="lrTb"/>
            <w:noWrap w:val="false"/>
          </w:tcPr>
          <w:p>
            <w:pPr>
              <w:pStyle w:val="1137"/>
              <w:jc w:val="center"/>
              <w:rPr>
                <w:rFonts w:ascii="宋体" w:hAnsi="宋体" w:cs="宋体"/>
                <w:sz w:val="24"/>
                <w:highlight w:val="none"/>
              </w:rPr>
            </w:pPr>
            <w:r>
              <w:rPr>
                <w:rFonts w:hint="eastAsia" w:ascii="宋体" w:hAnsi="宋体" w:cs="宋体"/>
                <w:sz w:val="24"/>
                <w:highlight w:val="none"/>
              </w:rPr>
              <w:t xml:space="preserve">说明</w:t>
            </w:r>
            <w:r>
              <w:rPr>
                <w:rFonts w:ascii="宋体" w:hAnsi="宋体" w:cs="宋体"/>
                <w:sz w:val="24"/>
                <w:highlight w:val="none"/>
              </w:rPr>
            </w:r>
            <w:r/>
          </w:p>
        </w:tc>
      </w:tr>
      <w:tr>
        <w:trPr>
          <w:trHeight w:val="930"/>
        </w:trPr>
        <w:tc>
          <w:tcPr>
            <w:tcW w:w="834"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1301"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007"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00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45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78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r>
      <w:tr>
        <w:trPr>
          <w:trHeight w:val="930"/>
        </w:trPr>
        <w:tc>
          <w:tcPr>
            <w:tcW w:w="834"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1301"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007"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00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45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78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r>
      <w:tr>
        <w:trPr>
          <w:trHeight w:val="930"/>
        </w:trPr>
        <w:tc>
          <w:tcPr>
            <w:tcW w:w="834"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1301"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007"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00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45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78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r>
      <w:tr>
        <w:trPr>
          <w:trHeight w:val="930"/>
        </w:trPr>
        <w:tc>
          <w:tcPr>
            <w:tcW w:w="834" w:type="dxa"/>
            <w:vAlign w:val="center"/>
            <w:textDirection w:val="lrTb"/>
            <w:noWrap w:val="false"/>
          </w:tcPr>
          <w:p>
            <w:pPr>
              <w:pStyle w:val="1137"/>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tc>
        <w:tc>
          <w:tcPr>
            <w:tcW w:w="1301"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007"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00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245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c>
          <w:tcPr>
            <w:tcW w:w="788" w:type="dxa"/>
            <w:vAlign w:val="center"/>
            <w:textDirection w:val="lrTb"/>
            <w:noWrap w:val="false"/>
          </w:tcPr>
          <w:p>
            <w:pPr>
              <w:pStyle w:val="1137"/>
              <w:jc w:val="center"/>
              <w:rPr>
                <w:rFonts w:ascii="宋体" w:hAnsi="宋体" w:cs="宋体"/>
                <w:sz w:val="24"/>
                <w:highlight w:val="none"/>
              </w:rPr>
            </w:pPr>
            <w:r>
              <w:rPr>
                <w:rFonts w:ascii="宋体" w:hAnsi="宋体" w:cs="宋体"/>
                <w:sz w:val="24"/>
                <w:highlight w:val="none"/>
              </w:rPr>
            </w:r>
            <w:r/>
          </w:p>
        </w:tc>
      </w:tr>
    </w:tbl>
    <w:p>
      <w:pPr>
        <w:pStyle w:val="1137"/>
        <w:jc w:val="left"/>
        <w:tabs>
          <w:tab w:val="left" w:pos="1800" w:leader="none"/>
          <w:tab w:val="left" w:pos="5580" w:leader="none"/>
        </w:tabs>
        <w:rPr>
          <w:sz w:val="24"/>
          <w:highlight w:val="none"/>
        </w:rPr>
      </w:pPr>
      <w:r>
        <w:rPr>
          <w:sz w:val="24"/>
          <w:highlight w:val="none"/>
        </w:rPr>
      </w:r>
      <w:r/>
    </w:p>
    <w:p>
      <w:pPr>
        <w:pStyle w:val="1137"/>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rPr>
          <w:rFonts w:ascii="宋体" w:hAnsi="宋体" w:cs="宋体"/>
          <w:sz w:val="24"/>
          <w:highlight w:val="none"/>
        </w:rPr>
      </w:r>
      <w:r/>
    </w:p>
    <w:p>
      <w:pPr>
        <w:pStyle w:val="1137"/>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对合同条款中的所有要求，除本表所列明的所有偏离外，均视作供应商已对之理解和响应。</w:t>
      </w:r>
      <w:r>
        <w:rPr>
          <w:rFonts w:ascii="宋体" w:hAnsi="宋体" w:cs="宋体"/>
          <w:sz w:val="24"/>
          <w:highlight w:val="none"/>
        </w:rPr>
      </w:r>
      <w:r/>
    </w:p>
    <w:p>
      <w:pPr>
        <w:pStyle w:val="1137"/>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 “偏离情况”列应据实填写“正偏离”、“负偏离”或“无偏离”。</w:t>
      </w:r>
      <w:r>
        <w:rPr>
          <w:rFonts w:ascii="宋体" w:hAnsi="宋体" w:cs="宋体"/>
          <w:sz w:val="24"/>
          <w:highlight w:val="none"/>
        </w:rPr>
      </w:r>
      <w:r/>
    </w:p>
    <w:p>
      <w:pPr>
        <w:pStyle w:val="1137"/>
        <w:spacing w:line="400" w:lineRule="exact"/>
        <w:rPr>
          <w:rFonts w:ascii="宋体" w:hAnsi="宋体" w:cs="宋体"/>
          <w:sz w:val="24"/>
          <w:szCs w:val="20"/>
          <w:highlight w:val="none"/>
        </w:rPr>
      </w:pPr>
      <w:r>
        <w:rPr>
          <w:rFonts w:ascii="宋体" w:hAnsi="宋体" w:cs="宋体"/>
          <w:sz w:val="24"/>
          <w:szCs w:val="20"/>
          <w:highlight w:val="none"/>
        </w:rPr>
      </w:r>
      <w:r/>
    </w:p>
    <w:p>
      <w:pPr>
        <w:pStyle w:val="1137"/>
        <w:spacing w:line="400" w:lineRule="exact"/>
        <w:rPr>
          <w:rFonts w:ascii="宋体" w:hAnsi="宋体" w:cs="宋体"/>
          <w:sz w:val="24"/>
          <w:highlight w:val="none"/>
          <w:lang w:val="zh-CN"/>
        </w:rPr>
      </w:pPr>
      <w:r>
        <w:rPr>
          <w:rFonts w:ascii="宋体" w:hAnsi="宋体" w:cs="宋体"/>
          <w:sz w:val="24"/>
          <w:highlight w:val="none"/>
          <w:lang w:val="zh-CN"/>
        </w:rPr>
      </w:r>
      <w:r/>
    </w:p>
    <w:p>
      <w:pPr>
        <w:pStyle w:val="1137"/>
        <w:spacing w:line="400" w:lineRule="exact"/>
        <w:rPr>
          <w:rFonts w:ascii="宋体" w:hAnsi="宋体" w:cs="宋体"/>
          <w:sz w:val="24"/>
          <w:highlight w:val="none"/>
          <w:lang w:val="zh-CN"/>
        </w:rPr>
      </w:pPr>
      <w:r>
        <w:rPr>
          <w:rFonts w:hint="eastAsia" w:ascii="宋体" w:hAnsi="宋体" w:cs="宋体"/>
          <w:sz w:val="24"/>
          <w:highlight w:val="none"/>
        </w:rPr>
        <w:t xml:space="preserve">投标人名称（加盖公章）</w:t>
      </w:r>
      <w:r>
        <w:rPr>
          <w:rFonts w:hint="eastAsia" w:ascii="宋体" w:hAnsi="宋体" w:cs="宋体"/>
          <w:sz w:val="24"/>
          <w:highlight w:val="none"/>
          <w:lang w:val="zh-CN"/>
        </w:rPr>
        <w:t xml:space="preserve">：____________</w:t>
      </w:r>
      <w:r>
        <w:rPr>
          <w:rFonts w:ascii="宋体" w:hAnsi="宋体" w:cs="宋体"/>
          <w:sz w:val="24"/>
          <w:highlight w:val="none"/>
          <w:lang w:val="zh-CN"/>
        </w:rPr>
      </w:r>
      <w:r/>
    </w:p>
    <w:p>
      <w:pPr>
        <w:pStyle w:val="1137"/>
        <w:spacing w:line="400" w:lineRule="exact"/>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rPr>
          <w:rFonts w:ascii="宋体" w:hAnsi="宋体" w:cs="宋体"/>
          <w:sz w:val="24"/>
          <w:highlight w:val="none"/>
          <w:lang w:val="zh-CN"/>
        </w:rPr>
      </w:r>
      <w:r/>
    </w:p>
    <w:p>
      <w:pPr>
        <w:pStyle w:val="1137"/>
        <w:spacing w:line="360" w:lineRule="auto"/>
        <w:rPr>
          <w:sz w:val="24"/>
          <w:szCs w:val="20"/>
          <w:highlight w:val="none"/>
        </w:rPr>
        <w:outlineLvl w:val="2"/>
      </w:pPr>
      <w:r>
        <w:rPr>
          <w:sz w:val="24"/>
          <w:szCs w:val="20"/>
          <w:highlight w:val="none"/>
        </w:rPr>
        <w:br w:type="page" w:clear="all"/>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sz w:val="24"/>
          <w:szCs w:val="20"/>
          <w:highlight w:val="none"/>
        </w:rPr>
        <w:t xml:space="preserve">7 </w:t>
      </w:r>
      <w:r>
        <w:rPr>
          <w:sz w:val="24"/>
          <w:szCs w:val="20"/>
          <w:highlight w:val="none"/>
        </w:rPr>
        <w:t xml:space="preserve">采购需求偏离表（实质性格式）</w:t>
      </w:r>
      <w:r>
        <w:rPr>
          <w:sz w:val="24"/>
          <w:szCs w:val="20"/>
          <w:highlight w:val="none"/>
        </w:rPr>
      </w:r>
      <w:r/>
    </w:p>
    <w:p>
      <w:pPr>
        <w:pStyle w:val="1137"/>
        <w:jc w:val="center"/>
        <w:spacing w:line="360" w:lineRule="auto"/>
        <w:rPr>
          <w:b/>
          <w:sz w:val="36"/>
          <w:szCs w:val="36"/>
          <w:highlight w:val="none"/>
        </w:rPr>
      </w:pPr>
      <w:r>
        <w:rPr>
          <w:b/>
          <w:sz w:val="36"/>
          <w:szCs w:val="36"/>
          <w:highlight w:val="none"/>
        </w:rPr>
      </w:r>
      <w:r/>
    </w:p>
    <w:p>
      <w:pPr>
        <w:pStyle w:val="1137"/>
        <w:jc w:val="center"/>
        <w:spacing w:line="360" w:lineRule="auto"/>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1137"/>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137"/>
              <w:jc w:val="left"/>
              <w:rPr>
                <w:rFonts w:ascii="宋体" w:hAnsi="宋体" w:cs="宋体"/>
                <w:b/>
                <w:sz w:val="24"/>
                <w:highlight w:val="none"/>
              </w:rPr>
            </w:pPr>
            <w:r>
              <w:rPr>
                <w:rFonts w:hint="eastAsia" w:ascii="宋体" w:hAnsi="宋体" w:cs="宋体"/>
                <w:b/>
                <w:sz w:val="24"/>
                <w:highlight w:val="none"/>
              </w:rPr>
              <w:t xml:space="preserve">对本项目采购需求条款的偏离情况（请进行勾选）：</w:t>
            </w:r>
            <w:r>
              <w:rPr>
                <w:rFonts w:ascii="宋体" w:hAnsi="宋体" w:cs="宋体"/>
                <w:b/>
                <w:sz w:val="24"/>
                <w:highlight w:val="none"/>
              </w:rPr>
            </w:r>
            <w:r/>
          </w:p>
          <w:p>
            <w:pPr>
              <w:pStyle w:val="1137"/>
              <w:jc w:val="left"/>
              <w:rPr>
                <w:rFonts w:ascii="宋体" w:hAnsi="宋体" w:cs="宋体"/>
                <w:b/>
                <w:sz w:val="24"/>
                <w:highlight w:val="none"/>
              </w:rPr>
            </w:pPr>
            <w:r>
              <w:rPr>
                <w:rFonts w:hint="eastAsia" w:ascii="宋体" w:hAnsi="宋体" w:cs="宋体"/>
                <w:b/>
                <w:sz w:val="24"/>
                <w:highlight w:val="none"/>
              </w:rPr>
              <w:t xml:space="preserve">□无偏离</w:t>
            </w:r>
            <w:r>
              <w:rPr>
                <w:rFonts w:hint="eastAsia" w:ascii="宋体" w:hAnsi="宋体" w:cs="宋体"/>
                <w:sz w:val="24"/>
                <w:highlight w:val="none"/>
              </w:rPr>
              <w:t xml:space="preserve">（</w:t>
            </w:r>
            <w:r>
              <w:rPr>
                <w:rFonts w:hint="eastAsia" w:ascii="宋体" w:hAnsi="宋体" w:cs="宋体"/>
                <w:sz w:val="24"/>
                <w:szCs w:val="21"/>
                <w:highlight w:val="none"/>
              </w:rPr>
              <w:t xml:space="preserve">如无偏离，仅勾选无偏离即可</w:t>
            </w:r>
            <w:r>
              <w:rPr>
                <w:rFonts w:hint="eastAsia" w:ascii="宋体" w:hAnsi="宋体" w:cs="宋体"/>
                <w:sz w:val="24"/>
                <w:highlight w:val="none"/>
              </w:rPr>
              <w:t xml:space="preserve">）</w:t>
            </w:r>
            <w:r>
              <w:rPr>
                <w:rFonts w:ascii="宋体" w:hAnsi="宋体" w:cs="宋体"/>
                <w:b/>
                <w:sz w:val="24"/>
                <w:highlight w:val="none"/>
              </w:rPr>
            </w:r>
            <w:r/>
          </w:p>
          <w:p>
            <w:pPr>
              <w:pStyle w:val="1137"/>
              <w:rPr>
                <w:sz w:val="24"/>
                <w:highlight w:val="none"/>
              </w:rPr>
            </w:pPr>
            <w:r>
              <w:rPr>
                <w:rFonts w:hint="eastAsia" w:ascii="宋体" w:hAnsi="宋体" w:cs="宋体"/>
                <w:b/>
                <w:sz w:val="24"/>
                <w:highlight w:val="none"/>
              </w:rPr>
              <w:t xml:space="preserve">□有偏离</w:t>
            </w:r>
            <w:r>
              <w:rPr>
                <w:rFonts w:hint="eastAsia" w:ascii="宋体" w:hAnsi="宋体" w:cs="宋体"/>
                <w:sz w:val="24"/>
                <w:highlight w:val="none"/>
              </w:rPr>
              <w:t xml:space="preserve">（</w:t>
            </w:r>
            <w:r>
              <w:rPr>
                <w:rFonts w:hint="eastAsia" w:ascii="宋体" w:hAnsi="宋体" w:cs="宋体"/>
                <w:sz w:val="24"/>
                <w:szCs w:val="21"/>
                <w:highlight w:val="none"/>
              </w:rPr>
              <w:t xml:space="preserve">如有偏离，</w:t>
            </w:r>
            <w:r>
              <w:rPr>
                <w:rFonts w:hint="eastAsia" w:ascii="宋体" w:hAnsi="宋体" w:cs="宋体"/>
                <w:sz w:val="24"/>
                <w:highlight w:val="none"/>
              </w:rPr>
              <w:t xml:space="preserve">则应在本表中对偏离项逐一列明）</w:t>
            </w:r>
            <w:r>
              <w:rPr>
                <w:sz w:val="24"/>
                <w:highlight w:val="none"/>
              </w:rPr>
            </w:r>
            <w:r/>
          </w:p>
        </w:tc>
      </w:tr>
      <w:tr>
        <w:trPr>
          <w:trHeight w:val="1053"/>
        </w:trPr>
        <w:tc>
          <w:tcPr>
            <w:tcW w:w="775" w:type="dxa"/>
            <w:vAlign w:val="center"/>
            <w:textDirection w:val="lrTb"/>
            <w:noWrap w:val="false"/>
          </w:tcPr>
          <w:p>
            <w:pPr>
              <w:pStyle w:val="1137"/>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1137"/>
              <w:jc w:val="center"/>
              <w:rPr>
                <w:sz w:val="24"/>
                <w:highlight w:val="none"/>
              </w:rPr>
            </w:pPr>
            <w:r>
              <w:rPr>
                <w:sz w:val="24"/>
                <w:highlight w:val="none"/>
              </w:rPr>
              <w:t xml:space="preserve">招标文件条目号(页码)</w:t>
            </w:r>
            <w:r>
              <w:rPr>
                <w:sz w:val="24"/>
                <w:highlight w:val="none"/>
              </w:rPr>
            </w:r>
            <w:r/>
          </w:p>
        </w:tc>
        <w:tc>
          <w:tcPr>
            <w:tcW w:w="2384" w:type="dxa"/>
            <w:vAlign w:val="center"/>
            <w:textDirection w:val="lrTb"/>
            <w:noWrap w:val="false"/>
          </w:tcPr>
          <w:p>
            <w:pPr>
              <w:pStyle w:val="1137"/>
              <w:jc w:val="center"/>
              <w:rPr>
                <w:sz w:val="24"/>
                <w:highlight w:val="none"/>
              </w:rPr>
            </w:pPr>
            <w:r>
              <w:rPr>
                <w:sz w:val="24"/>
                <w:highlight w:val="none"/>
              </w:rPr>
              <w:t xml:space="preserve">招标文件要求</w:t>
            </w:r>
            <w:r>
              <w:rPr>
                <w:sz w:val="24"/>
                <w:highlight w:val="none"/>
              </w:rPr>
            </w:r>
            <w:r/>
          </w:p>
        </w:tc>
        <w:tc>
          <w:tcPr>
            <w:tcW w:w="2126" w:type="dxa"/>
            <w:vAlign w:val="center"/>
            <w:textDirection w:val="lrTb"/>
            <w:noWrap w:val="false"/>
          </w:tcPr>
          <w:p>
            <w:pPr>
              <w:pStyle w:val="1137"/>
              <w:jc w:val="center"/>
              <w:rPr>
                <w:sz w:val="24"/>
                <w:highlight w:val="none"/>
              </w:rPr>
            </w:pPr>
            <w:r>
              <w:rPr>
                <w:sz w:val="24"/>
                <w:highlight w:val="none"/>
              </w:rPr>
              <w:t xml:space="preserve">投标响应内容</w:t>
            </w:r>
            <w:r>
              <w:rPr>
                <w:sz w:val="24"/>
                <w:highlight w:val="none"/>
              </w:rPr>
            </w:r>
            <w:r/>
          </w:p>
        </w:tc>
        <w:tc>
          <w:tcPr>
            <w:tcW w:w="1875" w:type="dxa"/>
            <w:vAlign w:val="center"/>
            <w:textDirection w:val="lrTb"/>
            <w:noWrap w:val="false"/>
          </w:tcPr>
          <w:p>
            <w:pPr>
              <w:pStyle w:val="1137"/>
              <w:jc w:val="center"/>
              <w:rPr>
                <w:sz w:val="24"/>
                <w:highlight w:val="none"/>
              </w:rPr>
            </w:pPr>
            <w:r>
              <w:rPr>
                <w:sz w:val="24"/>
                <w:highlight w:val="none"/>
              </w:rPr>
              <w:t xml:space="preserve">偏离情况</w:t>
            </w:r>
            <w:r>
              <w:rPr>
                <w:sz w:val="24"/>
                <w:highlight w:val="none"/>
              </w:rPr>
            </w:r>
            <w:r/>
          </w:p>
        </w:tc>
        <w:tc>
          <w:tcPr>
            <w:tcW w:w="1009" w:type="dxa"/>
            <w:vAlign w:val="center"/>
            <w:textDirection w:val="lrTb"/>
            <w:noWrap w:val="false"/>
          </w:tcPr>
          <w:p>
            <w:pPr>
              <w:pStyle w:val="1137"/>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1137"/>
              <w:jc w:val="center"/>
              <w:rPr>
                <w:sz w:val="24"/>
                <w:highlight w:val="none"/>
              </w:rPr>
            </w:pPr>
            <w:r>
              <w:rPr>
                <w:sz w:val="24"/>
                <w:highlight w:val="none"/>
              </w:rPr>
            </w:r>
            <w:r/>
          </w:p>
        </w:tc>
        <w:tc>
          <w:tcPr>
            <w:tcW w:w="1482" w:type="dxa"/>
            <w:vAlign w:val="center"/>
            <w:textDirection w:val="lrTb"/>
            <w:noWrap w:val="false"/>
          </w:tcPr>
          <w:p>
            <w:pPr>
              <w:pStyle w:val="1137"/>
              <w:jc w:val="center"/>
              <w:rPr>
                <w:sz w:val="24"/>
                <w:highlight w:val="none"/>
              </w:rPr>
            </w:pPr>
            <w:r>
              <w:rPr>
                <w:sz w:val="24"/>
                <w:highlight w:val="none"/>
              </w:rPr>
            </w:r>
            <w:r/>
          </w:p>
        </w:tc>
        <w:tc>
          <w:tcPr>
            <w:tcW w:w="2384" w:type="dxa"/>
            <w:vAlign w:val="center"/>
            <w:textDirection w:val="lrTb"/>
            <w:noWrap w:val="false"/>
          </w:tcPr>
          <w:p>
            <w:pPr>
              <w:pStyle w:val="1137"/>
              <w:jc w:val="center"/>
              <w:rPr>
                <w:sz w:val="24"/>
                <w:highlight w:val="none"/>
              </w:rPr>
            </w:pPr>
            <w:r>
              <w:rPr>
                <w:sz w:val="24"/>
                <w:highlight w:val="none"/>
              </w:rPr>
            </w:r>
            <w:r/>
          </w:p>
        </w:tc>
        <w:tc>
          <w:tcPr>
            <w:tcW w:w="2126" w:type="dxa"/>
            <w:vAlign w:val="center"/>
            <w:textDirection w:val="lrTb"/>
            <w:noWrap w:val="false"/>
          </w:tcPr>
          <w:p>
            <w:pPr>
              <w:pStyle w:val="1137"/>
              <w:jc w:val="center"/>
              <w:rPr>
                <w:sz w:val="24"/>
                <w:highlight w:val="none"/>
              </w:rPr>
            </w:pPr>
            <w:r>
              <w:rPr>
                <w:sz w:val="24"/>
                <w:highlight w:val="none"/>
              </w:rPr>
            </w:r>
            <w:r/>
          </w:p>
        </w:tc>
        <w:tc>
          <w:tcPr>
            <w:tcW w:w="1875" w:type="dxa"/>
            <w:vAlign w:val="center"/>
            <w:textDirection w:val="lrTb"/>
            <w:noWrap w:val="false"/>
          </w:tcPr>
          <w:p>
            <w:pPr>
              <w:pStyle w:val="1137"/>
              <w:jc w:val="center"/>
              <w:rPr>
                <w:sz w:val="24"/>
                <w:highlight w:val="none"/>
              </w:rPr>
            </w:pPr>
            <w:r>
              <w:rPr>
                <w:sz w:val="24"/>
                <w:highlight w:val="none"/>
              </w:rPr>
            </w:r>
            <w:r/>
          </w:p>
        </w:tc>
        <w:tc>
          <w:tcPr>
            <w:tcW w:w="1009" w:type="dxa"/>
            <w:vAlign w:val="center"/>
            <w:textDirection w:val="lrTb"/>
            <w:noWrap w:val="false"/>
          </w:tcPr>
          <w:p>
            <w:pPr>
              <w:pStyle w:val="1137"/>
              <w:jc w:val="center"/>
              <w:rPr>
                <w:sz w:val="24"/>
                <w:highlight w:val="none"/>
              </w:rPr>
            </w:pPr>
            <w:r>
              <w:rPr>
                <w:sz w:val="24"/>
                <w:highlight w:val="none"/>
              </w:rPr>
            </w:r>
            <w:r/>
          </w:p>
        </w:tc>
      </w:tr>
      <w:tr>
        <w:trPr>
          <w:trHeight w:val="930"/>
        </w:trPr>
        <w:tc>
          <w:tcPr>
            <w:tcW w:w="775" w:type="dxa"/>
            <w:vAlign w:val="center"/>
            <w:textDirection w:val="lrTb"/>
            <w:noWrap w:val="false"/>
          </w:tcPr>
          <w:p>
            <w:pPr>
              <w:pStyle w:val="1137"/>
              <w:jc w:val="center"/>
              <w:rPr>
                <w:sz w:val="24"/>
                <w:highlight w:val="none"/>
              </w:rPr>
            </w:pPr>
            <w:r>
              <w:rPr>
                <w:sz w:val="24"/>
                <w:highlight w:val="none"/>
              </w:rPr>
            </w:r>
            <w:r/>
          </w:p>
        </w:tc>
        <w:tc>
          <w:tcPr>
            <w:tcW w:w="1482" w:type="dxa"/>
            <w:vAlign w:val="center"/>
            <w:textDirection w:val="lrTb"/>
            <w:noWrap w:val="false"/>
          </w:tcPr>
          <w:p>
            <w:pPr>
              <w:pStyle w:val="1137"/>
              <w:jc w:val="center"/>
              <w:rPr>
                <w:sz w:val="24"/>
                <w:highlight w:val="none"/>
              </w:rPr>
            </w:pPr>
            <w:r>
              <w:rPr>
                <w:sz w:val="24"/>
                <w:highlight w:val="none"/>
              </w:rPr>
            </w:r>
            <w:r/>
          </w:p>
        </w:tc>
        <w:tc>
          <w:tcPr>
            <w:tcW w:w="2384" w:type="dxa"/>
            <w:vAlign w:val="center"/>
            <w:textDirection w:val="lrTb"/>
            <w:noWrap w:val="false"/>
          </w:tcPr>
          <w:p>
            <w:pPr>
              <w:pStyle w:val="1137"/>
              <w:jc w:val="center"/>
              <w:rPr>
                <w:sz w:val="24"/>
                <w:highlight w:val="none"/>
              </w:rPr>
            </w:pPr>
            <w:r>
              <w:rPr>
                <w:sz w:val="24"/>
                <w:highlight w:val="none"/>
              </w:rPr>
            </w:r>
            <w:r/>
          </w:p>
        </w:tc>
        <w:tc>
          <w:tcPr>
            <w:tcW w:w="2126" w:type="dxa"/>
            <w:vAlign w:val="center"/>
            <w:textDirection w:val="lrTb"/>
            <w:noWrap w:val="false"/>
          </w:tcPr>
          <w:p>
            <w:pPr>
              <w:pStyle w:val="1137"/>
              <w:jc w:val="center"/>
              <w:rPr>
                <w:sz w:val="24"/>
                <w:highlight w:val="none"/>
              </w:rPr>
            </w:pPr>
            <w:r>
              <w:rPr>
                <w:sz w:val="24"/>
                <w:highlight w:val="none"/>
              </w:rPr>
            </w:r>
            <w:r/>
          </w:p>
        </w:tc>
        <w:tc>
          <w:tcPr>
            <w:tcW w:w="1875" w:type="dxa"/>
            <w:vAlign w:val="center"/>
            <w:textDirection w:val="lrTb"/>
            <w:noWrap w:val="false"/>
          </w:tcPr>
          <w:p>
            <w:pPr>
              <w:pStyle w:val="1137"/>
              <w:jc w:val="center"/>
              <w:rPr>
                <w:sz w:val="24"/>
                <w:highlight w:val="none"/>
              </w:rPr>
            </w:pPr>
            <w:r>
              <w:rPr>
                <w:sz w:val="24"/>
                <w:highlight w:val="none"/>
              </w:rPr>
            </w:r>
            <w:r/>
          </w:p>
        </w:tc>
        <w:tc>
          <w:tcPr>
            <w:tcW w:w="1009" w:type="dxa"/>
            <w:vAlign w:val="center"/>
            <w:textDirection w:val="lrTb"/>
            <w:noWrap w:val="false"/>
          </w:tcPr>
          <w:p>
            <w:pPr>
              <w:pStyle w:val="1137"/>
              <w:jc w:val="center"/>
              <w:rPr>
                <w:sz w:val="24"/>
                <w:highlight w:val="none"/>
              </w:rPr>
            </w:pPr>
            <w:r>
              <w:rPr>
                <w:sz w:val="24"/>
                <w:highlight w:val="none"/>
              </w:rPr>
            </w:r>
            <w:r/>
          </w:p>
        </w:tc>
      </w:tr>
      <w:tr>
        <w:trPr>
          <w:trHeight w:val="930"/>
        </w:trPr>
        <w:tc>
          <w:tcPr>
            <w:tcW w:w="775" w:type="dxa"/>
            <w:vAlign w:val="center"/>
            <w:textDirection w:val="lrTb"/>
            <w:noWrap w:val="false"/>
          </w:tcPr>
          <w:p>
            <w:pPr>
              <w:pStyle w:val="1137"/>
              <w:jc w:val="center"/>
              <w:rPr>
                <w:sz w:val="24"/>
                <w:highlight w:val="none"/>
              </w:rPr>
            </w:pPr>
            <w:r>
              <w:rPr>
                <w:sz w:val="24"/>
                <w:highlight w:val="none"/>
              </w:rPr>
            </w:r>
            <w:r/>
          </w:p>
        </w:tc>
        <w:tc>
          <w:tcPr>
            <w:tcW w:w="1482" w:type="dxa"/>
            <w:vAlign w:val="center"/>
            <w:textDirection w:val="lrTb"/>
            <w:noWrap w:val="false"/>
          </w:tcPr>
          <w:p>
            <w:pPr>
              <w:pStyle w:val="1137"/>
              <w:jc w:val="center"/>
              <w:rPr>
                <w:sz w:val="24"/>
                <w:highlight w:val="none"/>
              </w:rPr>
            </w:pPr>
            <w:r>
              <w:rPr>
                <w:sz w:val="24"/>
                <w:highlight w:val="none"/>
              </w:rPr>
            </w:r>
            <w:r/>
          </w:p>
        </w:tc>
        <w:tc>
          <w:tcPr>
            <w:tcW w:w="2384" w:type="dxa"/>
            <w:vAlign w:val="center"/>
            <w:textDirection w:val="lrTb"/>
            <w:noWrap w:val="false"/>
          </w:tcPr>
          <w:p>
            <w:pPr>
              <w:pStyle w:val="1137"/>
              <w:jc w:val="center"/>
              <w:rPr>
                <w:sz w:val="24"/>
                <w:highlight w:val="none"/>
              </w:rPr>
            </w:pPr>
            <w:r>
              <w:rPr>
                <w:sz w:val="24"/>
                <w:highlight w:val="none"/>
              </w:rPr>
            </w:r>
            <w:r/>
          </w:p>
        </w:tc>
        <w:tc>
          <w:tcPr>
            <w:tcW w:w="2126" w:type="dxa"/>
            <w:vAlign w:val="center"/>
            <w:textDirection w:val="lrTb"/>
            <w:noWrap w:val="false"/>
          </w:tcPr>
          <w:p>
            <w:pPr>
              <w:pStyle w:val="1137"/>
              <w:jc w:val="center"/>
              <w:rPr>
                <w:sz w:val="24"/>
                <w:highlight w:val="none"/>
              </w:rPr>
            </w:pPr>
            <w:r>
              <w:rPr>
                <w:sz w:val="24"/>
                <w:highlight w:val="none"/>
              </w:rPr>
            </w:r>
            <w:r/>
          </w:p>
        </w:tc>
        <w:tc>
          <w:tcPr>
            <w:tcW w:w="1875" w:type="dxa"/>
            <w:vAlign w:val="center"/>
            <w:textDirection w:val="lrTb"/>
            <w:noWrap w:val="false"/>
          </w:tcPr>
          <w:p>
            <w:pPr>
              <w:pStyle w:val="1137"/>
              <w:jc w:val="center"/>
              <w:rPr>
                <w:sz w:val="24"/>
                <w:highlight w:val="none"/>
              </w:rPr>
            </w:pPr>
            <w:r>
              <w:rPr>
                <w:sz w:val="24"/>
                <w:highlight w:val="none"/>
              </w:rPr>
            </w:r>
            <w:r/>
          </w:p>
        </w:tc>
        <w:tc>
          <w:tcPr>
            <w:tcW w:w="1009" w:type="dxa"/>
            <w:vAlign w:val="center"/>
            <w:textDirection w:val="lrTb"/>
            <w:noWrap w:val="false"/>
          </w:tcPr>
          <w:p>
            <w:pPr>
              <w:pStyle w:val="1137"/>
              <w:jc w:val="center"/>
              <w:rPr>
                <w:sz w:val="24"/>
                <w:highlight w:val="none"/>
              </w:rPr>
            </w:pPr>
            <w:r>
              <w:rPr>
                <w:sz w:val="24"/>
                <w:highlight w:val="none"/>
              </w:rPr>
            </w:r>
            <w:r/>
          </w:p>
        </w:tc>
      </w:tr>
      <w:tr>
        <w:trPr>
          <w:trHeight w:val="930"/>
        </w:trPr>
        <w:tc>
          <w:tcPr>
            <w:tcW w:w="775" w:type="dxa"/>
            <w:vAlign w:val="center"/>
            <w:textDirection w:val="lrTb"/>
            <w:noWrap w:val="false"/>
          </w:tcPr>
          <w:p>
            <w:pPr>
              <w:pStyle w:val="1137"/>
              <w:jc w:val="center"/>
              <w:rPr>
                <w:sz w:val="24"/>
                <w:highlight w:val="none"/>
              </w:rPr>
            </w:pPr>
            <w:r>
              <w:rPr>
                <w:sz w:val="24"/>
                <w:highlight w:val="none"/>
              </w:rPr>
            </w:r>
            <w:r/>
          </w:p>
        </w:tc>
        <w:tc>
          <w:tcPr>
            <w:tcW w:w="1482" w:type="dxa"/>
            <w:vAlign w:val="center"/>
            <w:textDirection w:val="lrTb"/>
            <w:noWrap w:val="false"/>
          </w:tcPr>
          <w:p>
            <w:pPr>
              <w:pStyle w:val="1137"/>
              <w:jc w:val="center"/>
              <w:rPr>
                <w:sz w:val="24"/>
                <w:highlight w:val="none"/>
              </w:rPr>
            </w:pPr>
            <w:r>
              <w:rPr>
                <w:sz w:val="24"/>
                <w:highlight w:val="none"/>
              </w:rPr>
            </w:r>
            <w:r/>
          </w:p>
        </w:tc>
        <w:tc>
          <w:tcPr>
            <w:tcW w:w="2384" w:type="dxa"/>
            <w:vAlign w:val="center"/>
            <w:textDirection w:val="lrTb"/>
            <w:noWrap w:val="false"/>
          </w:tcPr>
          <w:p>
            <w:pPr>
              <w:pStyle w:val="1137"/>
              <w:jc w:val="center"/>
              <w:rPr>
                <w:sz w:val="24"/>
                <w:highlight w:val="none"/>
              </w:rPr>
            </w:pPr>
            <w:r>
              <w:rPr>
                <w:sz w:val="24"/>
                <w:highlight w:val="none"/>
              </w:rPr>
            </w:r>
            <w:r/>
          </w:p>
        </w:tc>
        <w:tc>
          <w:tcPr>
            <w:tcW w:w="2126" w:type="dxa"/>
            <w:vAlign w:val="center"/>
            <w:textDirection w:val="lrTb"/>
            <w:noWrap w:val="false"/>
          </w:tcPr>
          <w:p>
            <w:pPr>
              <w:pStyle w:val="1137"/>
              <w:jc w:val="center"/>
              <w:rPr>
                <w:sz w:val="24"/>
                <w:highlight w:val="none"/>
              </w:rPr>
            </w:pPr>
            <w:r>
              <w:rPr>
                <w:sz w:val="24"/>
                <w:highlight w:val="none"/>
              </w:rPr>
            </w:r>
            <w:r/>
          </w:p>
        </w:tc>
        <w:tc>
          <w:tcPr>
            <w:tcW w:w="1875" w:type="dxa"/>
            <w:vAlign w:val="center"/>
            <w:textDirection w:val="lrTb"/>
            <w:noWrap w:val="false"/>
          </w:tcPr>
          <w:p>
            <w:pPr>
              <w:pStyle w:val="1137"/>
              <w:jc w:val="center"/>
              <w:rPr>
                <w:sz w:val="24"/>
                <w:highlight w:val="none"/>
              </w:rPr>
            </w:pPr>
            <w:r>
              <w:rPr>
                <w:sz w:val="24"/>
                <w:highlight w:val="none"/>
              </w:rPr>
            </w:r>
            <w:r/>
          </w:p>
        </w:tc>
        <w:tc>
          <w:tcPr>
            <w:tcW w:w="1009" w:type="dxa"/>
            <w:vAlign w:val="center"/>
            <w:textDirection w:val="lrTb"/>
            <w:noWrap w:val="false"/>
          </w:tcPr>
          <w:p>
            <w:pPr>
              <w:pStyle w:val="1137"/>
              <w:jc w:val="center"/>
              <w:rPr>
                <w:sz w:val="24"/>
                <w:highlight w:val="none"/>
              </w:rPr>
            </w:pPr>
            <w:r>
              <w:rPr>
                <w:sz w:val="24"/>
                <w:highlight w:val="none"/>
              </w:rPr>
            </w:r>
            <w:r/>
          </w:p>
        </w:tc>
      </w:tr>
      <w:tr>
        <w:trPr>
          <w:trHeight w:val="930"/>
        </w:trPr>
        <w:tc>
          <w:tcPr>
            <w:tcW w:w="775" w:type="dxa"/>
            <w:vAlign w:val="center"/>
            <w:textDirection w:val="lrTb"/>
            <w:noWrap w:val="false"/>
          </w:tcPr>
          <w:p>
            <w:pPr>
              <w:pStyle w:val="1137"/>
              <w:jc w:val="center"/>
              <w:rPr>
                <w:sz w:val="24"/>
                <w:highlight w:val="none"/>
              </w:rPr>
            </w:pPr>
            <w:r>
              <w:rPr>
                <w:sz w:val="24"/>
                <w:highlight w:val="none"/>
              </w:rPr>
            </w:r>
            <w:r/>
          </w:p>
        </w:tc>
        <w:tc>
          <w:tcPr>
            <w:tcW w:w="1482" w:type="dxa"/>
            <w:vAlign w:val="center"/>
            <w:textDirection w:val="lrTb"/>
            <w:noWrap w:val="false"/>
          </w:tcPr>
          <w:p>
            <w:pPr>
              <w:pStyle w:val="1137"/>
              <w:jc w:val="center"/>
              <w:rPr>
                <w:sz w:val="24"/>
                <w:highlight w:val="none"/>
              </w:rPr>
            </w:pPr>
            <w:r>
              <w:rPr>
                <w:sz w:val="24"/>
                <w:highlight w:val="none"/>
              </w:rPr>
            </w:r>
            <w:r/>
          </w:p>
        </w:tc>
        <w:tc>
          <w:tcPr>
            <w:tcW w:w="2384" w:type="dxa"/>
            <w:vAlign w:val="center"/>
            <w:textDirection w:val="lrTb"/>
            <w:noWrap w:val="false"/>
          </w:tcPr>
          <w:p>
            <w:pPr>
              <w:pStyle w:val="1137"/>
              <w:jc w:val="center"/>
              <w:rPr>
                <w:sz w:val="24"/>
                <w:highlight w:val="none"/>
              </w:rPr>
            </w:pPr>
            <w:r>
              <w:rPr>
                <w:sz w:val="24"/>
                <w:highlight w:val="none"/>
              </w:rPr>
            </w:r>
            <w:r/>
          </w:p>
        </w:tc>
        <w:tc>
          <w:tcPr>
            <w:tcW w:w="2126" w:type="dxa"/>
            <w:vAlign w:val="center"/>
            <w:textDirection w:val="lrTb"/>
            <w:noWrap w:val="false"/>
          </w:tcPr>
          <w:p>
            <w:pPr>
              <w:pStyle w:val="1137"/>
              <w:jc w:val="center"/>
              <w:rPr>
                <w:sz w:val="24"/>
                <w:highlight w:val="none"/>
              </w:rPr>
            </w:pPr>
            <w:r>
              <w:rPr>
                <w:sz w:val="24"/>
                <w:highlight w:val="none"/>
              </w:rPr>
            </w:r>
            <w:r/>
          </w:p>
        </w:tc>
        <w:tc>
          <w:tcPr>
            <w:tcW w:w="1875" w:type="dxa"/>
            <w:vAlign w:val="center"/>
            <w:textDirection w:val="lrTb"/>
            <w:noWrap w:val="false"/>
          </w:tcPr>
          <w:p>
            <w:pPr>
              <w:pStyle w:val="1137"/>
              <w:jc w:val="center"/>
              <w:rPr>
                <w:sz w:val="24"/>
                <w:highlight w:val="none"/>
              </w:rPr>
            </w:pPr>
            <w:r>
              <w:rPr>
                <w:sz w:val="24"/>
                <w:highlight w:val="none"/>
              </w:rPr>
            </w:r>
            <w:r/>
          </w:p>
        </w:tc>
        <w:tc>
          <w:tcPr>
            <w:tcW w:w="1009" w:type="dxa"/>
            <w:vAlign w:val="center"/>
            <w:textDirection w:val="lrTb"/>
            <w:noWrap w:val="false"/>
          </w:tcPr>
          <w:p>
            <w:pPr>
              <w:pStyle w:val="1137"/>
              <w:jc w:val="center"/>
              <w:rPr>
                <w:sz w:val="24"/>
                <w:highlight w:val="none"/>
              </w:rPr>
            </w:pPr>
            <w:r>
              <w:rPr>
                <w:sz w:val="24"/>
                <w:highlight w:val="none"/>
              </w:rPr>
            </w:r>
            <w:r/>
          </w:p>
        </w:tc>
      </w:tr>
      <w:tr>
        <w:trPr>
          <w:trHeight w:val="930"/>
        </w:trPr>
        <w:tc>
          <w:tcPr>
            <w:tcW w:w="775" w:type="dxa"/>
            <w:vAlign w:val="center"/>
            <w:textDirection w:val="lrTb"/>
            <w:noWrap w:val="false"/>
          </w:tcPr>
          <w:p>
            <w:pPr>
              <w:pStyle w:val="1137"/>
              <w:jc w:val="center"/>
              <w:rPr>
                <w:sz w:val="24"/>
                <w:highlight w:val="none"/>
              </w:rPr>
            </w:pPr>
            <w:r>
              <w:rPr>
                <w:sz w:val="24"/>
                <w:highlight w:val="none"/>
              </w:rPr>
              <w:t xml:space="preserve">……</w:t>
            </w:r>
            <w:r>
              <w:rPr>
                <w:sz w:val="24"/>
                <w:highlight w:val="none"/>
              </w:rPr>
            </w:r>
            <w:r/>
          </w:p>
        </w:tc>
        <w:tc>
          <w:tcPr>
            <w:tcW w:w="1482" w:type="dxa"/>
            <w:vAlign w:val="center"/>
            <w:textDirection w:val="lrTb"/>
            <w:noWrap w:val="false"/>
          </w:tcPr>
          <w:p>
            <w:pPr>
              <w:pStyle w:val="1137"/>
              <w:jc w:val="center"/>
              <w:rPr>
                <w:sz w:val="24"/>
                <w:highlight w:val="none"/>
              </w:rPr>
            </w:pPr>
            <w:r>
              <w:rPr>
                <w:sz w:val="24"/>
                <w:highlight w:val="none"/>
              </w:rPr>
            </w:r>
            <w:r/>
          </w:p>
        </w:tc>
        <w:tc>
          <w:tcPr>
            <w:tcW w:w="2384" w:type="dxa"/>
            <w:vAlign w:val="center"/>
            <w:textDirection w:val="lrTb"/>
            <w:noWrap w:val="false"/>
          </w:tcPr>
          <w:p>
            <w:pPr>
              <w:pStyle w:val="1137"/>
              <w:jc w:val="center"/>
              <w:rPr>
                <w:sz w:val="24"/>
                <w:highlight w:val="none"/>
              </w:rPr>
            </w:pPr>
            <w:r>
              <w:rPr>
                <w:sz w:val="24"/>
                <w:highlight w:val="none"/>
              </w:rPr>
            </w:r>
            <w:r/>
          </w:p>
        </w:tc>
        <w:tc>
          <w:tcPr>
            <w:tcW w:w="2126" w:type="dxa"/>
            <w:vAlign w:val="center"/>
            <w:textDirection w:val="lrTb"/>
            <w:noWrap w:val="false"/>
          </w:tcPr>
          <w:p>
            <w:pPr>
              <w:pStyle w:val="1137"/>
              <w:jc w:val="center"/>
              <w:rPr>
                <w:sz w:val="24"/>
                <w:highlight w:val="none"/>
              </w:rPr>
            </w:pPr>
            <w:r>
              <w:rPr>
                <w:sz w:val="24"/>
                <w:highlight w:val="none"/>
              </w:rPr>
            </w:r>
            <w:r/>
          </w:p>
        </w:tc>
        <w:tc>
          <w:tcPr>
            <w:tcW w:w="1875" w:type="dxa"/>
            <w:vAlign w:val="center"/>
            <w:textDirection w:val="lrTb"/>
            <w:noWrap w:val="false"/>
          </w:tcPr>
          <w:p>
            <w:pPr>
              <w:pStyle w:val="1137"/>
              <w:jc w:val="center"/>
              <w:rPr>
                <w:sz w:val="24"/>
                <w:highlight w:val="none"/>
              </w:rPr>
            </w:pPr>
            <w:r>
              <w:rPr>
                <w:sz w:val="24"/>
                <w:highlight w:val="none"/>
              </w:rPr>
            </w:r>
            <w:r/>
          </w:p>
        </w:tc>
        <w:tc>
          <w:tcPr>
            <w:tcW w:w="1009" w:type="dxa"/>
            <w:vAlign w:val="center"/>
            <w:textDirection w:val="lrTb"/>
            <w:noWrap w:val="false"/>
          </w:tcPr>
          <w:p>
            <w:pPr>
              <w:pStyle w:val="1137"/>
              <w:jc w:val="center"/>
              <w:rPr>
                <w:sz w:val="24"/>
                <w:highlight w:val="none"/>
              </w:rPr>
            </w:pPr>
            <w:r>
              <w:rPr>
                <w:sz w:val="24"/>
                <w:highlight w:val="none"/>
              </w:rPr>
            </w:r>
            <w:r/>
          </w:p>
        </w:tc>
      </w:tr>
    </w:tbl>
    <w:p>
      <w:pPr>
        <w:pStyle w:val="1137"/>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pStyle w:val="1137"/>
        <w:ind w:firstLine="480"/>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rPr>
          <w:rFonts w:ascii="宋体" w:hAnsi="宋体" w:cs="宋体"/>
          <w:sz w:val="24"/>
          <w:highlight w:val="none"/>
        </w:rPr>
      </w:r>
      <w:r/>
    </w:p>
    <w:p>
      <w:pPr>
        <w:pStyle w:val="1137"/>
        <w:ind w:firstLine="480"/>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1.对招标文件中的所有商务、技术要求，除本表所列明的所有偏离外，均视作供应商已对之理解和响应。</w:t>
      </w:r>
      <w:r>
        <w:rPr>
          <w:rFonts w:ascii="宋体" w:hAnsi="宋体" w:cs="宋体"/>
          <w:sz w:val="24"/>
          <w:highlight w:val="none"/>
        </w:rPr>
      </w:r>
      <w:r/>
    </w:p>
    <w:p>
      <w:pPr>
        <w:pStyle w:val="1137"/>
        <w:ind w:firstLine="480"/>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2.“偏离情况”列应据实填写“正偏离”、“负偏离”或“无偏离”。</w:t>
      </w:r>
      <w:r>
        <w:rPr>
          <w:rFonts w:ascii="宋体" w:hAnsi="宋体" w:cs="宋体"/>
          <w:sz w:val="24"/>
          <w:highlight w:val="none"/>
        </w:rPr>
      </w:r>
      <w:r/>
    </w:p>
    <w:p>
      <w:pPr>
        <w:pStyle w:val="1137"/>
        <w:spacing w:line="400" w:lineRule="exact"/>
        <w:rPr>
          <w:rFonts w:ascii="宋体" w:hAnsi="宋体" w:cs="宋体"/>
          <w:sz w:val="24"/>
          <w:highlight w:val="none"/>
          <w:lang w:val="zh-CN"/>
        </w:rPr>
      </w:pPr>
      <w:r>
        <w:rPr>
          <w:rFonts w:ascii="宋体" w:hAnsi="宋体" w:cs="宋体"/>
          <w:sz w:val="24"/>
          <w:highlight w:val="none"/>
          <w:lang w:val="zh-CN"/>
        </w:rPr>
      </w:r>
      <w:r/>
    </w:p>
    <w:p>
      <w:pPr>
        <w:pStyle w:val="1137"/>
        <w:spacing w:line="400" w:lineRule="exact"/>
        <w:rPr>
          <w:rFonts w:ascii="宋体" w:hAnsi="宋体" w:cs="宋体"/>
          <w:sz w:val="24"/>
          <w:highlight w:val="none"/>
          <w:lang w:val="zh-CN"/>
        </w:rPr>
      </w:pPr>
      <w:r>
        <w:rPr>
          <w:rFonts w:hint="eastAsia" w:ascii="宋体" w:hAnsi="宋体" w:cs="宋体"/>
          <w:sz w:val="24"/>
          <w:highlight w:val="none"/>
        </w:rPr>
        <w:t xml:space="preserve">投标人名称（加盖公章）</w:t>
      </w:r>
      <w:r>
        <w:rPr>
          <w:rFonts w:hint="eastAsia" w:ascii="宋体" w:hAnsi="宋体" w:cs="宋体"/>
          <w:sz w:val="24"/>
          <w:highlight w:val="none"/>
          <w:lang w:val="zh-CN"/>
        </w:rPr>
        <w:t xml:space="preserve">：____________</w:t>
      </w:r>
      <w:r>
        <w:rPr>
          <w:rFonts w:ascii="宋体" w:hAnsi="宋体" w:cs="宋体"/>
          <w:sz w:val="24"/>
          <w:highlight w:val="none"/>
          <w:lang w:val="zh-CN"/>
        </w:rPr>
      </w:r>
      <w:r/>
    </w:p>
    <w:p>
      <w:pPr>
        <w:pStyle w:val="1137"/>
        <w:spacing w:line="400" w:lineRule="exact"/>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rPr>
          <w:rFonts w:ascii="宋体" w:hAnsi="宋体" w:cs="宋体"/>
          <w:sz w:val="24"/>
          <w:highlight w:val="none"/>
          <w:lang w:val="zh-CN"/>
        </w:rPr>
      </w:r>
      <w:r/>
    </w:p>
    <w:p>
      <w:pPr>
        <w:pStyle w:val="1137"/>
        <w:spacing w:line="360" w:lineRule="auto"/>
        <w:rPr>
          <w:b/>
          <w:sz w:val="24"/>
          <w:highlight w:val="none"/>
        </w:rPr>
        <w:outlineLvl w:val="2"/>
      </w:pPr>
      <w:r>
        <w:rPr>
          <w:b/>
          <w:sz w:val="24"/>
          <w:highlight w:val="none"/>
        </w:rPr>
      </w:r>
      <w:r/>
    </w:p>
    <w:p>
      <w:pPr>
        <w:pStyle w:val="1137"/>
        <w:spacing w:line="360" w:lineRule="auto"/>
        <w:rPr>
          <w:rFonts w:hint="eastAsia"/>
          <w:sz w:val="24"/>
          <w:szCs w:val="20"/>
          <w:highlight w:val="none"/>
        </w:rPr>
        <w:outlineLvl w:val="2"/>
      </w:pPr>
      <w:r>
        <w:rPr>
          <w:rFonts w:hint="eastAsia"/>
          <w:sz w:val="24"/>
          <w:szCs w:val="20"/>
          <w:highlight w:val="none"/>
        </w:rPr>
        <w:t xml:space="preserve">8 投标供应商管理关系或控股关系信息情况表（实质性格式）</w:t>
      </w:r>
      <w:r>
        <w:rPr>
          <w:rFonts w:hint="eastAsia"/>
          <w:sz w:val="24"/>
          <w:szCs w:val="20"/>
          <w:highlight w:val="none"/>
        </w:rPr>
      </w:r>
      <w:r/>
    </w:p>
    <w:p>
      <w:pPr>
        <w:pStyle w:val="1137"/>
        <w:jc w:val="center"/>
        <w:rPr>
          <w:rFonts w:ascii="宋体" w:hAnsi="宋体" w:cs="宋体"/>
          <w:b/>
          <w:sz w:val="32"/>
          <w:szCs w:val="32"/>
          <w:highlight w:val="none"/>
        </w:rPr>
      </w:pPr>
      <w:r>
        <w:rPr>
          <w:rFonts w:hint="eastAsia" w:ascii="宋体" w:hAnsi="宋体" w:cs="宋体"/>
          <w:b/>
          <w:sz w:val="32"/>
          <w:szCs w:val="32"/>
          <w:highlight w:val="none"/>
        </w:rPr>
        <w:t xml:space="preserve">投标供应商管理关系或控股关系信息情况表</w:t>
      </w:r>
      <w:r>
        <w:rPr>
          <w:rFonts w:ascii="宋体" w:hAnsi="宋体" w:cs="宋体"/>
          <w:b/>
          <w:sz w:val="32"/>
          <w:szCs w:val="32"/>
          <w:highlight w:val="none"/>
        </w:rPr>
      </w:r>
      <w:r/>
    </w:p>
    <w:tbl>
      <w:tblPr>
        <w:tblW w:w="4997"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2267"/>
        <w:gridCol w:w="1650"/>
        <w:gridCol w:w="3196"/>
      </w:tblGrid>
      <w:tr>
        <w:trPr>
          <w:cantSplit/>
          <w:trHeight w:val="463"/>
        </w:trPr>
        <w:tc>
          <w:tcPr>
            <w:tcW w:w="1426" w:type="dxa"/>
            <w:vAlign w:val="center"/>
            <w:textDirection w:val="lrTb"/>
            <w:noWrap w:val="false"/>
          </w:tcPr>
          <w:p>
            <w:pPr>
              <w:pStyle w:val="1137"/>
              <w:ind w:firstLine="560"/>
              <w:jc w:val="left"/>
              <w:spacing w:line="520" w:lineRule="exact"/>
              <w:rPr>
                <w:rFonts w:ascii="宋体" w:hAnsi="宋体" w:cs="宋体"/>
                <w:sz w:val="24"/>
                <w:highlight w:val="none"/>
              </w:rPr>
            </w:pPr>
            <w:r>
              <w:rPr>
                <w:rFonts w:hint="eastAsia" w:ascii="宋体" w:hAnsi="宋体" w:cs="宋体"/>
                <w:sz w:val="24"/>
                <w:highlight w:val="none"/>
              </w:rPr>
              <w:t xml:space="preserve">法定代表人</w:t>
            </w:r>
            <w:r>
              <w:rPr>
                <w:rFonts w:ascii="宋体" w:hAnsi="宋体" w:cs="宋体"/>
                <w:sz w:val="24"/>
                <w:highlight w:val="none"/>
              </w:rPr>
            </w:r>
            <w:r/>
          </w:p>
        </w:tc>
        <w:tc>
          <w:tcPr>
            <w:tcW w:w="1139" w:type="dxa"/>
            <w:vAlign w:val="center"/>
            <w:textDirection w:val="lrTb"/>
            <w:noWrap w:val="false"/>
          </w:tcPr>
          <w:p>
            <w:pPr>
              <w:pStyle w:val="1137"/>
              <w:ind w:firstLine="560"/>
              <w:jc w:val="left"/>
              <w:spacing w:line="520" w:lineRule="exact"/>
              <w:rPr>
                <w:rFonts w:ascii="宋体" w:hAnsi="宋体" w:cs="宋体"/>
                <w:sz w:val="24"/>
                <w:highlight w:val="none"/>
              </w:rPr>
            </w:pPr>
            <w:r>
              <w:rPr>
                <w:rFonts w:ascii="宋体" w:hAnsi="宋体" w:cs="宋体"/>
                <w:sz w:val="24"/>
                <w:highlight w:val="none"/>
              </w:rPr>
            </w:r>
            <w:r/>
          </w:p>
        </w:tc>
        <w:tc>
          <w:tcPr>
            <w:tcW w:w="829" w:type="dxa"/>
            <w:vAlign w:val="center"/>
            <w:textDirection w:val="lrTb"/>
            <w:noWrap w:val="false"/>
          </w:tcPr>
          <w:p>
            <w:pPr>
              <w:pStyle w:val="1137"/>
              <w:jc w:val="left"/>
              <w:spacing w:line="520" w:lineRule="exact"/>
              <w:rPr>
                <w:rFonts w:ascii="宋体" w:hAnsi="宋体" w:cs="宋体"/>
                <w:sz w:val="24"/>
                <w:highlight w:val="none"/>
              </w:rPr>
            </w:pPr>
            <w:r>
              <w:rPr>
                <w:rFonts w:hint="eastAsia" w:ascii="宋体" w:hAnsi="宋体" w:cs="宋体"/>
                <w:sz w:val="24"/>
                <w:highlight w:val="none"/>
              </w:rPr>
              <w:t xml:space="preserve">成立日期</w:t>
            </w:r>
            <w:r>
              <w:rPr>
                <w:rFonts w:ascii="宋体" w:hAnsi="宋体" w:cs="宋体"/>
                <w:sz w:val="24"/>
                <w:highlight w:val="none"/>
              </w:rPr>
            </w:r>
            <w:r/>
          </w:p>
        </w:tc>
        <w:tc>
          <w:tcPr>
            <w:tcW w:w="1604" w:type="dxa"/>
            <w:vAlign w:val="center"/>
            <w:textDirection w:val="lrTb"/>
            <w:noWrap w:val="false"/>
          </w:tcPr>
          <w:p>
            <w:pPr>
              <w:pStyle w:val="1137"/>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trHeight w:val="412"/>
        </w:trPr>
        <w:tc>
          <w:tcPr>
            <w:tcW w:w="1426" w:type="dxa"/>
            <w:vAlign w:val="center"/>
            <w:textDirection w:val="lrTb"/>
            <w:noWrap w:val="false"/>
          </w:tcPr>
          <w:p>
            <w:pPr>
              <w:pStyle w:val="1137"/>
              <w:ind w:firstLine="560"/>
              <w:jc w:val="left"/>
              <w:spacing w:line="520" w:lineRule="exact"/>
              <w:rPr>
                <w:rFonts w:ascii="宋体" w:hAnsi="宋体" w:cs="宋体"/>
                <w:sz w:val="24"/>
                <w:highlight w:val="none"/>
              </w:rPr>
            </w:pPr>
            <w:r>
              <w:rPr>
                <w:rFonts w:hint="eastAsia" w:ascii="宋体" w:hAnsi="宋体" w:cs="宋体"/>
                <w:sz w:val="24"/>
                <w:highlight w:val="none"/>
              </w:rPr>
              <w:t xml:space="preserve">企业地址</w:t>
            </w:r>
            <w:r>
              <w:rPr>
                <w:rFonts w:ascii="宋体" w:hAnsi="宋体" w:cs="宋体"/>
                <w:sz w:val="24"/>
                <w:highlight w:val="none"/>
              </w:rPr>
            </w:r>
            <w:r/>
          </w:p>
        </w:tc>
        <w:tc>
          <w:tcPr>
            <w:tcW w:w="1139" w:type="dxa"/>
            <w:vAlign w:val="center"/>
            <w:textDirection w:val="lrTb"/>
            <w:noWrap w:val="false"/>
          </w:tcPr>
          <w:p>
            <w:pPr>
              <w:pStyle w:val="1137"/>
              <w:ind w:firstLine="560"/>
              <w:jc w:val="left"/>
              <w:spacing w:line="520" w:lineRule="exact"/>
              <w:rPr>
                <w:rFonts w:ascii="宋体" w:hAnsi="宋体" w:cs="宋体"/>
                <w:sz w:val="24"/>
                <w:highlight w:val="none"/>
              </w:rPr>
            </w:pPr>
            <w:r>
              <w:rPr>
                <w:rFonts w:ascii="宋体" w:hAnsi="宋体" w:cs="宋体"/>
                <w:sz w:val="24"/>
                <w:highlight w:val="none"/>
              </w:rPr>
            </w:r>
            <w:r/>
          </w:p>
        </w:tc>
        <w:tc>
          <w:tcPr>
            <w:tcW w:w="829" w:type="dxa"/>
            <w:vAlign w:val="center"/>
            <w:textDirection w:val="lrTb"/>
            <w:noWrap w:val="false"/>
          </w:tcPr>
          <w:p>
            <w:pPr>
              <w:pStyle w:val="1137"/>
              <w:jc w:val="left"/>
              <w:spacing w:line="520" w:lineRule="exact"/>
              <w:rPr>
                <w:rFonts w:ascii="宋体" w:hAnsi="宋体" w:cs="宋体"/>
                <w:sz w:val="24"/>
                <w:highlight w:val="none"/>
              </w:rPr>
            </w:pPr>
            <w:r>
              <w:rPr>
                <w:rFonts w:hint="eastAsia" w:ascii="宋体" w:hAnsi="宋体" w:cs="宋体"/>
                <w:sz w:val="24"/>
                <w:highlight w:val="none"/>
              </w:rPr>
              <w:t xml:space="preserve">注册资本</w:t>
            </w:r>
            <w:r>
              <w:rPr>
                <w:rFonts w:ascii="宋体" w:hAnsi="宋体" w:cs="宋体"/>
                <w:sz w:val="24"/>
                <w:highlight w:val="none"/>
              </w:rPr>
            </w:r>
            <w:r/>
          </w:p>
        </w:tc>
        <w:tc>
          <w:tcPr>
            <w:tcW w:w="1604" w:type="dxa"/>
            <w:vAlign w:val="center"/>
            <w:textDirection w:val="lrTb"/>
            <w:noWrap w:val="false"/>
          </w:tcPr>
          <w:p>
            <w:pPr>
              <w:pStyle w:val="1137"/>
              <w:ind w:firstLine="560"/>
              <w:jc w:val="left"/>
              <w:spacing w:line="520" w:lineRule="exact"/>
              <w:rPr>
                <w:rFonts w:ascii="宋体" w:hAnsi="宋体" w:cs="宋体"/>
                <w:sz w:val="24"/>
                <w:highlight w:val="none"/>
              </w:rPr>
            </w:pPr>
            <w:r>
              <w:rPr>
                <w:rFonts w:hint="eastAsia" w:ascii="宋体" w:hAnsi="宋体" w:cs="宋体"/>
                <w:sz w:val="24"/>
                <w:highlight w:val="none"/>
              </w:rPr>
              <w:t xml:space="preserve">万元</w:t>
            </w:r>
            <w:r>
              <w:rPr>
                <w:rFonts w:ascii="宋体" w:hAnsi="宋体" w:cs="宋体"/>
                <w:sz w:val="24"/>
                <w:highlight w:val="none"/>
              </w:rPr>
            </w:r>
            <w:r/>
          </w:p>
        </w:tc>
      </w:tr>
      <w:tr>
        <w:trPr>
          <w:cantSplit/>
          <w:trHeight w:val="412"/>
        </w:trPr>
        <w:tc>
          <w:tcPr>
            <w:tcW w:w="1426" w:type="dxa"/>
            <w:vAlign w:val="center"/>
            <w:textDirection w:val="lrTb"/>
            <w:noWrap w:val="false"/>
          </w:tcPr>
          <w:p>
            <w:pPr>
              <w:pStyle w:val="1137"/>
              <w:jc w:val="left"/>
              <w:spacing w:line="520" w:lineRule="exact"/>
              <w:rPr>
                <w:rFonts w:ascii="宋体" w:hAnsi="宋体" w:cs="宋体"/>
                <w:sz w:val="24"/>
                <w:highlight w:val="none"/>
              </w:rPr>
            </w:pPr>
            <w:r>
              <w:rPr>
                <w:rFonts w:hint="eastAsia" w:ascii="宋体" w:hAnsi="宋体" w:cs="宋体"/>
                <w:sz w:val="24"/>
                <w:highlight w:val="none"/>
              </w:rPr>
              <w:t xml:space="preserve">统一社会信用代码</w:t>
            </w:r>
            <w:r>
              <w:rPr>
                <w:rFonts w:ascii="宋体" w:hAnsi="宋体" w:cs="宋体"/>
                <w:sz w:val="24"/>
                <w:highlight w:val="none"/>
              </w:rPr>
            </w:r>
            <w:r/>
          </w:p>
        </w:tc>
        <w:tc>
          <w:tcPr>
            <w:gridSpan w:val="3"/>
            <w:tcW w:w="7113" w:type="dxa"/>
            <w:vAlign w:val="center"/>
            <w:textDirection w:val="lrTb"/>
            <w:noWrap w:val="false"/>
          </w:tcPr>
          <w:p>
            <w:pPr>
              <w:pStyle w:val="1137"/>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trHeight w:val="412"/>
        </w:trPr>
        <w:tc>
          <w:tcPr>
            <w:tcW w:w="1426" w:type="dxa"/>
            <w:vAlign w:val="center"/>
            <w:textDirection w:val="lrTb"/>
            <w:noWrap w:val="false"/>
          </w:tcPr>
          <w:p>
            <w:pPr>
              <w:pStyle w:val="1137"/>
              <w:ind w:firstLine="560"/>
              <w:jc w:val="left"/>
              <w:spacing w:line="520" w:lineRule="exact"/>
              <w:rPr>
                <w:rFonts w:ascii="宋体" w:hAnsi="宋体" w:cs="宋体"/>
                <w:sz w:val="24"/>
                <w:highlight w:val="none"/>
              </w:rPr>
            </w:pPr>
            <w:r>
              <w:rPr>
                <w:rFonts w:hint="eastAsia" w:ascii="宋体" w:hAnsi="宋体" w:cs="宋体"/>
                <w:sz w:val="24"/>
                <w:highlight w:val="none"/>
              </w:rPr>
              <w:t xml:space="preserve">经营范围</w:t>
            </w:r>
            <w:r>
              <w:rPr>
                <w:rFonts w:ascii="宋体" w:hAnsi="宋体" w:cs="宋体"/>
                <w:sz w:val="24"/>
                <w:highlight w:val="none"/>
              </w:rPr>
            </w:r>
            <w:r/>
          </w:p>
        </w:tc>
        <w:tc>
          <w:tcPr>
            <w:gridSpan w:val="3"/>
            <w:tcW w:w="7113" w:type="dxa"/>
            <w:vAlign w:val="center"/>
            <w:textDirection w:val="lrTb"/>
            <w:noWrap w:val="false"/>
          </w:tcPr>
          <w:p>
            <w:pPr>
              <w:pStyle w:val="1137"/>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trHeight w:val="77"/>
        </w:trPr>
        <w:tc>
          <w:tcPr>
            <w:tcW w:w="1426" w:type="dxa"/>
            <w:vAlign w:val="center"/>
            <w:textDirection w:val="lrTb"/>
            <w:noWrap w:val="false"/>
          </w:tcPr>
          <w:p>
            <w:pPr>
              <w:pStyle w:val="1137"/>
              <w:ind w:firstLine="560"/>
              <w:jc w:val="left"/>
              <w:spacing w:line="520" w:lineRule="exact"/>
              <w:rPr>
                <w:rFonts w:ascii="宋体" w:hAnsi="宋体" w:cs="宋体"/>
                <w:sz w:val="24"/>
                <w:highlight w:val="none"/>
              </w:rPr>
            </w:pPr>
            <w:r>
              <w:rPr>
                <w:rFonts w:hint="eastAsia" w:ascii="宋体" w:hAnsi="宋体" w:cs="宋体"/>
                <w:sz w:val="24"/>
                <w:highlight w:val="none"/>
              </w:rPr>
              <w:t xml:space="preserve">股东信息</w:t>
            </w:r>
            <w:r>
              <w:rPr>
                <w:rFonts w:ascii="宋体" w:hAnsi="宋体" w:cs="宋体"/>
                <w:sz w:val="24"/>
                <w:highlight w:val="none"/>
              </w:rPr>
            </w:r>
            <w:r/>
          </w:p>
        </w:tc>
        <w:tc>
          <w:tcPr>
            <w:gridSpan w:val="3"/>
            <w:tcW w:w="7113" w:type="dxa"/>
            <w:vAlign w:val="center"/>
            <w:textDirection w:val="lrTb"/>
            <w:noWrap w:val="false"/>
          </w:tcPr>
          <w:p>
            <w:pPr>
              <w:pStyle w:val="1137"/>
              <w:jc w:val="left"/>
              <w:spacing w:line="480" w:lineRule="exact"/>
              <w:rPr>
                <w:rFonts w:ascii="宋体" w:hAnsi="宋体" w:cs="宋体"/>
                <w:sz w:val="24"/>
                <w:highlight w:val="none"/>
              </w:rPr>
            </w:pPr>
            <w:r>
              <w:rPr>
                <w:rFonts w:hint="eastAsia" w:ascii="宋体" w:hAnsi="宋体" w:cs="宋体"/>
                <w:sz w:val="24"/>
                <w:highlight w:val="none"/>
              </w:rPr>
              <w:t xml:space="preserve">股东1（姓名或单位名称）：</w:t>
            </w:r>
            <w:r>
              <w:rPr>
                <w:rFonts w:ascii="宋体" w:hAnsi="宋体" w:cs="宋体"/>
                <w:sz w:val="24"/>
                <w:highlight w:val="none"/>
              </w:rPr>
            </w:r>
            <w:r/>
          </w:p>
          <w:p>
            <w:pPr>
              <w:pStyle w:val="1137"/>
              <w:jc w:val="left"/>
              <w:spacing w:line="480" w:lineRule="exact"/>
              <w:rPr>
                <w:rFonts w:ascii="宋体" w:hAnsi="宋体" w:cs="宋体"/>
                <w:sz w:val="24"/>
                <w:highlight w:val="none"/>
              </w:rPr>
            </w:pPr>
            <w:r>
              <w:rPr>
                <w:rFonts w:hint="eastAsia" w:ascii="宋体" w:hAnsi="宋体" w:cs="宋体"/>
                <w:sz w:val="24"/>
                <w:highlight w:val="none"/>
              </w:rPr>
              <w:t xml:space="preserve">股东1持股比例：</w:t>
            </w:r>
            <w:r>
              <w:rPr>
                <w:rFonts w:ascii="宋体" w:hAnsi="宋体" w:cs="宋体"/>
                <w:sz w:val="24"/>
                <w:highlight w:val="none"/>
              </w:rPr>
            </w:r>
            <w:r/>
          </w:p>
          <w:p>
            <w:pPr>
              <w:pStyle w:val="1137"/>
              <w:jc w:val="left"/>
              <w:spacing w:line="480" w:lineRule="exact"/>
              <w:rPr>
                <w:rFonts w:ascii="宋体" w:hAnsi="宋体" w:cs="宋体"/>
                <w:sz w:val="24"/>
                <w:highlight w:val="none"/>
              </w:rPr>
            </w:pPr>
            <w:r>
              <w:rPr>
                <w:rFonts w:hint="eastAsia" w:ascii="宋体" w:hAnsi="宋体" w:cs="宋体"/>
                <w:sz w:val="24"/>
                <w:highlight w:val="none"/>
              </w:rPr>
              <w:t xml:space="preserve">股东2（姓名或单位名称）：</w:t>
            </w:r>
            <w:r>
              <w:rPr>
                <w:rFonts w:ascii="宋体" w:hAnsi="宋体" w:cs="宋体"/>
                <w:sz w:val="24"/>
                <w:highlight w:val="none"/>
              </w:rPr>
            </w:r>
            <w:r/>
          </w:p>
          <w:p>
            <w:pPr>
              <w:pStyle w:val="1137"/>
              <w:jc w:val="left"/>
              <w:spacing w:line="480" w:lineRule="exact"/>
              <w:rPr>
                <w:rFonts w:ascii="宋体" w:hAnsi="宋体" w:cs="宋体"/>
                <w:sz w:val="24"/>
                <w:highlight w:val="none"/>
              </w:rPr>
            </w:pPr>
            <w:r>
              <w:rPr>
                <w:rFonts w:hint="eastAsia" w:ascii="宋体" w:hAnsi="宋体" w:cs="宋体"/>
                <w:sz w:val="24"/>
                <w:highlight w:val="none"/>
              </w:rPr>
              <w:t xml:space="preserve">股东2持股比例：</w:t>
            </w:r>
            <w:r>
              <w:rPr>
                <w:rFonts w:ascii="宋体" w:hAnsi="宋体" w:cs="宋体"/>
                <w:sz w:val="24"/>
                <w:highlight w:val="none"/>
              </w:rPr>
            </w:r>
            <w:r/>
          </w:p>
          <w:p>
            <w:pPr>
              <w:pStyle w:val="1137"/>
              <w:jc w:val="left"/>
              <w:spacing w:line="480" w:lineRule="exact"/>
              <w:rPr>
                <w:rFonts w:ascii="宋体" w:hAnsi="宋体" w:cs="宋体"/>
                <w:sz w:val="24"/>
                <w:highlight w:val="none"/>
              </w:rPr>
            </w:pPr>
            <w:r>
              <w:rPr>
                <w:rFonts w:hint="eastAsia" w:ascii="宋体" w:hAnsi="宋体" w:cs="宋体"/>
                <w:sz w:val="24"/>
                <w:highlight w:val="none"/>
              </w:rPr>
              <w:t xml:space="preserve">（不够的可自行增加）</w:t>
            </w:r>
            <w:r>
              <w:rPr>
                <w:rFonts w:ascii="宋体" w:hAnsi="宋体" w:cs="宋体"/>
                <w:sz w:val="24"/>
                <w:highlight w:val="none"/>
              </w:rPr>
            </w:r>
            <w:r/>
          </w:p>
        </w:tc>
      </w:tr>
      <w:tr>
        <w:trPr>
          <w:cantSplit/>
          <w:trHeight w:val="964"/>
        </w:trPr>
        <w:tc>
          <w:tcPr>
            <w:tcW w:w="1426" w:type="dxa"/>
            <w:vAlign w:val="center"/>
            <w:textDirection w:val="lrTb"/>
            <w:noWrap w:val="false"/>
          </w:tcPr>
          <w:p>
            <w:pPr>
              <w:pStyle w:val="1137"/>
              <w:jc w:val="left"/>
              <w:spacing w:line="5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rPr>
                <w:rFonts w:ascii="宋体" w:hAnsi="宋体" w:cs="宋体"/>
                <w:sz w:val="24"/>
                <w:highlight w:val="none"/>
              </w:rPr>
            </w:r>
            <w:r/>
          </w:p>
        </w:tc>
        <w:tc>
          <w:tcPr>
            <w:gridSpan w:val="3"/>
            <w:tcW w:w="7113" w:type="dxa"/>
            <w:vAlign w:val="center"/>
            <w:textDirection w:val="lrTb"/>
            <w:noWrap w:val="false"/>
          </w:tcPr>
          <w:p>
            <w:pPr>
              <w:pStyle w:val="1137"/>
              <w:jc w:val="left"/>
              <w:spacing w:line="5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rPr>
                <w:rFonts w:ascii="宋体" w:hAnsi="宋体" w:cs="宋体"/>
                <w:sz w:val="24"/>
                <w:highlight w:val="none"/>
              </w:rPr>
            </w:r>
            <w:r/>
          </w:p>
          <w:p>
            <w:pPr>
              <w:pStyle w:val="1137"/>
              <w:jc w:val="left"/>
              <w:spacing w:line="5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rPr>
                <w:rFonts w:ascii="宋体" w:hAnsi="宋体" w:cs="宋体"/>
                <w:sz w:val="24"/>
                <w:highlight w:val="none"/>
              </w:rPr>
            </w:r>
            <w:r/>
          </w:p>
          <w:p>
            <w:pPr>
              <w:pStyle w:val="1137"/>
              <w:jc w:val="left"/>
              <w:spacing w:line="500" w:lineRule="exact"/>
              <w:rPr>
                <w:rFonts w:ascii="宋体" w:hAnsi="宋体" w:cs="宋体"/>
                <w:sz w:val="24"/>
                <w:highlight w:val="none"/>
              </w:rPr>
            </w:pPr>
            <w:r>
              <w:rPr>
                <w:rFonts w:hint="eastAsia" w:ascii="宋体" w:hAnsi="宋体" w:cs="宋体"/>
                <w:sz w:val="24"/>
                <w:highlight w:val="none"/>
              </w:rPr>
              <w:t xml:space="preserve">企业1名称：</w:t>
            </w:r>
            <w:r>
              <w:rPr>
                <w:rFonts w:ascii="宋体" w:hAnsi="宋体" w:cs="宋体"/>
                <w:sz w:val="24"/>
                <w:highlight w:val="none"/>
              </w:rPr>
            </w:r>
            <w:r/>
          </w:p>
          <w:p>
            <w:pPr>
              <w:pStyle w:val="1137"/>
              <w:jc w:val="left"/>
              <w:spacing w:line="5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1137"/>
              <w:jc w:val="left"/>
              <w:spacing w:line="500" w:lineRule="exact"/>
              <w:rPr>
                <w:rFonts w:ascii="宋体" w:hAnsi="宋体" w:cs="宋体"/>
                <w:sz w:val="24"/>
                <w:highlight w:val="none"/>
              </w:rPr>
            </w:pPr>
            <w:r>
              <w:rPr>
                <w:rFonts w:hint="eastAsia" w:ascii="宋体" w:hAnsi="宋体" w:cs="宋体"/>
                <w:sz w:val="24"/>
                <w:highlight w:val="none"/>
              </w:rPr>
              <w:t xml:space="preserve">企业2名称：</w:t>
            </w:r>
            <w:r>
              <w:rPr>
                <w:rFonts w:ascii="宋体" w:hAnsi="宋体" w:cs="宋体"/>
                <w:sz w:val="24"/>
                <w:highlight w:val="none"/>
              </w:rPr>
            </w:r>
            <w:r/>
          </w:p>
          <w:p>
            <w:pPr>
              <w:pStyle w:val="1137"/>
              <w:jc w:val="left"/>
              <w:spacing w:line="5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1137"/>
              <w:jc w:val="left"/>
              <w:spacing w:line="500" w:lineRule="exact"/>
              <w:rPr>
                <w:rFonts w:ascii="宋体" w:hAnsi="宋体" w:cs="宋体"/>
                <w:sz w:val="24"/>
                <w:highlight w:val="none"/>
              </w:rPr>
            </w:pPr>
            <w:r>
              <w:rPr>
                <w:rFonts w:hint="eastAsia" w:ascii="宋体" w:hAnsi="宋体" w:cs="宋体"/>
                <w:sz w:val="24"/>
                <w:highlight w:val="none"/>
              </w:rPr>
              <w:t xml:space="preserve">（不够的可自行增加）</w:t>
            </w:r>
            <w:r>
              <w:rPr>
                <w:rFonts w:ascii="宋体" w:hAnsi="宋体" w:cs="宋体"/>
                <w:sz w:val="24"/>
                <w:highlight w:val="none"/>
              </w:rPr>
            </w:r>
            <w:r/>
          </w:p>
        </w:tc>
      </w:tr>
      <w:tr>
        <w:trPr>
          <w:cantSplit/>
          <w:trHeight w:val="2502"/>
        </w:trPr>
        <w:tc>
          <w:tcPr>
            <w:gridSpan w:val="4"/>
            <w:tcW w:w="9951" w:type="dxa"/>
            <w:vAlign w:val="center"/>
            <w:textDirection w:val="lrTb"/>
            <w:noWrap w:val="false"/>
          </w:tcPr>
          <w:p>
            <w:pPr>
              <w:pStyle w:val="1137"/>
              <w:ind w:firstLine="561"/>
              <w:jc w:val="left"/>
              <w:spacing w:line="50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政府采购活动中提交的所有资料均合法、真实、有效，无任何伪造、修改、虚假成分，对所提供信息的真实性、完整性、准确性负责。</w:t>
            </w:r>
            <w:r>
              <w:rPr>
                <w:rFonts w:ascii="宋体" w:hAnsi="宋体" w:cs="宋体"/>
                <w:sz w:val="24"/>
                <w:highlight w:val="none"/>
              </w:rPr>
            </w:r>
            <w:r/>
          </w:p>
          <w:p>
            <w:pPr>
              <w:pStyle w:val="1137"/>
              <w:ind w:firstLine="561"/>
              <w:jc w:val="left"/>
              <w:spacing w:line="500" w:lineRule="exact"/>
              <w:rPr>
                <w:rFonts w:ascii="宋体" w:hAnsi="宋体" w:cs="宋体"/>
                <w:sz w:val="24"/>
                <w:highlight w:val="none"/>
              </w:rPr>
            </w:pPr>
            <w:r>
              <w:rPr>
                <w:rFonts w:hint="eastAsia" w:ascii="宋体" w:hAnsi="宋体" w:cs="宋体"/>
                <w:sz w:val="24"/>
                <w:highlight w:val="none"/>
              </w:rPr>
              <w:t xml:space="preserve">供应商（盖章）：</w:t>
            </w:r>
            <w:r>
              <w:rPr>
                <w:rFonts w:ascii="宋体" w:hAnsi="宋体" w:cs="宋体"/>
                <w:sz w:val="24"/>
                <w:highlight w:val="none"/>
              </w:rPr>
            </w:r>
            <w:r/>
          </w:p>
          <w:p>
            <w:pPr>
              <w:pStyle w:val="1137"/>
              <w:ind w:firstLine="561"/>
              <w:jc w:val="left"/>
              <w:spacing w:line="500" w:lineRule="exact"/>
              <w:rPr>
                <w:rFonts w:ascii="宋体" w:hAnsi="宋体" w:cs="宋体"/>
                <w:sz w:val="24"/>
                <w:highlight w:val="none"/>
              </w:rPr>
            </w:pPr>
            <w:r>
              <w:rPr>
                <w:rFonts w:hint="eastAsia" w:ascii="宋体" w:hAnsi="宋体" w:cs="宋体"/>
                <w:sz w:val="24"/>
                <w:highlight w:val="none"/>
              </w:rPr>
              <w:t xml:space="preserve">法定代表人（签字或盖章）：</w:t>
            </w:r>
            <w:r>
              <w:rPr>
                <w:rFonts w:ascii="宋体" w:hAnsi="宋体" w:cs="宋体"/>
                <w:sz w:val="24"/>
                <w:highlight w:val="none"/>
              </w:rPr>
            </w:r>
            <w:r/>
          </w:p>
          <w:p>
            <w:pPr>
              <w:pStyle w:val="1137"/>
              <w:ind w:firstLine="560"/>
              <w:jc w:val="left"/>
              <w:spacing w:line="520" w:lineRule="exact"/>
              <w:rPr>
                <w:rFonts w:ascii="宋体" w:hAnsi="宋体" w:cs="宋体"/>
                <w:sz w:val="24"/>
                <w:highlight w:val="none"/>
              </w:rPr>
            </w:pPr>
            <w:r>
              <w:rPr>
                <w:rFonts w:hint="eastAsia" w:ascii="宋体" w:hAnsi="宋体" w:cs="宋体"/>
                <w:sz w:val="24"/>
                <w:highlight w:val="none"/>
              </w:rPr>
              <w:t xml:space="preserve">     日期：   年  月  日</w:t>
            </w:r>
            <w:r>
              <w:rPr>
                <w:rFonts w:ascii="宋体" w:hAnsi="宋体" w:cs="宋体"/>
                <w:sz w:val="24"/>
                <w:highlight w:val="none"/>
              </w:rPr>
            </w:r>
            <w:r/>
          </w:p>
        </w:tc>
      </w:tr>
    </w:tbl>
    <w:p>
      <w:pPr>
        <w:pStyle w:val="1137"/>
        <w:rPr>
          <w:rFonts w:ascii="宋体" w:cs="宋体"/>
          <w:sz w:val="24"/>
          <w:highlight w:val="none"/>
        </w:rPr>
      </w:pPr>
      <w:r>
        <w:rPr>
          <w:rFonts w:ascii="宋体" w:cs="宋体"/>
          <w:sz w:val="24"/>
          <w:highlight w:val="none"/>
        </w:rPr>
      </w:r>
      <w:r/>
    </w:p>
    <w:p>
      <w:pPr>
        <w:pStyle w:val="1137"/>
        <w:jc w:val="left"/>
        <w:widowControl/>
        <w:rPr>
          <w:rFonts w:ascii="宋体" w:hAnsi="宋体" w:cs="宋体"/>
          <w:sz w:val="24"/>
          <w:szCs w:val="20"/>
          <w:highlight w:val="none"/>
        </w:rPr>
      </w:pPr>
      <w:r>
        <w:rPr>
          <w:sz w:val="24"/>
          <w:szCs w:val="20"/>
          <w:highlight w:val="none"/>
        </w:rPr>
        <w:br w:type="page" w:clear="all"/>
      </w:r>
      <w:r>
        <w:rPr>
          <w:rFonts w:hint="eastAsia" w:ascii="宋体" w:hAnsi="宋体" w:cs="宋体"/>
          <w:sz w:val="24"/>
          <w:szCs w:val="20"/>
          <w:highlight w:val="none"/>
        </w:rPr>
        <w:t xml:space="preserve">9  项目实施方案等，按照采购需求和评分标准编制。</w:t>
      </w:r>
      <w:r>
        <w:rPr>
          <w:rFonts w:ascii="宋体" w:hAnsi="宋体" w:cs="宋体"/>
          <w:sz w:val="24"/>
          <w:szCs w:val="20"/>
          <w:highlight w:val="none"/>
        </w:rPr>
      </w:r>
      <w:r/>
    </w:p>
    <w:p>
      <w:pPr>
        <w:pStyle w:val="1137"/>
        <w:rPr>
          <w:highlight w:val="none"/>
        </w:rPr>
      </w:pPr>
      <w:r>
        <w:rPr>
          <w:highlight w:val="none"/>
        </w:rPr>
      </w:r>
      <w:r/>
    </w:p>
    <w:p>
      <w:pPr>
        <w:pStyle w:val="1137"/>
        <w:rPr>
          <w:highlight w:val="none"/>
        </w:rPr>
      </w:pPr>
      <w:r>
        <w:rPr>
          <w:highlight w:val="none"/>
        </w:rPr>
      </w:r>
      <w:r/>
    </w:p>
    <w:p>
      <w:pPr>
        <w:pStyle w:val="1137"/>
        <w:rPr>
          <w:highlight w:val="none"/>
        </w:rPr>
      </w:pPr>
      <w:r>
        <w:rPr>
          <w:highlight w:val="none"/>
        </w:rPr>
      </w:r>
      <w:r/>
    </w:p>
    <w:p>
      <w:pPr>
        <w:pStyle w:val="1137"/>
        <w:rPr>
          <w:highlight w:val="none"/>
        </w:rPr>
      </w:pPr>
      <w:r>
        <w:rPr>
          <w:highlight w:val="none"/>
        </w:rPr>
      </w:r>
      <w:r/>
    </w:p>
    <w:p>
      <w:pPr>
        <w:pStyle w:val="1137"/>
        <w:rPr>
          <w:highlight w:val="none"/>
        </w:rPr>
      </w:pPr>
      <w:r>
        <w:rPr>
          <w:highlight w:val="none"/>
        </w:rPr>
      </w:r>
      <w:r/>
    </w:p>
    <w:p>
      <w:pPr>
        <w:pStyle w:val="1137"/>
        <w:spacing w:line="400" w:lineRule="exact"/>
        <w:rPr>
          <w:rFonts w:ascii="宋体" w:hAnsi="宋体" w:cs="宋体"/>
          <w:sz w:val="24"/>
          <w:szCs w:val="20"/>
          <w:highlight w:val="none"/>
        </w:rPr>
      </w:pPr>
      <w:r>
        <w:rPr>
          <w:rFonts w:hint="eastAsia" w:ascii="宋体" w:hAnsi="宋体" w:cs="宋体"/>
          <w:sz w:val="24"/>
          <w:szCs w:val="20"/>
          <w:highlight w:val="none"/>
        </w:rPr>
        <w:br w:type="page" w:clear="all"/>
      </w:r>
      <w:r>
        <w:rPr>
          <w:rFonts w:hint="eastAsia" w:ascii="宋体" w:hAnsi="宋体" w:cs="宋体"/>
          <w:sz w:val="24"/>
          <w:szCs w:val="20"/>
          <w:highlight w:val="none"/>
        </w:rPr>
        <w:t xml:space="preserve">10  参加本项目人员一览表</w:t>
      </w:r>
      <w:r>
        <w:rPr>
          <w:rFonts w:ascii="宋体" w:hAnsi="宋体" w:cs="宋体"/>
          <w:sz w:val="24"/>
          <w:szCs w:val="20"/>
          <w:highlight w:val="none"/>
        </w:rPr>
      </w:r>
      <w:r/>
    </w:p>
    <w:p>
      <w:pPr>
        <w:pStyle w:val="1137"/>
        <w:jc w:val="center"/>
        <w:spacing w:line="360" w:lineRule="auto"/>
        <w:rPr>
          <w:rFonts w:ascii="宋体" w:hAnsi="宋体"/>
          <w:b/>
          <w:sz w:val="32"/>
          <w:szCs w:val="32"/>
          <w:highlight w:val="none"/>
        </w:rPr>
      </w:pPr>
      <w:r>
        <w:rPr>
          <w:rFonts w:ascii="宋体" w:hAnsi="宋体"/>
          <w:b/>
          <w:sz w:val="32"/>
          <w:szCs w:val="32"/>
          <w:highlight w:val="none"/>
        </w:rPr>
      </w:r>
      <w:r/>
    </w:p>
    <w:p>
      <w:pPr>
        <w:pStyle w:val="1137"/>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137"/>
        <w:spacing w:line="360" w:lineRule="auto"/>
        <w:rPr>
          <w:rFonts w:ascii="宋体" w:hAnsi="宋体"/>
          <w:sz w:val="22"/>
          <w:highlight w:val="none"/>
        </w:rPr>
      </w:pPr>
      <w:r>
        <w:rPr>
          <w:rFonts w:ascii="宋体" w:hAnsi="宋体"/>
          <w:sz w:val="22"/>
          <w:highlight w:val="none"/>
        </w:rPr>
      </w:r>
      <w:r/>
    </w:p>
    <w:p>
      <w:pPr>
        <w:pStyle w:val="1137"/>
        <w:spacing w:line="360" w:lineRule="auto"/>
        <w:rPr>
          <w:rFonts w:ascii="宋体" w:hAnsi="宋体" w:cs="宋体"/>
          <w:sz w:val="24"/>
          <w:highlight w:val="none"/>
        </w:rPr>
      </w:pPr>
      <w:r>
        <w:rPr>
          <w:rFonts w:hint="eastAsia" w:ascii="宋体" w:hAnsi="宋体" w:cs="宋体"/>
          <w:sz w:val="24"/>
          <w:highlight w:val="none"/>
        </w:rPr>
        <w:t xml:space="preserve">项目编号：</w:t>
      </w:r>
      <w:r>
        <w:rPr>
          <w:rFonts w:ascii="宋体" w:hAnsi="宋体" w:cs="宋体"/>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137"/>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rHeight w:val="397"/>
        </w:trPr>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rHeight w:val="397"/>
        </w:trPr>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rHeight w:val="397"/>
        </w:trPr>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37"/>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137"/>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137"/>
        <w:spacing w:line="360" w:lineRule="auto"/>
        <w:rPr>
          <w:rFonts w:ascii="宋体" w:hAnsi="宋体"/>
          <w:sz w:val="24"/>
          <w:highlight w:val="none"/>
        </w:rPr>
      </w:pPr>
      <w:r>
        <w:rPr>
          <w:rFonts w:ascii="宋体" w:hAnsi="宋体"/>
          <w:sz w:val="24"/>
          <w:highlight w:val="none"/>
        </w:rPr>
      </w:r>
      <w:r/>
    </w:p>
    <w:p>
      <w:pPr>
        <w:pStyle w:val="1137"/>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137"/>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137"/>
        <w:rPr>
          <w:sz w:val="24"/>
          <w:szCs w:val="20"/>
          <w:highlight w:val="none"/>
        </w:rPr>
      </w:pPr>
      <w:r>
        <w:rPr>
          <w:sz w:val="22"/>
          <w:highlight w:val="none"/>
        </w:rPr>
        <w:br w:type="page" w:clear="all"/>
      </w:r>
      <w:bookmarkStart w:id="484" w:name="_Toc288738839"/>
      <w:r/>
      <w:bookmarkStart w:id="485" w:name="_Toc288738397"/>
      <w:r>
        <w:rPr>
          <w:rFonts w:hint="eastAsia"/>
          <w:sz w:val="24"/>
          <w:szCs w:val="20"/>
          <w:highlight w:val="none"/>
        </w:rPr>
        <w:t xml:space="preserve">11 相关业绩案例一览表</w:t>
      </w:r>
      <w:r>
        <w:rPr>
          <w:sz w:val="24"/>
          <w:szCs w:val="20"/>
          <w:highlight w:val="none"/>
        </w:rPr>
      </w:r>
      <w:r/>
    </w:p>
    <w:p>
      <w:pPr>
        <w:pStyle w:val="1137"/>
        <w:rPr>
          <w:sz w:val="24"/>
          <w:szCs w:val="20"/>
          <w:highlight w:val="none"/>
        </w:rPr>
      </w:pPr>
      <w:r>
        <w:rPr>
          <w:sz w:val="24"/>
          <w:szCs w:val="20"/>
          <w:highlight w:val="none"/>
        </w:rPr>
      </w:r>
      <w:r/>
    </w:p>
    <w:p>
      <w:pPr>
        <w:pStyle w:val="1137"/>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484"/>
      <w:r/>
      <w:bookmarkEnd w:id="485"/>
      <w:r>
        <w:rPr>
          <w:rFonts w:ascii="宋体" w:hAnsi="宋体"/>
          <w:b/>
          <w:sz w:val="32"/>
          <w:szCs w:val="32"/>
          <w:highlight w:val="none"/>
        </w:rPr>
      </w:r>
      <w:r/>
    </w:p>
    <w:p>
      <w:pPr>
        <w:pStyle w:val="1137"/>
        <w:jc w:val="center"/>
        <w:spacing w:line="360" w:lineRule="auto"/>
        <w:rPr>
          <w:rFonts w:ascii="宋体" w:hAnsi="宋体"/>
          <w:b/>
          <w:sz w:val="28"/>
          <w:szCs w:val="30"/>
          <w:highlight w:val="none"/>
        </w:rPr>
      </w:pPr>
      <w:r>
        <w:rPr>
          <w:rFonts w:ascii="宋体" w:hAnsi="宋体"/>
          <w:b/>
          <w:sz w:val="28"/>
          <w:szCs w:val="30"/>
          <w:highlight w:val="none"/>
        </w:rPr>
      </w:r>
      <w:r/>
    </w:p>
    <w:p>
      <w:pPr>
        <w:pStyle w:val="1137"/>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7"/>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7"/>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7"/>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137"/>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137"/>
        <w:spacing w:line="360" w:lineRule="auto"/>
        <w:rPr>
          <w:rFonts w:ascii="宋体" w:hAnsi="宋体" w:cs="宋体"/>
          <w:sz w:val="24"/>
          <w:highlight w:val="none"/>
        </w:rPr>
      </w:pPr>
      <w:r>
        <w:rPr>
          <w:rFonts w:ascii="宋体" w:hAnsi="宋体" w:cs="宋体"/>
          <w:sz w:val="24"/>
          <w:highlight w:val="none"/>
        </w:rPr>
      </w:r>
      <w:r/>
    </w:p>
    <w:p>
      <w:pPr>
        <w:pStyle w:val="1137"/>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137"/>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137"/>
        <w:rPr>
          <w:highlight w:val="none"/>
        </w:rPr>
      </w:pPr>
      <w:r>
        <w:rPr>
          <w:highlight w:val="none"/>
        </w:rPr>
      </w:r>
      <w:r/>
    </w:p>
    <w:p>
      <w:pPr>
        <w:pStyle w:val="1137"/>
        <w:rPr>
          <w:highlight w:val="none"/>
        </w:rPr>
      </w:pPr>
      <w:r>
        <w:rPr>
          <w:highlight w:val="none"/>
        </w:rPr>
      </w:r>
      <w:r/>
    </w:p>
    <w:p>
      <w:pPr>
        <w:pStyle w:val="1137"/>
        <w:rPr>
          <w:highlight w:val="none"/>
        </w:rPr>
      </w:pPr>
      <w:r>
        <w:rPr>
          <w:highlight w:val="none"/>
        </w:rPr>
      </w:r>
      <w:r/>
    </w:p>
    <w:p>
      <w:pPr>
        <w:pStyle w:val="1137"/>
        <w:rPr>
          <w:highlight w:val="none"/>
        </w:rPr>
      </w:pPr>
      <w:r>
        <w:rPr>
          <w:highlight w:val="none"/>
        </w:rPr>
      </w:r>
      <w:r/>
    </w:p>
    <w:p>
      <w:pPr>
        <w:pStyle w:val="1137"/>
        <w:rPr>
          <w:highlight w:val="none"/>
        </w:rPr>
      </w:pPr>
      <w:r>
        <w:rPr>
          <w:highlight w:val="none"/>
        </w:rPr>
      </w:r>
      <w:r/>
    </w:p>
    <w:p>
      <w:pPr>
        <w:pStyle w:val="1137"/>
        <w:rPr>
          <w:highlight w:val="none"/>
        </w:rPr>
      </w:pPr>
      <w:r>
        <w:rPr>
          <w:highlight w:val="none"/>
        </w:rPr>
      </w:r>
      <w:r/>
    </w:p>
    <w:p>
      <w:pPr>
        <w:pStyle w:val="1137"/>
        <w:spacing w:line="360" w:lineRule="auto"/>
        <w:rPr>
          <w:sz w:val="24"/>
          <w:szCs w:val="20"/>
          <w:highlight w:val="none"/>
        </w:rPr>
        <w:outlineLvl w:val="2"/>
      </w:pPr>
      <w:r>
        <w:rPr>
          <w:sz w:val="24"/>
          <w:szCs w:val="20"/>
          <w:highlight w:val="none"/>
        </w:rPr>
      </w:r>
      <w:r/>
    </w:p>
    <w:p>
      <w:pPr>
        <w:pStyle w:val="1137"/>
        <w:spacing w:line="360" w:lineRule="auto"/>
        <w:rPr>
          <w:sz w:val="24"/>
          <w:szCs w:val="20"/>
          <w:highlight w:val="none"/>
        </w:rPr>
        <w:outlineLvl w:val="2"/>
      </w:pPr>
      <w:r>
        <w:rPr>
          <w:rFonts w:hint="eastAsia"/>
          <w:sz w:val="24"/>
          <w:szCs w:val="20"/>
          <w:highlight w:val="none"/>
        </w:rPr>
        <w:t xml:space="preserve">12</w:t>
      </w:r>
      <w:r>
        <w:rPr>
          <w:sz w:val="24"/>
          <w:szCs w:val="20"/>
          <w:highlight w:val="none"/>
        </w:rPr>
        <w:t xml:space="preserve">招标文件要求提供或投标人认为应附的其他材料</w:t>
      </w:r>
      <w:r>
        <w:rPr>
          <w:sz w:val="24"/>
          <w:szCs w:val="20"/>
          <w:highlight w:val="none"/>
        </w:rPr>
      </w:r>
      <w:r/>
    </w:p>
    <w:p>
      <w:pPr>
        <w:pStyle w:val="1137"/>
        <w:jc w:val="left"/>
        <w:widowControl/>
        <w:rPr>
          <w:b/>
          <w:sz w:val="36"/>
          <w:szCs w:val="36"/>
          <w:highlight w:val="none"/>
        </w:rPr>
      </w:pPr>
      <w:r>
        <w:rPr>
          <w:b/>
          <w:sz w:val="36"/>
          <w:szCs w:val="36"/>
          <w:highlight w:val="none"/>
        </w:rPr>
      </w:r>
      <w:r/>
    </w:p>
    <w:sectPr>
      <w:headerReference w:type="even" r:id="rId13"/>
      <w:footerReference w:type="default" r:id="rId19"/>
      <w:footerReference w:type="even" r:id="rId20"/>
      <w:footnotePr/>
      <w:endnotePr/>
      <w:type w:val="nextPage"/>
      <w:pgSz w:w="11907" w:h="16840" w:orient="portrait"/>
      <w:pgMar w:top="1440" w:right="1083" w:bottom="1440" w:left="1083"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方正小标宋简体">
    <w:panose1 w:val="020B0503020202020204"/>
  </w:font>
  <w:font w:name="MingLiU">
    <w:panose1 w:val="02020500000000000000"/>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ind w:right="360"/>
      <w:tabs>
        <w:tab w:val="center" w:pos="4153" w:leader="none"/>
        <w:tab w:val="right" w:pos="8306" w:leader="none"/>
      </w:tabs>
      <w:rPr>
        <w:rStyle w:val="1210"/>
      </w:rPr>
      <w:framePr w:wrap="around" w:vAnchor="text" w:hAnchor="margin" w:y="1"/>
    </w:pPr>
    <w:r>
      <w:rPr>
        <w:rStyle w:val="1210"/>
      </w:rPr>
    </w:r>
    <w:r/>
  </w:p>
  <w:p>
    <w:pPr>
      <w:pStyle w:val="1185"/>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enter" w:pos="4153" w:leader="none"/>
        <w:tab w:val="right" w:pos="8306" w:leader="none"/>
      </w:tabs>
      <w:rPr>
        <w:rStyle w:val="1210"/>
      </w:rPr>
      <w:framePr w:wrap="around" w:vAnchor="text" w:hAnchor="margin" w:xAlign="center" w:y="1"/>
    </w:pPr>
    <w:r>
      <w:fldChar w:fldCharType="begin"/>
    </w:r>
    <w:r>
      <w:rPr>
        <w:rStyle w:val="1210"/>
      </w:rPr>
      <w:instrText xml:space="preserve">PAGE  </w:instrText>
    </w:r>
    <w:r>
      <w:fldChar w:fldCharType="end"/>
    </w:r>
    <w:r>
      <w:rPr>
        <w:rStyle w:val="1210"/>
      </w:rPr>
    </w:r>
    <w:r/>
  </w:p>
  <w:p>
    <w:pPr>
      <w:pStyle w:val="118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enter" w:pos="4153" w:leader="none"/>
        <w:tab w:val="right" w:pos="8306" w:leader="none"/>
      </w:tabs>
      <w:rPr>
        <w:rStyle w:val="1210"/>
      </w:rPr>
      <w:framePr w:wrap="around" w:vAnchor="text" w:hAnchor="margin" w:xAlign="right" w:y="1"/>
    </w:pPr>
    <w:r>
      <w:rPr>
        <w:rStyle w:val="1210"/>
      </w:rPr>
    </w:r>
    <w:r/>
  </w:p>
  <w:p>
    <w:pPr>
      <w:pStyle w:val="1185"/>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37"/>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3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enter" w:pos="4153" w:leader="none"/>
        <w:tab w:val="right" w:pos="8306" w:leader="none"/>
      </w:tabs>
      <w:rPr>
        <w:rStyle w:val="1210"/>
      </w:rPr>
      <w:framePr w:wrap="around" w:vAnchor="text" w:hAnchor="margin" w:xAlign="right" w:y="1"/>
    </w:pPr>
    <w:r>
      <w:fldChar w:fldCharType="begin"/>
    </w:r>
    <w:r>
      <w:rPr>
        <w:rStyle w:val="1210"/>
      </w:rPr>
      <w:instrText xml:space="preserve">PAGE  </w:instrText>
    </w:r>
    <w:r>
      <w:fldChar w:fldCharType="end"/>
    </w:r>
    <w:r>
      <w:rPr>
        <w:rStyle w:val="1210"/>
      </w:rPr>
    </w:r>
    <w:r/>
  </w:p>
  <w:p>
    <w:pPr>
      <w:pStyle w:val="1185"/>
      <w:ind w:right="360"/>
      <w:tabs>
        <w:tab w:val="center" w:pos="4153" w:leader="none"/>
        <w:tab w:val="right" w:pos="8306" w:leader="none"/>
      </w:tabs>
    </w:pPr>
    <w:r/>
    <w:r/>
  </w:p>
  <w:p>
    <w:pPr>
      <w:pStyle w:val="11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rPr>
        <w:rFonts w:hint="eastAsia"/>
      </w:rPr>
      <w:pBdr>
        <w:bottom w:val="single" w:color="000000" w:sz="4" w:space="1"/>
      </w:pBdr>
    </w:pPr>
    <w:r>
      <w:rPr>
        <w:rFonts w:hint="eastAsia"/>
      </w:rPr>
      <mc:AlternateContent>
        <mc:Choice Requires="wpg">
          <w:drawing>
            <wp:inline xmlns:wp="http://schemas.openxmlformats.org/drawingml/2006/wordprocessingDrawing" distT="0" distB="0" distL="0" distR="0">
              <wp:extent cx="906145" cy="22505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1.3pt;height:17.7pt;mso-wrap-distance-left:0.0pt;mso-wrap-distance-top:0.0pt;mso-wrap-distance-right:0.0pt;mso-wrap-distance-bottom:0.0pt;" stroked="f">
              <v:path textboxrect="0,0,0,0"/>
              <v:imagedata r:id="rId1" o:title=""/>
            </v:shape>
          </w:pict>
        </mc:Fallback>
      </mc:AlternateContent>
    </w:r>
    <w:r>
      <w:rPr>
        <w:rFonts w:hint="eastAsia"/>
      </w:rPr>
      <w:t xml:space="preserve">                                                                    常州润邦招标代理有限公司</w: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both"/>
      <w:tabs>
        <w:tab w:val="center" w:pos="4153" w:leader="none"/>
        <w:tab w:val="right" w:pos="8306" w:leader="none"/>
      </w:tabs>
      <w:rPr>
        <w:rFonts w:hint="eastAsia"/>
      </w:rPr>
      <w:pBdr>
        <w:bottom w:val="single" w:color="000000" w:sz="4" w:space="1"/>
      </w:pBdr>
    </w:pPr>
    <w:r>
      <w:rPr>
        <w:rFonts w:hint="eastAsia"/>
      </w:rPr>
      <mc:AlternateContent>
        <mc:Choice Requires="wpg">
          <w:drawing>
            <wp:inline xmlns:wp="http://schemas.openxmlformats.org/drawingml/2006/wordprocessingDrawing" distT="0" distB="0" distL="0" distR="0">
              <wp:extent cx="906145" cy="22505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1.3pt;height:17.7pt;mso-wrap-distance-left:0.0pt;mso-wrap-distance-top:0.0pt;mso-wrap-distance-right:0.0pt;mso-wrap-distance-bottom:0.0pt;" stroked="f">
              <v:path textboxrect="0,0,0,0"/>
              <v:imagedata r:id="rId1" o:title=""/>
            </v:shape>
          </w:pict>
        </mc:Fallback>
      </mc:AlternateContent>
    </w:r>
    <w:r>
      <w:rPr>
        <w:rFonts w:hint="eastAsia"/>
      </w:rPr>
      <w:t xml:space="preserve">                                                                    常州润邦招标代理有限公司</w: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3;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
  </w:p>
  <w:p>
    <w:pPr>
      <w:pStyle w:val="113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3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37"/>
        <w:ind w:left="900" w:hanging="900"/>
        <w:tabs>
          <w:tab w:val="num" w:pos="900" w:leader="none"/>
        </w:tabs>
      </w:pPr>
      <w:rPr>
        <w:rFonts w:hint="eastAsia"/>
      </w:rPr>
    </w:lvl>
    <w:lvl w:ilvl="1">
      <w:start w:val="1"/>
      <w:numFmt w:val="decimal"/>
      <w:isLgl w:val="false"/>
      <w:suff w:val="tab"/>
      <w:lvlText w:val="%1.%2"/>
      <w:lvlJc w:val="left"/>
      <w:pPr>
        <w:pStyle w:val="1137"/>
        <w:ind w:left="1468" w:hanging="900"/>
        <w:tabs>
          <w:tab w:val="num" w:pos="1589" w:leader="none"/>
        </w:tabs>
      </w:pPr>
      <w:rPr>
        <w:rFonts w:ascii="宋体" w:hAnsi="宋体" w:eastAsia="宋体" w:cs="宋体"/>
        <w:sz w:val="24"/>
        <w:szCs w:val="24"/>
      </w:rPr>
    </w:lvl>
    <w:lvl w:ilvl="2">
      <w:start w:val="1"/>
      <w:numFmt w:val="decimal"/>
      <w:isLgl w:val="false"/>
      <w:suff w:val="nothing"/>
      <w:lvlText w:val="%1.%2.%3"/>
      <w:lvlJc w:val="left"/>
      <w:pPr>
        <w:pStyle w:val="1137"/>
        <w:ind w:left="0" w:firstLine="0"/>
      </w:pPr>
      <w:rPr>
        <w:rFonts w:hint="eastAsia"/>
      </w:rPr>
    </w:lvl>
    <w:lvl w:ilvl="3">
      <w:start w:val="1"/>
      <w:numFmt w:val="decimal"/>
      <w:isLgl w:val="false"/>
      <w:suff w:val="tab"/>
      <w:lvlText w:val="%1.%2.%3.%4"/>
      <w:lvlJc w:val="left"/>
      <w:pPr>
        <w:pStyle w:val="1137"/>
        <w:ind w:left="900" w:hanging="900"/>
        <w:tabs>
          <w:tab w:val="num" w:pos="900" w:leader="none"/>
        </w:tabs>
      </w:pPr>
      <w:rPr>
        <w:rFonts w:hint="eastAsia"/>
      </w:rPr>
    </w:lvl>
    <w:lvl w:ilvl="4">
      <w:start w:val="1"/>
      <w:numFmt w:val="decimal"/>
      <w:isLgl w:val="false"/>
      <w:suff w:val="tab"/>
      <w:lvlText w:val="%1.%2.%3.%4.%5"/>
      <w:lvlJc w:val="left"/>
      <w:pPr>
        <w:pStyle w:val="1137"/>
        <w:ind w:left="900" w:hanging="900"/>
        <w:tabs>
          <w:tab w:val="num" w:pos="900" w:leader="none"/>
        </w:tabs>
      </w:pPr>
      <w:rPr>
        <w:rFonts w:hint="eastAsia"/>
      </w:rPr>
    </w:lvl>
    <w:lvl w:ilvl="5">
      <w:start w:val="1"/>
      <w:numFmt w:val="decimal"/>
      <w:isLgl w:val="false"/>
      <w:suff w:val="tab"/>
      <w:lvlText w:val="%1.%2.%3.%4.%5.%6"/>
      <w:lvlJc w:val="left"/>
      <w:pPr>
        <w:pStyle w:val="1137"/>
        <w:ind w:left="900" w:hanging="900"/>
        <w:tabs>
          <w:tab w:val="num" w:pos="900" w:leader="none"/>
        </w:tabs>
      </w:pPr>
      <w:rPr>
        <w:rFonts w:hint="eastAsia"/>
      </w:rPr>
    </w:lvl>
    <w:lvl w:ilvl="6">
      <w:start w:val="1"/>
      <w:numFmt w:val="decimal"/>
      <w:isLgl w:val="false"/>
      <w:suff w:val="tab"/>
      <w:lvlText w:val="%1.%2.%3.%4.%5.%6.%7"/>
      <w:lvlJc w:val="left"/>
      <w:pPr>
        <w:pStyle w:val="1137"/>
        <w:ind w:left="900" w:hanging="900"/>
        <w:tabs>
          <w:tab w:val="num" w:pos="900" w:leader="none"/>
        </w:tabs>
      </w:pPr>
      <w:rPr>
        <w:rFonts w:hint="eastAsia"/>
      </w:rPr>
    </w:lvl>
    <w:lvl w:ilvl="7">
      <w:start w:val="1"/>
      <w:numFmt w:val="decimal"/>
      <w:isLgl w:val="false"/>
      <w:suff w:val="tab"/>
      <w:lvlText w:val="%1.%2.%3.%4.%5.%6.%7.%8"/>
      <w:lvlJc w:val="left"/>
      <w:pPr>
        <w:pStyle w:val="1137"/>
        <w:ind w:left="900" w:hanging="900"/>
        <w:tabs>
          <w:tab w:val="num" w:pos="900" w:leader="none"/>
        </w:tabs>
      </w:pPr>
      <w:rPr>
        <w:rFonts w:hint="eastAsia"/>
      </w:rPr>
    </w:lvl>
    <w:lvl w:ilvl="8">
      <w:start w:val="1"/>
      <w:numFmt w:val="decimal"/>
      <w:isLgl w:val="false"/>
      <w:suff w:val="tab"/>
      <w:lvlText w:val="%1.%2.%3.%4.%5.%6.%7.%8.%9"/>
      <w:lvlJc w:val="left"/>
      <w:pPr>
        <w:pStyle w:val="1137"/>
        <w:ind w:left="900" w:hanging="900"/>
        <w:tabs>
          <w:tab w:val="num" w:pos="900" w:leader="none"/>
        </w:tabs>
      </w:pPr>
      <w:rPr>
        <w:rFonts w:hint="eastAsia"/>
      </w:rPr>
    </w:lvl>
  </w:abstractNum>
  <w:abstractNum w:abstractNumId="2">
    <w:multiLevelType w:val="hybridMultilevel"/>
    <w:lvl w:ilvl="0">
      <w:start w:val="1"/>
      <w:numFmt w:val="decimal"/>
      <w:isLgl w:val="false"/>
      <w:suff w:val="nothing"/>
      <w:lvlText w:val="%1．"/>
      <w:lvlJc w:val="left"/>
      <w:pPr>
        <w:pStyle w:val="113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3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137"/>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37"/>
        <w:ind w:left="0" w:firstLine="0"/>
      </w:pPr>
      <w:rPr>
        <w:rFonts w:ascii="宋体" w:hAnsi="宋体" w:eastAsia="宋体" w:cs="宋体"/>
        <w:sz w:val="24"/>
        <w:szCs w:val="24"/>
      </w:rPr>
    </w:lvl>
    <w:lvl w:ilvl="2">
      <w:start w:val="1"/>
      <w:numFmt w:val="decimal"/>
      <w:isLgl w:val="false"/>
      <w:suff w:val="nothing"/>
      <w:lvlText w:val="%1.%2.%3"/>
      <w:lvlJc w:val="left"/>
      <w:pPr>
        <w:pStyle w:val="1137"/>
        <w:ind w:left="0" w:firstLine="0"/>
      </w:pPr>
      <w:rPr>
        <w:rFonts w:ascii="宋体" w:hAnsi="宋体" w:eastAsia="宋体" w:cs="宋体"/>
      </w:rPr>
    </w:lvl>
    <w:lvl w:ilvl="3">
      <w:start w:val="1"/>
      <w:numFmt w:val="decimal"/>
      <w:isLgl w:val="false"/>
      <w:suff w:val="tab"/>
      <w:lvlText w:val="%1.%2.%3.%4"/>
      <w:lvlJc w:val="left"/>
      <w:pPr>
        <w:pStyle w:val="1137"/>
        <w:ind w:left="900" w:hanging="900"/>
        <w:tabs>
          <w:tab w:val="num" w:pos="900" w:leader="none"/>
        </w:tabs>
      </w:pPr>
      <w:rPr>
        <w:rFonts w:hint="eastAsia"/>
      </w:rPr>
    </w:lvl>
    <w:lvl w:ilvl="4">
      <w:start w:val="1"/>
      <w:numFmt w:val="decimal"/>
      <w:isLgl w:val="false"/>
      <w:suff w:val="tab"/>
      <w:lvlText w:val="%1.%2.%3.%4.%5"/>
      <w:lvlJc w:val="left"/>
      <w:pPr>
        <w:pStyle w:val="1137"/>
        <w:ind w:left="900" w:hanging="900"/>
        <w:tabs>
          <w:tab w:val="num" w:pos="900" w:leader="none"/>
        </w:tabs>
      </w:pPr>
      <w:rPr>
        <w:rFonts w:hint="eastAsia"/>
      </w:rPr>
    </w:lvl>
    <w:lvl w:ilvl="5">
      <w:start w:val="1"/>
      <w:numFmt w:val="decimal"/>
      <w:isLgl w:val="false"/>
      <w:suff w:val="tab"/>
      <w:lvlText w:val="%1.%2.%3.%4.%5.%6"/>
      <w:lvlJc w:val="left"/>
      <w:pPr>
        <w:pStyle w:val="1137"/>
        <w:ind w:left="900" w:hanging="900"/>
        <w:tabs>
          <w:tab w:val="num" w:pos="900" w:leader="none"/>
        </w:tabs>
      </w:pPr>
      <w:rPr>
        <w:rFonts w:hint="eastAsia"/>
      </w:rPr>
    </w:lvl>
    <w:lvl w:ilvl="6">
      <w:start w:val="1"/>
      <w:numFmt w:val="decimal"/>
      <w:isLgl w:val="false"/>
      <w:suff w:val="tab"/>
      <w:lvlText w:val="%1.%2.%3.%4.%5.%6.%7"/>
      <w:lvlJc w:val="left"/>
      <w:pPr>
        <w:pStyle w:val="1137"/>
        <w:ind w:left="900" w:hanging="900"/>
        <w:tabs>
          <w:tab w:val="num" w:pos="900" w:leader="none"/>
        </w:tabs>
      </w:pPr>
      <w:rPr>
        <w:rFonts w:hint="eastAsia"/>
      </w:rPr>
    </w:lvl>
    <w:lvl w:ilvl="7">
      <w:start w:val="1"/>
      <w:numFmt w:val="decimal"/>
      <w:isLgl w:val="false"/>
      <w:suff w:val="tab"/>
      <w:lvlText w:val="%1.%2.%3.%4.%5.%6.%7.%8"/>
      <w:lvlJc w:val="left"/>
      <w:pPr>
        <w:pStyle w:val="1137"/>
        <w:ind w:left="900" w:hanging="900"/>
        <w:tabs>
          <w:tab w:val="num" w:pos="900" w:leader="none"/>
        </w:tabs>
      </w:pPr>
      <w:rPr>
        <w:rFonts w:hint="eastAsia"/>
      </w:rPr>
    </w:lvl>
    <w:lvl w:ilvl="8">
      <w:start w:val="1"/>
      <w:numFmt w:val="decimal"/>
      <w:isLgl w:val="false"/>
      <w:suff w:val="tab"/>
      <w:lvlText w:val="%1.%2.%3.%4.%5.%6.%7.%8.%9"/>
      <w:lvlJc w:val="left"/>
      <w:pPr>
        <w:pStyle w:val="1137"/>
        <w:ind w:left="900" w:hanging="900"/>
        <w:tabs>
          <w:tab w:val="num" w:pos="900" w:leader="none"/>
        </w:tabs>
      </w:pPr>
      <w:rPr>
        <w:rFonts w:hint="eastAsia"/>
      </w:rPr>
    </w:lvl>
  </w:abstractNum>
  <w:abstractNum w:abstractNumId="5">
    <w:multiLevelType w:val="hybridMultilevel"/>
    <w:lvl w:ilvl="0">
      <w:start w:val="1"/>
      <w:numFmt w:val="decimal"/>
      <w:pStyle w:val="1292"/>
      <w:isLgl w:val="false"/>
      <w:suff w:val="tab"/>
      <w:lvlText w:val="%1."/>
      <w:lvlJc w:val="left"/>
      <w:pPr>
        <w:pStyle w:val="1137"/>
        <w:ind w:left="420" w:hanging="420"/>
      </w:pPr>
    </w:lvl>
    <w:lvl w:ilvl="1">
      <w:start w:val="1"/>
      <w:numFmt w:val="decimal"/>
      <w:isLgl w:val="false"/>
      <w:suff w:val="tab"/>
      <w:lvlText w:val="（%2）"/>
      <w:lvlJc w:val="left"/>
      <w:pPr>
        <w:pStyle w:val="1137"/>
        <w:ind w:left="1140" w:hanging="720"/>
        <w:tabs>
          <w:tab w:val="num" w:pos="1140" w:leader="none"/>
        </w:tabs>
      </w:pPr>
      <w:rPr>
        <w:rFonts w:hint="eastAsia"/>
      </w:rPr>
    </w:lvl>
    <w:lvl w:ilvl="2">
      <w:start w:val="1"/>
      <w:numFmt w:val="lowerRoman"/>
      <w:isLgl w:val="false"/>
      <w:suff w:val="tab"/>
      <w:lvlText w:val="%3."/>
      <w:lvlJc w:val="right"/>
      <w:pPr>
        <w:pStyle w:val="1137"/>
        <w:ind w:left="1260" w:hanging="420"/>
      </w:pPr>
    </w:lvl>
    <w:lvl w:ilvl="3">
      <w:start w:val="1"/>
      <w:numFmt w:val="decimal"/>
      <w:isLgl w:val="false"/>
      <w:suff w:val="tab"/>
      <w:lvlText w:val="%4."/>
      <w:lvlJc w:val="left"/>
      <w:pPr>
        <w:pStyle w:val="1137"/>
        <w:ind w:left="1680" w:hanging="420"/>
      </w:pPr>
    </w:lvl>
    <w:lvl w:ilvl="4">
      <w:start w:val="1"/>
      <w:numFmt w:val="lowerLetter"/>
      <w:isLgl w:val="false"/>
      <w:suff w:val="tab"/>
      <w:lvlText w:val="%5)"/>
      <w:lvlJc w:val="left"/>
      <w:pPr>
        <w:pStyle w:val="1137"/>
        <w:ind w:left="2100" w:hanging="420"/>
      </w:pPr>
    </w:lvl>
    <w:lvl w:ilvl="5">
      <w:start w:val="1"/>
      <w:numFmt w:val="lowerRoman"/>
      <w:isLgl w:val="false"/>
      <w:suff w:val="tab"/>
      <w:lvlText w:val="%6."/>
      <w:lvlJc w:val="right"/>
      <w:pPr>
        <w:pStyle w:val="1137"/>
        <w:ind w:left="2520" w:hanging="420"/>
      </w:pPr>
    </w:lvl>
    <w:lvl w:ilvl="6">
      <w:start w:val="1"/>
      <w:numFmt w:val="decimal"/>
      <w:isLgl w:val="false"/>
      <w:suff w:val="tab"/>
      <w:lvlText w:val="%7."/>
      <w:lvlJc w:val="left"/>
      <w:pPr>
        <w:pStyle w:val="1137"/>
        <w:ind w:left="2940" w:hanging="420"/>
      </w:pPr>
    </w:lvl>
    <w:lvl w:ilvl="7">
      <w:start w:val="1"/>
      <w:numFmt w:val="lowerLetter"/>
      <w:isLgl w:val="false"/>
      <w:suff w:val="tab"/>
      <w:lvlText w:val="%8)"/>
      <w:lvlJc w:val="left"/>
      <w:pPr>
        <w:pStyle w:val="1137"/>
        <w:ind w:left="3360" w:hanging="420"/>
      </w:pPr>
    </w:lvl>
    <w:lvl w:ilvl="8">
      <w:start w:val="1"/>
      <w:numFmt w:val="lowerRoman"/>
      <w:isLgl w:val="false"/>
      <w:suff w:val="tab"/>
      <w:lvlText w:val="%9."/>
      <w:lvlJc w:val="right"/>
      <w:pPr>
        <w:pStyle w:val="1137"/>
        <w:ind w:left="3780" w:hanging="420"/>
      </w:pPr>
    </w:lvl>
  </w:abstractNum>
  <w:abstractNum w:abstractNumId="6">
    <w:multiLevelType w:val="hybridMultilevel"/>
    <w:lvl w:ilvl="0">
      <w:start w:val="1"/>
      <w:numFmt w:val="lowerLetter"/>
      <w:pStyle w:val="1306"/>
      <w:isLgl w:val="false"/>
      <w:suff w:val="tab"/>
      <w:lvlText w:val="%1)"/>
      <w:lvlJc w:val="left"/>
      <w:pPr>
        <w:pStyle w:val="1137"/>
        <w:ind w:left="902" w:hanging="420"/>
      </w:pPr>
      <w:rPr>
        <w:color w:val="000000"/>
      </w:rPr>
    </w:lvl>
    <w:lvl w:ilvl="1">
      <w:start w:val="1"/>
      <w:numFmt w:val="lowerLetter"/>
      <w:isLgl w:val="false"/>
      <w:suff w:val="tab"/>
      <w:lvlText w:val="%2)"/>
      <w:lvlJc w:val="left"/>
      <w:pPr>
        <w:pStyle w:val="1137"/>
        <w:ind w:left="1322" w:hanging="420"/>
      </w:pPr>
    </w:lvl>
    <w:lvl w:ilvl="2">
      <w:start w:val="1"/>
      <w:numFmt w:val="lowerRoman"/>
      <w:isLgl w:val="false"/>
      <w:suff w:val="tab"/>
      <w:lvlText w:val="%3."/>
      <w:lvlJc w:val="right"/>
      <w:pPr>
        <w:pStyle w:val="1137"/>
        <w:ind w:left="1742" w:hanging="420"/>
      </w:pPr>
    </w:lvl>
    <w:lvl w:ilvl="3">
      <w:start w:val="1"/>
      <w:numFmt w:val="decimal"/>
      <w:isLgl w:val="false"/>
      <w:suff w:val="tab"/>
      <w:lvlText w:val="%4."/>
      <w:lvlJc w:val="left"/>
      <w:pPr>
        <w:pStyle w:val="1137"/>
        <w:ind w:left="2162" w:hanging="420"/>
      </w:pPr>
    </w:lvl>
    <w:lvl w:ilvl="4">
      <w:start w:val="1"/>
      <w:numFmt w:val="lowerLetter"/>
      <w:isLgl w:val="false"/>
      <w:suff w:val="tab"/>
      <w:lvlText w:val="%5)"/>
      <w:lvlJc w:val="left"/>
      <w:pPr>
        <w:pStyle w:val="1137"/>
        <w:ind w:left="2582" w:hanging="420"/>
      </w:pPr>
    </w:lvl>
    <w:lvl w:ilvl="5">
      <w:start w:val="1"/>
      <w:numFmt w:val="lowerRoman"/>
      <w:isLgl w:val="false"/>
      <w:suff w:val="tab"/>
      <w:lvlText w:val="%6."/>
      <w:lvlJc w:val="right"/>
      <w:pPr>
        <w:pStyle w:val="1137"/>
        <w:ind w:left="3002" w:hanging="420"/>
      </w:pPr>
    </w:lvl>
    <w:lvl w:ilvl="6">
      <w:start w:val="1"/>
      <w:numFmt w:val="decimal"/>
      <w:isLgl w:val="false"/>
      <w:suff w:val="tab"/>
      <w:lvlText w:val="%7."/>
      <w:lvlJc w:val="left"/>
      <w:pPr>
        <w:pStyle w:val="1137"/>
        <w:ind w:left="3422" w:hanging="420"/>
      </w:pPr>
    </w:lvl>
    <w:lvl w:ilvl="7">
      <w:start w:val="1"/>
      <w:numFmt w:val="lowerLetter"/>
      <w:isLgl w:val="false"/>
      <w:suff w:val="tab"/>
      <w:lvlText w:val="%8)"/>
      <w:lvlJc w:val="left"/>
      <w:pPr>
        <w:pStyle w:val="1137"/>
        <w:ind w:left="3842" w:hanging="420"/>
      </w:pPr>
    </w:lvl>
    <w:lvl w:ilvl="8">
      <w:start w:val="1"/>
      <w:numFmt w:val="lowerRoman"/>
      <w:isLgl w:val="false"/>
      <w:suff w:val="tab"/>
      <w:lvlText w:val="%9."/>
      <w:lvlJc w:val="right"/>
      <w:pPr>
        <w:pStyle w:val="1137"/>
        <w:ind w:left="4262" w:hanging="420"/>
      </w:pPr>
    </w:lvl>
  </w:abstractNum>
  <w:abstractNum w:abstractNumId="7">
    <w:multiLevelType w:val="hybridMultilevel"/>
    <w:lvl w:ilvl="0">
      <w:start w:val="1"/>
      <w:numFmt w:val="decimal"/>
      <w:pStyle w:val="1269"/>
      <w:isLgl w:val="false"/>
      <w:suff w:val="tab"/>
      <w:lvlText w:val="%1."/>
      <w:lvlJc w:val="left"/>
      <w:pPr>
        <w:pStyle w:val="113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05"/>
      <w:isLgl w:val="false"/>
      <w:suff w:val="nothing"/>
      <w:lvlText w:val="%1　"/>
      <w:lvlJc w:val="left"/>
      <w:pPr>
        <w:pStyle w:val="113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3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37"/>
        <w:ind w:left="-25" w:firstLine="0"/>
      </w:pPr>
      <w:rPr>
        <w:rFonts w:ascii="Times New Roman" w:hAnsi="Times New Roman" w:eastAsia="黑体"/>
        <w:b/>
        <w:i w:val="0"/>
        <w:sz w:val="28"/>
      </w:rPr>
    </w:lvl>
    <w:lvl w:ilvl="3">
      <w:start w:val="1"/>
      <w:numFmt w:val="decimal"/>
      <w:pStyle w:val="1332"/>
      <w:isLgl w:val="false"/>
      <w:suff w:val="nothing"/>
      <w:lvlText w:val="%1.%2.%3.%4　"/>
      <w:lvlJc w:val="left"/>
      <w:pPr>
        <w:pStyle w:val="113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3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37"/>
        <w:ind w:left="-25" w:firstLine="0"/>
      </w:pPr>
      <w:rPr>
        <w:rFonts w:ascii="Times New Roman" w:hAnsi="Times New Roman" w:eastAsia="宋体"/>
        <w:b/>
        <w:i w:val="0"/>
        <w:sz w:val="28"/>
      </w:rPr>
    </w:lvl>
    <w:lvl w:ilvl="6">
      <w:start w:val="1"/>
      <w:numFmt w:val="lowerLetter"/>
      <w:pStyle w:val="1299"/>
      <w:isLgl w:val="false"/>
      <w:suff w:val="tab"/>
      <w:lvlText w:val="%7) "/>
      <w:lvlJc w:val="left"/>
      <w:pPr>
        <w:pStyle w:val="1137"/>
        <w:ind w:left="-125" w:firstLine="400"/>
        <w:tabs>
          <w:tab w:val="num" w:pos="635" w:leader="none"/>
        </w:tabs>
      </w:pPr>
      <w:rPr>
        <w:rFonts w:ascii="Times New Roman" w:hAnsi="Times New Roman" w:eastAsia="宋体"/>
        <w:b/>
        <w:i w:val="0"/>
        <w:color w:val="000000"/>
        <w:sz w:val="28"/>
        <w:u w:val="none"/>
      </w:rPr>
    </w:lvl>
    <w:lvl w:ilvl="7">
      <w:start w:val="1"/>
      <w:numFmt w:val="decimal"/>
      <w:pStyle w:val="1340"/>
      <w:isLgl w:val="false"/>
      <w:suff w:val="tab"/>
      <w:lvlText w:val="%8) "/>
      <w:lvlJc w:val="left"/>
      <w:pPr>
        <w:pStyle w:val="113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37"/>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pStyle w:val="1137"/>
        <w:ind w:left="768" w:hanging="360"/>
        <w:tabs>
          <w:tab w:val="num" w:pos="768" w:leader="none"/>
        </w:tabs>
      </w:pPr>
      <w:rPr>
        <w:rFonts w:hint="eastAsia"/>
      </w:rPr>
    </w:lvl>
    <w:lvl w:ilvl="1">
      <w:start w:val="1"/>
      <w:numFmt w:val="decimal"/>
      <w:pStyle w:val="1348"/>
      <w:isLgl w:val="false"/>
      <w:suff w:val="tab"/>
      <w:lvlText w:val="%2、"/>
      <w:lvlJc w:val="left"/>
      <w:pPr>
        <w:pStyle w:val="1137"/>
        <w:ind w:left="1188" w:hanging="360"/>
        <w:tabs>
          <w:tab w:val="num" w:pos="1188" w:leader="none"/>
        </w:tabs>
      </w:pPr>
      <w:rPr>
        <w:rFonts w:hint="eastAsia"/>
      </w:rPr>
    </w:lvl>
    <w:lvl w:ilvl="2">
      <w:start w:val="1"/>
      <w:numFmt w:val="decimal"/>
      <w:isLgl w:val="false"/>
      <w:suff w:val="tab"/>
      <w:lvlText w:val="（%3）"/>
      <w:lvlJc w:val="left"/>
      <w:pPr>
        <w:pStyle w:val="1137"/>
        <w:ind w:left="1968" w:hanging="720"/>
        <w:tabs>
          <w:tab w:val="num" w:pos="1968" w:leader="none"/>
        </w:tabs>
      </w:pPr>
      <w:rPr>
        <w:rFonts w:hint="eastAsia"/>
        <w:u w:val="none"/>
      </w:rPr>
    </w:lvl>
    <w:lvl w:ilvl="3">
      <w:start w:val="1"/>
      <w:numFmt w:val="decimal"/>
      <w:isLgl w:val="false"/>
      <w:suff w:val="tab"/>
      <w:lvlText w:val="%4."/>
      <w:lvlJc w:val="left"/>
      <w:pPr>
        <w:pStyle w:val="1137"/>
        <w:ind w:left="2088" w:hanging="420"/>
        <w:tabs>
          <w:tab w:val="num" w:pos="2088" w:leader="none"/>
        </w:tabs>
      </w:pPr>
    </w:lvl>
    <w:lvl w:ilvl="4">
      <w:start w:val="1"/>
      <w:numFmt w:val="lowerLetter"/>
      <w:isLgl w:val="false"/>
      <w:suff w:val="tab"/>
      <w:lvlText w:val="%5)"/>
      <w:lvlJc w:val="left"/>
      <w:pPr>
        <w:pStyle w:val="1137"/>
        <w:ind w:left="2508" w:hanging="420"/>
        <w:tabs>
          <w:tab w:val="num" w:pos="2508" w:leader="none"/>
        </w:tabs>
      </w:pPr>
    </w:lvl>
    <w:lvl w:ilvl="5">
      <w:start w:val="1"/>
      <w:numFmt w:val="lowerRoman"/>
      <w:isLgl w:val="false"/>
      <w:suff w:val="tab"/>
      <w:lvlText w:val="%6."/>
      <w:lvlJc w:val="right"/>
      <w:pPr>
        <w:pStyle w:val="1137"/>
        <w:ind w:left="2928" w:hanging="420"/>
        <w:tabs>
          <w:tab w:val="num" w:pos="2928" w:leader="none"/>
        </w:tabs>
      </w:pPr>
    </w:lvl>
    <w:lvl w:ilvl="6">
      <w:start w:val="1"/>
      <w:numFmt w:val="decimal"/>
      <w:isLgl w:val="false"/>
      <w:suff w:val="tab"/>
      <w:lvlText w:val="%7."/>
      <w:lvlJc w:val="left"/>
      <w:pPr>
        <w:pStyle w:val="1137"/>
        <w:ind w:left="3348" w:hanging="420"/>
        <w:tabs>
          <w:tab w:val="num" w:pos="3348" w:leader="none"/>
        </w:tabs>
      </w:pPr>
    </w:lvl>
    <w:lvl w:ilvl="7">
      <w:start w:val="1"/>
      <w:numFmt w:val="lowerLetter"/>
      <w:isLgl w:val="false"/>
      <w:suff w:val="tab"/>
      <w:lvlText w:val="%8)"/>
      <w:lvlJc w:val="left"/>
      <w:pPr>
        <w:pStyle w:val="1137"/>
        <w:ind w:left="3768" w:hanging="420"/>
        <w:tabs>
          <w:tab w:val="num" w:pos="3768" w:leader="none"/>
        </w:tabs>
      </w:pPr>
    </w:lvl>
    <w:lvl w:ilvl="8">
      <w:start w:val="1"/>
      <w:numFmt w:val="lowerRoman"/>
      <w:isLgl w:val="false"/>
      <w:suff w:val="tab"/>
      <w:lvlText w:val="%9."/>
      <w:lvlJc w:val="right"/>
      <w:pPr>
        <w:pStyle w:val="1137"/>
        <w:ind w:left="4188" w:hanging="420"/>
        <w:tabs>
          <w:tab w:val="num" w:pos="4188" w:leader="none"/>
        </w:tabs>
      </w:pPr>
    </w:lvl>
  </w:abstractNum>
  <w:abstractNum w:abstractNumId="10">
    <w:multiLevelType w:val="hybridMultilevel"/>
    <w:lvl w:ilvl="0">
      <w:start w:val="1"/>
      <w:numFmt w:val="decimal"/>
      <w:pStyle w:val="1291"/>
      <w:isLgl w:val="false"/>
      <w:suff w:val="tab"/>
      <w:lvlText w:val="%1)"/>
      <w:lvlJc w:val="left"/>
      <w:pPr>
        <w:pStyle w:val="1137"/>
        <w:ind w:left="420" w:hanging="420"/>
      </w:pPr>
    </w:lvl>
    <w:lvl w:ilvl="1">
      <w:start w:val="1"/>
      <w:numFmt w:val="lowerLetter"/>
      <w:isLgl w:val="false"/>
      <w:suff w:val="tab"/>
      <w:lvlText w:val="%2)"/>
      <w:lvlJc w:val="left"/>
      <w:pPr>
        <w:pStyle w:val="1137"/>
        <w:ind w:left="840" w:hanging="420"/>
      </w:pPr>
    </w:lvl>
    <w:lvl w:ilvl="2">
      <w:start w:val="1"/>
      <w:numFmt w:val="lowerRoman"/>
      <w:isLgl w:val="false"/>
      <w:suff w:val="tab"/>
      <w:lvlText w:val="%3."/>
      <w:lvlJc w:val="right"/>
      <w:pPr>
        <w:pStyle w:val="1137"/>
        <w:ind w:left="1260" w:hanging="420"/>
      </w:pPr>
    </w:lvl>
    <w:lvl w:ilvl="3">
      <w:start w:val="1"/>
      <w:numFmt w:val="decimal"/>
      <w:isLgl w:val="false"/>
      <w:suff w:val="tab"/>
      <w:lvlText w:val="%4."/>
      <w:lvlJc w:val="left"/>
      <w:pPr>
        <w:pStyle w:val="1137"/>
        <w:ind w:left="1680" w:hanging="420"/>
      </w:pPr>
    </w:lvl>
    <w:lvl w:ilvl="4">
      <w:start w:val="1"/>
      <w:numFmt w:val="lowerLetter"/>
      <w:isLgl w:val="false"/>
      <w:suff w:val="tab"/>
      <w:lvlText w:val="%5)"/>
      <w:lvlJc w:val="left"/>
      <w:pPr>
        <w:pStyle w:val="1137"/>
        <w:ind w:left="2100" w:hanging="420"/>
      </w:pPr>
    </w:lvl>
    <w:lvl w:ilvl="5">
      <w:start w:val="1"/>
      <w:numFmt w:val="lowerRoman"/>
      <w:isLgl w:val="false"/>
      <w:suff w:val="tab"/>
      <w:lvlText w:val="%6."/>
      <w:lvlJc w:val="right"/>
      <w:pPr>
        <w:pStyle w:val="1137"/>
        <w:ind w:left="2520" w:hanging="420"/>
      </w:pPr>
    </w:lvl>
    <w:lvl w:ilvl="6">
      <w:start w:val="1"/>
      <w:numFmt w:val="decimal"/>
      <w:isLgl w:val="false"/>
      <w:suff w:val="tab"/>
      <w:lvlText w:val="%7."/>
      <w:lvlJc w:val="left"/>
      <w:pPr>
        <w:pStyle w:val="1137"/>
        <w:ind w:left="2940" w:hanging="420"/>
      </w:pPr>
    </w:lvl>
    <w:lvl w:ilvl="7">
      <w:start w:val="1"/>
      <w:numFmt w:val="lowerLetter"/>
      <w:isLgl w:val="false"/>
      <w:suff w:val="tab"/>
      <w:lvlText w:val="%8)"/>
      <w:lvlJc w:val="left"/>
      <w:pPr>
        <w:pStyle w:val="1137"/>
        <w:ind w:left="3360" w:hanging="420"/>
      </w:pPr>
    </w:lvl>
    <w:lvl w:ilvl="8">
      <w:start w:val="1"/>
      <w:numFmt w:val="lowerRoman"/>
      <w:isLgl w:val="false"/>
      <w:suff w:val="tab"/>
      <w:lvlText w:val="%9."/>
      <w:lvlJc w:val="right"/>
      <w:pPr>
        <w:pStyle w:val="1137"/>
        <w:ind w:left="3780" w:hanging="420"/>
      </w:pPr>
    </w:lvl>
  </w:abstractNum>
  <w:abstractNum w:abstractNumId="11">
    <w:multiLevelType w:val="hybridMultilevel"/>
    <w:lvl w:ilvl="0">
      <w:start w:val="1"/>
      <w:numFmt w:val="decimal"/>
      <w:pStyle w:val="1325"/>
      <w:isLgl w:val="false"/>
      <w:suff w:val="tab"/>
      <w:lvlText w:val="%1"/>
      <w:lvlJc w:val="left"/>
      <w:pPr>
        <w:pStyle w:val="1137"/>
        <w:ind w:left="680" w:hanging="680"/>
      </w:pPr>
      <w:rPr>
        <w:rFonts w:hint="eastAsia" w:ascii="宋体" w:hAnsi="宋体" w:eastAsia="宋体"/>
      </w:rPr>
    </w:lvl>
    <w:lvl w:ilvl="1">
      <w:start w:val="1"/>
      <w:numFmt w:val="decimal"/>
      <w:pStyle w:val="1318"/>
      <w:isLgl w:val="false"/>
      <w:suff w:val="tab"/>
      <w:lvlText w:val="%1.%2"/>
      <w:lvlJc w:val="left"/>
      <w:pPr>
        <w:pStyle w:val="1137"/>
        <w:ind w:left="851" w:hanging="851"/>
      </w:pPr>
      <w:rPr>
        <w:rFonts w:hint="eastAsia" w:ascii="宋体" w:hAnsi="宋体" w:eastAsia="宋体"/>
        <w:color w:val="000000"/>
      </w:rPr>
    </w:lvl>
    <w:lvl w:ilvl="2">
      <w:start w:val="1"/>
      <w:numFmt w:val="decimal"/>
      <w:pStyle w:val="1322"/>
      <w:isLgl w:val="false"/>
      <w:suff w:val="tab"/>
      <w:lvlText w:val="%1.%2.%3"/>
      <w:lvlJc w:val="left"/>
      <w:pPr>
        <w:pStyle w:val="1137"/>
        <w:ind w:left="851" w:hanging="851"/>
      </w:pPr>
      <w:rPr>
        <w:rFonts w:hint="eastAsia"/>
      </w:rPr>
    </w:lvl>
    <w:lvl w:ilvl="3">
      <w:start w:val="1"/>
      <w:numFmt w:val="decimal"/>
      <w:isLgl w:val="false"/>
      <w:suff w:val="tab"/>
      <w:lvlText w:val="%1.%2.%3.%4"/>
      <w:lvlJc w:val="left"/>
      <w:pPr>
        <w:pStyle w:val="1137"/>
        <w:ind w:left="680" w:hanging="680"/>
      </w:pPr>
      <w:rPr>
        <w:rFonts w:hint="eastAsia"/>
      </w:rPr>
    </w:lvl>
    <w:lvl w:ilvl="4">
      <w:start w:val="1"/>
      <w:numFmt w:val="decimal"/>
      <w:isLgl w:val="false"/>
      <w:suff w:val="tab"/>
      <w:lvlText w:val="%1.%2.%3.%4.%5"/>
      <w:lvlJc w:val="left"/>
      <w:pPr>
        <w:pStyle w:val="1137"/>
        <w:ind w:left="680" w:hanging="680"/>
      </w:pPr>
      <w:rPr>
        <w:rFonts w:hint="eastAsia"/>
      </w:rPr>
    </w:lvl>
    <w:lvl w:ilvl="5">
      <w:start w:val="1"/>
      <w:numFmt w:val="decimal"/>
      <w:isLgl w:val="false"/>
      <w:suff w:val="tab"/>
      <w:lvlText w:val="%1.%2.%3.%4.%5.%6"/>
      <w:lvlJc w:val="left"/>
      <w:pPr>
        <w:pStyle w:val="1137"/>
        <w:ind w:left="680" w:hanging="680"/>
      </w:pPr>
      <w:rPr>
        <w:rFonts w:hint="eastAsia"/>
      </w:rPr>
    </w:lvl>
    <w:lvl w:ilvl="6">
      <w:start w:val="1"/>
      <w:numFmt w:val="decimal"/>
      <w:isLgl w:val="false"/>
      <w:suff w:val="tab"/>
      <w:lvlText w:val="%1.%2.%3.%4.%5.%6.%7"/>
      <w:lvlJc w:val="left"/>
      <w:pPr>
        <w:pStyle w:val="1137"/>
        <w:ind w:left="680" w:hanging="680"/>
      </w:pPr>
      <w:rPr>
        <w:rFonts w:hint="eastAsia"/>
      </w:rPr>
    </w:lvl>
    <w:lvl w:ilvl="7">
      <w:start w:val="1"/>
      <w:numFmt w:val="decimal"/>
      <w:isLgl w:val="false"/>
      <w:suff w:val="tab"/>
      <w:lvlText w:val="%1.%2.%3.%4.%5.%6.%7.%8"/>
      <w:lvlJc w:val="left"/>
      <w:pPr>
        <w:pStyle w:val="1137"/>
        <w:ind w:left="680" w:hanging="680"/>
      </w:pPr>
      <w:rPr>
        <w:rFonts w:hint="eastAsia"/>
      </w:rPr>
    </w:lvl>
    <w:lvl w:ilvl="8">
      <w:start w:val="1"/>
      <w:numFmt w:val="decimal"/>
      <w:isLgl w:val="false"/>
      <w:suff w:val="tab"/>
      <w:lvlText w:val="%1.%2.%3.%4.%5.%6.%7.%8.%9"/>
      <w:lvlJc w:val="left"/>
      <w:pPr>
        <w:pStyle w:val="1137"/>
        <w:ind w:left="680" w:hanging="680"/>
      </w:pPr>
      <w:rPr>
        <w:rFonts w:hint="eastAsia"/>
      </w:rPr>
    </w:lvl>
  </w:abstractNum>
  <w:abstractNum w:abstractNumId="12">
    <w:multiLevelType w:val="hybridMultilevel"/>
    <w:lvl w:ilvl="0">
      <w:start w:val="1"/>
      <w:numFmt w:val="decimal"/>
      <w:isLgl w:val="false"/>
      <w:suff w:val="nothing"/>
      <w:lvlText w:val="%1．"/>
      <w:lvlJc w:val="left"/>
      <w:pPr>
        <w:pStyle w:val="113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113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137"/>
        <w:ind w:left="900" w:hanging="900"/>
        <w:tabs>
          <w:tab w:val="num" w:pos="900" w:leader="none"/>
        </w:tabs>
      </w:pPr>
      <w:rPr>
        <w:rFonts w:hint="eastAsia"/>
      </w:rPr>
    </w:lvl>
    <w:lvl w:ilvl="1">
      <w:start w:val="1"/>
      <w:numFmt w:val="decimal"/>
      <w:isLgl w:val="false"/>
      <w:suff w:val="tab"/>
      <w:lvlText w:val="%1.%2"/>
      <w:lvlJc w:val="left"/>
      <w:pPr>
        <w:pStyle w:val="113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37"/>
        <w:ind w:left="1980" w:hanging="900"/>
        <w:tabs>
          <w:tab w:val="num" w:pos="1980" w:leader="none"/>
        </w:tabs>
      </w:pPr>
      <w:rPr>
        <w:rFonts w:hint="eastAsia"/>
      </w:rPr>
    </w:lvl>
    <w:lvl w:ilvl="3">
      <w:start w:val="1"/>
      <w:numFmt w:val="decimal"/>
      <w:isLgl w:val="false"/>
      <w:suff w:val="tab"/>
      <w:lvlText w:val="%1.%2.%3.%4"/>
      <w:lvlJc w:val="left"/>
      <w:pPr>
        <w:pStyle w:val="1137"/>
        <w:ind w:left="900" w:hanging="900"/>
        <w:tabs>
          <w:tab w:val="num" w:pos="900" w:leader="none"/>
        </w:tabs>
      </w:pPr>
      <w:rPr>
        <w:rFonts w:hint="eastAsia"/>
      </w:rPr>
    </w:lvl>
    <w:lvl w:ilvl="4">
      <w:start w:val="1"/>
      <w:numFmt w:val="decimal"/>
      <w:isLgl w:val="false"/>
      <w:suff w:val="tab"/>
      <w:lvlText w:val="%1.%2.%3.%4.%5"/>
      <w:lvlJc w:val="left"/>
      <w:pPr>
        <w:pStyle w:val="1137"/>
        <w:ind w:left="900" w:hanging="900"/>
        <w:tabs>
          <w:tab w:val="num" w:pos="900" w:leader="none"/>
        </w:tabs>
      </w:pPr>
      <w:rPr>
        <w:rFonts w:hint="eastAsia"/>
      </w:rPr>
    </w:lvl>
    <w:lvl w:ilvl="5">
      <w:start w:val="1"/>
      <w:numFmt w:val="decimal"/>
      <w:isLgl w:val="false"/>
      <w:suff w:val="tab"/>
      <w:lvlText w:val="%1.%2.%3.%4.%5.%6"/>
      <w:lvlJc w:val="left"/>
      <w:pPr>
        <w:pStyle w:val="1137"/>
        <w:ind w:left="900" w:hanging="900"/>
        <w:tabs>
          <w:tab w:val="num" w:pos="900" w:leader="none"/>
        </w:tabs>
      </w:pPr>
      <w:rPr>
        <w:rFonts w:hint="eastAsia"/>
      </w:rPr>
    </w:lvl>
    <w:lvl w:ilvl="6">
      <w:start w:val="1"/>
      <w:numFmt w:val="decimal"/>
      <w:isLgl w:val="false"/>
      <w:suff w:val="tab"/>
      <w:lvlText w:val="%1.%2.%3.%4.%5.%6.%7"/>
      <w:lvlJc w:val="left"/>
      <w:pPr>
        <w:pStyle w:val="1137"/>
        <w:ind w:left="900" w:hanging="900"/>
        <w:tabs>
          <w:tab w:val="num" w:pos="900" w:leader="none"/>
        </w:tabs>
      </w:pPr>
      <w:rPr>
        <w:rFonts w:hint="eastAsia"/>
      </w:rPr>
    </w:lvl>
    <w:lvl w:ilvl="7">
      <w:start w:val="1"/>
      <w:numFmt w:val="decimal"/>
      <w:isLgl w:val="false"/>
      <w:suff w:val="tab"/>
      <w:lvlText w:val="%1.%2.%3.%4.%5.%6.%7.%8"/>
      <w:lvlJc w:val="left"/>
      <w:pPr>
        <w:pStyle w:val="1137"/>
        <w:ind w:left="900" w:hanging="900"/>
        <w:tabs>
          <w:tab w:val="num" w:pos="900" w:leader="none"/>
        </w:tabs>
      </w:pPr>
      <w:rPr>
        <w:rFonts w:hint="eastAsia"/>
      </w:rPr>
    </w:lvl>
    <w:lvl w:ilvl="8">
      <w:start w:val="1"/>
      <w:numFmt w:val="decimal"/>
      <w:isLgl w:val="false"/>
      <w:suff w:val="tab"/>
      <w:lvlText w:val="%1.%2.%3.%4.%5.%6.%7.%8.%9"/>
      <w:lvlJc w:val="left"/>
      <w:pPr>
        <w:pStyle w:val="1137"/>
        <w:ind w:left="900" w:hanging="900"/>
        <w:tabs>
          <w:tab w:val="num" w:pos="900" w:leader="none"/>
        </w:tabs>
      </w:pPr>
      <w:rPr>
        <w:rFonts w:hint="eastAsia"/>
      </w:rPr>
    </w:lvl>
  </w:abstractNum>
  <w:num w:numId="1">
    <w:abstractNumId w:val="7"/>
  </w:num>
  <w:num w:numId="2">
    <w:abstractNumId w:val="5"/>
  </w:num>
  <w:num w:numId="3">
    <w:abstractNumId w:val="10"/>
  </w:num>
  <w:num w:numId="4">
    <w:abstractNumId w:val="8"/>
  </w:num>
  <w:num w:numId="5">
    <w:abstractNumId w:val="6"/>
  </w:num>
  <w:num w:numId="6">
    <w:abstractNumId w:val="11"/>
  </w:num>
  <w:num w:numId="7">
    <w:abstractNumId w:val="9"/>
  </w:num>
  <w:num w:numId="8">
    <w:abstractNumId w:val="4"/>
  </w:num>
  <w:num w:numId="9">
    <w:abstractNumId w:val="14"/>
  </w:num>
  <w:num w:numId="10">
    <w:abstractNumId w:val="1"/>
  </w:num>
  <w:num w:numId="11">
    <w:abstractNumId w:val="3"/>
  </w:num>
  <w:num w:numId="12">
    <w:abstractNumId w:val="0"/>
  </w:num>
  <w:num w:numId="13">
    <w:abstractNumId w:val="2"/>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9">
    <w:name w:val="Heading 1"/>
    <w:basedOn w:val="1137"/>
    <w:next w:val="1137"/>
    <w:link w:val="960"/>
    <w:uiPriority w:val="9"/>
    <w:qFormat/>
    <w:pPr>
      <w:keepLines/>
      <w:keepNext/>
      <w:spacing w:before="480" w:after="200"/>
      <w:outlineLvl w:val="0"/>
    </w:pPr>
    <w:rPr>
      <w:rFonts w:ascii="Arial" w:hAnsi="Arial" w:eastAsia="Arial" w:cs="Arial"/>
      <w:sz w:val="40"/>
      <w:szCs w:val="40"/>
    </w:rPr>
  </w:style>
  <w:style w:type="character" w:styleId="960">
    <w:name w:val="Heading 1 Char"/>
    <w:link w:val="959"/>
    <w:uiPriority w:val="9"/>
    <w:rPr>
      <w:rFonts w:ascii="Arial" w:hAnsi="Arial" w:eastAsia="Arial" w:cs="Arial"/>
      <w:sz w:val="40"/>
      <w:szCs w:val="40"/>
    </w:rPr>
  </w:style>
  <w:style w:type="paragraph" w:styleId="961">
    <w:name w:val="Heading 2"/>
    <w:basedOn w:val="1137"/>
    <w:next w:val="1137"/>
    <w:link w:val="962"/>
    <w:uiPriority w:val="9"/>
    <w:unhideWhenUsed/>
    <w:qFormat/>
    <w:pPr>
      <w:keepLines/>
      <w:keepNext/>
      <w:spacing w:before="360" w:after="200"/>
      <w:outlineLvl w:val="1"/>
    </w:pPr>
    <w:rPr>
      <w:rFonts w:ascii="Arial" w:hAnsi="Arial" w:eastAsia="Arial" w:cs="Arial"/>
      <w:sz w:val="34"/>
    </w:rPr>
  </w:style>
  <w:style w:type="character" w:styleId="962">
    <w:name w:val="Heading 2 Char"/>
    <w:link w:val="961"/>
    <w:uiPriority w:val="9"/>
    <w:rPr>
      <w:rFonts w:ascii="Arial" w:hAnsi="Arial" w:eastAsia="Arial" w:cs="Arial"/>
      <w:sz w:val="34"/>
    </w:rPr>
  </w:style>
  <w:style w:type="paragraph" w:styleId="963">
    <w:name w:val="Heading 3"/>
    <w:basedOn w:val="1137"/>
    <w:next w:val="1137"/>
    <w:link w:val="964"/>
    <w:uiPriority w:val="9"/>
    <w:unhideWhenUsed/>
    <w:qFormat/>
    <w:pPr>
      <w:keepLines/>
      <w:keepNext/>
      <w:spacing w:before="320" w:after="200"/>
      <w:outlineLvl w:val="2"/>
    </w:pPr>
    <w:rPr>
      <w:rFonts w:ascii="Arial" w:hAnsi="Arial" w:eastAsia="Arial" w:cs="Arial"/>
      <w:sz w:val="30"/>
      <w:szCs w:val="30"/>
    </w:rPr>
  </w:style>
  <w:style w:type="character" w:styleId="964">
    <w:name w:val="Heading 3 Char"/>
    <w:link w:val="963"/>
    <w:uiPriority w:val="9"/>
    <w:rPr>
      <w:rFonts w:ascii="Arial" w:hAnsi="Arial" w:eastAsia="Arial" w:cs="Arial"/>
      <w:sz w:val="30"/>
      <w:szCs w:val="30"/>
    </w:rPr>
  </w:style>
  <w:style w:type="paragraph" w:styleId="965">
    <w:name w:val="Heading 4"/>
    <w:basedOn w:val="1137"/>
    <w:next w:val="1137"/>
    <w:link w:val="966"/>
    <w:uiPriority w:val="9"/>
    <w:unhideWhenUsed/>
    <w:qFormat/>
    <w:pPr>
      <w:keepLines/>
      <w:keepNext/>
      <w:spacing w:before="320" w:after="200"/>
      <w:outlineLvl w:val="3"/>
    </w:pPr>
    <w:rPr>
      <w:rFonts w:ascii="Arial" w:hAnsi="Arial" w:eastAsia="Arial" w:cs="Arial"/>
      <w:b/>
      <w:bCs/>
      <w:sz w:val="26"/>
      <w:szCs w:val="26"/>
    </w:rPr>
  </w:style>
  <w:style w:type="character" w:styleId="966">
    <w:name w:val="Heading 4 Char"/>
    <w:link w:val="965"/>
    <w:uiPriority w:val="9"/>
    <w:rPr>
      <w:rFonts w:ascii="Arial" w:hAnsi="Arial" w:eastAsia="Arial" w:cs="Arial"/>
      <w:b/>
      <w:bCs/>
      <w:sz w:val="26"/>
      <w:szCs w:val="26"/>
    </w:rPr>
  </w:style>
  <w:style w:type="paragraph" w:styleId="967">
    <w:name w:val="Heading 5"/>
    <w:basedOn w:val="1137"/>
    <w:next w:val="1137"/>
    <w:link w:val="968"/>
    <w:uiPriority w:val="9"/>
    <w:unhideWhenUsed/>
    <w:qFormat/>
    <w:pPr>
      <w:keepLines/>
      <w:keepNext/>
      <w:spacing w:before="320" w:after="200"/>
      <w:outlineLvl w:val="4"/>
    </w:pPr>
    <w:rPr>
      <w:rFonts w:ascii="Arial" w:hAnsi="Arial" w:eastAsia="Arial" w:cs="Arial"/>
      <w:b/>
      <w:bCs/>
      <w:sz w:val="24"/>
      <w:szCs w:val="24"/>
    </w:rPr>
  </w:style>
  <w:style w:type="character" w:styleId="968">
    <w:name w:val="Heading 5 Char"/>
    <w:link w:val="967"/>
    <w:uiPriority w:val="9"/>
    <w:rPr>
      <w:rFonts w:ascii="Arial" w:hAnsi="Arial" w:eastAsia="Arial" w:cs="Arial"/>
      <w:b/>
      <w:bCs/>
      <w:sz w:val="24"/>
      <w:szCs w:val="24"/>
    </w:rPr>
  </w:style>
  <w:style w:type="paragraph" w:styleId="969">
    <w:name w:val="Heading 6"/>
    <w:basedOn w:val="1137"/>
    <w:next w:val="1137"/>
    <w:link w:val="970"/>
    <w:uiPriority w:val="9"/>
    <w:unhideWhenUsed/>
    <w:qFormat/>
    <w:pPr>
      <w:keepLines/>
      <w:keepNext/>
      <w:spacing w:before="320" w:after="200"/>
      <w:outlineLvl w:val="5"/>
    </w:pPr>
    <w:rPr>
      <w:rFonts w:ascii="Arial" w:hAnsi="Arial" w:eastAsia="Arial" w:cs="Arial"/>
      <w:b/>
      <w:bCs/>
      <w:sz w:val="22"/>
      <w:szCs w:val="22"/>
    </w:rPr>
  </w:style>
  <w:style w:type="character" w:styleId="970">
    <w:name w:val="Heading 6 Char"/>
    <w:link w:val="969"/>
    <w:uiPriority w:val="9"/>
    <w:rPr>
      <w:rFonts w:ascii="Arial" w:hAnsi="Arial" w:eastAsia="Arial" w:cs="Arial"/>
      <w:b/>
      <w:bCs/>
      <w:sz w:val="22"/>
      <w:szCs w:val="22"/>
    </w:rPr>
  </w:style>
  <w:style w:type="paragraph" w:styleId="971">
    <w:name w:val="Heading 7"/>
    <w:basedOn w:val="1137"/>
    <w:next w:val="1137"/>
    <w:link w:val="972"/>
    <w:uiPriority w:val="9"/>
    <w:unhideWhenUsed/>
    <w:qFormat/>
    <w:pPr>
      <w:keepLines/>
      <w:keepNext/>
      <w:spacing w:before="320" w:after="200"/>
      <w:outlineLvl w:val="6"/>
    </w:pPr>
    <w:rPr>
      <w:rFonts w:ascii="Arial" w:hAnsi="Arial" w:eastAsia="Arial" w:cs="Arial"/>
      <w:b/>
      <w:bCs/>
      <w:i/>
      <w:iCs/>
      <w:sz w:val="22"/>
      <w:szCs w:val="22"/>
    </w:rPr>
  </w:style>
  <w:style w:type="character" w:styleId="972">
    <w:name w:val="Heading 7 Char"/>
    <w:link w:val="971"/>
    <w:uiPriority w:val="9"/>
    <w:rPr>
      <w:rFonts w:ascii="Arial" w:hAnsi="Arial" w:eastAsia="Arial" w:cs="Arial"/>
      <w:b/>
      <w:bCs/>
      <w:i/>
      <w:iCs/>
      <w:sz w:val="22"/>
      <w:szCs w:val="22"/>
    </w:rPr>
  </w:style>
  <w:style w:type="paragraph" w:styleId="973">
    <w:name w:val="Heading 8"/>
    <w:basedOn w:val="1137"/>
    <w:next w:val="1137"/>
    <w:link w:val="974"/>
    <w:uiPriority w:val="9"/>
    <w:unhideWhenUsed/>
    <w:qFormat/>
    <w:pPr>
      <w:keepLines/>
      <w:keepNext/>
      <w:spacing w:before="320" w:after="200"/>
      <w:outlineLvl w:val="7"/>
    </w:pPr>
    <w:rPr>
      <w:rFonts w:ascii="Arial" w:hAnsi="Arial" w:eastAsia="Arial" w:cs="Arial"/>
      <w:i/>
      <w:iCs/>
      <w:sz w:val="22"/>
      <w:szCs w:val="22"/>
    </w:rPr>
  </w:style>
  <w:style w:type="character" w:styleId="974">
    <w:name w:val="Heading 8 Char"/>
    <w:link w:val="973"/>
    <w:uiPriority w:val="9"/>
    <w:rPr>
      <w:rFonts w:ascii="Arial" w:hAnsi="Arial" w:eastAsia="Arial" w:cs="Arial"/>
      <w:i/>
      <w:iCs/>
      <w:sz w:val="22"/>
      <w:szCs w:val="22"/>
    </w:rPr>
  </w:style>
  <w:style w:type="paragraph" w:styleId="975">
    <w:name w:val="Heading 9"/>
    <w:basedOn w:val="1137"/>
    <w:next w:val="1137"/>
    <w:link w:val="976"/>
    <w:uiPriority w:val="9"/>
    <w:unhideWhenUsed/>
    <w:qFormat/>
    <w:pPr>
      <w:keepLines/>
      <w:keepNext/>
      <w:spacing w:before="320" w:after="200"/>
      <w:outlineLvl w:val="8"/>
    </w:pPr>
    <w:rPr>
      <w:rFonts w:ascii="Arial" w:hAnsi="Arial" w:eastAsia="Arial" w:cs="Arial"/>
      <w:i/>
      <w:iCs/>
      <w:sz w:val="21"/>
      <w:szCs w:val="21"/>
    </w:rPr>
  </w:style>
  <w:style w:type="character" w:styleId="976">
    <w:name w:val="Heading 9 Char"/>
    <w:link w:val="975"/>
    <w:uiPriority w:val="9"/>
    <w:rPr>
      <w:rFonts w:ascii="Arial" w:hAnsi="Arial" w:eastAsia="Arial" w:cs="Arial"/>
      <w:i/>
      <w:iCs/>
      <w:sz w:val="21"/>
      <w:szCs w:val="21"/>
    </w:rPr>
  </w:style>
  <w:style w:type="paragraph" w:styleId="977">
    <w:name w:val="List Paragraph"/>
    <w:basedOn w:val="1137"/>
    <w:uiPriority w:val="34"/>
    <w:qFormat/>
    <w:pPr>
      <w:contextualSpacing/>
      <w:ind w:left="720"/>
    </w:pPr>
  </w:style>
  <w:style w:type="paragraph" w:styleId="978">
    <w:name w:val="No Spacing"/>
    <w:uiPriority w:val="1"/>
    <w:qFormat/>
    <w:pPr>
      <w:spacing w:before="0" w:after="0" w:line="240" w:lineRule="auto"/>
    </w:pPr>
  </w:style>
  <w:style w:type="paragraph" w:styleId="979">
    <w:name w:val="Title"/>
    <w:basedOn w:val="1137"/>
    <w:next w:val="1137"/>
    <w:link w:val="980"/>
    <w:uiPriority w:val="10"/>
    <w:qFormat/>
    <w:pPr>
      <w:contextualSpacing/>
      <w:spacing w:before="300" w:after="200"/>
    </w:pPr>
    <w:rPr>
      <w:sz w:val="48"/>
      <w:szCs w:val="48"/>
    </w:rPr>
  </w:style>
  <w:style w:type="character" w:styleId="980">
    <w:name w:val="Title Char"/>
    <w:link w:val="979"/>
    <w:uiPriority w:val="10"/>
    <w:rPr>
      <w:sz w:val="48"/>
      <w:szCs w:val="48"/>
    </w:rPr>
  </w:style>
  <w:style w:type="paragraph" w:styleId="981">
    <w:name w:val="Subtitle"/>
    <w:basedOn w:val="1137"/>
    <w:next w:val="1137"/>
    <w:link w:val="982"/>
    <w:uiPriority w:val="11"/>
    <w:qFormat/>
    <w:pPr>
      <w:spacing w:before="200" w:after="200"/>
    </w:pPr>
    <w:rPr>
      <w:sz w:val="24"/>
      <w:szCs w:val="24"/>
    </w:rPr>
  </w:style>
  <w:style w:type="character" w:styleId="982">
    <w:name w:val="Subtitle Char"/>
    <w:link w:val="981"/>
    <w:uiPriority w:val="11"/>
    <w:rPr>
      <w:sz w:val="24"/>
      <w:szCs w:val="24"/>
    </w:rPr>
  </w:style>
  <w:style w:type="paragraph" w:styleId="983">
    <w:name w:val="Quote"/>
    <w:basedOn w:val="1137"/>
    <w:next w:val="1137"/>
    <w:link w:val="984"/>
    <w:uiPriority w:val="29"/>
    <w:qFormat/>
    <w:pPr>
      <w:ind w:left="720" w:right="720"/>
    </w:pPr>
    <w:rPr>
      <w:i/>
    </w:rPr>
  </w:style>
  <w:style w:type="character" w:styleId="984">
    <w:name w:val="Quote Char"/>
    <w:link w:val="983"/>
    <w:uiPriority w:val="29"/>
    <w:rPr>
      <w:i/>
    </w:rPr>
  </w:style>
  <w:style w:type="paragraph" w:styleId="985">
    <w:name w:val="Intense Quote"/>
    <w:basedOn w:val="1137"/>
    <w:next w:val="1137"/>
    <w:link w:val="9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name w:val="Intense Quote Char"/>
    <w:link w:val="985"/>
    <w:uiPriority w:val="30"/>
    <w:rPr>
      <w:i/>
    </w:rPr>
  </w:style>
  <w:style w:type="paragraph" w:styleId="987">
    <w:name w:val="Header"/>
    <w:basedOn w:val="1137"/>
    <w:link w:val="988"/>
    <w:uiPriority w:val="99"/>
    <w:unhideWhenUsed/>
    <w:pPr>
      <w:spacing w:after="0" w:line="240" w:lineRule="auto"/>
      <w:tabs>
        <w:tab w:val="center" w:pos="7143" w:leader="none"/>
        <w:tab w:val="right" w:pos="14287" w:leader="none"/>
      </w:tabs>
    </w:pPr>
  </w:style>
  <w:style w:type="character" w:styleId="988">
    <w:name w:val="Header Char"/>
    <w:link w:val="987"/>
    <w:uiPriority w:val="99"/>
  </w:style>
  <w:style w:type="paragraph" w:styleId="989">
    <w:name w:val="Footer"/>
    <w:basedOn w:val="1137"/>
    <w:link w:val="992"/>
    <w:uiPriority w:val="99"/>
    <w:unhideWhenUsed/>
    <w:pPr>
      <w:spacing w:after="0" w:line="240" w:lineRule="auto"/>
      <w:tabs>
        <w:tab w:val="center" w:pos="7143" w:leader="none"/>
        <w:tab w:val="right" w:pos="14287" w:leader="none"/>
      </w:tabs>
    </w:pPr>
  </w:style>
  <w:style w:type="character" w:styleId="990">
    <w:name w:val="Footer Char"/>
    <w:link w:val="989"/>
    <w:uiPriority w:val="99"/>
  </w:style>
  <w:style w:type="paragraph" w:styleId="991">
    <w:name w:val="Caption"/>
    <w:basedOn w:val="1137"/>
    <w:next w:val="1137"/>
    <w:uiPriority w:val="35"/>
    <w:semiHidden/>
    <w:unhideWhenUsed/>
    <w:qFormat/>
    <w:pPr>
      <w:spacing w:line="276" w:lineRule="auto"/>
    </w:pPr>
    <w:rPr>
      <w:b/>
      <w:bCs/>
      <w:color w:val="4f81bd" w:themeColor="accent1"/>
      <w:sz w:val="18"/>
      <w:szCs w:val="18"/>
    </w:rPr>
  </w:style>
  <w:style w:type="character" w:styleId="992">
    <w:name w:val="Caption Char"/>
    <w:basedOn w:val="991"/>
    <w:link w:val="989"/>
    <w:uiPriority w:val="99"/>
  </w:style>
  <w:style w:type="table" w:styleId="9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9">
    <w:name w:val="Hyperlink"/>
    <w:uiPriority w:val="99"/>
    <w:unhideWhenUsed/>
    <w:rPr>
      <w:color w:val="0000ff" w:themeColor="hyperlink"/>
      <w:u w:val="single"/>
    </w:rPr>
  </w:style>
  <w:style w:type="paragraph" w:styleId="1120">
    <w:name w:val="footnote text"/>
    <w:basedOn w:val="1137"/>
    <w:link w:val="1121"/>
    <w:uiPriority w:val="99"/>
    <w:semiHidden/>
    <w:unhideWhenUsed/>
    <w:pPr>
      <w:spacing w:after="40" w:line="240" w:lineRule="auto"/>
    </w:pPr>
    <w:rPr>
      <w:sz w:val="18"/>
    </w:rPr>
  </w:style>
  <w:style w:type="character" w:styleId="1121">
    <w:name w:val="Footnote Text Char"/>
    <w:link w:val="1120"/>
    <w:uiPriority w:val="99"/>
    <w:rPr>
      <w:sz w:val="18"/>
    </w:rPr>
  </w:style>
  <w:style w:type="character" w:styleId="1122">
    <w:name w:val="footnote reference"/>
    <w:uiPriority w:val="99"/>
    <w:unhideWhenUsed/>
    <w:rPr>
      <w:vertAlign w:val="superscript"/>
    </w:rPr>
  </w:style>
  <w:style w:type="paragraph" w:styleId="1123">
    <w:name w:val="endnote text"/>
    <w:basedOn w:val="1137"/>
    <w:link w:val="1124"/>
    <w:uiPriority w:val="99"/>
    <w:semiHidden/>
    <w:unhideWhenUsed/>
    <w:pPr>
      <w:spacing w:after="0" w:line="240" w:lineRule="auto"/>
    </w:pPr>
    <w:rPr>
      <w:sz w:val="20"/>
    </w:rPr>
  </w:style>
  <w:style w:type="character" w:styleId="1124">
    <w:name w:val="Endnote Text Char"/>
    <w:link w:val="1123"/>
    <w:uiPriority w:val="99"/>
    <w:rPr>
      <w:sz w:val="20"/>
    </w:rPr>
  </w:style>
  <w:style w:type="character" w:styleId="1125">
    <w:name w:val="endnote reference"/>
    <w:uiPriority w:val="99"/>
    <w:semiHidden/>
    <w:unhideWhenUsed/>
    <w:rPr>
      <w:vertAlign w:val="superscript"/>
    </w:rPr>
  </w:style>
  <w:style w:type="paragraph" w:styleId="1126">
    <w:name w:val="toc 1"/>
    <w:basedOn w:val="1137"/>
    <w:next w:val="1137"/>
    <w:uiPriority w:val="39"/>
    <w:unhideWhenUsed/>
    <w:pPr>
      <w:ind w:left="0" w:right="0" w:firstLine="0"/>
      <w:spacing w:after="57"/>
    </w:pPr>
  </w:style>
  <w:style w:type="paragraph" w:styleId="1127">
    <w:name w:val="toc 2"/>
    <w:basedOn w:val="1137"/>
    <w:next w:val="1137"/>
    <w:uiPriority w:val="39"/>
    <w:unhideWhenUsed/>
    <w:pPr>
      <w:ind w:left="283" w:right="0" w:firstLine="0"/>
      <w:spacing w:after="57"/>
    </w:pPr>
  </w:style>
  <w:style w:type="paragraph" w:styleId="1128">
    <w:name w:val="toc 3"/>
    <w:basedOn w:val="1137"/>
    <w:next w:val="1137"/>
    <w:uiPriority w:val="39"/>
    <w:unhideWhenUsed/>
    <w:pPr>
      <w:ind w:left="567" w:right="0" w:firstLine="0"/>
      <w:spacing w:after="57"/>
    </w:pPr>
  </w:style>
  <w:style w:type="paragraph" w:styleId="1129">
    <w:name w:val="toc 4"/>
    <w:basedOn w:val="1137"/>
    <w:next w:val="1137"/>
    <w:uiPriority w:val="39"/>
    <w:unhideWhenUsed/>
    <w:pPr>
      <w:ind w:left="850" w:right="0" w:firstLine="0"/>
      <w:spacing w:after="57"/>
    </w:pPr>
  </w:style>
  <w:style w:type="paragraph" w:styleId="1130">
    <w:name w:val="toc 5"/>
    <w:basedOn w:val="1137"/>
    <w:next w:val="1137"/>
    <w:uiPriority w:val="39"/>
    <w:unhideWhenUsed/>
    <w:pPr>
      <w:ind w:left="1134" w:right="0" w:firstLine="0"/>
      <w:spacing w:after="57"/>
    </w:pPr>
  </w:style>
  <w:style w:type="paragraph" w:styleId="1131">
    <w:name w:val="toc 6"/>
    <w:basedOn w:val="1137"/>
    <w:next w:val="1137"/>
    <w:uiPriority w:val="39"/>
    <w:unhideWhenUsed/>
    <w:pPr>
      <w:ind w:left="1417" w:right="0" w:firstLine="0"/>
      <w:spacing w:after="57"/>
    </w:pPr>
  </w:style>
  <w:style w:type="paragraph" w:styleId="1132">
    <w:name w:val="toc 7"/>
    <w:basedOn w:val="1137"/>
    <w:next w:val="1137"/>
    <w:uiPriority w:val="39"/>
    <w:unhideWhenUsed/>
    <w:pPr>
      <w:ind w:left="1701" w:right="0" w:firstLine="0"/>
      <w:spacing w:after="57"/>
    </w:pPr>
  </w:style>
  <w:style w:type="paragraph" w:styleId="1133">
    <w:name w:val="toc 8"/>
    <w:basedOn w:val="1137"/>
    <w:next w:val="1137"/>
    <w:uiPriority w:val="39"/>
    <w:unhideWhenUsed/>
    <w:pPr>
      <w:ind w:left="1984" w:right="0" w:firstLine="0"/>
      <w:spacing w:after="57"/>
    </w:pPr>
  </w:style>
  <w:style w:type="paragraph" w:styleId="1134">
    <w:name w:val="toc 9"/>
    <w:basedOn w:val="1137"/>
    <w:next w:val="1137"/>
    <w:uiPriority w:val="39"/>
    <w:unhideWhenUsed/>
    <w:pPr>
      <w:ind w:left="2268" w:right="0" w:firstLine="0"/>
      <w:spacing w:after="57"/>
    </w:pPr>
  </w:style>
  <w:style w:type="paragraph" w:styleId="1135">
    <w:name w:val="TOC Heading"/>
    <w:uiPriority w:val="39"/>
    <w:unhideWhenUsed/>
  </w:style>
  <w:style w:type="paragraph" w:styleId="1136">
    <w:name w:val="table of figures"/>
    <w:basedOn w:val="1137"/>
    <w:next w:val="1137"/>
    <w:uiPriority w:val="99"/>
    <w:unhideWhenUsed/>
    <w:pPr>
      <w:spacing w:after="0" w:afterAutospacing="0"/>
    </w:pPr>
  </w:style>
  <w:style w:type="paragraph" w:styleId="1137" w:default="1">
    <w:name w:val="Normal"/>
    <w:next w:val="1137"/>
    <w:link w:val="1137"/>
    <w:qFormat/>
    <w:pPr>
      <w:jc w:val="both"/>
      <w:widowControl w:val="off"/>
    </w:pPr>
    <w:rPr>
      <w:sz w:val="21"/>
      <w:szCs w:val="24"/>
      <w:lang w:val="en-US" w:eastAsia="zh-CN" w:bidi="ar-SA"/>
    </w:rPr>
  </w:style>
  <w:style w:type="paragraph" w:styleId="1138">
    <w:name w:val="标题 1"/>
    <w:basedOn w:val="1137"/>
    <w:next w:val="1137"/>
    <w:link w:val="1149"/>
    <w:qFormat/>
    <w:pPr>
      <w:jc w:val="center"/>
      <w:keepLines/>
      <w:keepNext/>
      <w:spacing w:before="240" w:after="120" w:line="300" w:lineRule="auto"/>
      <w:outlineLvl w:val="0"/>
    </w:pPr>
    <w:rPr>
      <w:rFonts w:ascii="宋体"/>
      <w:b/>
      <w:sz w:val="32"/>
      <w:szCs w:val="20"/>
    </w:rPr>
  </w:style>
  <w:style w:type="paragraph" w:styleId="1139">
    <w:name w:val="标题 2"/>
    <w:basedOn w:val="1137"/>
    <w:next w:val="1137"/>
    <w:link w:val="1150"/>
    <w:qFormat/>
    <w:pPr>
      <w:jc w:val="center"/>
      <w:keepLines/>
      <w:keepNext/>
      <w:spacing w:before="120" w:line="300" w:lineRule="auto"/>
      <w:outlineLvl w:val="1"/>
    </w:pPr>
    <w:rPr>
      <w:rFonts w:ascii="Arial" w:hAnsi="Arial" w:eastAsia="黑体"/>
      <w:b/>
      <w:sz w:val="30"/>
      <w:szCs w:val="20"/>
    </w:rPr>
  </w:style>
  <w:style w:type="paragraph" w:styleId="1140">
    <w:name w:val="标题 3"/>
    <w:basedOn w:val="1137"/>
    <w:next w:val="1137"/>
    <w:link w:val="1151"/>
    <w:qFormat/>
    <w:pPr>
      <w:jc w:val="left"/>
      <w:keepLines/>
      <w:keepNext/>
      <w:spacing w:before="360" w:after="120"/>
      <w:outlineLvl w:val="2"/>
    </w:pPr>
    <w:rPr>
      <w:rFonts w:ascii="宋体"/>
      <w:b/>
      <w:sz w:val="24"/>
      <w:szCs w:val="20"/>
      <w:u w:val="single"/>
    </w:rPr>
  </w:style>
  <w:style w:type="paragraph" w:styleId="1141">
    <w:name w:val="标题 4"/>
    <w:basedOn w:val="1137"/>
    <w:next w:val="1137"/>
    <w:link w:val="1152"/>
    <w:qFormat/>
    <w:pPr>
      <w:keepLines/>
      <w:keepNext/>
      <w:spacing w:before="280" w:after="290" w:line="376" w:lineRule="atLeast"/>
      <w:outlineLvl w:val="3"/>
    </w:pPr>
    <w:rPr>
      <w:rFonts w:ascii="Arial" w:hAnsi="Arial" w:eastAsia="黑体"/>
      <w:b/>
      <w:sz w:val="28"/>
      <w:szCs w:val="20"/>
    </w:rPr>
  </w:style>
  <w:style w:type="paragraph" w:styleId="1142">
    <w:name w:val="标题 5"/>
    <w:basedOn w:val="1137"/>
    <w:next w:val="1137"/>
    <w:link w:val="1153"/>
    <w:qFormat/>
    <w:pPr>
      <w:keepLines/>
      <w:keepNext/>
      <w:spacing w:before="280" w:after="290" w:line="376" w:lineRule="atLeast"/>
      <w:outlineLvl w:val="4"/>
    </w:pPr>
    <w:rPr>
      <w:b/>
      <w:sz w:val="28"/>
      <w:szCs w:val="20"/>
    </w:rPr>
  </w:style>
  <w:style w:type="paragraph" w:styleId="1143">
    <w:name w:val="标题 6"/>
    <w:basedOn w:val="1137"/>
    <w:next w:val="1137"/>
    <w:link w:val="1154"/>
    <w:qFormat/>
    <w:pPr>
      <w:keepLines/>
      <w:keepNext/>
      <w:spacing w:before="240" w:after="64" w:line="320" w:lineRule="atLeast"/>
      <w:outlineLvl w:val="5"/>
    </w:pPr>
    <w:rPr>
      <w:rFonts w:ascii="Arial" w:hAnsi="Arial" w:eastAsia="黑体"/>
      <w:b/>
      <w:sz w:val="24"/>
      <w:szCs w:val="20"/>
    </w:rPr>
  </w:style>
  <w:style w:type="paragraph" w:styleId="1144">
    <w:name w:val="标题 7"/>
    <w:basedOn w:val="1137"/>
    <w:next w:val="1137"/>
    <w:link w:val="1155"/>
    <w:qFormat/>
    <w:pPr>
      <w:keepLines/>
      <w:keepNext/>
      <w:spacing w:before="240" w:after="64" w:line="320" w:lineRule="atLeast"/>
      <w:outlineLvl w:val="6"/>
    </w:pPr>
    <w:rPr>
      <w:b/>
      <w:sz w:val="24"/>
      <w:szCs w:val="20"/>
    </w:rPr>
  </w:style>
  <w:style w:type="paragraph" w:styleId="1145">
    <w:name w:val="标题 8"/>
    <w:basedOn w:val="1137"/>
    <w:next w:val="1137"/>
    <w:link w:val="1156"/>
    <w:qFormat/>
    <w:pPr>
      <w:keepLines/>
      <w:keepNext/>
      <w:spacing w:before="240" w:after="64" w:line="320" w:lineRule="atLeast"/>
      <w:outlineLvl w:val="7"/>
    </w:pPr>
    <w:rPr>
      <w:rFonts w:ascii="Arial" w:hAnsi="Arial" w:eastAsia="黑体"/>
      <w:sz w:val="24"/>
      <w:szCs w:val="20"/>
    </w:rPr>
  </w:style>
  <w:style w:type="paragraph" w:styleId="1146">
    <w:name w:val="标题 9"/>
    <w:basedOn w:val="1137"/>
    <w:next w:val="1137"/>
    <w:link w:val="1157"/>
    <w:qFormat/>
    <w:pPr>
      <w:keepLines/>
      <w:keepNext/>
      <w:spacing w:before="240" w:after="64" w:line="320" w:lineRule="atLeast"/>
      <w:outlineLvl w:val="8"/>
    </w:pPr>
    <w:rPr>
      <w:rFonts w:ascii="Arial" w:hAnsi="Arial" w:eastAsia="黑体"/>
      <w:szCs w:val="20"/>
    </w:rPr>
  </w:style>
  <w:style w:type="character" w:styleId="1147">
    <w:name w:val="默认段落字体"/>
    <w:next w:val="1147"/>
    <w:link w:val="1137"/>
    <w:uiPriority w:val="1"/>
    <w:unhideWhenUsed/>
  </w:style>
  <w:style w:type="table" w:styleId="1148">
    <w:name w:val="普通表格"/>
    <w:next w:val="1148"/>
    <w:link w:val="1137"/>
    <w:uiPriority w:val="99"/>
    <w:unhideWhenUsed/>
    <w:qFormat/>
    <w:tblPr/>
  </w:style>
  <w:style w:type="character" w:styleId="1149">
    <w:name w:val="标题 1 字符"/>
    <w:next w:val="1149"/>
    <w:link w:val="1138"/>
    <w:qFormat/>
    <w:rPr>
      <w:rFonts w:ascii="宋体"/>
      <w:b/>
      <w:sz w:val="32"/>
    </w:rPr>
  </w:style>
  <w:style w:type="character" w:styleId="1150">
    <w:name w:val="标题 2 字符"/>
    <w:next w:val="1150"/>
    <w:link w:val="1139"/>
    <w:qFormat/>
    <w:rPr>
      <w:rFonts w:ascii="Arial" w:hAnsi="Arial" w:eastAsia="黑体"/>
      <w:b/>
      <w:sz w:val="30"/>
      <w:lang w:val="en-US" w:eastAsia="zh-CN" w:bidi="ar-SA"/>
    </w:rPr>
  </w:style>
  <w:style w:type="character" w:styleId="1151">
    <w:name w:val="标题 3 字符"/>
    <w:next w:val="1151"/>
    <w:link w:val="1140"/>
    <w:qFormat/>
    <w:rPr>
      <w:rFonts w:ascii="宋体" w:eastAsia="宋体"/>
      <w:b/>
      <w:sz w:val="24"/>
      <w:u w:val="single"/>
      <w:lang w:val="en-US" w:eastAsia="zh-CN" w:bidi="ar-SA"/>
    </w:rPr>
  </w:style>
  <w:style w:type="character" w:styleId="1152">
    <w:name w:val="标题 4 字符"/>
    <w:next w:val="1152"/>
    <w:link w:val="1141"/>
    <w:qFormat/>
    <w:rPr>
      <w:rFonts w:ascii="Arial" w:hAnsi="Arial" w:eastAsia="黑体"/>
      <w:b/>
      <w:sz w:val="28"/>
    </w:rPr>
  </w:style>
  <w:style w:type="character" w:styleId="1153">
    <w:name w:val="标题 5 字符"/>
    <w:next w:val="1153"/>
    <w:link w:val="1142"/>
    <w:qFormat/>
    <w:rPr>
      <w:b/>
      <w:sz w:val="28"/>
    </w:rPr>
  </w:style>
  <w:style w:type="character" w:styleId="1154">
    <w:name w:val="标题 6 字符"/>
    <w:next w:val="1154"/>
    <w:link w:val="1143"/>
    <w:qFormat/>
    <w:rPr>
      <w:rFonts w:ascii="Arial" w:hAnsi="Arial" w:eastAsia="黑体"/>
      <w:b/>
      <w:sz w:val="24"/>
    </w:rPr>
  </w:style>
  <w:style w:type="character" w:styleId="1155">
    <w:name w:val="标题 7 字符"/>
    <w:next w:val="1155"/>
    <w:link w:val="1144"/>
    <w:qFormat/>
    <w:rPr>
      <w:b/>
      <w:sz w:val="24"/>
    </w:rPr>
  </w:style>
  <w:style w:type="character" w:styleId="1156">
    <w:name w:val="标题 8 字符"/>
    <w:next w:val="1156"/>
    <w:link w:val="1145"/>
    <w:qFormat/>
    <w:rPr>
      <w:rFonts w:ascii="Arial" w:hAnsi="Arial" w:eastAsia="黑体"/>
      <w:sz w:val="24"/>
    </w:rPr>
  </w:style>
  <w:style w:type="character" w:styleId="1157">
    <w:name w:val="标题 9 字符"/>
    <w:next w:val="1157"/>
    <w:link w:val="1146"/>
    <w:qFormat/>
    <w:rPr>
      <w:rFonts w:ascii="Arial" w:hAnsi="Arial" w:eastAsia="黑体"/>
      <w:sz w:val="21"/>
    </w:rPr>
  </w:style>
  <w:style w:type="paragraph" w:styleId="1158">
    <w:name w:val="目录 7"/>
    <w:basedOn w:val="1137"/>
    <w:next w:val="1137"/>
    <w:link w:val="1137"/>
    <w:qFormat/>
    <w:pPr>
      <w:ind w:left="2520"/>
    </w:pPr>
  </w:style>
  <w:style w:type="paragraph" w:styleId="1159">
    <w:name w:val="正文缩进"/>
    <w:basedOn w:val="1137"/>
    <w:next w:val="1159"/>
    <w:link w:val="1160"/>
    <w:qFormat/>
    <w:pPr>
      <w:ind w:firstLine="420"/>
      <w:jc w:val="left"/>
    </w:pPr>
    <w:rPr>
      <w:rFonts w:ascii="宋体"/>
      <w:sz w:val="24"/>
    </w:rPr>
  </w:style>
  <w:style w:type="character" w:styleId="1160">
    <w:name w:val="正文缩进 字符"/>
    <w:next w:val="1160"/>
    <w:link w:val="1159"/>
    <w:qFormat/>
    <w:rPr>
      <w:rFonts w:ascii="宋体" w:eastAsia="宋体"/>
      <w:sz w:val="24"/>
      <w:szCs w:val="24"/>
      <w:lang w:val="en-US" w:eastAsia="zh-CN" w:bidi="ar-SA"/>
    </w:rPr>
  </w:style>
  <w:style w:type="paragraph" w:styleId="1161">
    <w:name w:val="题注"/>
    <w:basedOn w:val="1137"/>
    <w:next w:val="1137"/>
    <w:link w:val="1137"/>
    <w:qFormat/>
    <w:pPr>
      <w:spacing w:line="480" w:lineRule="auto"/>
    </w:pPr>
    <w:rPr>
      <w:rFonts w:ascii="华文中宋" w:hAnsi="华文中宋" w:eastAsia="华文中宋"/>
      <w:sz w:val="36"/>
      <w:szCs w:val="20"/>
    </w:rPr>
  </w:style>
  <w:style w:type="paragraph" w:styleId="1162">
    <w:name w:val="文档结构图"/>
    <w:basedOn w:val="1137"/>
    <w:next w:val="1162"/>
    <w:link w:val="1163"/>
    <w:qFormat/>
    <w:pPr>
      <w:shd w:val="clear" w:color="auto" w:fill="000080"/>
    </w:pPr>
  </w:style>
  <w:style w:type="character" w:styleId="1163">
    <w:name w:val="文档结构图 字符"/>
    <w:next w:val="1163"/>
    <w:link w:val="1162"/>
    <w:qFormat/>
    <w:rPr>
      <w:sz w:val="21"/>
      <w:szCs w:val="24"/>
      <w:shd w:val="clear" w:color="auto" w:fill="000080"/>
    </w:rPr>
  </w:style>
  <w:style w:type="paragraph" w:styleId="1164">
    <w:name w:val="批注文字"/>
    <w:basedOn w:val="1137"/>
    <w:next w:val="1164"/>
    <w:link w:val="1165"/>
    <w:uiPriority w:val="99"/>
    <w:qFormat/>
    <w:pPr>
      <w:jc w:val="left"/>
    </w:pPr>
  </w:style>
  <w:style w:type="character" w:styleId="1165">
    <w:name w:val="批注文字 字符1"/>
    <w:next w:val="1165"/>
    <w:link w:val="1164"/>
    <w:uiPriority w:val="99"/>
    <w:qFormat/>
    <w:rPr>
      <w:sz w:val="21"/>
      <w:szCs w:val="24"/>
    </w:rPr>
  </w:style>
  <w:style w:type="paragraph" w:styleId="1166">
    <w:name w:val="正文文本 3"/>
    <w:basedOn w:val="1137"/>
    <w:next w:val="1166"/>
    <w:link w:val="1167"/>
    <w:qFormat/>
    <w:pPr>
      <w:spacing w:after="120"/>
    </w:pPr>
    <w:rPr>
      <w:sz w:val="16"/>
      <w:szCs w:val="16"/>
    </w:rPr>
  </w:style>
  <w:style w:type="character" w:styleId="1167">
    <w:name w:val="正文文本 3 字符"/>
    <w:next w:val="1167"/>
    <w:link w:val="1166"/>
    <w:qFormat/>
    <w:rPr>
      <w:sz w:val="16"/>
      <w:szCs w:val="16"/>
    </w:rPr>
  </w:style>
  <w:style w:type="paragraph" w:styleId="1168">
    <w:name w:val="正文文本"/>
    <w:basedOn w:val="1137"/>
    <w:next w:val="1137"/>
    <w:link w:val="1169"/>
    <w:qFormat/>
    <w:pPr>
      <w:spacing w:before="120" w:line="22" w:lineRule="atLeast"/>
      <w:tabs>
        <w:tab w:val="left" w:pos="567" w:leader="none"/>
      </w:tabs>
    </w:pPr>
    <w:rPr>
      <w:rFonts w:ascii="宋体" w:hAnsi="宋体"/>
      <w:sz w:val="24"/>
    </w:rPr>
  </w:style>
  <w:style w:type="character" w:styleId="1169">
    <w:name w:val="正文文本 字符"/>
    <w:next w:val="1169"/>
    <w:link w:val="1168"/>
    <w:qFormat/>
    <w:rPr>
      <w:rFonts w:ascii="宋体" w:hAnsi="宋体"/>
      <w:sz w:val="24"/>
      <w:szCs w:val="24"/>
    </w:rPr>
  </w:style>
  <w:style w:type="paragraph" w:styleId="1170">
    <w:name w:val="正文文本缩进"/>
    <w:basedOn w:val="1137"/>
    <w:next w:val="1137"/>
    <w:link w:val="1171"/>
    <w:qFormat/>
    <w:pPr>
      <w:ind w:firstLine="570"/>
      <w:spacing w:line="360" w:lineRule="auto"/>
    </w:pPr>
    <w:rPr>
      <w:sz w:val="24"/>
    </w:rPr>
  </w:style>
  <w:style w:type="character" w:styleId="1171">
    <w:name w:val="正文文本缩进 字符"/>
    <w:next w:val="1171"/>
    <w:link w:val="1170"/>
    <w:qFormat/>
    <w:rPr>
      <w:rFonts w:eastAsia="宋体"/>
      <w:sz w:val="24"/>
      <w:szCs w:val="24"/>
      <w:lang w:val="en-US" w:eastAsia="zh-CN" w:bidi="ar-SA"/>
    </w:rPr>
  </w:style>
  <w:style w:type="paragraph" w:styleId="1172">
    <w:name w:val="列表 2"/>
    <w:basedOn w:val="1137"/>
    <w:next w:val="1173"/>
    <w:link w:val="1137"/>
    <w:qFormat/>
    <w:pPr>
      <w:ind w:left="100" w:hanging="200"/>
    </w:pPr>
  </w:style>
  <w:style w:type="paragraph" w:styleId="1173">
    <w:name w:val="纯文本"/>
    <w:basedOn w:val="1137"/>
    <w:next w:val="1159"/>
    <w:link w:val="1174"/>
    <w:qFormat/>
    <w:rPr>
      <w:rFonts w:hint="eastAsia" w:ascii="宋体" w:hAnsi="Courier New"/>
      <w:szCs w:val="20"/>
    </w:rPr>
  </w:style>
  <w:style w:type="character" w:styleId="1174">
    <w:name w:val="纯文本 字符2"/>
    <w:next w:val="1174"/>
    <w:link w:val="1173"/>
    <w:qFormat/>
    <w:rPr>
      <w:rFonts w:hint="eastAsia" w:ascii="宋体" w:hAnsi="Courier New" w:eastAsia="宋体" w:cs="宋体"/>
      <w:sz w:val="21"/>
    </w:rPr>
  </w:style>
  <w:style w:type="paragraph" w:styleId="1175">
    <w:name w:val="文本块"/>
    <w:basedOn w:val="1137"/>
    <w:next w:val="1175"/>
    <w:link w:val="1137"/>
    <w:qFormat/>
    <w:pPr>
      <w:ind w:left="480" w:right="-341" w:firstLine="513"/>
      <w:widowControl/>
    </w:pPr>
    <w:rPr>
      <w:sz w:val="24"/>
      <w:szCs w:val="20"/>
    </w:rPr>
  </w:style>
  <w:style w:type="paragraph" w:styleId="1176">
    <w:name w:val="目录 5"/>
    <w:basedOn w:val="1137"/>
    <w:next w:val="1137"/>
    <w:link w:val="1137"/>
    <w:qFormat/>
    <w:pPr>
      <w:ind w:left="1680"/>
    </w:pPr>
  </w:style>
  <w:style w:type="paragraph" w:styleId="1177">
    <w:name w:val="目录 3"/>
    <w:basedOn w:val="1137"/>
    <w:next w:val="1137"/>
    <w:link w:val="1137"/>
    <w:uiPriority w:val="39"/>
    <w:qFormat/>
    <w:pPr>
      <w:ind w:left="840"/>
    </w:pPr>
  </w:style>
  <w:style w:type="paragraph" w:styleId="1178">
    <w:name w:val="目录 8"/>
    <w:basedOn w:val="1137"/>
    <w:next w:val="1137"/>
    <w:link w:val="1137"/>
    <w:qFormat/>
    <w:pPr>
      <w:ind w:left="2940"/>
    </w:pPr>
  </w:style>
  <w:style w:type="paragraph" w:styleId="1179">
    <w:name w:val="日期"/>
    <w:basedOn w:val="1137"/>
    <w:next w:val="1137"/>
    <w:link w:val="1180"/>
    <w:qFormat/>
    <w:pPr>
      <w:ind w:left="100"/>
    </w:pPr>
    <w:rPr>
      <w:rFonts w:ascii="仿宋_GB2312" w:hAnsi="宋体" w:eastAsia="仿宋_GB2312"/>
      <w:color w:val="000000"/>
      <w:sz w:val="24"/>
    </w:rPr>
  </w:style>
  <w:style w:type="character" w:styleId="1180">
    <w:name w:val="日期 字符"/>
    <w:next w:val="1180"/>
    <w:link w:val="1179"/>
    <w:qFormat/>
    <w:rPr>
      <w:rFonts w:ascii="仿宋_GB2312" w:hAnsi="宋体" w:eastAsia="仿宋_GB2312"/>
      <w:color w:val="000000"/>
      <w:sz w:val="24"/>
      <w:szCs w:val="24"/>
    </w:rPr>
  </w:style>
  <w:style w:type="paragraph" w:styleId="1181">
    <w:name w:val="正文文本缩进 2"/>
    <w:basedOn w:val="1137"/>
    <w:next w:val="1181"/>
    <w:link w:val="1182"/>
    <w:qFormat/>
    <w:pPr>
      <w:ind w:firstLine="480"/>
    </w:pPr>
    <w:rPr>
      <w:rFonts w:ascii="仿宋_GB2312" w:eastAsia="仿宋_GB2312"/>
      <w:sz w:val="24"/>
    </w:rPr>
  </w:style>
  <w:style w:type="character" w:styleId="1182">
    <w:name w:val="正文文本缩进 2 字符"/>
    <w:next w:val="1182"/>
    <w:link w:val="1181"/>
    <w:qFormat/>
    <w:rPr>
      <w:rFonts w:ascii="仿宋_GB2312" w:eastAsia="仿宋_GB2312"/>
      <w:sz w:val="24"/>
      <w:szCs w:val="24"/>
    </w:rPr>
  </w:style>
  <w:style w:type="paragraph" w:styleId="1183">
    <w:name w:val="批注框文本"/>
    <w:basedOn w:val="1137"/>
    <w:next w:val="1183"/>
    <w:link w:val="1184"/>
    <w:qFormat/>
    <w:rPr>
      <w:sz w:val="18"/>
      <w:szCs w:val="18"/>
    </w:rPr>
  </w:style>
  <w:style w:type="character" w:styleId="1184">
    <w:name w:val="批注框文本 字符"/>
    <w:next w:val="1184"/>
    <w:link w:val="1183"/>
    <w:qFormat/>
    <w:rPr>
      <w:sz w:val="18"/>
      <w:szCs w:val="18"/>
    </w:rPr>
  </w:style>
  <w:style w:type="paragraph" w:styleId="1185">
    <w:name w:val="页脚"/>
    <w:basedOn w:val="1137"/>
    <w:next w:val="1185"/>
    <w:link w:val="1186"/>
    <w:uiPriority w:val="99"/>
    <w:qFormat/>
    <w:pPr>
      <w:jc w:val="left"/>
      <w:tabs>
        <w:tab w:val="center" w:pos="4153" w:leader="none"/>
        <w:tab w:val="right" w:pos="8306" w:leader="none"/>
      </w:tabs>
    </w:pPr>
    <w:rPr>
      <w:rFonts w:ascii="宋体"/>
      <w:sz w:val="18"/>
      <w:szCs w:val="20"/>
    </w:rPr>
  </w:style>
  <w:style w:type="character" w:styleId="1186">
    <w:name w:val="页脚 字符"/>
    <w:next w:val="1186"/>
    <w:link w:val="1185"/>
    <w:uiPriority w:val="99"/>
    <w:qFormat/>
    <w:rPr>
      <w:rFonts w:ascii="宋体" w:eastAsia="宋体"/>
      <w:sz w:val="18"/>
      <w:lang w:val="en-US" w:eastAsia="zh-CN" w:bidi="ar-SA"/>
    </w:rPr>
  </w:style>
  <w:style w:type="paragraph" w:styleId="1187">
    <w:name w:val="寄信人地址"/>
    <w:basedOn w:val="1137"/>
    <w:next w:val="1187"/>
    <w:link w:val="1137"/>
    <w:uiPriority w:val="99"/>
    <w:unhideWhenUsed/>
    <w:qFormat/>
    <w:rPr>
      <w:rFonts w:ascii="Arial" w:hAnsi="Arial"/>
    </w:rPr>
  </w:style>
  <w:style w:type="paragraph" w:styleId="1188">
    <w:name w:val="页眉"/>
    <w:basedOn w:val="1137"/>
    <w:next w:val="1188"/>
    <w:link w:val="1189"/>
    <w:qFormat/>
    <w:pPr>
      <w:jc w:val="center"/>
      <w:tabs>
        <w:tab w:val="center" w:pos="4153" w:leader="none"/>
        <w:tab w:val="right" w:pos="8306" w:leader="none"/>
      </w:tabs>
      <w:pBdr>
        <w:bottom w:val="single" w:color="000000" w:sz="6" w:space="1"/>
      </w:pBdr>
    </w:pPr>
    <w:rPr>
      <w:sz w:val="18"/>
      <w:szCs w:val="18"/>
    </w:rPr>
  </w:style>
  <w:style w:type="character" w:styleId="1189">
    <w:name w:val="页眉 字符"/>
    <w:next w:val="1189"/>
    <w:link w:val="1188"/>
    <w:qFormat/>
    <w:rPr>
      <w:rFonts w:eastAsia="宋体"/>
      <w:sz w:val="18"/>
      <w:szCs w:val="18"/>
      <w:lang w:val="en-US" w:eastAsia="zh-CN" w:bidi="ar-SA"/>
    </w:rPr>
  </w:style>
  <w:style w:type="paragraph" w:styleId="1190">
    <w:name w:val="目录 1"/>
    <w:basedOn w:val="1137"/>
    <w:next w:val="1137"/>
    <w:link w:val="1137"/>
    <w:uiPriority w:val="39"/>
    <w:qFormat/>
    <w:pPr>
      <w:spacing w:line="300" w:lineRule="auto"/>
      <w:tabs>
        <w:tab w:val="left" w:pos="1050" w:leader="none"/>
        <w:tab w:val="right" w:pos="8937" w:leader="dot"/>
      </w:tabs>
    </w:pPr>
    <w:rPr>
      <w:rFonts w:ascii="宋体" w:hAnsi="宋体"/>
      <w:b/>
      <w:sz w:val="24"/>
    </w:rPr>
  </w:style>
  <w:style w:type="paragraph" w:styleId="1191">
    <w:name w:val="目录 4"/>
    <w:basedOn w:val="1137"/>
    <w:next w:val="1137"/>
    <w:link w:val="1137"/>
    <w:qFormat/>
    <w:pPr>
      <w:ind w:left="1260"/>
    </w:pPr>
  </w:style>
  <w:style w:type="paragraph" w:styleId="1192">
    <w:name w:val="目录 6"/>
    <w:basedOn w:val="1137"/>
    <w:next w:val="1137"/>
    <w:link w:val="1137"/>
    <w:qFormat/>
    <w:pPr>
      <w:ind w:left="2100"/>
    </w:pPr>
  </w:style>
  <w:style w:type="paragraph" w:styleId="1193">
    <w:name w:val="正文文本缩进 3"/>
    <w:basedOn w:val="1137"/>
    <w:next w:val="1193"/>
    <w:link w:val="1194"/>
    <w:qFormat/>
    <w:pPr>
      <w:ind w:left="720" w:firstLine="480"/>
      <w:jc w:val="left"/>
      <w:spacing w:before="120" w:line="22" w:lineRule="atLeast"/>
    </w:pPr>
    <w:rPr>
      <w:rFonts w:ascii="宋体"/>
      <w:sz w:val="24"/>
      <w:szCs w:val="20"/>
    </w:rPr>
  </w:style>
  <w:style w:type="character" w:styleId="1194">
    <w:name w:val="正文文本缩进 3 字符"/>
    <w:next w:val="1194"/>
    <w:link w:val="1193"/>
    <w:qFormat/>
    <w:rPr>
      <w:rFonts w:ascii="宋体"/>
      <w:sz w:val="24"/>
    </w:rPr>
  </w:style>
  <w:style w:type="paragraph" w:styleId="1195">
    <w:name w:val="目录 2"/>
    <w:basedOn w:val="1137"/>
    <w:next w:val="1137"/>
    <w:link w:val="1137"/>
    <w:uiPriority w:val="39"/>
    <w:qFormat/>
    <w:pPr>
      <w:ind w:left="420"/>
      <w:spacing w:line="312" w:lineRule="auto"/>
      <w:tabs>
        <w:tab w:val="right" w:pos="8937" w:leader="dot"/>
      </w:tabs>
    </w:pPr>
  </w:style>
  <w:style w:type="paragraph" w:styleId="1196">
    <w:name w:val="目录 9"/>
    <w:basedOn w:val="1137"/>
    <w:next w:val="1137"/>
    <w:link w:val="1137"/>
    <w:qFormat/>
    <w:pPr>
      <w:ind w:left="3360"/>
    </w:pPr>
  </w:style>
  <w:style w:type="paragraph" w:styleId="1197">
    <w:name w:val="HTML 预设格式"/>
    <w:basedOn w:val="1137"/>
    <w:next w:val="1197"/>
    <w:link w:val="11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8">
    <w:name w:val="HTML 预设格式 字符"/>
    <w:next w:val="1198"/>
    <w:link w:val="1197"/>
    <w:qFormat/>
    <w:rPr>
      <w:rFonts w:ascii="宋体" w:hAnsi="宋体" w:cs="宋体"/>
      <w:sz w:val="24"/>
      <w:szCs w:val="24"/>
    </w:rPr>
  </w:style>
  <w:style w:type="paragraph" w:styleId="1199">
    <w:name w:val="普通(网站)"/>
    <w:basedOn w:val="1137"/>
    <w:next w:val="1199"/>
    <w:link w:val="1137"/>
    <w:uiPriority w:val="99"/>
    <w:unhideWhenUsed/>
    <w:qFormat/>
    <w:pPr>
      <w:jc w:val="left"/>
      <w:spacing w:before="100" w:beforeAutospacing="1" w:after="100" w:afterAutospacing="1"/>
      <w:widowControl/>
    </w:pPr>
    <w:rPr>
      <w:rFonts w:ascii="宋体" w:hAnsi="宋体" w:cs="宋体"/>
      <w:sz w:val="24"/>
    </w:rPr>
  </w:style>
  <w:style w:type="paragraph" w:styleId="1200">
    <w:name w:val="索引 1"/>
    <w:basedOn w:val="1137"/>
    <w:next w:val="1137"/>
    <w:link w:val="1137"/>
    <w:qFormat/>
    <w:rPr>
      <w:szCs w:val="20"/>
    </w:rPr>
  </w:style>
  <w:style w:type="paragraph" w:styleId="1201">
    <w:name w:val="标题"/>
    <w:basedOn w:val="1172"/>
    <w:next w:val="1137"/>
    <w:link w:val="1202"/>
    <w:qFormat/>
    <w:pPr>
      <w:jc w:val="center"/>
      <w:outlineLvl w:val="0"/>
    </w:pPr>
    <w:rPr>
      <w:b/>
      <w:sz w:val="32"/>
      <w:szCs w:val="20"/>
    </w:rPr>
  </w:style>
  <w:style w:type="character" w:styleId="1202">
    <w:name w:val="标题 字符"/>
    <w:next w:val="1202"/>
    <w:link w:val="1201"/>
    <w:qFormat/>
    <w:rPr>
      <w:b/>
      <w:sz w:val="32"/>
    </w:rPr>
  </w:style>
  <w:style w:type="paragraph" w:styleId="1203">
    <w:name w:val="批注主题"/>
    <w:basedOn w:val="1164"/>
    <w:next w:val="1164"/>
    <w:link w:val="1204"/>
    <w:qFormat/>
    <w:rPr>
      <w:b/>
      <w:bCs/>
    </w:rPr>
  </w:style>
  <w:style w:type="character" w:styleId="1204">
    <w:name w:val="批注主题 字符"/>
    <w:next w:val="1204"/>
    <w:link w:val="1203"/>
    <w:qFormat/>
    <w:rPr>
      <w:rFonts w:ascii="Times New Roman" w:hAnsi="Times New Roman" w:eastAsia="宋体" w:cs="Times New Roman"/>
      <w:b/>
      <w:bCs/>
      <w:sz w:val="21"/>
      <w:szCs w:val="24"/>
      <w:lang w:val="en-US" w:eastAsia="zh-CN" w:bidi="ar-SA"/>
    </w:rPr>
  </w:style>
  <w:style w:type="paragraph" w:styleId="1205">
    <w:name w:val="正文首行缩进 2"/>
    <w:basedOn w:val="1137"/>
    <w:next w:val="1137"/>
    <w:link w:val="1206"/>
    <w:qFormat/>
    <w:pPr>
      <w:ind w:left="420" w:firstLine="420"/>
      <w:spacing w:after="120" w:line="480" w:lineRule="exact"/>
    </w:pPr>
    <w:rPr>
      <w:szCs w:val="20"/>
    </w:rPr>
  </w:style>
  <w:style w:type="character" w:styleId="1206">
    <w:name w:val="正文文本首行缩进 2 字符"/>
    <w:next w:val="1206"/>
    <w:link w:val="1205"/>
    <w:qFormat/>
    <w:rPr>
      <w:rFonts w:eastAsia="宋体"/>
      <w:sz w:val="24"/>
      <w:szCs w:val="24"/>
      <w:lang w:val="en-US" w:eastAsia="zh-CN" w:bidi="ar-SA"/>
    </w:rPr>
  </w:style>
  <w:style w:type="table" w:styleId="1207">
    <w:name w:val="网格型"/>
    <w:basedOn w:val="1148"/>
    <w:next w:val="1207"/>
    <w:link w:val="1137"/>
    <w:uiPriority w:val="39"/>
    <w:qFormat/>
    <w:tblPr/>
  </w:style>
  <w:style w:type="table" w:styleId="1208">
    <w:name w:val="中等深浅网格 1 - 强调文字颜色 2"/>
    <w:basedOn w:val="1148"/>
    <w:next w:val="1208"/>
    <w:link w:val="1137"/>
    <w:qFormat/>
    <w:rPr>
      <w:sz w:val="21"/>
      <w:szCs w:val="24"/>
    </w:rPr>
    <w:tblPr/>
  </w:style>
  <w:style w:type="character" w:styleId="1209">
    <w:name w:val="要点"/>
    <w:next w:val="1209"/>
    <w:link w:val="1137"/>
    <w:qFormat/>
    <w:rPr>
      <w:b/>
      <w:bCs/>
    </w:rPr>
  </w:style>
  <w:style w:type="character" w:styleId="1210">
    <w:name w:val="页码"/>
    <w:next w:val="1210"/>
    <w:link w:val="1137"/>
    <w:qFormat/>
  </w:style>
  <w:style w:type="character" w:styleId="1211">
    <w:name w:val="已访问的超链接"/>
    <w:next w:val="1211"/>
    <w:link w:val="1137"/>
    <w:qFormat/>
    <w:rPr>
      <w:color w:val="800080"/>
      <w:u w:val="single"/>
    </w:rPr>
  </w:style>
  <w:style w:type="character" w:styleId="1212">
    <w:name w:val="强调"/>
    <w:next w:val="1212"/>
    <w:link w:val="1137"/>
    <w:qFormat/>
    <w:rPr>
      <w:color w:val="cc0033"/>
    </w:rPr>
  </w:style>
  <w:style w:type="character" w:styleId="1213">
    <w:name w:val="超链接"/>
    <w:next w:val="1213"/>
    <w:link w:val="1137"/>
    <w:uiPriority w:val="99"/>
    <w:qFormat/>
    <w:rPr>
      <w:color w:val="0000ff"/>
      <w:u w:val="single"/>
    </w:rPr>
  </w:style>
  <w:style w:type="character" w:styleId="1214">
    <w:name w:val="批注引用"/>
    <w:next w:val="1214"/>
    <w:link w:val="1137"/>
    <w:uiPriority w:val="99"/>
    <w:qFormat/>
    <w:rPr>
      <w:sz w:val="21"/>
      <w:szCs w:val="21"/>
    </w:rPr>
  </w:style>
  <w:style w:type="character" w:styleId="1215">
    <w:name w:val="HTML 引文"/>
    <w:next w:val="1215"/>
    <w:link w:val="1137"/>
    <w:qFormat/>
    <w:rPr>
      <w:i/>
      <w:iCs/>
    </w:rPr>
  </w:style>
  <w:style w:type="paragraph" w:styleId="1216">
    <w:name w:val="Default"/>
    <w:next w:val="1216"/>
    <w:link w:val="1137"/>
    <w:qFormat/>
    <w:pPr>
      <w:widowControl w:val="off"/>
    </w:pPr>
    <w:rPr>
      <w:rFonts w:ascii="Symbol" w:hAnsi="Symbol" w:cs="Symbol"/>
      <w:color w:val="000000"/>
      <w:sz w:val="24"/>
      <w:szCs w:val="24"/>
      <w:lang w:val="en-US" w:eastAsia="zh-CN" w:bidi="ar-SA"/>
    </w:rPr>
  </w:style>
  <w:style w:type="character" w:styleId="1217">
    <w:name w:val="批注文字 字符"/>
    <w:next w:val="1217"/>
    <w:link w:val="1137"/>
    <w:uiPriority w:val="99"/>
    <w:qFormat/>
    <w:rPr>
      <w:rFonts w:ascii="Times New Roman" w:hAnsi="Times New Roman" w:eastAsia="宋体" w:cs="Times New Roman"/>
      <w:sz w:val="24"/>
      <w:lang w:val="en-US" w:eastAsia="zh-CN" w:bidi="ar-SA"/>
    </w:rPr>
  </w:style>
  <w:style w:type="character" w:styleId="1218">
    <w:name w:val="列出段落 Char"/>
    <w:next w:val="1218"/>
    <w:link w:val="1137"/>
    <w:qFormat/>
    <w:rPr>
      <w:rFonts w:ascii="Calibri" w:hAnsi="Calibri" w:eastAsia="宋体"/>
      <w:sz w:val="21"/>
      <w:szCs w:val="22"/>
      <w:lang w:val="en-US" w:eastAsia="zh-CN" w:bidi="ar-SA"/>
    </w:rPr>
  </w:style>
  <w:style w:type="character" w:styleId="1219">
    <w:name w:val="txt"/>
    <w:next w:val="1219"/>
    <w:link w:val="1137"/>
    <w:qFormat/>
  </w:style>
  <w:style w:type="character" w:styleId="1220">
    <w:name w:val="title4"/>
    <w:next w:val="1220"/>
    <w:link w:val="1137"/>
    <w:qFormat/>
    <w:rPr>
      <w:b/>
      <w:bCs/>
      <w:color w:val="1d87b3"/>
      <w:sz w:val="15"/>
      <w:szCs w:val="15"/>
    </w:rPr>
  </w:style>
  <w:style w:type="character" w:styleId="1221">
    <w:name w:val="apple-style-span"/>
    <w:next w:val="1221"/>
    <w:link w:val="1137"/>
    <w:qFormat/>
    <w:rPr>
      <w:rFonts w:cs="Times New Roman"/>
    </w:rPr>
  </w:style>
  <w:style w:type="character" w:styleId="1222">
    <w:name w:val="正文大标题 Char"/>
    <w:next w:val="1222"/>
    <w:link w:val="1223"/>
    <w:qFormat/>
    <w:rPr>
      <w:rFonts w:ascii="宋体" w:hAnsi="宋体"/>
      <w:b/>
      <w:color w:val="000000"/>
      <w:sz w:val="28"/>
      <w:szCs w:val="21"/>
    </w:rPr>
  </w:style>
  <w:style w:type="paragraph" w:styleId="1223">
    <w:name w:val="正文大标题"/>
    <w:basedOn w:val="1224"/>
    <w:next w:val="1159"/>
    <w:link w:val="1222"/>
    <w:qFormat/>
    <w:pPr>
      <w:jc w:val="center"/>
    </w:pPr>
    <w:rPr>
      <w:i w:val="0"/>
      <w:color w:val="000000"/>
      <w:sz w:val="28"/>
      <w:szCs w:val="21"/>
    </w:rPr>
  </w:style>
  <w:style w:type="paragraph" w:styleId="1224">
    <w:name w:val="正文小标题"/>
    <w:basedOn w:val="1137"/>
    <w:next w:val="1159"/>
    <w:link w:val="1225"/>
    <w:qFormat/>
    <w:pPr>
      <w:ind w:firstLine="482"/>
      <w:jc w:val="left"/>
    </w:pPr>
    <w:rPr>
      <w:rFonts w:ascii="宋体" w:hAnsi="宋体"/>
      <w:b/>
      <w:i/>
      <w:color w:val="ff0000"/>
      <w:sz w:val="24"/>
      <w:szCs w:val="20"/>
    </w:rPr>
  </w:style>
  <w:style w:type="character" w:styleId="1225">
    <w:name w:val="正文小标题 Char"/>
    <w:next w:val="1225"/>
    <w:link w:val="1224"/>
    <w:qFormat/>
    <w:rPr>
      <w:rFonts w:ascii="宋体" w:hAnsi="宋体"/>
      <w:b/>
      <w:i/>
      <w:color w:val="ff0000"/>
      <w:sz w:val="24"/>
    </w:rPr>
  </w:style>
  <w:style w:type="character" w:styleId="1226">
    <w:name w:val="中等深浅网格 1 - 强调文字颜色 2 Char"/>
    <w:next w:val="1226"/>
    <w:link w:val="1227"/>
    <w:qFormat/>
    <w:rPr>
      <w:sz w:val="21"/>
      <w:szCs w:val="24"/>
      <w:lang w:val="zh-CN" w:eastAsia="zh-CN" w:bidi="ar-SA"/>
    </w:rPr>
  </w:style>
  <w:style w:type="paragraph" w:styleId="1227">
    <w:name w:val="1"/>
    <w:next w:val="1227"/>
    <w:link w:val="1226"/>
    <w:qFormat/>
    <w:rPr>
      <w:sz w:val="21"/>
      <w:szCs w:val="24"/>
      <w:lang w:val="zh-CN" w:eastAsia="zh-CN" w:bidi="ar-SA"/>
    </w:rPr>
  </w:style>
  <w:style w:type="character" w:styleId="1228">
    <w:name w:val="正文重点 Char"/>
    <w:next w:val="1228"/>
    <w:link w:val="1229"/>
    <w:qFormat/>
    <w:rPr>
      <w:b/>
      <w:sz w:val="24"/>
    </w:rPr>
  </w:style>
  <w:style w:type="paragraph" w:styleId="1229">
    <w:name w:val="正文重点"/>
    <w:basedOn w:val="1137"/>
    <w:next w:val="1229"/>
    <w:link w:val="1228"/>
    <w:qFormat/>
    <w:pPr>
      <w:ind w:firstLine="482"/>
      <w:jc w:val="left"/>
      <w:spacing w:line="360" w:lineRule="auto"/>
    </w:pPr>
    <w:rPr>
      <w:b/>
      <w:sz w:val="24"/>
      <w:szCs w:val="20"/>
    </w:rPr>
  </w:style>
  <w:style w:type="character" w:styleId="1230">
    <w:name w:val="正文缩进 Char"/>
    <w:next w:val="1230"/>
    <w:link w:val="1137"/>
    <w:qFormat/>
    <w:rPr>
      <w:rFonts w:ascii="宋体" w:eastAsia="宋体"/>
      <w:sz w:val="24"/>
      <w:szCs w:val="24"/>
      <w:lang w:val="en-US" w:eastAsia="zh-CN" w:bidi="ar-SA"/>
    </w:rPr>
  </w:style>
  <w:style w:type="character" w:styleId="1231">
    <w:name w:val="标题 3 Char"/>
    <w:next w:val="1231"/>
    <w:link w:val="1137"/>
    <w:qFormat/>
    <w:rPr>
      <w:rFonts w:ascii="宋体" w:eastAsia="宋体"/>
      <w:b/>
      <w:sz w:val="24"/>
      <w:u w:val="single"/>
      <w:lang w:val="en-US" w:eastAsia="zh-CN" w:bidi="ar-SA"/>
    </w:rPr>
  </w:style>
  <w:style w:type="character" w:styleId="1232">
    <w:name w:val="纯文本 字符1"/>
    <w:next w:val="1232"/>
    <w:link w:val="1137"/>
    <w:qFormat/>
    <w:rPr>
      <w:rFonts w:ascii="宋体" w:hAnsi="Courier New"/>
    </w:rPr>
  </w:style>
  <w:style w:type="character" w:styleId="1233">
    <w:name w:val="标题 2 Char Char"/>
    <w:next w:val="1233"/>
    <w:link w:val="1137"/>
    <w:qFormat/>
    <w:rPr>
      <w:rFonts w:ascii="Arial" w:hAnsi="Arial" w:eastAsia="黑体"/>
      <w:b/>
      <w:bCs/>
      <w:sz w:val="32"/>
      <w:szCs w:val="32"/>
      <w:lang w:val="en-US" w:eastAsia="zh-CN" w:bidi="ar-SA"/>
    </w:rPr>
  </w:style>
  <w:style w:type="character" w:styleId="1234">
    <w:name w:val="纯文本 Char1"/>
    <w:next w:val="1234"/>
    <w:link w:val="1137"/>
    <w:qFormat/>
    <w:rPr>
      <w:rFonts w:ascii="宋体" w:hAnsi="Courier New" w:eastAsia="宋体"/>
      <w:sz w:val="21"/>
      <w:lang w:val="en-US" w:eastAsia="zh-CN" w:bidi="ar-SA"/>
    </w:rPr>
  </w:style>
  <w:style w:type="character" w:styleId="1235">
    <w:name w:val="标题 2 Char"/>
    <w:next w:val="1235"/>
    <w:link w:val="1137"/>
    <w:qFormat/>
    <w:rPr>
      <w:rFonts w:ascii="Arial" w:hAnsi="Arial" w:eastAsia="黑体"/>
      <w:b/>
      <w:sz w:val="30"/>
      <w:lang w:val="en-US" w:eastAsia="zh-CN" w:bidi="ar-SA"/>
    </w:rPr>
  </w:style>
  <w:style w:type="character" w:styleId="1236">
    <w:name w:val="Char Char11"/>
    <w:next w:val="1236"/>
    <w:link w:val="1137"/>
    <w:qFormat/>
    <w:rPr>
      <w:rFonts w:ascii="宋体" w:eastAsia="宋体"/>
      <w:b/>
      <w:sz w:val="24"/>
      <w:u w:val="single"/>
      <w:lang w:val="en-US" w:eastAsia="zh-CN" w:bidi="ar-SA"/>
    </w:rPr>
  </w:style>
  <w:style w:type="character" w:styleId="1237">
    <w:name w:val="标题 Char"/>
    <w:next w:val="1237"/>
    <w:link w:val="1137"/>
    <w:qFormat/>
    <w:rPr>
      <w:b/>
      <w:sz w:val="32"/>
    </w:rPr>
  </w:style>
  <w:style w:type="character" w:styleId="1238">
    <w:name w:val="正文文本缩进 Char"/>
    <w:next w:val="1238"/>
    <w:link w:val="1137"/>
    <w:qFormat/>
    <w:rPr>
      <w:rFonts w:eastAsia="宋体"/>
      <w:sz w:val="24"/>
      <w:szCs w:val="24"/>
      <w:lang w:val="en-US" w:eastAsia="zh-CN" w:bidi="ar-SA"/>
    </w:rPr>
  </w:style>
  <w:style w:type="character" w:styleId="1239">
    <w:name w:val="street-address"/>
    <w:next w:val="1239"/>
    <w:link w:val="1137"/>
    <w:qFormat/>
  </w:style>
  <w:style w:type="character" w:styleId="1240">
    <w:name w:val="段1 Char"/>
    <w:next w:val="1240"/>
    <w:link w:val="1137"/>
    <w:qFormat/>
    <w:rPr>
      <w:rFonts w:ascii="宋体" w:eastAsia="宋体"/>
      <w:sz w:val="24"/>
      <w:lang w:val="en-US" w:eastAsia="zh-CN" w:bidi="ar-SA"/>
    </w:rPr>
  </w:style>
  <w:style w:type="character" w:styleId="1241">
    <w:name w:val="Char Char111"/>
    <w:next w:val="1241"/>
    <w:link w:val="1137"/>
    <w:qFormat/>
    <w:rPr>
      <w:rFonts w:ascii="宋体" w:eastAsia="宋体"/>
      <w:b/>
      <w:sz w:val="24"/>
      <w:u w:val="single"/>
      <w:lang w:val="en-US" w:eastAsia="zh-CN" w:bidi="ar-SA"/>
    </w:rPr>
  </w:style>
  <w:style w:type="character" w:styleId="1242">
    <w:name w:val="成文日期 Char"/>
    <w:next w:val="1242"/>
    <w:link w:val="1243"/>
    <w:qFormat/>
    <w:rPr>
      <w:rFonts w:ascii="仿宋_GB2312" w:eastAsia="仿宋_GB2312"/>
      <w:sz w:val="32"/>
    </w:rPr>
  </w:style>
  <w:style w:type="paragraph" w:styleId="1243">
    <w:name w:val="成文日期"/>
    <w:basedOn w:val="1137"/>
    <w:next w:val="1243"/>
    <w:link w:val="1242"/>
    <w:qFormat/>
    <w:pPr>
      <w:ind w:right="400" w:firstLine="200"/>
      <w:jc w:val="right"/>
      <w:spacing w:line="570" w:lineRule="exact"/>
    </w:pPr>
    <w:rPr>
      <w:rFonts w:ascii="仿宋_GB2312" w:eastAsia="仿宋_GB2312"/>
      <w:sz w:val="32"/>
      <w:szCs w:val="20"/>
    </w:rPr>
  </w:style>
  <w:style w:type="character" w:styleId="1244">
    <w:name w:val="locality"/>
    <w:next w:val="1244"/>
    <w:link w:val="1137"/>
    <w:qFormat/>
  </w:style>
  <w:style w:type="character" w:styleId="1245">
    <w:name w:val="页眉 Char"/>
    <w:next w:val="1245"/>
    <w:link w:val="1137"/>
    <w:qFormat/>
    <w:rPr>
      <w:rFonts w:eastAsia="宋体"/>
      <w:sz w:val="18"/>
      <w:szCs w:val="18"/>
      <w:lang w:val="en-US" w:eastAsia="zh-CN" w:bidi="ar-SA"/>
    </w:rPr>
  </w:style>
  <w:style w:type="character" w:styleId="1246">
    <w:name w:val="标题 3 Char Char"/>
    <w:next w:val="1246"/>
    <w:link w:val="1137"/>
    <w:qFormat/>
    <w:rPr>
      <w:rFonts w:eastAsia="宋体"/>
      <w:b/>
      <w:bCs/>
      <w:sz w:val="32"/>
      <w:szCs w:val="32"/>
      <w:lang w:val="en-US" w:eastAsia="zh-CN" w:bidi="ar-SA"/>
    </w:rPr>
  </w:style>
  <w:style w:type="character" w:styleId="1247">
    <w:name w:val="chanpin1"/>
    <w:next w:val="1247"/>
    <w:link w:val="1137"/>
    <w:qFormat/>
    <w:rPr>
      <w:rFonts w:ascii="ˎ̥" w:hAnsi="ˎ̥"/>
      <w:color w:val="000000"/>
      <w:sz w:val="20"/>
      <w:szCs w:val="20"/>
      <w:u w:val="none"/>
    </w:rPr>
  </w:style>
  <w:style w:type="character" w:styleId="1248">
    <w:name w:val="正文文本缩进 Char1"/>
    <w:next w:val="1248"/>
    <w:link w:val="1249"/>
    <w:qFormat/>
    <w:rPr>
      <w:rFonts w:ascii="宋体" w:hAnsi="宋体" w:eastAsia="宋体"/>
      <w:sz w:val="24"/>
      <w:szCs w:val="24"/>
      <w:lang w:bidi="ar-SA"/>
    </w:rPr>
  </w:style>
  <w:style w:type="paragraph" w:styleId="1249">
    <w:name w:val="正文文本缩进1"/>
    <w:basedOn w:val="1137"/>
    <w:next w:val="1249"/>
    <w:link w:val="1248"/>
    <w:qFormat/>
    <w:pPr>
      <w:ind w:firstLine="480"/>
      <w:spacing w:line="480" w:lineRule="exact"/>
    </w:pPr>
    <w:rPr>
      <w:rFonts w:ascii="宋体" w:hAnsi="宋体"/>
      <w:sz w:val="24"/>
    </w:rPr>
  </w:style>
  <w:style w:type="character" w:styleId="1250">
    <w:name w:val="正文缩进 Char Char"/>
    <w:next w:val="1250"/>
    <w:link w:val="1251"/>
    <w:qFormat/>
    <w:rPr>
      <w:rFonts w:ascii="宋体" w:eastAsia="宋体"/>
      <w:color w:val="000000"/>
      <w:sz w:val="28"/>
      <w:lang w:bidi="ar-SA"/>
    </w:rPr>
  </w:style>
  <w:style w:type="paragraph" w:styleId="1251">
    <w:name w:val="正文缩进1"/>
    <w:basedOn w:val="1137"/>
    <w:next w:val="1251"/>
    <w:link w:val="1250"/>
    <w:qFormat/>
    <w:pPr>
      <w:ind w:firstLine="567"/>
      <w:spacing w:line="480" w:lineRule="exact"/>
      <w:widowControl/>
    </w:pPr>
    <w:rPr>
      <w:rFonts w:ascii="宋体"/>
      <w:color w:val="000000"/>
      <w:sz w:val="28"/>
      <w:szCs w:val="20"/>
    </w:rPr>
  </w:style>
  <w:style w:type="character" w:styleId="1252">
    <w:name w:val="正文表格 Char"/>
    <w:next w:val="1252"/>
    <w:link w:val="1253"/>
    <w:qFormat/>
    <w:rPr>
      <w:rFonts w:ascii="宋体" w:hAnsi="宋体"/>
      <w:color w:val="000000"/>
      <w:sz w:val="21"/>
      <w:szCs w:val="21"/>
    </w:rPr>
  </w:style>
  <w:style w:type="paragraph" w:styleId="1253">
    <w:name w:val="正文表格"/>
    <w:basedOn w:val="1137"/>
    <w:next w:val="1253"/>
    <w:link w:val="1252"/>
    <w:qFormat/>
    <w:pPr>
      <w:jc w:val="left"/>
    </w:pPr>
    <w:rPr>
      <w:rFonts w:ascii="宋体" w:hAnsi="宋体"/>
      <w:color w:val="000000"/>
      <w:szCs w:val="21"/>
    </w:rPr>
  </w:style>
  <w:style w:type="character" w:styleId="1254">
    <w:name w:val="普通文字1 Char1"/>
    <w:next w:val="1254"/>
    <w:link w:val="1137"/>
    <w:qFormat/>
    <w:rPr>
      <w:rFonts w:ascii="宋体" w:hAnsi="Courier New" w:eastAsia="宋体"/>
      <w:sz w:val="21"/>
      <w:lang w:val="en-US" w:eastAsia="zh-CN" w:bidi="ar-SA"/>
    </w:rPr>
  </w:style>
  <w:style w:type="character" w:styleId="1255">
    <w:name w:val="c21"/>
    <w:next w:val="1255"/>
    <w:link w:val="1137"/>
    <w:qFormat/>
    <w:rPr>
      <w:rFonts w:ascii="ˎ̥" w:hAnsi="ˎ̥"/>
      <w:color w:val="000000"/>
      <w:sz w:val="20"/>
      <w:szCs w:val="20"/>
      <w:u w:val="none"/>
    </w:rPr>
  </w:style>
  <w:style w:type="character" w:styleId="1256">
    <w:name w:val="页脚 Char"/>
    <w:next w:val="1256"/>
    <w:link w:val="1137"/>
    <w:qFormat/>
    <w:rPr>
      <w:rFonts w:ascii="宋体" w:eastAsia="宋体"/>
      <w:sz w:val="18"/>
      <w:lang w:val="en-US" w:eastAsia="zh-CN" w:bidi="ar-SA"/>
    </w:rPr>
  </w:style>
  <w:style w:type="character" w:styleId="1257">
    <w:name w:val="black1"/>
    <w:next w:val="1257"/>
    <w:link w:val="1137"/>
    <w:qFormat/>
    <w:rPr>
      <w:color w:val="000000"/>
    </w:rPr>
  </w:style>
  <w:style w:type="character" w:styleId="1258">
    <w:name w:val="列表段落 字符"/>
    <w:next w:val="1258"/>
    <w:link w:val="1259"/>
    <w:uiPriority w:val="34"/>
    <w:qFormat/>
    <w:rPr>
      <w:rFonts w:ascii="Calibri" w:hAnsi="Calibri" w:eastAsia="宋体"/>
      <w:sz w:val="21"/>
      <w:szCs w:val="22"/>
      <w:lang w:val="en-US" w:eastAsia="zh-CN" w:bidi="ar-SA"/>
    </w:rPr>
  </w:style>
  <w:style w:type="paragraph" w:styleId="1259">
    <w:name w:val="列表段落"/>
    <w:basedOn w:val="1137"/>
    <w:next w:val="1259"/>
    <w:link w:val="1258"/>
    <w:uiPriority w:val="34"/>
    <w:qFormat/>
    <w:pPr>
      <w:ind w:firstLine="420"/>
    </w:pPr>
    <w:rPr>
      <w:rFonts w:ascii="Calibri" w:hAnsi="Calibri"/>
      <w:szCs w:val="22"/>
    </w:rPr>
  </w:style>
  <w:style w:type="character" w:styleId="1260">
    <w:name w:val="chanpin拷贝"/>
    <w:next w:val="1260"/>
    <w:link w:val="1137"/>
    <w:qFormat/>
  </w:style>
  <w:style w:type="character" w:styleId="1261">
    <w:name w:val="注释 Char"/>
    <w:next w:val="1261"/>
    <w:link w:val="1262"/>
    <w:qFormat/>
    <w:rPr>
      <w:rFonts w:ascii="宋体" w:hAnsi="宋体"/>
      <w:sz w:val="21"/>
      <w:szCs w:val="21"/>
    </w:rPr>
  </w:style>
  <w:style w:type="paragraph" w:styleId="1262">
    <w:name w:val="注释"/>
    <w:basedOn w:val="1137"/>
    <w:next w:val="1262"/>
    <w:link w:val="1261"/>
    <w:qFormat/>
    <w:pPr>
      <w:ind w:left="420" w:hanging="420"/>
      <w:jc w:val="left"/>
    </w:pPr>
    <w:rPr>
      <w:rFonts w:ascii="宋体" w:hAnsi="宋体"/>
      <w:szCs w:val="21"/>
    </w:rPr>
  </w:style>
  <w:style w:type="character" w:styleId="1263">
    <w:name w:val="纯文本 字符"/>
    <w:next w:val="1263"/>
    <w:link w:val="1137"/>
    <w:uiPriority w:val="99"/>
    <w:qFormat/>
    <w:rPr>
      <w:rFonts w:ascii="宋体" w:hAnsi="Courier New" w:eastAsia="宋体" w:cs="Times New Roman"/>
      <w:sz w:val="21"/>
      <w:szCs w:val="21"/>
      <w:lang w:val="en-US" w:eastAsia="zh-CN" w:bidi="ar-SA"/>
    </w:rPr>
  </w:style>
  <w:style w:type="character" w:styleId="1264">
    <w:name w:val="bjh-p"/>
    <w:next w:val="1264"/>
    <w:link w:val="1137"/>
    <w:qFormat/>
  </w:style>
  <w:style w:type="character" w:styleId="1265">
    <w:name w:val="正文格式 Char"/>
    <w:next w:val="1265"/>
    <w:link w:val="1266"/>
    <w:qFormat/>
    <w:rPr>
      <w:rFonts w:ascii="宋体" w:hAnsi="宋体"/>
      <w:sz w:val="24"/>
      <w:szCs w:val="24"/>
      <w:lang w:val="en-GB"/>
    </w:rPr>
  </w:style>
  <w:style w:type="paragraph" w:styleId="1266">
    <w:name w:val="正文格式"/>
    <w:basedOn w:val="1137"/>
    <w:next w:val="1266"/>
    <w:link w:val="1265"/>
    <w:qFormat/>
    <w:pPr>
      <w:ind w:firstLine="480"/>
      <w:spacing w:line="360" w:lineRule="auto"/>
    </w:pPr>
    <w:rPr>
      <w:rFonts w:ascii="宋体" w:hAnsi="宋体"/>
      <w:sz w:val="24"/>
      <w:lang w:val="en-GB"/>
    </w:rPr>
  </w:style>
  <w:style w:type="character" w:styleId="1267">
    <w:name w:val="批注文字 Char"/>
    <w:next w:val="1267"/>
    <w:link w:val="1137"/>
    <w:uiPriority w:val="99"/>
    <w:qFormat/>
    <w:rPr>
      <w:sz w:val="21"/>
      <w:szCs w:val="24"/>
    </w:rPr>
  </w:style>
  <w:style w:type="paragraph" w:styleId="1268">
    <w:name w:val="字元 字元1"/>
    <w:basedOn w:val="1137"/>
    <w:next w:val="1268"/>
    <w:link w:val="1137"/>
    <w:qFormat/>
    <w:rPr>
      <w:rFonts w:ascii="Tahoma" w:hAnsi="Tahoma"/>
      <w:sz w:val="24"/>
      <w:szCs w:val="20"/>
    </w:rPr>
  </w:style>
  <w:style w:type="paragraph" w:styleId="1269">
    <w:name w:val="1名"/>
    <w:basedOn w:val="1137"/>
    <w:next w:val="1269"/>
    <w:link w:val="1137"/>
    <w:qFormat/>
    <w:pPr>
      <w:numPr>
        <w:ilvl w:val="0"/>
        <w:numId w:val="1"/>
      </w:numPr>
      <w:spacing w:before="120"/>
      <w:tabs>
        <w:tab w:val="left" w:pos="360" w:leader="none"/>
      </w:tabs>
    </w:pPr>
    <w:rPr>
      <w:rFonts w:ascii="宋体"/>
      <w:sz w:val="28"/>
      <w:szCs w:val="20"/>
    </w:rPr>
  </w:style>
  <w:style w:type="paragraph" w:styleId="1270">
    <w:name w:val="Char3 Char Char Char"/>
    <w:basedOn w:val="1137"/>
    <w:next w:val="1270"/>
    <w:link w:val="1137"/>
    <w:qFormat/>
    <w:rPr>
      <w:rFonts w:ascii="Tahoma" w:hAnsi="Tahoma"/>
      <w:sz w:val="24"/>
      <w:szCs w:val="20"/>
    </w:rPr>
  </w:style>
  <w:style w:type="paragraph" w:styleId="1271">
    <w:name w:val="文档正文"/>
    <w:basedOn w:val="1137"/>
    <w:next w:val="1271"/>
    <w:link w:val="1137"/>
    <w:qFormat/>
    <w:pPr>
      <w:spacing w:before="120" w:after="120" w:line="180" w:lineRule="auto"/>
    </w:pPr>
    <w:rPr>
      <w:rFonts w:ascii="Arial" w:hAnsi="Arial"/>
      <w:szCs w:val="20"/>
    </w:rPr>
  </w:style>
  <w:style w:type="paragraph" w:styleId="1272">
    <w:name w:val="Char Char Char Char Char Char Char Char Char Char1"/>
    <w:basedOn w:val="1137"/>
    <w:next w:val="1272"/>
    <w:link w:val="1137"/>
    <w:qFormat/>
    <w:rPr>
      <w:rFonts w:ascii="宋体" w:hAnsi="宋体" w:cs="Courier New"/>
      <w:sz w:val="32"/>
      <w:szCs w:val="32"/>
    </w:rPr>
  </w:style>
  <w:style w:type="paragraph" w:styleId="1273">
    <w:name w:val="Char22"/>
    <w:basedOn w:val="1137"/>
    <w:next w:val="1273"/>
    <w:link w:val="1137"/>
    <w:qFormat/>
    <w:rPr>
      <w:rFonts w:ascii="Tahoma" w:hAnsi="Tahoma"/>
      <w:sz w:val="24"/>
      <w:szCs w:val="20"/>
    </w:rPr>
  </w:style>
  <w:style w:type="paragraph" w:styleId="1274">
    <w:name w:val="Char Char Char1"/>
    <w:basedOn w:val="1137"/>
    <w:next w:val="1274"/>
    <w:link w:val="1137"/>
    <w:qFormat/>
    <w:rPr>
      <w:rFonts w:ascii="Tahoma" w:hAnsi="Tahoma"/>
      <w:sz w:val="24"/>
      <w:szCs w:val="20"/>
    </w:rPr>
  </w:style>
  <w:style w:type="paragraph" w:styleId="1275">
    <w:name w:val="xl43"/>
    <w:basedOn w:val="1137"/>
    <w:next w:val="1275"/>
    <w:link w:val="11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6">
    <w:name w:val="Char Char Char"/>
    <w:basedOn w:val="1137"/>
    <w:next w:val="1276"/>
    <w:link w:val="1137"/>
    <w:qFormat/>
    <w:rPr>
      <w:rFonts w:ascii="Tahoma" w:hAnsi="Tahoma"/>
      <w:sz w:val="24"/>
      <w:szCs w:val="20"/>
    </w:rPr>
  </w:style>
  <w:style w:type="paragraph" w:styleId="1277">
    <w:name w:val="font8"/>
    <w:basedOn w:val="1137"/>
    <w:next w:val="1277"/>
    <w:link w:val="1137"/>
    <w:qFormat/>
    <w:pPr>
      <w:jc w:val="left"/>
      <w:spacing w:before="100" w:beforeAutospacing="1" w:after="100" w:afterAutospacing="1"/>
      <w:widowControl/>
    </w:pPr>
    <w:rPr>
      <w:sz w:val="36"/>
      <w:szCs w:val="36"/>
    </w:rPr>
  </w:style>
  <w:style w:type="paragraph" w:styleId="1278">
    <w:name w:val="default"/>
    <w:basedOn w:val="1137"/>
    <w:next w:val="1278"/>
    <w:link w:val="1137"/>
    <w:qFormat/>
    <w:pPr>
      <w:jc w:val="left"/>
      <w:spacing w:before="100" w:beforeAutospacing="1" w:after="100" w:afterAutospacing="1"/>
      <w:widowControl/>
    </w:pPr>
    <w:rPr>
      <w:rFonts w:ascii="宋体" w:hAnsi="宋体" w:cs="宋体"/>
      <w:sz w:val="24"/>
    </w:rPr>
  </w:style>
  <w:style w:type="paragraph" w:styleId="1279">
    <w:name w:val="样式 宋体 五号 行距: 单倍行距"/>
    <w:basedOn w:val="1137"/>
    <w:next w:val="1279"/>
    <w:link w:val="1137"/>
    <w:qFormat/>
    <w:pPr>
      <w:jc w:val="left"/>
    </w:pPr>
    <w:rPr>
      <w:rFonts w:ascii="宋体" w:hAnsi="宋体"/>
      <w:szCs w:val="20"/>
    </w:rPr>
  </w:style>
  <w:style w:type="paragraph" w:styleId="1280">
    <w:name w:val="xl41"/>
    <w:basedOn w:val="1137"/>
    <w:next w:val="1280"/>
    <w:link w:val="11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1">
    <w:name w:val="缺省文本"/>
    <w:basedOn w:val="1137"/>
    <w:next w:val="1281"/>
    <w:link w:val="1137"/>
    <w:qFormat/>
    <w:pPr>
      <w:jc w:val="left"/>
    </w:pPr>
    <w:rPr>
      <w:sz w:val="24"/>
    </w:rPr>
  </w:style>
  <w:style w:type="paragraph" w:styleId="1282">
    <w:name w:val="Char"/>
    <w:basedOn w:val="1137"/>
    <w:next w:val="1282"/>
    <w:link w:val="1137"/>
    <w:qFormat/>
    <w:pPr>
      <w:tabs>
        <w:tab w:val="left" w:pos="360" w:leader="none"/>
      </w:tabs>
    </w:pPr>
    <w:rPr>
      <w:sz w:val="24"/>
    </w:rPr>
  </w:style>
  <w:style w:type="paragraph" w:styleId="1283">
    <w:name w:val="正文 + 宋体"/>
    <w:basedOn w:val="1137"/>
    <w:next w:val="1283"/>
    <w:link w:val="1137"/>
    <w:qFormat/>
    <w:pPr>
      <w:ind w:left="360" w:hanging="360"/>
      <w:jc w:val="left"/>
      <w:widowControl/>
    </w:pPr>
    <w:rPr>
      <w:rFonts w:ascii="宋体" w:hAnsi="宋体" w:cs="宋体"/>
      <w:b/>
      <w:bCs/>
      <w:color w:val="000000"/>
      <w:sz w:val="18"/>
      <w:szCs w:val="18"/>
    </w:rPr>
  </w:style>
  <w:style w:type="paragraph" w:styleId="1284">
    <w:name w:val="xl52"/>
    <w:basedOn w:val="1137"/>
    <w:next w:val="1284"/>
    <w:link w:val="11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5">
    <w:name w:val="xl36"/>
    <w:basedOn w:val="1137"/>
    <w:next w:val="1285"/>
    <w:link w:val="113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6">
    <w:name w:val="Char Char1 Char Char Char Char Char Char"/>
    <w:basedOn w:val="1137"/>
    <w:next w:val="1286"/>
    <w:link w:val="1137"/>
    <w:qFormat/>
    <w:pPr>
      <w:jc w:val="left"/>
      <w:spacing w:after="160" w:line="240" w:lineRule="exact"/>
      <w:widowControl/>
    </w:pPr>
    <w:rPr>
      <w:rFonts w:ascii="Verdana" w:hAnsi="Verdana" w:eastAsia="仿宋_GB2312"/>
      <w:sz w:val="24"/>
      <w:szCs w:val="20"/>
      <w:lang w:eastAsia="en-US"/>
    </w:rPr>
  </w:style>
  <w:style w:type="paragraph" w:styleId="1287">
    <w:name w:val="xl40"/>
    <w:basedOn w:val="1137"/>
    <w:next w:val="1287"/>
    <w:link w:val="11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8">
    <w:name w:val="xl38"/>
    <w:basedOn w:val="1137"/>
    <w:next w:val="1288"/>
    <w:link w:val="11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89">
    <w:name w:val="xl39"/>
    <w:basedOn w:val="1137"/>
    <w:next w:val="1289"/>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Char Char Char Char Char Char Char Char Char Char Char Char Char Char Char Char"/>
    <w:basedOn w:val="1137"/>
    <w:next w:val="1290"/>
    <w:link w:val="1137"/>
    <w:qFormat/>
    <w:pPr>
      <w:jc w:val="center"/>
      <w:spacing w:after="160" w:line="240" w:lineRule="exact"/>
      <w:widowControl/>
    </w:pPr>
    <w:rPr>
      <w:rFonts w:ascii="宋体" w:hAnsi="宋体"/>
      <w:b/>
      <w:sz w:val="30"/>
      <w:szCs w:val="30"/>
      <w:lang w:eastAsia="en-US"/>
    </w:rPr>
  </w:style>
  <w:style w:type="paragraph" w:styleId="1291">
    <w:name w:val="项目编号2"/>
    <w:basedOn w:val="1292"/>
    <w:next w:val="1291"/>
    <w:link w:val="1137"/>
    <w:qFormat/>
    <w:pPr>
      <w:numPr>
        <w:numId w:val="3"/>
      </w:numPr>
    </w:pPr>
  </w:style>
  <w:style w:type="paragraph" w:styleId="1292">
    <w:name w:val="项目编号1"/>
    <w:basedOn w:val="1137"/>
    <w:next w:val="1292"/>
    <w:link w:val="1137"/>
    <w:qFormat/>
    <w:pPr>
      <w:numPr>
        <w:ilvl w:val="0"/>
        <w:numId w:val="2"/>
      </w:numPr>
      <w:spacing w:before="100" w:beforeAutospacing="1" w:after="100" w:afterAutospacing="1" w:line="360" w:lineRule="auto"/>
    </w:pPr>
    <w:rPr>
      <w:sz w:val="24"/>
    </w:rPr>
  </w:style>
  <w:style w:type="paragraph" w:styleId="1293">
    <w:name w:val="xl50"/>
    <w:basedOn w:val="1137"/>
    <w:next w:val="1293"/>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4">
    <w:name w:val="List Paragraph1"/>
    <w:basedOn w:val="1137"/>
    <w:next w:val="1294"/>
    <w:link w:val="1137"/>
    <w:qFormat/>
    <w:pPr>
      <w:ind w:firstLine="420"/>
    </w:pPr>
    <w:rPr>
      <w:rFonts w:ascii="Calibri" w:hAnsi="Calibri"/>
      <w:szCs w:val="22"/>
    </w:rPr>
  </w:style>
  <w:style w:type="paragraph" w:styleId="1295">
    <w:name w:val="列出段落2"/>
    <w:basedOn w:val="1137"/>
    <w:next w:val="1295"/>
    <w:link w:val="1137"/>
    <w:qFormat/>
    <w:pPr>
      <w:ind w:firstLine="420"/>
    </w:pPr>
    <w:rPr>
      <w:rFonts w:ascii="Calibri" w:hAnsi="Calibri"/>
      <w:szCs w:val="22"/>
    </w:rPr>
  </w:style>
  <w:style w:type="paragraph" w:styleId="1296">
    <w:name w:val="xl45"/>
    <w:basedOn w:val="1137"/>
    <w:next w:val="1296"/>
    <w:link w:val="11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7">
    <w:name w:val="font5"/>
    <w:basedOn w:val="1137"/>
    <w:next w:val="1297"/>
    <w:link w:val="1137"/>
    <w:qFormat/>
    <w:pPr>
      <w:jc w:val="left"/>
      <w:spacing w:before="100" w:beforeAutospacing="1" w:after="100" w:afterAutospacing="1"/>
      <w:widowControl/>
    </w:pPr>
    <w:rPr>
      <w:rFonts w:ascii="宋体" w:hAnsi="宋体" w:cs="宋体"/>
      <w:sz w:val="18"/>
      <w:szCs w:val="18"/>
    </w:rPr>
  </w:style>
  <w:style w:type="paragraph" w:styleId="1298">
    <w:name w:val="字元 字元"/>
    <w:basedOn w:val="1137"/>
    <w:next w:val="1298"/>
    <w:link w:val="1137"/>
    <w:qFormat/>
    <w:rPr>
      <w:rFonts w:ascii="Tahoma" w:hAnsi="Tahoma"/>
      <w:sz w:val="24"/>
      <w:szCs w:val="20"/>
    </w:rPr>
  </w:style>
  <w:style w:type="paragraph" w:styleId="1299">
    <w:name w:val="正文列项_字母"/>
    <w:basedOn w:val="1137"/>
    <w:next w:val="1299"/>
    <w:link w:val="1137"/>
    <w:qFormat/>
    <w:pPr>
      <w:numPr>
        <w:ilvl w:val="6"/>
        <w:numId w:val="4"/>
      </w:numPr>
      <w:ind w:left="480" w:hanging="180"/>
      <w:spacing w:line="460" w:lineRule="exact"/>
      <w:tabs>
        <w:tab w:val="clear" w:pos="635" w:leader="none"/>
      </w:tabs>
      <w:outlineLvl w:val="6"/>
    </w:pPr>
    <w:rPr>
      <w:rFonts w:ascii="宋体"/>
      <w:sz w:val="28"/>
      <w:szCs w:val="20"/>
    </w:rPr>
  </w:style>
  <w:style w:type="paragraph" w:styleId="1300">
    <w:name w:val="font6"/>
    <w:basedOn w:val="1137"/>
    <w:next w:val="1300"/>
    <w:link w:val="1137"/>
    <w:qFormat/>
    <w:pPr>
      <w:jc w:val="left"/>
      <w:spacing w:before="100" w:beforeAutospacing="1" w:after="100" w:afterAutospacing="1"/>
      <w:widowControl/>
    </w:pPr>
    <w:rPr>
      <w:rFonts w:ascii="宋体" w:hAnsi="宋体" w:cs="宋体"/>
      <w:sz w:val="20"/>
      <w:szCs w:val="20"/>
    </w:rPr>
  </w:style>
  <w:style w:type="paragraph" w:styleId="1301">
    <w:name w:val="xl37"/>
    <w:basedOn w:val="1137"/>
    <w:next w:val="1301"/>
    <w:link w:val="11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2">
    <w:name w:val="xl26"/>
    <w:basedOn w:val="1137"/>
    <w:next w:val="1302"/>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03">
    <w:name w:val="二级条标题"/>
    <w:basedOn w:val="1304"/>
    <w:next w:val="1137"/>
    <w:link w:val="1137"/>
    <w:qFormat/>
    <w:pPr>
      <w:numPr>
        <w:ilvl w:val="0"/>
        <w:numId w:val="0"/>
      </w:numPr>
      <w:ind w:hanging="840"/>
      <w:tabs>
        <w:tab w:val="left" w:pos="360" w:leader="none"/>
        <w:tab w:val="left" w:pos="840" w:leader="none"/>
      </w:tabs>
      <w:outlineLvl w:val="2"/>
    </w:pPr>
    <w:rPr>
      <w:rFonts w:ascii="宋体" w:eastAsia="宋体"/>
      <w:b w:val="0"/>
    </w:rPr>
  </w:style>
  <w:style w:type="paragraph" w:styleId="1304">
    <w:name w:val="一级条标题"/>
    <w:basedOn w:val="1305"/>
    <w:next w:val="1137"/>
    <w:link w:val="1137"/>
    <w:qFormat/>
    <w:pPr>
      <w:numPr>
        <w:ilvl w:val="1"/>
      </w:numPr>
      <w:ind w:left="0" w:hanging="840"/>
      <w:tabs>
        <w:tab w:val="left" w:pos="360" w:leader="none"/>
        <w:tab w:val="left" w:pos="840" w:leader="none"/>
      </w:tabs>
      <w:outlineLvl w:val="1"/>
    </w:pPr>
  </w:style>
  <w:style w:type="paragraph" w:styleId="1305">
    <w:name w:val="章标题"/>
    <w:next w:val="1137"/>
    <w:link w:val="1137"/>
    <w:qFormat/>
    <w:pPr>
      <w:numPr>
        <w:ilvl w:val="0"/>
        <w:numId w:val="4"/>
      </w:numPr>
      <w:ind w:left="0"/>
      <w:jc w:val="both"/>
      <w:spacing w:line="460" w:lineRule="exact"/>
      <w:outlineLvl w:val="0"/>
    </w:pPr>
    <w:rPr>
      <w:rFonts w:ascii="黑体" w:eastAsia="黑体"/>
      <w:b/>
      <w:sz w:val="28"/>
      <w:lang w:val="en-US" w:eastAsia="zh-CN" w:bidi="ar-SA"/>
    </w:rPr>
  </w:style>
  <w:style w:type="paragraph" w:styleId="1306">
    <w:name w:val="项目编号3"/>
    <w:basedOn w:val="1307"/>
    <w:next w:val="1306"/>
    <w:link w:val="1137"/>
    <w:qFormat/>
    <w:pPr>
      <w:numPr>
        <w:ilvl w:val="0"/>
        <w:numId w:val="5"/>
      </w:numPr>
    </w:pPr>
  </w:style>
  <w:style w:type="paragraph" w:styleId="1307">
    <w:name w:val="正文文本样式"/>
    <w:basedOn w:val="1137"/>
    <w:next w:val="1307"/>
    <w:link w:val="1137"/>
    <w:qFormat/>
    <w:pPr>
      <w:ind w:firstLine="482"/>
      <w:spacing w:line="360" w:lineRule="auto"/>
    </w:pPr>
    <w:rPr>
      <w:rFonts w:cs="宋体"/>
      <w:sz w:val="24"/>
      <w:szCs w:val="20"/>
    </w:rPr>
  </w:style>
  <w:style w:type="paragraph" w:styleId="1308">
    <w:name w:val="Char1 Char Char Char1"/>
    <w:basedOn w:val="1137"/>
    <w:next w:val="1308"/>
    <w:link w:val="1137"/>
    <w:qFormat/>
    <w:rPr>
      <w:rFonts w:ascii="Tahoma" w:hAnsi="Tahoma" w:cs="仿宋_GB2312"/>
      <w:sz w:val="24"/>
      <w:szCs w:val="28"/>
    </w:rPr>
  </w:style>
  <w:style w:type="paragraph" w:styleId="1309">
    <w:name w:val="_Style 172"/>
    <w:next w:val="1309"/>
    <w:link w:val="1137"/>
    <w:uiPriority w:val="99"/>
    <w:unhideWhenUsed/>
    <w:qFormat/>
    <w:rPr>
      <w:sz w:val="21"/>
      <w:szCs w:val="24"/>
      <w:lang w:val="en-US" w:eastAsia="zh-CN" w:bidi="ar-SA"/>
    </w:rPr>
  </w:style>
  <w:style w:type="paragraph" w:styleId="1310">
    <w:name w:val="Char3 Char Char Char2"/>
    <w:basedOn w:val="1137"/>
    <w:next w:val="1310"/>
    <w:link w:val="1137"/>
    <w:qFormat/>
    <w:rPr>
      <w:rFonts w:ascii="Tahoma" w:hAnsi="Tahoma"/>
      <w:sz w:val="24"/>
      <w:szCs w:val="20"/>
    </w:rPr>
  </w:style>
  <w:style w:type="paragraph" w:styleId="1311">
    <w:name w:val="font7"/>
    <w:basedOn w:val="1137"/>
    <w:next w:val="1311"/>
    <w:link w:val="1137"/>
    <w:qFormat/>
    <w:pPr>
      <w:jc w:val="left"/>
      <w:spacing w:before="100" w:beforeAutospacing="1" w:after="100" w:afterAutospacing="1"/>
      <w:widowControl/>
    </w:pPr>
    <w:rPr>
      <w:rFonts w:eastAsia="Arial Unicode MS"/>
      <w:b/>
      <w:bCs/>
      <w:color w:val="000000"/>
      <w:sz w:val="20"/>
      <w:szCs w:val="20"/>
    </w:rPr>
  </w:style>
  <w:style w:type="paragraph" w:styleId="1312">
    <w:name w:val="图中文字"/>
    <w:basedOn w:val="1137"/>
    <w:next w:val="1312"/>
    <w:link w:val="1137"/>
    <w:qFormat/>
    <w:pPr>
      <w:jc w:val="center"/>
      <w:spacing w:line="0" w:lineRule="atLeast"/>
    </w:pPr>
    <w:rPr>
      <w:sz w:val="24"/>
      <w:szCs w:val="20"/>
    </w:rPr>
  </w:style>
  <w:style w:type="paragraph" w:styleId="1313">
    <w:name w:val="列出段落1"/>
    <w:basedOn w:val="1137"/>
    <w:next w:val="1313"/>
    <w:link w:val="1137"/>
    <w:qFormat/>
    <w:pPr>
      <w:ind w:firstLine="420"/>
    </w:pPr>
    <w:rPr>
      <w:rFonts w:ascii="Calibri" w:hAnsi="Calibri"/>
      <w:szCs w:val="22"/>
    </w:rPr>
  </w:style>
  <w:style w:type="paragraph" w:styleId="1314">
    <w:name w:val="xl46"/>
    <w:basedOn w:val="1137"/>
    <w:next w:val="1314"/>
    <w:link w:val="113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5">
    <w:name w:val="Char Char Char Char Char Char Char Char Char Char2"/>
    <w:basedOn w:val="1137"/>
    <w:next w:val="1315"/>
    <w:link w:val="1137"/>
    <w:qFormat/>
    <w:rPr>
      <w:rFonts w:ascii="宋体" w:hAnsi="宋体" w:cs="Courier New"/>
      <w:sz w:val="32"/>
      <w:szCs w:val="32"/>
    </w:rPr>
  </w:style>
  <w:style w:type="paragraph" w:styleId="1316">
    <w:name w:val="xl25"/>
    <w:basedOn w:val="1137"/>
    <w:next w:val="1316"/>
    <w:link w:val="11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7">
    <w:name w:val="表格文字"/>
    <w:basedOn w:val="1170"/>
    <w:next w:val="1168"/>
    <w:link w:val="1137"/>
    <w:qFormat/>
    <w:pPr>
      <w:ind w:firstLine="0"/>
      <w:spacing w:before="20" w:after="20" w:line="240" w:lineRule="auto"/>
    </w:pPr>
    <w:rPr>
      <w:rFonts w:ascii="Century Gothic" w:hAnsi="Century Gothic"/>
      <w:sz w:val="20"/>
      <w:szCs w:val="20"/>
    </w:rPr>
  </w:style>
  <w:style w:type="paragraph" w:styleId="1318">
    <w:name w:val="正文须知-2级"/>
    <w:basedOn w:val="1137"/>
    <w:next w:val="1318"/>
    <w:link w:val="1137"/>
    <w:qFormat/>
    <w:pPr>
      <w:numPr>
        <w:ilvl w:val="1"/>
        <w:numId w:val="6"/>
      </w:numPr>
      <w:spacing w:line="300" w:lineRule="auto"/>
    </w:pPr>
    <w:rPr>
      <w:rFonts w:ascii="宋体" w:hAnsi="Calibri"/>
      <w:sz w:val="24"/>
      <w:szCs w:val="21"/>
    </w:rPr>
  </w:style>
  <w:style w:type="paragraph" w:styleId="1319">
    <w:name w:val="??"/>
    <w:next w:val="1319"/>
    <w:link w:val="1137"/>
    <w:qFormat/>
    <w:pPr>
      <w:jc w:val="both"/>
      <w:widowControl w:val="off"/>
    </w:pPr>
    <w:rPr>
      <w:sz w:val="21"/>
      <w:lang w:val="en-US" w:eastAsia="en-US" w:bidi="ar-SA"/>
    </w:rPr>
  </w:style>
  <w:style w:type="paragraph" w:styleId="1320">
    <w:name w:val="纯文本1"/>
    <w:basedOn w:val="1137"/>
    <w:next w:val="1320"/>
    <w:link w:val="1137"/>
    <w:qFormat/>
    <w:rPr>
      <w:rFonts w:ascii="宋体" w:hAnsi="Courier New" w:cs="Courier New"/>
      <w:sz w:val="24"/>
      <w:szCs w:val="21"/>
    </w:rPr>
  </w:style>
  <w:style w:type="paragraph" w:styleId="1321">
    <w:name w:val="Char2"/>
    <w:basedOn w:val="1137"/>
    <w:next w:val="1321"/>
    <w:link w:val="1137"/>
    <w:qFormat/>
    <w:rPr>
      <w:rFonts w:ascii="Tahoma" w:hAnsi="Tahoma"/>
      <w:sz w:val="24"/>
      <w:szCs w:val="20"/>
    </w:rPr>
  </w:style>
  <w:style w:type="paragraph" w:styleId="1322">
    <w:name w:val="正文须知-3级"/>
    <w:basedOn w:val="1137"/>
    <w:next w:val="1322"/>
    <w:link w:val="1137"/>
    <w:qFormat/>
    <w:pPr>
      <w:numPr>
        <w:ilvl w:val="2"/>
        <w:numId w:val="6"/>
      </w:numPr>
      <w:ind w:hanging="355"/>
      <w:spacing w:line="300" w:lineRule="auto"/>
    </w:pPr>
    <w:rPr>
      <w:rFonts w:ascii="宋体" w:hAnsi="Calibri"/>
      <w:sz w:val="24"/>
      <w:szCs w:val="21"/>
    </w:rPr>
  </w:style>
  <w:style w:type="paragraph" w:styleId="1323">
    <w:name w:val="1 Char Char Char Char"/>
    <w:basedOn w:val="1137"/>
    <w:next w:val="1323"/>
    <w:link w:val="1137"/>
    <w:qFormat/>
    <w:rPr>
      <w:rFonts w:ascii="Tahoma" w:hAnsi="Tahoma"/>
      <w:sz w:val="24"/>
      <w:szCs w:val="20"/>
    </w:rPr>
  </w:style>
  <w:style w:type="paragraph" w:styleId="1324">
    <w:name w:val="xl35"/>
    <w:basedOn w:val="1137"/>
    <w:next w:val="1324"/>
    <w:link w:val="11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5">
    <w:name w:val="正文须知-1级"/>
    <w:basedOn w:val="1137"/>
    <w:next w:val="1137"/>
    <w:link w:val="1137"/>
    <w:qFormat/>
    <w:pPr>
      <w:numPr>
        <w:ilvl w:val="0"/>
        <w:numId w:val="6"/>
      </w:numPr>
      <w:spacing w:line="300" w:lineRule="auto"/>
    </w:pPr>
    <w:rPr>
      <w:rFonts w:ascii="宋体" w:hAnsi="Calibri"/>
      <w:sz w:val="24"/>
      <w:szCs w:val="21"/>
    </w:rPr>
  </w:style>
  <w:style w:type="paragraph" w:styleId="1326">
    <w:name w:val="xl49"/>
    <w:basedOn w:val="1137"/>
    <w:next w:val="1326"/>
    <w:link w:val="11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27">
    <w:name w:val="Char Char Char2"/>
    <w:basedOn w:val="1137"/>
    <w:next w:val="1327"/>
    <w:link w:val="1137"/>
    <w:qFormat/>
    <w:rPr>
      <w:rFonts w:ascii="Tahoma" w:hAnsi="Tahoma"/>
      <w:sz w:val="24"/>
      <w:szCs w:val="20"/>
    </w:rPr>
  </w:style>
  <w:style w:type="paragraph" w:styleId="1328">
    <w:name w:val="无标题条"/>
    <w:next w:val="1137"/>
    <w:link w:val="1137"/>
    <w:qFormat/>
    <w:pPr>
      <w:jc w:val="both"/>
    </w:pPr>
    <w:rPr>
      <w:sz w:val="21"/>
      <w:lang w:val="en-US" w:eastAsia="zh-CN" w:bidi="ar-SA"/>
    </w:rPr>
  </w:style>
  <w:style w:type="paragraph" w:styleId="1329">
    <w:name w:val="Normal_1"/>
    <w:next w:val="1329"/>
    <w:link w:val="1137"/>
    <w:qFormat/>
    <w:rPr>
      <w:rFonts w:ascii="Calibri" w:hAnsi="Calibri"/>
      <w:sz w:val="24"/>
      <w:szCs w:val="24"/>
      <w:lang w:val="en-US" w:eastAsia="zh-CN" w:bidi="ar-SA"/>
    </w:rPr>
  </w:style>
  <w:style w:type="paragraph" w:styleId="1330">
    <w:name w:val="Char Char Char1 Char"/>
    <w:basedOn w:val="1137"/>
    <w:next w:val="1330"/>
    <w:link w:val="1137"/>
    <w:qFormat/>
    <w:rPr>
      <w:rFonts w:ascii="Tahoma" w:hAnsi="Tahoma"/>
      <w:sz w:val="24"/>
      <w:szCs w:val="20"/>
    </w:rPr>
  </w:style>
  <w:style w:type="paragraph" w:styleId="1331">
    <w:name w:val="四级条标题"/>
    <w:basedOn w:val="1332"/>
    <w:next w:val="1137"/>
    <w:link w:val="1137"/>
    <w:qFormat/>
    <w:pPr>
      <w:numPr>
        <w:ilvl w:val="4"/>
      </w:numPr>
      <w:ind w:left="0" w:hanging="840"/>
      <w:tabs>
        <w:tab w:val="left" w:pos="360" w:leader="none"/>
        <w:tab w:val="left" w:pos="840" w:leader="none"/>
      </w:tabs>
      <w:outlineLvl w:val="4"/>
    </w:pPr>
  </w:style>
  <w:style w:type="paragraph" w:styleId="1332">
    <w:name w:val="三级条标题"/>
    <w:basedOn w:val="1303"/>
    <w:next w:val="1137"/>
    <w:link w:val="1137"/>
    <w:qFormat/>
    <w:pPr>
      <w:numPr>
        <w:ilvl w:val="3"/>
        <w:numId w:val="4"/>
      </w:numPr>
      <w:ind w:left="0" w:hanging="840"/>
      <w:tabs>
        <w:tab w:val="left" w:pos="360" w:leader="none"/>
        <w:tab w:val="left" w:pos="840" w:leader="none"/>
      </w:tabs>
      <w:outlineLvl w:val="3"/>
    </w:pPr>
  </w:style>
  <w:style w:type="paragraph" w:styleId="1333">
    <w:name w:val="默认段落字体 Para Char Char Char Char"/>
    <w:basedOn w:val="1137"/>
    <w:next w:val="1333"/>
    <w:link w:val="1137"/>
    <w:qFormat/>
    <w:rPr>
      <w:rFonts w:ascii="Arial" w:hAnsi="Arial" w:cs="Arial"/>
      <w:szCs w:val="21"/>
    </w:rPr>
  </w:style>
  <w:style w:type="paragraph" w:styleId="1334">
    <w:name w:val="Char Char1 Char Char Char Char Char Char Char Char"/>
    <w:basedOn w:val="1137"/>
    <w:next w:val="1334"/>
    <w:link w:val="1137"/>
    <w:qFormat/>
    <w:pPr>
      <w:jc w:val="left"/>
      <w:spacing w:after="160" w:line="240" w:lineRule="exact"/>
      <w:widowControl/>
    </w:pPr>
    <w:rPr>
      <w:rFonts w:ascii="Verdana" w:hAnsi="Verdana"/>
      <w:sz w:val="20"/>
      <w:szCs w:val="20"/>
      <w:lang w:eastAsia="en-US"/>
    </w:rPr>
  </w:style>
  <w:style w:type="paragraph" w:styleId="1335">
    <w:name w:val="background1"/>
    <w:basedOn w:val="1137"/>
    <w:next w:val="1335"/>
    <w:link w:val="1137"/>
    <w:qFormat/>
    <w:pPr>
      <w:jc w:val="left"/>
      <w:spacing w:before="100" w:beforeAutospacing="1" w:after="100" w:afterAutospacing="1"/>
      <w:widowControl/>
    </w:pPr>
    <w:rPr>
      <w:rFonts w:ascii="宋体" w:hAnsi="宋体" w:cs="宋体"/>
      <w:sz w:val="24"/>
    </w:rPr>
  </w:style>
  <w:style w:type="paragraph" w:styleId="1336">
    <w:name w:val="xl24"/>
    <w:basedOn w:val="1137"/>
    <w:next w:val="1336"/>
    <w:link w:val="11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7">
    <w:name w:val="Char Char Char Char Char Char Char"/>
    <w:basedOn w:val="1137"/>
    <w:next w:val="1337"/>
    <w:link w:val="1137"/>
    <w:qFormat/>
    <w:pPr>
      <w:ind w:firstLine="200"/>
      <w:spacing w:line="360" w:lineRule="auto"/>
    </w:pPr>
    <w:rPr>
      <w:rFonts w:eastAsia="仿宋_GB2312"/>
      <w:sz w:val="24"/>
    </w:rPr>
  </w:style>
  <w:style w:type="paragraph" w:styleId="1338">
    <w:name w:val="Table Paragraph"/>
    <w:basedOn w:val="1137"/>
    <w:next w:val="1338"/>
    <w:link w:val="1137"/>
    <w:uiPriority w:val="1"/>
    <w:qFormat/>
    <w:pPr>
      <w:jc w:val="left"/>
    </w:pPr>
    <w:rPr>
      <w:rFonts w:ascii="宋体" w:hAnsi="宋体" w:cs="宋体"/>
      <w:sz w:val="22"/>
      <w:szCs w:val="22"/>
      <w:lang w:eastAsia="en-US"/>
    </w:rPr>
  </w:style>
  <w:style w:type="paragraph" w:styleId="1339">
    <w:name w:val="五级条标题"/>
    <w:basedOn w:val="1331"/>
    <w:next w:val="1137"/>
    <w:link w:val="1137"/>
    <w:qFormat/>
    <w:pPr>
      <w:numPr>
        <w:ilvl w:val="5"/>
      </w:numPr>
      <w:ind w:left="0" w:hanging="840"/>
      <w:tabs>
        <w:tab w:val="left" w:pos="360" w:leader="none"/>
        <w:tab w:val="left" w:pos="840" w:leader="none"/>
      </w:tabs>
      <w:outlineLvl w:val="5"/>
    </w:pPr>
  </w:style>
  <w:style w:type="paragraph" w:styleId="1340">
    <w:name w:val="正文列项_数字"/>
    <w:basedOn w:val="1137"/>
    <w:next w:val="1340"/>
    <w:link w:val="1137"/>
    <w:qFormat/>
    <w:pPr>
      <w:numPr>
        <w:ilvl w:val="7"/>
        <w:numId w:val="4"/>
      </w:numPr>
      <w:ind w:left="680" w:hanging="150"/>
      <w:spacing w:line="460" w:lineRule="exact"/>
      <w:tabs>
        <w:tab w:val="clear" w:pos="860" w:leader="none"/>
      </w:tabs>
      <w:outlineLvl w:val="7"/>
    </w:pPr>
    <w:rPr>
      <w:rFonts w:ascii="宋体"/>
      <w:sz w:val="28"/>
      <w:szCs w:val="20"/>
    </w:rPr>
  </w:style>
  <w:style w:type="paragraph" w:styleId="1341">
    <w:name w:val="Char1"/>
    <w:basedOn w:val="1137"/>
    <w:next w:val="1341"/>
    <w:link w:val="1137"/>
    <w:qFormat/>
    <w:pPr>
      <w:tabs>
        <w:tab w:val="left" w:pos="360" w:leader="none"/>
      </w:tabs>
    </w:pPr>
    <w:rPr>
      <w:sz w:val="24"/>
    </w:rPr>
  </w:style>
  <w:style w:type="paragraph" w:styleId="1342">
    <w:name w:val="样式2"/>
    <w:basedOn w:val="1200"/>
    <w:next w:val="1342"/>
    <w:link w:val="1137"/>
    <w:qFormat/>
    <w:pPr>
      <w:jc w:val="center"/>
      <w:spacing w:line="360" w:lineRule="auto"/>
    </w:pPr>
    <w:rPr>
      <w:sz w:val="24"/>
    </w:rPr>
  </w:style>
  <w:style w:type="paragraph" w:styleId="1343">
    <w:name w:val="xl32"/>
    <w:basedOn w:val="1137"/>
    <w:next w:val="1343"/>
    <w:link w:val="11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4">
    <w:name w:val="Char Char1"/>
    <w:basedOn w:val="1162"/>
    <w:next w:val="1344"/>
    <w:link w:val="1137"/>
    <w:qFormat/>
    <w:rPr>
      <w:rFonts w:ascii="Tahoma" w:hAnsi="Tahoma"/>
      <w:sz w:val="24"/>
    </w:rPr>
  </w:style>
  <w:style w:type="paragraph" w:styleId="1345">
    <w:name w:val="xl30"/>
    <w:basedOn w:val="1137"/>
    <w:next w:val="1345"/>
    <w:link w:val="11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6">
    <w:name w:val="正文文本样式 加粗"/>
    <w:basedOn w:val="1307"/>
    <w:next w:val="1346"/>
    <w:link w:val="1137"/>
    <w:qFormat/>
    <w:rPr>
      <w:b/>
    </w:rPr>
  </w:style>
  <w:style w:type="paragraph" w:styleId="1347">
    <w:name w:val="Char Char4"/>
    <w:basedOn w:val="1137"/>
    <w:next w:val="1347"/>
    <w:link w:val="1137"/>
    <w:qFormat/>
    <w:pPr>
      <w:jc w:val="center"/>
      <w:spacing w:line="400" w:lineRule="exact"/>
      <w:widowControl/>
    </w:pPr>
  </w:style>
  <w:style w:type="paragraph" w:styleId="1348">
    <w:name w:val="样式 标题 2 + 宋体 五号 行距: 单倍行距"/>
    <w:basedOn w:val="1139"/>
    <w:next w:val="1348"/>
    <w:link w:val="1137"/>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49">
    <w:name w:val="表格1"/>
    <w:basedOn w:val="1137"/>
    <w:next w:val="1349"/>
    <w:link w:val="1137"/>
    <w:qFormat/>
    <w:pPr>
      <w:ind w:firstLine="480"/>
      <w:jc w:val="center"/>
    </w:pPr>
    <w:rPr>
      <w:sz w:val="24"/>
      <w:szCs w:val="20"/>
    </w:rPr>
  </w:style>
  <w:style w:type="paragraph" w:styleId="1350">
    <w:name w:val="项目符号1"/>
    <w:basedOn w:val="1307"/>
    <w:next w:val="1350"/>
    <w:link w:val="1137"/>
    <w:qFormat/>
    <w:pPr>
      <w:ind w:left="-25" w:firstLine="0"/>
    </w:pPr>
  </w:style>
  <w:style w:type="paragraph" w:styleId="1351">
    <w:name w:val="xl27"/>
    <w:basedOn w:val="1137"/>
    <w:next w:val="1351"/>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2">
    <w:name w:val="字元 字元2"/>
    <w:basedOn w:val="1137"/>
    <w:next w:val="1352"/>
    <w:link w:val="1137"/>
    <w:qFormat/>
    <w:rPr>
      <w:rFonts w:ascii="Tahoma" w:hAnsi="Tahoma"/>
      <w:sz w:val="24"/>
      <w:szCs w:val="20"/>
    </w:rPr>
  </w:style>
  <w:style w:type="paragraph" w:styleId="1353">
    <w:name w:val="图文"/>
    <w:basedOn w:val="1137"/>
    <w:next w:val="1353"/>
    <w:link w:val="1137"/>
    <w:qFormat/>
    <w:pPr>
      <w:spacing w:after="50" w:line="360" w:lineRule="auto"/>
    </w:pPr>
    <w:rPr>
      <w:sz w:val="24"/>
    </w:rPr>
  </w:style>
  <w:style w:type="paragraph" w:styleId="1354">
    <w:name w:val="xl53"/>
    <w:basedOn w:val="1137"/>
    <w:next w:val="1354"/>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5">
    <w:name w:val="22222222222222"/>
    <w:basedOn w:val="1137"/>
    <w:next w:val="1355"/>
    <w:link w:val="1137"/>
    <w:qFormat/>
    <w:pPr>
      <w:ind w:firstLine="480"/>
      <w:jc w:val="left"/>
      <w:spacing w:line="360" w:lineRule="auto"/>
      <w:widowControl/>
    </w:pPr>
    <w:rPr>
      <w:color w:val="ff0000"/>
      <w:sz w:val="24"/>
      <w:szCs w:val="20"/>
    </w:rPr>
  </w:style>
  <w:style w:type="paragraph" w:styleId="1356">
    <w:name w:val="正文缩进11"/>
    <w:basedOn w:val="1137"/>
    <w:next w:val="1356"/>
    <w:link w:val="1137"/>
    <w:uiPriority w:val="99"/>
    <w:qFormat/>
    <w:pPr>
      <w:ind w:firstLine="200"/>
    </w:pPr>
    <w:rPr>
      <w:sz w:val="24"/>
    </w:rPr>
  </w:style>
  <w:style w:type="paragraph" w:styleId="1357">
    <w:name w:val="Char3"/>
    <w:basedOn w:val="1137"/>
    <w:next w:val="1357"/>
    <w:link w:val="1137"/>
    <w:qFormat/>
    <w:pPr>
      <w:tabs>
        <w:tab w:val="left" w:pos="360" w:leader="none"/>
      </w:tabs>
    </w:pPr>
    <w:rPr>
      <w:sz w:val="24"/>
    </w:rPr>
  </w:style>
  <w:style w:type="paragraph" w:styleId="1358">
    <w:name w:val="xl33"/>
    <w:basedOn w:val="1137"/>
    <w:next w:val="1358"/>
    <w:link w:val="11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9">
    <w:name w:val="Char21"/>
    <w:basedOn w:val="1137"/>
    <w:next w:val="1359"/>
    <w:link w:val="1137"/>
    <w:qFormat/>
    <w:rPr>
      <w:rFonts w:ascii="Tahoma" w:hAnsi="Tahoma"/>
      <w:sz w:val="24"/>
      <w:szCs w:val="20"/>
    </w:rPr>
  </w:style>
  <w:style w:type="paragraph" w:styleId="1360">
    <w:name w:val="xl42"/>
    <w:basedOn w:val="1137"/>
    <w:next w:val="1360"/>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1">
    <w:name w:val="Char2 Char Char Char Char Char Char1"/>
    <w:basedOn w:val="1137"/>
    <w:next w:val="1361"/>
    <w:link w:val="1137"/>
    <w:qFormat/>
    <w:pPr>
      <w:jc w:val="center"/>
      <w:spacing w:line="400" w:lineRule="exact"/>
      <w:widowControl/>
    </w:pPr>
  </w:style>
  <w:style w:type="paragraph" w:styleId="1362">
    <w:name w:val="xl44"/>
    <w:basedOn w:val="1137"/>
    <w:next w:val="1362"/>
    <w:link w:val="11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63">
    <w:name w:val="xl34"/>
    <w:basedOn w:val="1137"/>
    <w:next w:val="1363"/>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4">
    <w:name w:val="标题1-附件"/>
    <w:basedOn w:val="1138"/>
    <w:next w:val="1364"/>
    <w:link w:val="1137"/>
    <w:qFormat/>
    <w:pPr>
      <w:jc w:val="left"/>
    </w:pPr>
    <w:rPr>
      <w:sz w:val="24"/>
      <w:szCs w:val="24"/>
    </w:rPr>
  </w:style>
  <w:style w:type="paragraph" w:styleId="1365">
    <w:name w:val="xl51"/>
    <w:basedOn w:val="1137"/>
    <w:next w:val="1365"/>
    <w:link w:val="11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6">
    <w:name w:val="xl48"/>
    <w:basedOn w:val="1137"/>
    <w:next w:val="1366"/>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67">
    <w:name w:val="Char Char1 Char Char Char Char Char Char1"/>
    <w:basedOn w:val="1137"/>
    <w:next w:val="1367"/>
    <w:link w:val="1137"/>
    <w:qFormat/>
    <w:pPr>
      <w:jc w:val="left"/>
      <w:spacing w:after="160" w:line="240" w:lineRule="exact"/>
      <w:widowControl/>
    </w:pPr>
    <w:rPr>
      <w:rFonts w:ascii="Verdana" w:hAnsi="Verdana" w:eastAsia="仿宋_GB2312"/>
      <w:sz w:val="24"/>
      <w:szCs w:val="20"/>
      <w:lang w:eastAsia="en-US"/>
    </w:rPr>
  </w:style>
  <w:style w:type="paragraph" w:styleId="1368">
    <w:name w:val="font9"/>
    <w:basedOn w:val="1137"/>
    <w:next w:val="1368"/>
    <w:link w:val="1137"/>
    <w:qFormat/>
    <w:pPr>
      <w:jc w:val="left"/>
      <w:spacing w:before="100" w:beforeAutospacing="1" w:after="100" w:afterAutospacing="1"/>
      <w:widowControl/>
    </w:pPr>
    <w:rPr>
      <w:rFonts w:hint="eastAsia" w:ascii="宋体" w:hAnsi="宋体" w:cs="Arial Unicode MS"/>
      <w:color w:val="000000"/>
      <w:sz w:val="20"/>
      <w:szCs w:val="20"/>
    </w:rPr>
  </w:style>
  <w:style w:type="paragraph" w:styleId="1369">
    <w:name w:val="Char Char41"/>
    <w:basedOn w:val="1137"/>
    <w:next w:val="1369"/>
    <w:link w:val="1137"/>
    <w:qFormat/>
    <w:pPr>
      <w:jc w:val="center"/>
      <w:spacing w:line="400" w:lineRule="exact"/>
      <w:widowControl/>
    </w:pPr>
  </w:style>
  <w:style w:type="paragraph" w:styleId="1370">
    <w:name w:val="Char Char Char1 Char1"/>
    <w:basedOn w:val="1137"/>
    <w:next w:val="1370"/>
    <w:link w:val="1137"/>
    <w:qFormat/>
    <w:rPr>
      <w:rFonts w:ascii="Tahoma" w:hAnsi="Tahoma"/>
      <w:sz w:val="24"/>
      <w:szCs w:val="20"/>
    </w:rPr>
  </w:style>
  <w:style w:type="paragraph" w:styleId="1371">
    <w:name w:val="正文文本缩进2"/>
    <w:basedOn w:val="1137"/>
    <w:next w:val="1371"/>
    <w:link w:val="1137"/>
    <w:qFormat/>
    <w:pPr>
      <w:ind w:firstLine="480"/>
      <w:spacing w:line="480" w:lineRule="exact"/>
    </w:pPr>
    <w:rPr>
      <w:rFonts w:ascii="宋体" w:hAnsi="宋体"/>
      <w:sz w:val="24"/>
      <w:lang w:val="zh-CN"/>
    </w:rPr>
  </w:style>
  <w:style w:type="paragraph" w:styleId="1372">
    <w:name w:val="Char Char Char Char Char Char Char Char Char Char"/>
    <w:basedOn w:val="1137"/>
    <w:next w:val="1372"/>
    <w:link w:val="1137"/>
    <w:qFormat/>
  </w:style>
  <w:style w:type="paragraph" w:styleId="1373">
    <w:name w:val="无间隔"/>
    <w:next w:val="1373"/>
    <w:link w:val="1137"/>
    <w:qFormat/>
    <w:pPr>
      <w:jc w:val="both"/>
      <w:widowControl w:val="off"/>
    </w:pPr>
    <w:rPr>
      <w:sz w:val="21"/>
      <w:szCs w:val="24"/>
      <w:lang w:val="en-US" w:eastAsia="zh-CN" w:bidi="ar-SA"/>
    </w:rPr>
  </w:style>
  <w:style w:type="paragraph" w:styleId="1374">
    <w:name w:val="Char3 Char Char Char1"/>
    <w:basedOn w:val="1137"/>
    <w:next w:val="1374"/>
    <w:link w:val="1137"/>
    <w:qFormat/>
    <w:rPr>
      <w:rFonts w:ascii="Tahoma" w:hAnsi="Tahoma"/>
      <w:sz w:val="24"/>
      <w:szCs w:val="20"/>
    </w:rPr>
  </w:style>
  <w:style w:type="paragraph" w:styleId="1375">
    <w:name w:val="Char Char Char Char Char Char Char2"/>
    <w:basedOn w:val="1137"/>
    <w:next w:val="1375"/>
    <w:link w:val="1137"/>
    <w:qFormat/>
    <w:pPr>
      <w:ind w:firstLine="200"/>
      <w:spacing w:line="360" w:lineRule="auto"/>
    </w:pPr>
    <w:rPr>
      <w:rFonts w:eastAsia="仿宋_GB2312"/>
      <w:sz w:val="24"/>
    </w:rPr>
  </w:style>
  <w:style w:type="paragraph" w:styleId="1376">
    <w:name w:val="xl28"/>
    <w:basedOn w:val="1137"/>
    <w:next w:val="1376"/>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7">
    <w:name w:val="xl47"/>
    <w:basedOn w:val="1137"/>
    <w:next w:val="1377"/>
    <w:link w:val="11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8">
    <w:name w:val="xl31"/>
    <w:basedOn w:val="1137"/>
    <w:next w:val="1378"/>
    <w:link w:val="11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9">
    <w:name w:val="xl23"/>
    <w:basedOn w:val="1137"/>
    <w:next w:val="1379"/>
    <w:link w:val="1137"/>
    <w:qFormat/>
    <w:pPr>
      <w:spacing w:before="100" w:beforeAutospacing="1" w:after="100" w:afterAutospacing="1" w:line="360" w:lineRule="auto"/>
      <w:widowControl/>
    </w:pPr>
    <w:rPr>
      <w:sz w:val="24"/>
      <w:szCs w:val="20"/>
    </w:rPr>
  </w:style>
  <w:style w:type="paragraph" w:styleId="1380">
    <w:name w:val="正文 + 楷体_GB2312"/>
    <w:basedOn w:val="1137"/>
    <w:next w:val="1380"/>
    <w:link w:val="1137"/>
    <w:qFormat/>
    <w:pPr>
      <w:jc w:val="left"/>
      <w:widowControl/>
    </w:pPr>
    <w:rPr>
      <w:rFonts w:ascii="楷体_GB2312" w:eastAsia="楷体_GB2312" w:cs="Arial"/>
      <w:sz w:val="24"/>
    </w:rPr>
  </w:style>
  <w:style w:type="paragraph" w:styleId="1381">
    <w:name w:val="Char Char Char Char Char Char Char Char Char Char Char Char Char Char Char Char1"/>
    <w:basedOn w:val="1137"/>
    <w:next w:val="1381"/>
    <w:link w:val="1137"/>
    <w:qFormat/>
    <w:pPr>
      <w:jc w:val="center"/>
      <w:spacing w:after="160" w:line="240" w:lineRule="exact"/>
      <w:widowControl/>
    </w:pPr>
    <w:rPr>
      <w:rFonts w:ascii="宋体" w:hAnsi="宋体"/>
      <w:b/>
      <w:sz w:val="30"/>
      <w:szCs w:val="30"/>
      <w:lang w:eastAsia="en-US"/>
    </w:rPr>
  </w:style>
  <w:style w:type="paragraph" w:styleId="1382">
    <w:name w:val="Char Char Char Char Char Char Char1"/>
    <w:basedOn w:val="1137"/>
    <w:next w:val="1382"/>
    <w:link w:val="1137"/>
    <w:qFormat/>
    <w:pPr>
      <w:ind w:firstLine="200"/>
      <w:spacing w:line="360" w:lineRule="auto"/>
    </w:pPr>
    <w:rPr>
      <w:rFonts w:eastAsia="仿宋_GB2312"/>
      <w:sz w:val="24"/>
    </w:rPr>
  </w:style>
  <w:style w:type="paragraph" w:styleId="1383">
    <w:name w:val="索引 11"/>
    <w:basedOn w:val="1137"/>
    <w:next w:val="1137"/>
    <w:link w:val="1137"/>
    <w:qFormat/>
    <w:pPr>
      <w:spacing w:line="360" w:lineRule="auto"/>
    </w:pPr>
    <w:rPr>
      <w:rFonts w:ascii="仿宋_GB2312" w:eastAsia="仿宋_GB2312"/>
      <w:sz w:val="24"/>
      <w:szCs w:val="20"/>
    </w:rPr>
  </w:style>
  <w:style w:type="paragraph" w:styleId="1384">
    <w:name w:val="Char Char Char1 Char2"/>
    <w:basedOn w:val="1137"/>
    <w:next w:val="1384"/>
    <w:link w:val="1137"/>
    <w:qFormat/>
    <w:rPr>
      <w:rFonts w:ascii="Tahoma" w:hAnsi="Tahoma"/>
      <w:sz w:val="24"/>
      <w:szCs w:val="20"/>
    </w:rPr>
  </w:style>
  <w:style w:type="paragraph" w:styleId="1385">
    <w:name w:val="xl29"/>
    <w:basedOn w:val="1137"/>
    <w:next w:val="1385"/>
    <w:link w:val="11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6">
    <w:name w:val="图例"/>
    <w:basedOn w:val="1137"/>
    <w:next w:val="1386"/>
    <w:link w:val="1137"/>
    <w:qFormat/>
    <w:pPr>
      <w:jc w:val="center"/>
      <w:spacing w:before="120" w:after="120" w:line="360" w:lineRule="auto"/>
    </w:pPr>
    <w:rPr>
      <w:rFonts w:eastAsia="仿宋_GB2312"/>
      <w:b/>
      <w:sz w:val="24"/>
      <w:szCs w:val="20"/>
    </w:rPr>
  </w:style>
  <w:style w:type="paragraph" w:styleId="1387">
    <w:name w:val="_Style 160"/>
    <w:next w:val="1387"/>
    <w:link w:val="1137"/>
    <w:qFormat/>
    <w:rPr>
      <w:sz w:val="21"/>
      <w:szCs w:val="24"/>
      <w:lang w:val="en-US" w:eastAsia="zh-CN" w:bidi="ar-SA"/>
    </w:rPr>
  </w:style>
  <w:style w:type="paragraph" w:styleId="1388">
    <w:name w:val="p0"/>
    <w:basedOn w:val="1137"/>
    <w:next w:val="1388"/>
    <w:link w:val="1137"/>
    <w:qFormat/>
    <w:pPr>
      <w:widowControl/>
    </w:pPr>
    <w:rPr>
      <w:szCs w:val="21"/>
    </w:rPr>
  </w:style>
  <w:style w:type="paragraph" w:styleId="1389">
    <w:name w:val="Char2 Char Char Char Char Char Char"/>
    <w:basedOn w:val="1137"/>
    <w:next w:val="1389"/>
    <w:link w:val="1137"/>
    <w:qFormat/>
    <w:pPr>
      <w:jc w:val="center"/>
      <w:spacing w:line="400" w:lineRule="exact"/>
      <w:widowControl/>
    </w:pPr>
  </w:style>
  <w:style w:type="paragraph" w:styleId="1390">
    <w:name w:val="正文缩进2"/>
    <w:basedOn w:val="1137"/>
    <w:next w:val="1390"/>
    <w:link w:val="1137"/>
    <w:qFormat/>
    <w:pPr>
      <w:ind w:firstLine="567"/>
      <w:spacing w:line="480" w:lineRule="exact"/>
      <w:widowControl/>
    </w:pPr>
    <w:rPr>
      <w:rFonts w:ascii="宋体"/>
      <w:color w:val="000000"/>
      <w:sz w:val="28"/>
      <w:szCs w:val="20"/>
      <w:lang w:val="zh-CN"/>
    </w:rPr>
  </w:style>
  <w:style w:type="paragraph" w:styleId="1391">
    <w:name w:val="修订1"/>
    <w:next w:val="1391"/>
    <w:link w:val="1137"/>
    <w:qFormat/>
    <w:rPr>
      <w:sz w:val="21"/>
      <w:szCs w:val="24"/>
      <w:lang w:val="en-US" w:eastAsia="zh-CN" w:bidi="ar-SA"/>
    </w:rPr>
  </w:style>
  <w:style w:type="table" w:styleId="1392">
    <w:name w:val="Table Normal"/>
    <w:next w:val="1392"/>
    <w:link w:val="1137"/>
    <w:uiPriority w:val="2"/>
    <w:unhideWhenUsed/>
    <w:qFormat/>
    <w:pPr>
      <w:widowControl w:val="off"/>
    </w:pPr>
    <w:rPr>
      <w:rFonts w:ascii="Calibri" w:hAnsi="Calibri"/>
      <w:sz w:val="22"/>
      <w:szCs w:val="22"/>
      <w:lang w:val="en-US" w:eastAsia="en-US" w:bidi="ar-SA"/>
    </w:rPr>
    <w:tblPr/>
  </w:style>
  <w:style w:type="paragraph" w:styleId="1393">
    <w:name w:val="样式1"/>
    <w:basedOn w:val="1139"/>
    <w:next w:val="1393"/>
    <w:link w:val="1137"/>
    <w:qFormat/>
    <w:pPr>
      <w:ind w:right="100"/>
      <w:spacing w:before="100" w:beforeAutospacing="1" w:after="100" w:afterAutospacing="1"/>
    </w:pPr>
    <w:rPr>
      <w:sz w:val="21"/>
    </w:rPr>
  </w:style>
  <w:style w:type="character" w:styleId="1394">
    <w:name w:val="sp"/>
    <w:next w:val="1394"/>
    <w:link w:val="1137"/>
    <w:qFormat/>
    <w:rPr>
      <w:color w:val="ffffff"/>
      <w:shd w:val="clear" w:color="auto" w:fill="dddddd"/>
    </w:rPr>
  </w:style>
  <w:style w:type="character" w:styleId="1395">
    <w:name w:val="disabled"/>
    <w:next w:val="1395"/>
    <w:link w:val="1137"/>
    <w:qFormat/>
    <w:rPr>
      <w:color w:val="38322d"/>
    </w:rPr>
  </w:style>
  <w:style w:type="character" w:styleId="1396">
    <w:name w:val="current"/>
    <w:next w:val="1396"/>
    <w:link w:val="1137"/>
    <w:qFormat/>
    <w:rPr>
      <w:b/>
      <w:bCs/>
      <w:color w:val="ffffff"/>
      <w:shd w:val="clear" w:color="auto" w:fill="38322d"/>
    </w:rPr>
  </w:style>
  <w:style w:type="character" w:styleId="1397">
    <w:name w:val="NormalCharacter1"/>
    <w:next w:val="1397"/>
    <w:link w:val="1137"/>
    <w:qFormat/>
    <w:rPr>
      <w:rFonts w:ascii="Times New Roman" w:hAnsi="Times New Roman" w:eastAsia="宋体" w:cs="Times New Roman"/>
      <w:sz w:val="21"/>
      <w:szCs w:val="24"/>
      <w:lang w:val="en-US" w:eastAsia="zh-CN" w:bidi="ar-SA"/>
    </w:rPr>
  </w:style>
  <w:style w:type="paragraph" w:styleId="1398">
    <w:name w:val="普通(网站)1"/>
    <w:basedOn w:val="1137"/>
    <w:next w:val="1398"/>
    <w:link w:val="1137"/>
    <w:uiPriority w:val="99"/>
    <w:unhideWhenUsed/>
    <w:qFormat/>
    <w:pPr>
      <w:jc w:val="left"/>
      <w:spacing w:before="100" w:beforeAutospacing="1" w:after="100" w:afterAutospacing="1"/>
      <w:widowControl/>
    </w:pPr>
    <w:rPr>
      <w:rFonts w:ascii="宋体" w:hAnsi="宋体" w:cs="宋体"/>
      <w:sz w:val="24"/>
    </w:rPr>
  </w:style>
  <w:style w:type="paragraph" w:styleId="1399">
    <w:name w:val="表 靠左"/>
    <w:basedOn w:val="1400"/>
    <w:next w:val="1399"/>
    <w:link w:val="1137"/>
    <w:qFormat/>
    <w:pPr>
      <w:jc w:val="left"/>
    </w:pPr>
    <w:rPr>
      <w:rFonts w:ascii="宋体" w:hAnsi="宋体" w:eastAsia="宋体"/>
    </w:rPr>
  </w:style>
  <w:style w:type="paragraph" w:styleId="1400">
    <w:name w:val="表"/>
    <w:basedOn w:val="1137"/>
    <w:next w:val="1137"/>
    <w:link w:val="1137"/>
    <w:uiPriority w:val="7"/>
    <w:qFormat/>
    <w:pPr>
      <w:ind w:firstLine="0"/>
      <w:jc w:val="center"/>
      <w:spacing w:line="240" w:lineRule="auto"/>
    </w:pPr>
  </w:style>
  <w:style w:type="paragraph" w:styleId="1401">
    <w:name w:val="列表段落1"/>
    <w:basedOn w:val="1137"/>
    <w:next w:val="1401"/>
    <w:link w:val="1137"/>
    <w:uiPriority w:val="34"/>
    <w:qFormat/>
    <w:pPr>
      <w:ind w:firstLine="420"/>
    </w:pPr>
  </w:style>
  <w:style w:type="paragraph" w:styleId="1402">
    <w:name w:val="首行缩进"/>
    <w:basedOn w:val="1137"/>
    <w:next w:val="1402"/>
    <w:link w:val="1137"/>
    <w:qFormat/>
    <w:pPr>
      <w:ind w:firstLine="480"/>
    </w:pPr>
    <w:rPr>
      <w:rFonts w:ascii="宋体" w:hAnsi="宋体" w:cs="宋体"/>
      <w:szCs w:val="22"/>
    </w:rPr>
  </w:style>
  <w:style w:type="paragraph" w:styleId="1403">
    <w:name w:val="0- 正文"/>
    <w:basedOn w:val="1137"/>
    <w:next w:val="1403"/>
    <w:link w:val="1137"/>
    <w:qFormat/>
    <w:pPr>
      <w:ind w:firstLine="482"/>
      <w:jc w:val="left"/>
      <w:spacing w:line="360" w:lineRule="auto"/>
      <w:widowControl/>
    </w:pPr>
    <w:rPr>
      <w:rFonts w:ascii="Calibri" w:hAnsi="Calibri" w:eastAsia="宋体" w:cs="Times New Roman"/>
      <w:sz w:val="24"/>
      <w:szCs w:val="22"/>
    </w:rPr>
  </w:style>
  <w:style w:type="paragraph" w:styleId="1404">
    <w:name w:val="修订"/>
    <w:next w:val="1404"/>
    <w:link w:val="1137"/>
    <w:uiPriority w:val="99"/>
    <w:unhideWhenUsed/>
    <w:rPr>
      <w:sz w:val="21"/>
      <w:szCs w:val="24"/>
      <w:lang w:val="en-US" w:eastAsia="zh-CN" w:bidi="ar-SA"/>
    </w:rPr>
  </w:style>
  <w:style w:type="paragraph" w:styleId="1405">
    <w:name w:val="表格正文"/>
    <w:basedOn w:val="1137"/>
    <w:next w:val="1405"/>
    <w:link w:val="1137"/>
    <w:qFormat/>
    <w:pPr>
      <w:ind w:firstLine="480"/>
      <w:jc w:val="left"/>
      <w:spacing w:line="400" w:lineRule="exact"/>
    </w:pPr>
    <w:rPr>
      <w:rFonts w:hint="eastAsia" w:ascii="仿宋_GB2312" w:hAnsi="仿宋_GB2312" w:eastAsia="仿宋_GB2312" w:cs="仿宋_GB2312"/>
      <w:bCs/>
      <w:sz w:val="24"/>
    </w:rPr>
  </w:style>
  <w:style w:type="paragraph" w:styleId="1406">
    <w:name w:val="批注文字1"/>
    <w:basedOn w:val="1137"/>
    <w:next w:val="1406"/>
    <w:link w:val="1137"/>
    <w:uiPriority w:val="99"/>
    <w:qFormat/>
    <w:pPr>
      <w:jc w:val="left"/>
    </w:pPr>
  </w:style>
  <w:style w:type="paragraph" w:styleId="1407">
    <w:name w:val="表内文字居中"/>
    <w:next w:val="1407"/>
    <w:link w:val="1137"/>
    <w:qFormat/>
    <w:pPr>
      <w:jc w:val="center"/>
    </w:pPr>
    <w:rPr>
      <w:sz w:val="24"/>
      <w:szCs w:val="24"/>
      <w:lang w:val="en-US" w:eastAsia="zh-CN" w:bidi="ar-SA"/>
    </w:rPr>
  </w:style>
  <w:style w:type="paragraph" w:styleId="1408">
    <w:name w:val="一、"/>
    <w:basedOn w:val="1137"/>
    <w:next w:val="1408"/>
    <w:link w:val="1137"/>
    <w:qFormat/>
    <w:pPr>
      <w:ind w:firstLine="640"/>
    </w:pPr>
    <w:rPr>
      <w:rFonts w:eastAsia="黑体"/>
      <w:szCs w:val="32"/>
    </w:rPr>
  </w:style>
  <w:style w:type="paragraph" w:styleId="1409">
    <w:name w:val="AONormal"/>
    <w:next w:val="1409"/>
    <w:link w:val="1137"/>
    <w:pPr>
      <w:ind w:firstLine="440"/>
      <w:spacing w:line="400" w:lineRule="exact"/>
    </w:pPr>
    <w:rPr>
      <w:rFonts w:ascii="华文楷体" w:hAnsi="华文楷体" w:eastAsia="华文楷体" w:cs="华文楷体"/>
      <w:sz w:val="22"/>
      <w:szCs w:val="21"/>
      <w:lang w:val="en-US" w:eastAsia="zh-CN" w:bidi="ar-SA"/>
    </w:rPr>
  </w:style>
  <w:style w:type="character" w:styleId="1410">
    <w:name w:val="正文文本_"/>
    <w:next w:val="1410"/>
    <w:link w:val="1411"/>
    <w:uiPriority w:val="99"/>
    <w:unhideWhenUsed/>
    <w:qFormat/>
    <w:rPr>
      <w:rFonts w:hint="eastAsia" w:ascii="MingLiU" w:hAnsi="MingLiU" w:eastAsia="MingLiU"/>
      <w:spacing w:val="10"/>
      <w:sz w:val="23"/>
    </w:rPr>
  </w:style>
  <w:style w:type="paragraph" w:styleId="1411">
    <w:name w:val="正文文本1"/>
    <w:basedOn w:val="1137"/>
    <w:next w:val="1411"/>
    <w:link w:val="1410"/>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1412">
    <w:name w:val="179"/>
    <w:basedOn w:val="1137"/>
    <w:next w:val="1412"/>
    <w:link w:val="1137"/>
    <w:qFormat/>
    <w:pPr>
      <w:ind w:firstLine="420"/>
      <w:jc w:val="both"/>
      <w:spacing w:after="0" w:line="240" w:lineRule="auto"/>
      <w:widowControl/>
    </w:pPr>
    <w:rPr>
      <w:rFonts w:ascii="Calibri" w:hAnsi="Calibri" w:eastAsia="宋体"/>
      <w:sz w:val="21"/>
      <w:szCs w:val="22"/>
    </w:rPr>
  </w:style>
  <w:style w:type="paragraph" w:styleId="1413">
    <w:name w:val="附件标题"/>
    <w:next w:val="1413"/>
    <w:link w:val="1137"/>
    <w:qFormat/>
    <w:pPr>
      <w:jc w:val="center"/>
      <w:spacing w:line="640" w:lineRule="exact"/>
    </w:pPr>
    <w:rPr>
      <w:rFonts w:eastAsia="方正小标宋简体"/>
      <w:color w:val="0d1e0f"/>
      <w:sz w:val="42"/>
      <w:szCs w:val="42"/>
      <w:lang w:val="en-US" w:eastAsia="zh-CN" w:bidi="ar-SA"/>
    </w:rPr>
  </w:style>
  <w:style w:type="paragraph" w:styleId="1414">
    <w:name w:val="第一章"/>
    <w:basedOn w:val="1408"/>
    <w:next w:val="1414"/>
    <w:link w:val="1137"/>
    <w:qFormat/>
    <w:pPr>
      <w:ind w:firstLine="0"/>
      <w:jc w:val="center"/>
    </w:pPr>
  </w:style>
  <w:style w:type="paragraph" w:styleId="1415">
    <w:name w:val="表格"/>
    <w:basedOn w:val="1137"/>
    <w:next w:val="1415"/>
    <w:link w:val="1137"/>
    <w:qFormat/>
    <w:pPr>
      <w:ind w:firstLine="200"/>
      <w:spacing w:after="0" w:line="360" w:lineRule="auto"/>
      <w:widowControl/>
    </w:pPr>
    <w:rPr>
      <w:sz w:val="24"/>
    </w:rPr>
  </w:style>
  <w:style w:type="character" w:styleId="1416" w:default="1">
    <w:name w:val="Default Paragraph Font"/>
    <w:uiPriority w:val="1"/>
    <w:semiHidden/>
    <w:unhideWhenUsed/>
  </w:style>
  <w:style w:type="numbering" w:styleId="1417" w:default="1">
    <w:name w:val="No List"/>
    <w:uiPriority w:val="99"/>
    <w:semiHidden/>
    <w:unhideWhenUsed/>
  </w:style>
  <w:style w:type="table" w:styleId="14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赵婷</cp:lastModifiedBy>
  <cp:revision>10</cp:revision>
  <dcterms:created xsi:type="dcterms:W3CDTF">2026-08-21T06:09:00Z</dcterms:created>
  <dcterms:modified xsi:type="dcterms:W3CDTF">2026-09-01T08:02:19Z</dcterms:modified>
</cp:coreProperties>
</file>