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bookmarkStart w:id="279" w:name="_GoBack"/>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JSZC-320282-WXJR-G2026-0017</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无锡高新技术产业开发区环保科技工业园管理办公室</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宜兴环科园2026-2027年度科技创新集成服务采购项目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rPr>
        <w:t xml:space="preserve">九</w:t>
      </w:r>
      <w:r>
        <w:rPr>
          <w:rFonts w:hint="eastAsia" w:ascii="宋体"/>
          <w:color w:val="auto"/>
          <w:sz w:val="32"/>
          <w:highlight w:val="none"/>
        </w:rPr>
        <w:t xml:space="preserve">月</w:t>
      </w:r>
      <w:r/>
    </w:p>
    <w:p>
      <w:pPr>
        <w:jc w:val="center"/>
        <w:rPr>
          <w:rStyle w:val="921"/>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1"/>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1"/>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07"/>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907"/>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6</w:t>
      </w:r>
      <w:r>
        <w:rPr>
          <w:color w:val="auto"/>
          <w:sz w:val="32"/>
          <w:szCs w:val="28"/>
          <w:highlight w:val="none"/>
        </w:rPr>
        <w:fldChar w:fldCharType="end"/>
      </w:r>
      <w:r>
        <w:rPr>
          <w:color w:val="auto"/>
          <w:sz w:val="32"/>
          <w:szCs w:val="28"/>
          <w:highlight w:val="none"/>
        </w:rPr>
        <w:fldChar w:fldCharType="end"/>
      </w:r>
      <w:r/>
    </w:p>
    <w:p>
      <w:pPr>
        <w:pStyle w:val="907"/>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26</w:t>
      </w:r>
      <w:r>
        <w:rPr>
          <w:color w:val="auto"/>
          <w:sz w:val="32"/>
          <w:szCs w:val="28"/>
          <w:highlight w:val="none"/>
        </w:rPr>
        <w:fldChar w:fldCharType="end"/>
      </w:r>
      <w:r>
        <w:rPr>
          <w:color w:val="auto"/>
          <w:sz w:val="32"/>
          <w:szCs w:val="28"/>
          <w:highlight w:val="none"/>
        </w:rPr>
        <w:fldChar w:fldCharType="end"/>
      </w:r>
      <w:r/>
    </w:p>
    <w:p>
      <w:pPr>
        <w:pStyle w:val="907"/>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33</w:t>
      </w:r>
      <w:r>
        <w:rPr>
          <w:color w:val="auto"/>
          <w:sz w:val="32"/>
          <w:szCs w:val="28"/>
          <w:highlight w:val="none"/>
        </w:rPr>
        <w:fldChar w:fldCharType="end"/>
      </w:r>
      <w:r>
        <w:rPr>
          <w:color w:val="auto"/>
          <w:sz w:val="32"/>
          <w:szCs w:val="28"/>
          <w:highlight w:val="none"/>
        </w:rPr>
        <w:fldChar w:fldCharType="end"/>
      </w:r>
      <w:r/>
    </w:p>
    <w:p>
      <w:pPr>
        <w:pStyle w:val="907"/>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907"/>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47</w:t>
      </w:r>
      <w:r>
        <w:rPr>
          <w:color w:val="auto"/>
          <w:sz w:val="32"/>
          <w:szCs w:val="28"/>
          <w:highlight w:val="none"/>
        </w:rPr>
        <w:fldChar w:fldCharType="end"/>
      </w:r>
      <w:r>
        <w:rPr>
          <w:color w:val="auto"/>
          <w:sz w:val="32"/>
          <w:szCs w:val="28"/>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600390"/>
      <w:r/>
      <w:bookmarkStart w:id="2" w:name="_Toc56599574"/>
      <w:r/>
      <w:bookmarkStart w:id="3" w:name="_Toc28023"/>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无锡高新技术产业开发区环保科技工业园管理办公室</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宜兴环科园2026-2027年度科技创新集成服务采购项目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5"/>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无锡高新技术产业开发区环保科技工业园管理办公室</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宜兴环科园2026-2027年度科技创新集成服务采购项目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JSZC-320282-WXJR-G2026-0017</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w:t>
            </w:r>
            <w:r>
              <w:rPr>
                <w:rFonts w:hint="eastAsia" w:ascii="宋体"/>
                <w:color w:val="auto"/>
                <w:sz w:val="24"/>
                <w:szCs w:val="28"/>
                <w:highlight w:val="none"/>
              </w:rPr>
              <w:t xml:space="preserve">公开招标</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评标方法：</w:t>
            </w:r>
            <w:r>
              <w:rPr>
                <w:rFonts w:hint="eastAsia" w:ascii="宋体"/>
                <w:color w:val="auto"/>
                <w:sz w:val="24"/>
                <w:szCs w:val="28"/>
                <w:highlight w:val="none"/>
              </w:rPr>
              <w:t xml:space="preserve">综合评分法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259.22万</w:t>
            </w:r>
            <w:r>
              <w:rPr>
                <w:rFonts w:hint="eastAsia" w:ascii="宋体"/>
                <w:b w:val="0"/>
                <w:bCs w:val="0"/>
                <w:color w:val="auto"/>
                <w:sz w:val="24"/>
                <w:szCs w:val="28"/>
                <w:highlight w:val="none"/>
              </w:rPr>
              <w:t xml:space="preserve">元</w:t>
            </w:r>
            <w:r>
              <w:rPr>
                <w:rFonts w:hint="eastAsia" w:ascii="宋体"/>
                <w:color w:val="auto"/>
                <w:sz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6"/>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6"/>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6"/>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6"/>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6"/>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6"/>
              <w:jc w:val="center"/>
              <w:spacing w:line="360" w:lineRule="auto"/>
              <w:rPr>
                <w:b/>
                <w:bCs/>
                <w:color w:val="auto"/>
                <w:highlight w:val="none"/>
                <w:lang w:val="zh-CN"/>
              </w:rPr>
            </w:pPr>
            <w:r>
              <w:rPr>
                <w:rFonts w:hint="eastAsia"/>
                <w:b/>
                <w:bCs/>
                <w:color w:val="auto"/>
                <w:highlight w:val="none"/>
                <w:lang w:val="zh-CN"/>
              </w:rPr>
              <w:t xml:space="preserve">其他</w:t>
            </w:r>
            <w:r/>
          </w:p>
          <w:p>
            <w:pPr>
              <w:pStyle w:val="966"/>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6"/>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6"/>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6"/>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bCs/>
                <w:color w:val="auto"/>
                <w:sz w:val="24"/>
                <w:szCs w:val="24"/>
                <w:highlight w:val="none"/>
              </w:rPr>
              <w:t xml:space="preserve">许女士</w:t>
            </w:r>
            <w:r>
              <w:rPr>
                <w:rFonts w:hint="eastAsia" w:ascii="宋体" w:hAnsi="宋体"/>
                <w:bCs/>
                <w:color w:val="auto"/>
                <w:sz w:val="24"/>
                <w:szCs w:val="24"/>
                <w:highlight w:val="none"/>
                <w:lang w:val="en-US" w:eastAsia="zh-CN"/>
              </w:rPr>
              <w:t xml:space="preserve">  </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bCs/>
                <w:color w:val="auto"/>
                <w:sz w:val="24"/>
                <w:szCs w:val="24"/>
                <w:highlight w:val="none"/>
              </w:rPr>
              <w:t xml:space="preserve">许女士 </w:t>
            </w:r>
            <w:r>
              <w:rPr>
                <w:rFonts w:hint="eastAsia" w:ascii="宋体" w:hAnsi="宋体"/>
                <w:bCs/>
                <w:color w:val="auto"/>
                <w:sz w:val="24"/>
                <w:szCs w:val="24"/>
                <w:highlight w:val="none"/>
                <w:lang w:val="en-US" w:eastAsia="zh-CN"/>
              </w:rPr>
              <w:t xml:space="preserve">  </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w:t>
            </w:r>
            <w:r>
              <w:rPr>
                <w:rFonts w:hint="eastAsia" w:ascii="宋体" w:hAnsi="宋体"/>
                <w:bCs/>
                <w:color w:val="auto"/>
                <w:sz w:val="24"/>
                <w:szCs w:val="24"/>
                <w:highlight w:val="none"/>
              </w:rPr>
              <w:t xml:space="preserve">87077937</w:t>
            </w:r>
            <w:r/>
          </w:p>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联系地址：宜兴环科园绿园路</w:t>
            </w:r>
            <w:r>
              <w:rPr>
                <w:rFonts w:hint="eastAsia" w:ascii="宋体" w:hAnsi="宋体"/>
                <w:bCs/>
                <w:color w:val="auto"/>
                <w:sz w:val="24"/>
                <w:szCs w:val="24"/>
                <w:highlight w:val="none"/>
              </w:rPr>
              <w:t xml:space="preserve">501号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600391"/>
      <w:r/>
      <w:bookmarkStart w:id="6" w:name="_Toc56599575"/>
      <w:r/>
      <w:bookmarkStart w:id="7" w:name="_Toc2567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81"/>
        <w:ind w:left="0" w:firstLine="480"/>
        <w:spacing w:line="360" w:lineRule="auto"/>
        <w:rPr>
          <w:rFonts w:hint="eastAsia" w:ascii="宋体" w:eastAsia="宋体"/>
          <w:bCs/>
          <w:color w:val="auto"/>
          <w:sz w:val="24"/>
          <w:szCs w:val="24"/>
          <w:highlight w:val="none"/>
          <w:lang w:eastAsia="zh-CN"/>
        </w:rPr>
      </w:pPr>
      <w:r>
        <w:rPr>
          <w:rFonts w:hint="eastAsia" w:ascii="宋体" w:hAnsi="宋体"/>
          <w:b/>
          <w:bCs/>
          <w:color w:val="auto"/>
          <w:sz w:val="24"/>
          <w:szCs w:val="24"/>
          <w:highlight w:val="none"/>
        </w:rPr>
        <w:t xml:space="preserve">采购代理服务费</w:t>
      </w:r>
      <w:r>
        <w:rPr>
          <w:rFonts w:hint="eastAsia" w:ascii="宋体" w:hAnsi="宋体"/>
          <w:b/>
          <w:bCs/>
          <w:color w:val="auto"/>
          <w:sz w:val="24"/>
          <w:szCs w:val="24"/>
          <w:highlight w:val="none"/>
        </w:rPr>
        <w:t xml:space="preserve">由</w:t>
      </w: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支付</w:t>
      </w:r>
      <w:r>
        <w:rPr>
          <w:rFonts w:hint="eastAsia" w:ascii="宋体" w:hAnsi="宋体"/>
          <w:b/>
          <w:bCs/>
          <w:color w:val="auto"/>
          <w:sz w:val="24"/>
          <w:szCs w:val="24"/>
          <w:highlight w:val="none"/>
        </w:rPr>
        <w:t xml:space="preserve">，本次采购代理费用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的</w:t>
      </w:r>
      <w:r>
        <w:rPr>
          <w:rFonts w:hint="eastAsia" w:ascii="宋体"/>
          <w:b/>
          <w:bCs/>
          <w:color w:val="auto"/>
          <w:sz w:val="24"/>
          <w:szCs w:val="24"/>
          <w:highlight w:val="none"/>
          <w:u w:val="single"/>
          <w:lang w:val="en-US" w:eastAsia="zh-CN"/>
        </w:rPr>
        <w:t xml:space="preserve">53%</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lang w:eastAsia="zh-CN"/>
        </w:rPr>
        <w:t xml:space="preserve">。</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bookmarkEnd w:id="27"/>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numPr>
          <w:ilvl w:val="0"/>
          <w:numId w:val="0"/>
        </w:numPr>
        <w:ind w:left="42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1"/>
          <w:highlight w:val="none"/>
          <w:lang w:val="en-US" w:eastAsia="zh-CN"/>
        </w:rPr>
        <w:t xml:space="preserve">③</w:t>
      </w:r>
      <w:r>
        <w:rPr>
          <w:rFonts w:hint="eastAsia" w:ascii="宋体" w:hAnsi="宋体" w:cs="Times New Roman"/>
          <w:color w:val="auto"/>
          <w:sz w:val="24"/>
          <w:szCs w:val="24"/>
          <w:highlight w:val="none"/>
          <w:lang w:val="en-US" w:eastAsia="zh-CN"/>
        </w:rPr>
        <w:t xml:space="preserve">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④</w:t>
      </w:r>
      <w:r>
        <w:rPr>
          <w:rFonts w:hint="eastAsia" w:ascii="宋体" w:hAnsi="宋体"/>
          <w:color w:val="auto"/>
          <w:sz w:val="24"/>
          <w:szCs w:val="21"/>
          <w:highlight w:val="none"/>
          <w:lang w:val="zh-CN"/>
        </w:rPr>
        <w:t xml:space="preserve">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⑤</w:t>
      </w:r>
      <w:r>
        <w:rPr>
          <w:rFonts w:hint="eastAsia" w:ascii="宋体" w:hAnsi="宋体"/>
          <w:color w:val="auto"/>
          <w:sz w:val="24"/>
          <w:szCs w:val="21"/>
          <w:highlight w:val="none"/>
          <w:lang w:val="zh-CN"/>
        </w:rPr>
        <w:t xml:space="preserve">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bCs/>
          <w:color w:val="auto"/>
          <w:sz w:val="24"/>
          <w:szCs w:val="24"/>
          <w:highlight w:val="none"/>
          <w:lang w:val="zh-CN"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5"/>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5"/>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Cs/>
          <w:color w:val="auto"/>
          <w:sz w:val="24"/>
          <w:szCs w:val="24"/>
          <w:highlight w:val="none"/>
          <w:lang w:val="en-US" w:eastAsia="zh-CN"/>
        </w:rPr>
        <w:t xml:space="preserve">本项目不收取履约保证金</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27627"/>
      <w:r/>
      <w:bookmarkStart w:id="84" w:name="_Toc526779129"/>
      <w:r/>
      <w:bookmarkStart w:id="85" w:name="_Toc56600393"/>
      <w:r/>
      <w:bookmarkStart w:id="86" w:name="_Toc56599577"/>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24"/>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无锡高新技术产业开发区环保科技工业园管理办公室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宜兴环科园2026-2027年度科技创新集成服务采购项目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本次采购主要内容为环科园科技创新集成服务，针对</w:t>
      </w:r>
      <w:r>
        <w:rPr>
          <w:rFonts w:hint="eastAsia" w:ascii="宋体" w:hAnsi="宋体" w:eastAsia="宋体" w:cs="宋体"/>
          <w:color w:val="auto"/>
          <w:sz w:val="24"/>
          <w:szCs w:val="24"/>
          <w:highlight w:val="none"/>
          <w:u w:val="none"/>
          <w:lang w:eastAsia="zh-CN"/>
        </w:rPr>
        <w:t xml:space="preserve">技术转移转化</w:t>
      </w:r>
      <w:r>
        <w:rPr>
          <w:rFonts w:hint="eastAsia" w:ascii="宋体" w:hAnsi="宋体" w:eastAsia="宋体" w:cs="宋体"/>
          <w:color w:val="auto"/>
          <w:sz w:val="24"/>
          <w:szCs w:val="24"/>
          <w:highlight w:val="none"/>
          <w:lang w:eastAsia="zh-CN"/>
        </w:rPr>
        <w:t xml:space="preserve">、产业高质量发展重点指标监测等13个方面提供专项服务。服务内容包括挖掘企业创新需求，编制《产业高质量发展重点指标监</w:t>
      </w:r>
      <w:r>
        <w:rPr>
          <w:rFonts w:hint="eastAsia" w:ascii="宋体" w:hAnsi="宋体" w:eastAsia="宋体" w:cs="宋体"/>
          <w:color w:val="auto"/>
          <w:sz w:val="24"/>
          <w:szCs w:val="24"/>
          <w:highlight w:val="none"/>
          <w:lang w:eastAsia="zh-CN"/>
        </w:rPr>
        <w:t xml:space="preserve">测和诊断报告》，宣传报道园区科技创新典型案例，开展园区及周边地区产业新赛道调研，并开展“产企创新赛道”专场活动，完成《宜兴环科园创新发展路径研究报告》，开展西安创新飞地资源对接，开展园区重点创新平台载体开展绩效评价，制定《宜兴环科园科技平台载体高质量发展运营实施办法》，推动与4个分中心资源对接交流，做好园区自立项目管理服务，协助园区科技局开展科技前沿资讯、科技项目管理、科技成果转化、技术合同登记等专题培训服务，举办“杰青荟”人才对接活动，围绕未来产业和新兴产业集群组织研学，组织园区参加科技招引全国行等活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服务内容</w:t>
      </w:r>
      <w:r/>
    </w:p>
    <w:tbl>
      <w:tblPr>
        <w:tblStyle w:val="918"/>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843"/>
        <w:gridCol w:w="7159"/>
      </w:tblGrid>
      <w:tr>
        <w:trPr>
          <w:trHeight w:val="713"/>
          <w:tblHeader/>
        </w:trPr>
        <w:tc>
          <w:tcPr>
            <w:tcW w:w="417"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序号</w:t>
            </w:r>
            <w:r/>
          </w:p>
        </w:tc>
        <w:tc>
          <w:tcPr>
            <w:tcW w:w="938"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服务项目</w:t>
            </w:r>
            <w:r/>
          </w:p>
        </w:tc>
        <w:tc>
          <w:tcPr>
            <w:tcW w:w="3643"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具体服务内容和验收指标</w:t>
            </w:r>
            <w:r/>
          </w:p>
        </w:tc>
      </w:tr>
      <w:tr>
        <w:trPr>
          <w:trHeight w:val="1953"/>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8"/>
                <w:highlight w:val="none"/>
              </w:rPr>
              <w:t xml:space="preserve">1</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技术转移转化服务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走访园区企业，梳理产业关键核心共性技术需求和企业创新需求，研究匹配成果或人才创新资源，开展路演等供需对接活动，撮合供需双方合作，推动一批成果、人才落地转化。</w:t>
            </w:r>
            <w:r>
              <w:rPr>
                <w:rFonts w:hint="eastAsia" w:asciiTheme="minorEastAsia" w:hAnsiTheme="minorEastAsia" w:cstheme="minorEastAsia"/>
                <w:color w:val="auto"/>
                <w:sz w:val="24"/>
                <w:highlight w:val="none"/>
              </w:rPr>
              <w:t xml:space="preserve">挖掘企业创新需求50条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，围绕需求组织高层次专家园区行或园区企业</w:t>
            </w:r>
            <w:r>
              <w:rPr>
                <w:rFonts w:hint="eastAsia" w:asciiTheme="minorEastAsia" w:hAnsiTheme="minorEastAsia" w:cstheme="minorEastAsia"/>
                <w:color w:val="auto"/>
                <w:sz w:val="24"/>
                <w:highlight w:val="none"/>
              </w:rPr>
              <w:t xml:space="preserve">走进实验室活动3场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2</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产业高质量发展重点指标监测服务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根据园区需求，对园区主导产业、新兴产业和未来产业制定产业高质量发展重点指标体系，对标周边区域同类型产业集群发展质态，获</w:t>
            </w:r>
            <w:r>
              <w:rPr>
                <w:rFonts w:hint="eastAsia" w:asciiTheme="minorEastAsia" w:hAnsiTheme="minorEastAsia" w:cstheme="minorEastAsia"/>
                <w:color w:val="auto"/>
                <w:sz w:val="24"/>
                <w:highlight w:val="none"/>
                <w:lang w:eastAsia="zh-CN"/>
              </w:rPr>
              <w:t xml:space="preserve">取</w:t>
            </w:r>
            <w:r>
              <w:rPr>
                <w:rFonts w:hint="eastAsia" w:asciiTheme="minorEastAsia" w:hAnsiTheme="minorEastAsia" w:cstheme="minorEastAsia"/>
                <w:color w:val="auto"/>
                <w:sz w:val="24"/>
                <w:highlight w:val="none"/>
              </w:rPr>
              <w:t xml:space="preserve">园区产业高质量发展重点监测指标数据，诊断并给出下阶段产业创新发展工作建议。</w:t>
            </w:r>
            <w:r>
              <w:rPr>
                <w:rFonts w:hint="eastAsia" w:asciiTheme="minorEastAsia" w:hAnsiTheme="minorEastAsia" w:cstheme="minorEastAsia"/>
                <w:color w:val="auto"/>
                <w:sz w:val="24"/>
                <w:highlight w:val="none"/>
              </w:rPr>
              <w:t xml:space="preserve">按季度编制《产业高质量发展重点指标监测和诊断报告》</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共计</w:t>
            </w:r>
            <w:r>
              <w:rPr>
                <w:rFonts w:hint="eastAsia" w:asciiTheme="minorEastAsia" w:hAnsiTheme="minorEastAsia" w:cstheme="minorEastAsia"/>
                <w:color w:val="auto"/>
                <w:sz w:val="24"/>
                <w:highlight w:val="none"/>
              </w:rPr>
              <w:t xml:space="preserve">4份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并</w:t>
            </w:r>
            <w:r>
              <w:rPr>
                <w:rFonts w:hint="eastAsia" w:asciiTheme="minorEastAsia" w:hAnsiTheme="minorEastAsia" w:cstheme="minorEastAsia"/>
                <w:color w:val="auto"/>
                <w:sz w:val="24"/>
                <w:highlight w:val="none"/>
              </w:rPr>
              <w:t xml:space="preserve">组织专家</w:t>
            </w:r>
            <w:r>
              <w:rPr>
                <w:rFonts w:hint="eastAsia" w:asciiTheme="minorEastAsia" w:hAnsiTheme="minorEastAsia" w:cstheme="minorEastAsia"/>
                <w:color w:val="auto"/>
                <w:sz w:val="24"/>
                <w:highlight w:val="none"/>
                <w:lang w:eastAsia="zh-CN"/>
              </w:rPr>
              <w:t xml:space="preserve">（每次邀请5名专家）</w:t>
            </w:r>
            <w:r>
              <w:rPr>
                <w:rFonts w:hint="eastAsia" w:asciiTheme="minorEastAsia" w:hAnsiTheme="minorEastAsia" w:cstheme="minorEastAsia"/>
                <w:color w:val="auto"/>
                <w:sz w:val="24"/>
                <w:highlight w:val="none"/>
              </w:rPr>
              <w:t xml:space="preserve">对产业数据研判，为下阶段产业创新工作提供决策参考。</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3</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科技创新亮点工作推广服务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围绕加快产业集聚、提升产业竞争力、构建技术创新体系、打造运营服务平台、完善政策体制机制等方面提供专业咨询，积极推动区域创新示范。做好园区科技创新典型案例凝练，</w:t>
            </w:r>
            <w:r>
              <w:rPr>
                <w:rFonts w:hint="eastAsia" w:asciiTheme="minorEastAsia" w:hAnsiTheme="minorEastAsia" w:cstheme="minorEastAsia"/>
                <w:color w:val="auto"/>
                <w:sz w:val="24"/>
                <w:highlight w:val="none"/>
              </w:rPr>
              <w:t xml:space="preserve">完成案例宣传报道2次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，扩大园区创新影响力。</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4</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“产企创新赛道”服务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聚焦园区现有产业基础，统筹提出宜兴环科园产业新赛道目标方向，强化区域协同和错位发展，通过开展“产企创新赛道”专场活动，提升产业集群创新能力，加快高成长企业引育，赋能创新赛道发展。重点聚焦人工智能、储能、生物医药等领域，</w:t>
            </w:r>
            <w:r>
              <w:rPr>
                <w:rFonts w:hint="eastAsia" w:asciiTheme="minorEastAsia" w:hAnsiTheme="minorEastAsia" w:cstheme="minorEastAsia"/>
                <w:color w:val="auto"/>
                <w:sz w:val="24"/>
                <w:highlight w:val="none"/>
              </w:rPr>
              <w:t xml:space="preserve">开展园区及周边地区产业新赛道调研报告3份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并开展“产企创新赛道”专场活动3场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（每次活动邀请</w:t>
            </w:r>
            <w:r>
              <w:rPr>
                <w:rFonts w:hint="eastAsia" w:asciiTheme="minorEastAsia" w:hAnsiTheme="minorEastAsia" w:cstheme="minorEastAsia"/>
                <w:color w:val="auto"/>
                <w:sz w:val="24"/>
                <w:highlight w:val="none"/>
                <w:lang w:val="en-US" w:eastAsia="zh-CN"/>
              </w:rPr>
              <w:t xml:space="preserve">至少</w:t>
            </w:r>
            <w:r>
              <w:rPr>
                <w:rFonts w:hint="eastAsia" w:asciiTheme="minorEastAsia" w:hAnsiTheme="minorEastAsia" w:cstheme="minorEastAsia"/>
                <w:color w:val="auto"/>
                <w:sz w:val="24"/>
                <w:highlight w:val="none"/>
                <w:lang w:eastAsia="zh-CN"/>
              </w:rPr>
              <w:t xml:space="preserve">3名专家）</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5</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园区创新发展路径研究服务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聚焦园区产业创新发展路径设计</w:t>
            </w:r>
            <w:r>
              <w:rPr>
                <w:rFonts w:hint="eastAsia" w:asciiTheme="minorEastAsia" w:hAnsiTheme="minorEastAsia" w:cstheme="minorEastAsia"/>
                <w:color w:val="auto"/>
                <w:sz w:val="24"/>
                <w:highlight w:val="none"/>
                <w:lang w:eastAsia="zh-CN"/>
              </w:rPr>
              <w:t xml:space="preserve">，以及</w:t>
            </w:r>
            <w:r>
              <w:rPr>
                <w:rFonts w:hint="eastAsia" w:asciiTheme="minorEastAsia" w:hAnsiTheme="minorEastAsia" w:cstheme="minorEastAsia"/>
                <w:color w:val="auto"/>
                <w:sz w:val="24"/>
                <w:highlight w:val="none"/>
              </w:rPr>
              <w:t xml:space="preserve">区域协同创新、科技成果转化、科技创新平台建设、科技人才数、知识产权培育等重点指标提升，开展园区创新发展路径研究服务，有针对性地部署重点任务，助力园区推进传统产业升级、新兴产业壮大、未来产业培育，前瞻布局新质生产力培育。</w:t>
            </w:r>
            <w:r>
              <w:rPr>
                <w:rFonts w:hint="eastAsia" w:asciiTheme="minorEastAsia" w:hAnsiTheme="minorEastAsia" w:cstheme="minorEastAsia"/>
                <w:color w:val="auto"/>
                <w:sz w:val="24"/>
                <w:highlight w:val="none"/>
              </w:rPr>
              <w:t xml:space="preserve">组织专家研讨论证，</w:t>
            </w:r>
            <w:r>
              <w:rPr>
                <w:rFonts w:hint="eastAsia" w:asciiTheme="minorEastAsia" w:hAnsiTheme="minorEastAsia" w:cstheme="minorEastAsia"/>
                <w:color w:val="auto"/>
                <w:sz w:val="24"/>
                <w:highlight w:val="none"/>
              </w:rPr>
              <w:t xml:space="preserve">完成《宜兴环科园创新发展路径研究报告》1份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rHeight w:val="1326"/>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6</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西安创新飞地建设服务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协助园区在西安市开展创新飞地建设，拓宽园区在西安各高校创新资源、人才团队、科技项目招引、园区平台载体推荐、运营团队对接等渠道，</w:t>
            </w:r>
            <w:r>
              <w:rPr>
                <w:rFonts w:hint="eastAsia" w:asciiTheme="minorEastAsia" w:hAnsiTheme="minorEastAsia" w:cstheme="minorEastAsia"/>
                <w:color w:val="auto"/>
                <w:sz w:val="24"/>
                <w:highlight w:val="none"/>
              </w:rPr>
              <w:t xml:space="preserve">提供有效科技招商讯息20条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，开展资源对接活动3场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7</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“平台汇”服务</w:t>
            </w:r>
            <w:r/>
          </w:p>
        </w:tc>
        <w:tc>
          <w:tcPr>
            <w:tcW w:w="3643"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面向园区自建创新平台和产业发展需求，开展园区现有重点创新平台载体绩效评价，全面掌握园区平台载体运营质态，制定《宜兴环科园科技平台载体高质量发展运营实施办法》，为园区创新平台载体管理提供决策支撑。开展园区重点创新平台载体开展绩效评价，</w:t>
            </w:r>
            <w:r>
              <w:rPr>
                <w:rFonts w:hint="eastAsia" w:asciiTheme="minorEastAsia" w:hAnsiTheme="minorEastAsia" w:cstheme="minorEastAsia"/>
                <w:color w:val="auto"/>
                <w:sz w:val="24"/>
                <w:highlight w:val="none"/>
              </w:rPr>
              <w:t xml:space="preserve">采用平台载体自评和组织专家评审结合的方式</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每年为10家平台提供服务，出具</w:t>
            </w:r>
            <w:r>
              <w:rPr>
                <w:rFonts w:hint="eastAsia" w:asciiTheme="minorEastAsia" w:hAnsiTheme="minorEastAsia" w:cstheme="minorEastAsia"/>
                <w:color w:val="auto"/>
                <w:sz w:val="24"/>
                <w:highlight w:val="none"/>
              </w:rPr>
              <w:t xml:space="preserve">绩效评价</w:t>
            </w:r>
            <w:r>
              <w:rPr>
                <w:rFonts w:hint="eastAsia" w:asciiTheme="minorEastAsia" w:hAnsiTheme="minorEastAsia" w:cstheme="minorEastAsia"/>
                <w:color w:val="auto"/>
                <w:sz w:val="24"/>
                <w:highlight w:val="none"/>
                <w:lang w:val="en-US" w:eastAsia="zh-CN"/>
              </w:rPr>
              <w:t xml:space="preserve">证明</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制定《宜兴环科园科技平台载体高质量发展运营实施办法》1份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8</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创新平台技术弹射服务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基于全国高校区域技术转移转化中心（江苏分中心）建设，筛选现有生物医药、人工智能、新能源等相关创新技术成果，加快向宜兴环科园导入，推动园区技术、需求、金融等要素对接，加快高校科技成果向园区转化落地。</w:t>
            </w:r>
            <w:r>
              <w:rPr>
                <w:rFonts w:hint="eastAsia" w:asciiTheme="minorEastAsia" w:hAnsiTheme="minorEastAsia" w:cstheme="minorEastAsia"/>
                <w:color w:val="auto"/>
                <w:sz w:val="24"/>
                <w:highlight w:val="none"/>
              </w:rPr>
              <w:t xml:space="preserve">全年推动与4个分中心资源对接交流2场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经园区筛选后</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提供10条技术成果在园区路演</w:t>
            </w:r>
            <w:r>
              <w:rPr>
                <w:rFonts w:hint="eastAsia" w:asciiTheme="minorEastAsia" w:hAnsiTheme="minorEastAsia" w:cstheme="minorEastAsia"/>
                <w:color w:val="auto"/>
                <w:sz w:val="24"/>
                <w:highlight w:val="none"/>
              </w:rPr>
              <w:t xml:space="preserve">，撮合优秀成果在园落地。</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9</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园区自立项目过程管理服务</w:t>
            </w:r>
            <w:r/>
          </w:p>
        </w:tc>
        <w:tc>
          <w:tcPr>
            <w:tcW w:w="3643" w:type="pct"/>
            <w:vAlign w:val="center"/>
            <w:textDirection w:val="lrTb"/>
            <w:noWrap w:val="false"/>
          </w:tcPr>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协助宜兴环科园做好“宜兴市科技计划项目”“陶都英才项目”等自立项目过程管理服务（含中期检查及验收），优化项目管理办法和流程。从省专家库遴选行业专家和财务专家组成验收团队，验收评审工作，确保验收过程公正、规范</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做好园区自立项目管理服务，5项</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该服务需匹配专家，每年累计使用专家投入服务工作量12人*日</w:t>
            </w:r>
            <w:r>
              <w:rPr>
                <w:rFonts w:hint="eastAsia" w:asciiTheme="minorEastAsia" w:hAnsiTheme="minorEastAsia" w:cstheme="minorEastAsia"/>
                <w:color w:val="auto"/>
                <w:sz w:val="24"/>
                <w:highlight w:val="none"/>
                <w:lang w:eastAsia="zh-CN"/>
              </w:rPr>
              <w:t xml:space="preserve">）</w:t>
            </w:r>
            <w:r/>
          </w:p>
        </w:tc>
      </w:tr>
      <w:tr>
        <w:trPr>
          <w:trHeight w:val="973"/>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10</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科技管理能力提升服务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协助园区科技局开展科技前沿资讯、科技项目管理、科技成果转化、技术合同登记等专题培训服务，</w:t>
            </w:r>
            <w:r>
              <w:rPr>
                <w:rFonts w:hint="eastAsia" w:asciiTheme="minorEastAsia" w:hAnsiTheme="minorEastAsia" w:cstheme="minorEastAsia"/>
                <w:color w:val="auto"/>
                <w:sz w:val="24"/>
                <w:highlight w:val="none"/>
              </w:rPr>
              <w:t xml:space="preserve">培训活动全年4次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11</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杰青荟</w:t>
            </w:r>
            <w:r/>
          </w:p>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根据园区产业需求，常态化推送省杰青人才赴园区“人才驿站”系列活动，推动杰青专家与园区企业的产学研合作，对接青年专家在环科园创业项目落地等相关服务。</w:t>
            </w:r>
            <w:r>
              <w:rPr>
                <w:rFonts w:hint="eastAsia" w:asciiTheme="minorEastAsia" w:hAnsiTheme="minorEastAsia" w:cstheme="minorEastAsia"/>
                <w:color w:val="auto"/>
                <w:sz w:val="24"/>
                <w:highlight w:val="none"/>
              </w:rPr>
              <w:t xml:space="preserve">举办“杰青荟”人才对接活动4场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向园区推送杰青专家技术成果50项，</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推动10名省杰青人才园交流对接。</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12</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创新标杆研学服务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重点围绕未来产业和新兴产业集群组织研学，</w:t>
            </w:r>
            <w:r>
              <w:rPr>
                <w:rFonts w:hint="eastAsia" w:asciiTheme="minorEastAsia" w:hAnsiTheme="minorEastAsia" w:cstheme="minorEastAsia"/>
                <w:color w:val="auto"/>
                <w:sz w:val="24"/>
                <w:highlight w:val="none"/>
              </w:rPr>
              <w:t xml:space="preserve">提供2次赴省内外相关产业园区研学交流，</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提供10人次研学名额</w:t>
            </w:r>
            <w:r>
              <w:rPr>
                <w:rFonts w:hint="eastAsia" w:asciiTheme="minorEastAsia" w:hAnsiTheme="minorEastAsia" w:cstheme="minorEastAsia"/>
                <w:color w:val="auto"/>
                <w:sz w:val="24"/>
                <w:highlight w:val="none"/>
              </w:rPr>
              <w:t xml:space="preserve">，助力区域高质量发展</w:t>
            </w:r>
            <w:r>
              <w:rPr>
                <w:rFonts w:hint="eastAsia" w:asciiTheme="minorEastAsia" w:hAnsiTheme="minorEastAsia" w:cstheme="minorEastAsia"/>
                <w:color w:val="auto"/>
                <w:sz w:val="22"/>
                <w:szCs w:val="22"/>
                <w:highlight w:val="none"/>
              </w:rPr>
              <w:t xml:space="preserve">。</w:t>
            </w:r>
            <w:r/>
          </w:p>
        </w:tc>
      </w:tr>
      <w:tr>
        <w:trPr/>
        <w:tc>
          <w:tcPr>
            <w:tcW w:w="417"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13</w:t>
            </w:r>
            <w:r/>
          </w:p>
        </w:tc>
        <w:tc>
          <w:tcPr>
            <w:tcW w:w="938"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科技招商服务</w:t>
            </w:r>
            <w:r/>
          </w:p>
        </w:tc>
        <w:tc>
          <w:tcPr>
            <w:tcW w:w="3643"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通过科技招引全国行等活动形式，推动环科园与外省在产业项目、关键核心技术成果、高端科技人才、科技服务平台等优质资源的经验分享、合作交流与整合发展，提供科技招引讯息，并组织现场对接交流。</w:t>
            </w:r>
            <w:r>
              <w:rPr>
                <w:rFonts w:hint="eastAsia" w:asciiTheme="minorEastAsia" w:hAnsiTheme="minorEastAsia" w:cstheme="minorEastAsia"/>
                <w:color w:val="auto"/>
                <w:sz w:val="24"/>
                <w:highlight w:val="none"/>
              </w:rPr>
              <w:t xml:space="preserve">提供有效科技招商讯息30条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，组织园区参加科技招引</w:t>
            </w:r>
            <w:r>
              <w:rPr>
                <w:rFonts w:hint="eastAsia" w:asciiTheme="minorEastAsia" w:hAnsiTheme="minorEastAsia" w:cstheme="minorEastAsia"/>
                <w:color w:val="auto"/>
                <w:sz w:val="24"/>
                <w:highlight w:val="none"/>
              </w:rPr>
              <w:t xml:space="preserve">全国行等活动3次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，现场对接优质项目团队10个</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p>
        </w:tc>
      </w:tr>
    </w:tbl>
    <w:p>
      <w:pPr>
        <w:ind w:firstLine="48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2.人员要求：投标人为本项目配备专业服务团队，其中包括项目负责人1人，项目组成员（除项目负责人外）至少5人。</w:t>
      </w:r>
      <w:r>
        <w:rPr>
          <w:rFonts w:hint="eastAsia" w:ascii="宋体" w:hAnsi="宋体" w:cs="Times New Roman"/>
          <w:b/>
          <w:bCs/>
          <w:color w:val="auto"/>
          <w:sz w:val="24"/>
          <w:szCs w:val="24"/>
          <w:highlight w:val="none"/>
          <w:lang w:val="en-US" w:eastAsia="zh-CN"/>
        </w:rPr>
        <w:t xml:space="preserve">（《项目人员配置清单》中填写以上人员的信息，并提供投标人为其缴纳的投标截止时间前近十二个月中任一个月社保证明的原件扫描件）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三、商务要求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服务期限：</w:t>
      </w:r>
      <w:r>
        <w:rPr>
          <w:rFonts w:hint="eastAsia" w:ascii="宋体" w:hAnsi="宋体"/>
          <w:b w:val="0"/>
          <w:bCs w:val="0"/>
          <w:color w:val="auto"/>
          <w:sz w:val="24"/>
          <w:szCs w:val="24"/>
          <w:highlight w:val="none"/>
          <w:lang w:val="en-US" w:eastAsia="zh-CN"/>
        </w:rPr>
        <w:t xml:space="preserve">自合同签订之日起2年，</w:t>
      </w:r>
      <w:r>
        <w:rPr>
          <w:rFonts w:hint="eastAsia" w:ascii="宋体" w:hAnsi="宋体"/>
          <w:b w:val="0"/>
          <w:bCs w:val="0"/>
          <w:color w:val="auto"/>
          <w:sz w:val="24"/>
          <w:szCs w:val="24"/>
          <w:highlight w:val="none"/>
          <w:lang w:val="en-US" w:eastAsia="zh-CN"/>
        </w:rPr>
        <w:t xml:space="preserve">应按采购人要求完成上述13条服务内容</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服务地点：采购人指定地点</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w:t>
      </w:r>
      <w:r>
        <w:rPr>
          <w:rFonts w:hint="eastAsia" w:ascii="宋体" w:hAnsi="宋体" w:cs="宋体"/>
          <w:color w:val="auto"/>
          <w:sz w:val="24"/>
          <w:highlight w:val="none"/>
          <w:lang w:val="en-US" w:eastAsia="zh-CN"/>
        </w:rPr>
        <w:t xml:space="preserve">附件1 及</w:t>
      </w:r>
      <w:r>
        <w:rPr>
          <w:rFonts w:ascii="宋体" w:hAnsi="宋体" w:cs="宋体"/>
          <w:color w:val="auto"/>
          <w:sz w:val="24"/>
          <w:highlight w:val="none"/>
        </w:rPr>
        <w:t xml:space="preserve">《转发江苏省财政厅关于印发《江苏省政府采购履约验收管理办法》的通知》宜财采〔2025〕1号</w:t>
      </w:r>
      <w:r>
        <w:rPr>
          <w:rFonts w:hint="eastAsia" w:ascii="宋体" w:hAnsi="宋体" w:eastAsia="宋体" w:cs="Times New Roman"/>
          <w:color w:val="auto"/>
          <w:sz w:val="24"/>
          <w:szCs w:val="24"/>
          <w:highlight w:val="none"/>
        </w:rPr>
        <w:t xml:space="preserve">验收。</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付款方式：</w:t>
      </w:r>
      <w:r>
        <w:rPr>
          <w:rFonts w:hint="eastAsia" w:ascii="宋体" w:hAnsi="宋体" w:cs="Times New Roman"/>
          <w:color w:val="auto"/>
          <w:sz w:val="24"/>
          <w:szCs w:val="24"/>
          <w:highlight w:val="none"/>
          <w:lang w:val="en-US" w:eastAsia="zh-CN"/>
        </w:rPr>
        <w:t xml:space="preserve">根据实际工作量计算，按照考核结果，</w:t>
      </w:r>
      <w:r>
        <w:rPr>
          <w:rFonts w:hint="eastAsia" w:ascii="宋体" w:hAnsi="宋体" w:cs="Times New Roman"/>
          <w:color w:val="auto"/>
          <w:sz w:val="24"/>
          <w:szCs w:val="24"/>
          <w:highlight w:val="none"/>
          <w:lang w:val="en-US" w:eastAsia="zh-CN"/>
        </w:rPr>
        <w:t xml:space="preserve">每半年结款一次</w:t>
      </w:r>
      <w:r>
        <w:rPr>
          <w:rFonts w:hint="eastAsia" w:ascii="宋体" w:hAnsi="宋体" w:cs="Times New Roman"/>
          <w:color w:val="auto"/>
          <w:sz w:val="24"/>
          <w:szCs w:val="24"/>
          <w:highlight w:val="none"/>
          <w:lang w:eastAsia="zh-CN"/>
        </w:rPr>
        <w:t xml:space="preserve">。</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附件1 ：</w:t>
      </w:r>
      <w:r/>
    </w:p>
    <w:p>
      <w:pPr>
        <w:ind w:firstLine="144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宜兴环科园2026-2027年度科技创新集成服务采购项目验收标准</w:t>
      </w:r>
      <w:r/>
    </w:p>
    <w:tbl>
      <w:tblPr>
        <w:tblStyle w:val="9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578"/>
        <w:gridCol w:w="7317"/>
      </w:tblGrid>
      <w:tr>
        <w:trPr>
          <w:trHeight w:val="714"/>
        </w:trPr>
        <w:tc>
          <w:tcPr>
            <w:tcW w:w="495"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bookmarkStart w:id="89" w:name="_Toc25978"/>
            <w:r>
              <w:rPr>
                <w:rFonts w:hint="eastAsia" w:asciiTheme="minorEastAsia" w:hAnsiTheme="minorEastAsia" w:cstheme="minorEastAsia"/>
                <w:b/>
                <w:bCs/>
                <w:color w:val="auto"/>
                <w:sz w:val="28"/>
                <w:highlight w:val="none"/>
              </w:rPr>
              <w:t xml:space="preserve">序号</w:t>
            </w:r>
            <w:r/>
          </w:p>
        </w:tc>
        <w:tc>
          <w:tcPr>
            <w:tcW w:w="799" w:type="pct"/>
            <w:vAlign w:val="center"/>
            <w:textDirection w:val="lrTb"/>
            <w:noWrap w:val="false"/>
          </w:tcPr>
          <w:p>
            <w:pPr>
              <w:ind w:left="0" w:right="0" w:firstLine="0"/>
              <w:jc w:val="center"/>
              <w:spacing w:line="240" w:lineRule="auto"/>
              <w:rPr>
                <w:rFonts w:hint="eastAsia"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服务项目</w:t>
            </w:r>
            <w:r/>
          </w:p>
        </w:tc>
        <w:tc>
          <w:tcPr>
            <w:tcW w:w="3705" w:type="pct"/>
            <w:vAlign w:val="center"/>
            <w:textDirection w:val="lrTb"/>
            <w:noWrap w:val="false"/>
          </w:tcPr>
          <w:p>
            <w:pPr>
              <w:ind w:left="0" w:right="0" w:firstLine="0"/>
              <w:jc w:val="center"/>
              <w:spacing w:line="240" w:lineRule="auto"/>
              <w:rPr>
                <w:rFonts w:hint="default" w:eastAsia="宋体" w:asciiTheme="minorEastAsia" w:hAnsiTheme="minorEastAsia" w:cstheme="minorEastAsia"/>
                <w:b/>
                <w:bCs/>
                <w:color w:val="auto"/>
                <w:sz w:val="28"/>
                <w:highlight w:val="none"/>
                <w:lang w:val="en-US" w:eastAsia="zh-CN"/>
              </w:rPr>
            </w:pPr>
            <w:r>
              <w:rPr>
                <w:rFonts w:hint="eastAsia" w:asciiTheme="minorEastAsia" w:hAnsiTheme="minorEastAsia" w:cstheme="minorEastAsia"/>
                <w:b/>
                <w:bCs/>
                <w:color w:val="auto"/>
                <w:sz w:val="28"/>
                <w:highlight w:val="none"/>
                <w:lang w:val="en-US" w:eastAsia="zh-CN"/>
              </w:rPr>
              <w:t xml:space="preserve">验收扣款比例</w:t>
            </w:r>
            <w:r/>
          </w:p>
        </w:tc>
      </w:tr>
      <w:tr>
        <w:trPr>
          <w:trHeight w:val="1953"/>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8"/>
                <w:highlight w:val="none"/>
              </w:rPr>
              <w:t xml:space="preserve">1</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技术转移转化服务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挖掘企业创新需求50条</w:t>
            </w:r>
            <w:r>
              <w:rPr>
                <w:rFonts w:hint="eastAsia" w:asciiTheme="minorEastAsia" w:hAnsiTheme="minorEastAsia" w:cstheme="minorEastAsia"/>
                <w:color w:val="auto"/>
                <w:sz w:val="24"/>
                <w:highlight w:val="none"/>
                <w:lang w:val="en-US" w:eastAsia="zh-CN"/>
              </w:rPr>
              <w:t xml:space="preserve">/年，占本服务项目报价占比的52%。如有缺少按比例扣除；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组织高层次专家园区行或园区企业走进实验室活动3场</w:t>
            </w:r>
            <w:r>
              <w:rPr>
                <w:rFonts w:hint="eastAsia" w:asciiTheme="minorEastAsia" w:hAnsiTheme="minorEastAsia" w:cstheme="minorEastAsia"/>
                <w:color w:val="auto"/>
                <w:sz w:val="24"/>
                <w:highlight w:val="none"/>
                <w:lang w:val="en-US" w:eastAsia="zh-CN"/>
              </w:rPr>
              <w:t xml:space="preserve">/年，占本服务项目报价占比的48%。如有缺少按比例扣除本项服务费用。</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2</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产业高质量发展重点指标监测服务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按季度编制《产业高质量发展重点指标监测和诊断报告》</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共计</w:t>
            </w:r>
            <w:r>
              <w:rPr>
                <w:rFonts w:hint="eastAsia" w:asciiTheme="minorEastAsia" w:hAnsiTheme="minorEastAsia" w:cstheme="minorEastAsia"/>
                <w:color w:val="auto"/>
                <w:sz w:val="24"/>
                <w:highlight w:val="none"/>
              </w:rPr>
              <w:t xml:space="preserve">4份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占本服务项目报价占比的80%。如有缺少按比例扣除；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lang w:eastAsia="zh-CN"/>
              </w:rPr>
              <w:t xml:space="preserve">每次邀请5名专家</w:t>
            </w:r>
            <w:r>
              <w:rPr>
                <w:rFonts w:hint="eastAsia" w:asciiTheme="minorEastAsia" w:hAnsiTheme="minorEastAsia" w:cstheme="minorEastAsia"/>
                <w:color w:val="auto"/>
                <w:sz w:val="24"/>
                <w:highlight w:val="none"/>
              </w:rPr>
              <w:t xml:space="preserve">对产业数据研判，</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rPr>
                <w:rFonts w:hint="eastAsia" w:asciiTheme="minorEastAsia" w:hAnsiTheme="minorEastAsia" w:cstheme="minorEastAsia"/>
                <w:color w:val="auto"/>
                <w:sz w:val="24"/>
                <w:highlight w:val="none"/>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3</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科技创新亮点工作推广服务</w:t>
            </w:r>
            <w:r/>
          </w:p>
        </w:tc>
        <w:tc>
          <w:tcPr>
            <w:tcW w:w="3705" w:type="pct"/>
            <w:vAlign w:val="center"/>
            <w:textDirection w:val="lrTb"/>
            <w:noWrap w:val="false"/>
          </w:tcPr>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完成</w:t>
            </w:r>
            <w:r>
              <w:rPr>
                <w:rFonts w:hint="eastAsia" w:asciiTheme="minorEastAsia" w:hAnsiTheme="minorEastAsia" w:cstheme="minorEastAsia"/>
                <w:color w:val="auto"/>
                <w:sz w:val="24"/>
                <w:highlight w:val="none"/>
                <w:lang w:val="en-US" w:eastAsia="zh-CN"/>
              </w:rPr>
              <w:t xml:space="preserve">园区</w:t>
            </w:r>
            <w:r>
              <w:rPr>
                <w:rFonts w:hint="eastAsia" w:asciiTheme="minorEastAsia" w:hAnsiTheme="minorEastAsia" w:cstheme="minorEastAsia"/>
                <w:color w:val="auto"/>
                <w:sz w:val="24"/>
                <w:highlight w:val="none"/>
              </w:rPr>
              <w:t xml:space="preserve">科技创新案例宣传报道2次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4</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“产企创新赛道”服务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开展园区及周边地区产业新赛道调研报告3份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开展“产企创新赛道”专场活动3场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（每次活动邀请</w:t>
            </w:r>
            <w:r>
              <w:rPr>
                <w:rFonts w:hint="eastAsia" w:asciiTheme="minorEastAsia" w:hAnsiTheme="minorEastAsia" w:cstheme="minorEastAsia"/>
                <w:color w:val="auto"/>
                <w:sz w:val="24"/>
                <w:highlight w:val="none"/>
                <w:lang w:val="en-US" w:eastAsia="zh-CN"/>
              </w:rPr>
              <w:t xml:space="preserve">至少</w:t>
            </w:r>
            <w:r>
              <w:rPr>
                <w:rFonts w:hint="eastAsia" w:asciiTheme="minorEastAsia" w:hAnsiTheme="minorEastAsia" w:cstheme="minorEastAsia"/>
                <w:color w:val="auto"/>
                <w:sz w:val="24"/>
                <w:highlight w:val="none"/>
                <w:lang w:eastAsia="zh-CN"/>
              </w:rPr>
              <w:t xml:space="preserve">3名专家），</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5</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园区创新发展路径研究服务</w:t>
            </w:r>
            <w:r/>
          </w:p>
        </w:tc>
        <w:tc>
          <w:tcPr>
            <w:tcW w:w="3705" w:type="pct"/>
            <w:vAlign w:val="center"/>
            <w:textDirection w:val="lrTb"/>
            <w:noWrap w:val="false"/>
          </w:tcPr>
          <w:p>
            <w:pPr>
              <w:ind w:left="0" w:right="0" w:firstLine="0"/>
              <w:spacing w:line="360" w:lineRule="auto"/>
              <w:rPr>
                <w:rFonts w:hint="eastAsia" w:eastAsia="宋体" w:asciiTheme="minorEastAsia" w:hAnsiTheme="minorEastAsia" w:cstheme="minorEastAsia"/>
                <w:b/>
                <w:bCs/>
                <w:color w:val="auto"/>
                <w:sz w:val="28"/>
                <w:highlight w:val="none"/>
                <w:lang w:eastAsia="zh-CN"/>
              </w:rPr>
            </w:pPr>
            <w:r>
              <w:rPr>
                <w:rFonts w:hint="eastAsia" w:asciiTheme="minorEastAsia" w:hAnsiTheme="minorEastAsia" w:cstheme="minorEastAsia"/>
                <w:color w:val="auto"/>
                <w:sz w:val="24"/>
                <w:highlight w:val="none"/>
              </w:rPr>
              <w:t xml:space="preserve">组织专家研讨论证，</w:t>
            </w:r>
            <w:r>
              <w:rPr>
                <w:rFonts w:hint="eastAsia" w:asciiTheme="minorEastAsia" w:hAnsiTheme="minorEastAsia" w:cstheme="minorEastAsia"/>
                <w:color w:val="auto"/>
                <w:sz w:val="24"/>
                <w:highlight w:val="none"/>
                <w:lang w:val="en-US" w:eastAsia="zh-CN"/>
              </w:rPr>
              <w:t xml:space="preserve">并</w:t>
            </w:r>
            <w:r>
              <w:rPr>
                <w:rFonts w:hint="eastAsia" w:asciiTheme="minorEastAsia" w:hAnsiTheme="minorEastAsia" w:cstheme="minorEastAsia"/>
                <w:color w:val="auto"/>
                <w:sz w:val="24"/>
                <w:highlight w:val="none"/>
              </w:rPr>
              <w:t xml:space="preserve">完成《宜兴环科园创新发展路径研究报告》1份</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rHeight w:val="1326"/>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6</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西安创新飞地建设服务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提供有效科技招商讯息20条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p>
            <w:pPr>
              <w:ind w:left="0" w:right="0" w:firstLine="0"/>
              <w:spacing w:line="36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开展资源对接活动3场</w:t>
            </w:r>
            <w:r>
              <w:rPr>
                <w:rFonts w:hint="eastAsia" w:asciiTheme="minorEastAsia" w:hAnsiTheme="minorEastAsia" w:cstheme="minorEastAsia"/>
                <w:color w:val="auto"/>
                <w:sz w:val="24"/>
                <w:highlight w:val="none"/>
                <w:lang w:val="en-US" w:eastAsia="zh-CN"/>
              </w:rPr>
              <w:t xml:space="preserve">/年，占本服务项目报价占比的60%，如有缺少按比例扣除。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7</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“平台汇”服务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每年为10家平台提供服务，出具</w:t>
            </w:r>
            <w:r>
              <w:rPr>
                <w:rFonts w:hint="eastAsia" w:asciiTheme="minorEastAsia" w:hAnsiTheme="minorEastAsia" w:cstheme="minorEastAsia"/>
                <w:color w:val="auto"/>
                <w:sz w:val="24"/>
                <w:highlight w:val="none"/>
              </w:rPr>
              <w:t xml:space="preserve">绩效评价</w:t>
            </w:r>
            <w:r>
              <w:rPr>
                <w:rFonts w:hint="eastAsia" w:asciiTheme="minorEastAsia" w:hAnsiTheme="minorEastAsia" w:cstheme="minorEastAsia"/>
                <w:color w:val="auto"/>
                <w:sz w:val="24"/>
                <w:highlight w:val="none"/>
                <w:lang w:val="en-US" w:eastAsia="zh-CN"/>
              </w:rPr>
              <w:t xml:space="preserve">证明，</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rPr>
                <w:rFonts w:hint="eastAsia" w:asciiTheme="minorEastAsia" w:hAnsiTheme="minorEastAsia" w:cstheme="minorEastAsia"/>
                <w:color w:val="auto"/>
                <w:sz w:val="24"/>
                <w:highlight w:val="none"/>
              </w:rPr>
              <w:t xml:space="preserve">；</w:t>
            </w:r>
            <w:r/>
          </w:p>
          <w:p>
            <w:pPr>
              <w:ind w:left="0" w:right="0" w:firstLine="0"/>
              <w:spacing w:line="360" w:lineRule="auto"/>
              <w:rPr>
                <w:rFonts w:hint="eastAsia" w:eastAsia="宋体" w:asciiTheme="minorEastAsia" w:hAnsiTheme="minorEastAsia" w:cstheme="minorEastAsia"/>
                <w:b/>
                <w:bCs/>
                <w:color w:val="auto"/>
                <w:sz w:val="28"/>
                <w:highlight w:val="none"/>
                <w:lang w:val="en-US" w:eastAsia="zh-CN"/>
              </w:rPr>
            </w:pPr>
            <w:r>
              <w:rPr>
                <w:rFonts w:hint="eastAsia" w:asciiTheme="minorEastAsia" w:hAnsiTheme="minorEastAsia" w:cstheme="minorEastAsia"/>
                <w:color w:val="auto"/>
                <w:sz w:val="24"/>
                <w:highlight w:val="none"/>
              </w:rPr>
              <w:t xml:space="preserve">制定《宜兴环科园科技平台载体高质量发展运营实施办法》1份</w:t>
            </w:r>
            <w:r>
              <w:rPr>
                <w:rFonts w:hint="eastAsia" w:asciiTheme="minorEastAsia" w:hAnsiTheme="minorEastAsia" w:cstheme="minorEastAsia"/>
                <w:color w:val="auto"/>
                <w:sz w:val="24"/>
                <w:highlight w:val="none"/>
                <w:lang w:val="en-US" w:eastAsia="zh-CN"/>
              </w:rPr>
              <w:t xml:space="preserve">/年，占本服务项目报价占比的60%，如有缺少按比例扣除</w:t>
            </w:r>
            <w:r>
              <w:rPr>
                <w:rFonts w:hint="eastAsia" w:asciiTheme="minorEastAsia" w:hAnsiTheme="minorEastAsia" w:cstheme="minorEastAsia"/>
                <w:color w:val="auto"/>
                <w:sz w:val="24"/>
                <w:highlight w:val="none"/>
                <w:lang w:eastAsia="zh-CN"/>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8</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创新平台技术弹射服务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全年推动与4个分中心资源对接交流2场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rPr>
                <w:rFonts w:hint="eastAsia" w:asciiTheme="minorEastAsia" w:hAnsiTheme="minorEastAsia" w:cstheme="minorEastAsia"/>
                <w:color w:val="auto"/>
                <w:sz w:val="24"/>
                <w:highlight w:val="none"/>
              </w:rPr>
              <w:t xml:space="preserve">；</w:t>
            </w:r>
            <w:r/>
          </w:p>
          <w:p>
            <w:pPr>
              <w:ind w:left="0" w:right="0" w:firstLine="0"/>
              <w:spacing w:line="360" w:lineRule="auto"/>
              <w:rPr>
                <w:rFonts w:hint="default" w:eastAsia="宋体"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经园区筛选后</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提供10条技术成果在园区路演，</w:t>
            </w:r>
            <w:r>
              <w:rPr>
                <w:rFonts w:hint="eastAsia" w:asciiTheme="minorEastAsia" w:hAnsiTheme="minorEastAsia" w:cstheme="minorEastAsia"/>
                <w:color w:val="auto"/>
                <w:sz w:val="24"/>
                <w:highlight w:val="none"/>
                <w:lang w:val="en-US" w:eastAsia="zh-CN"/>
              </w:rPr>
              <w:t xml:space="preserve">占本服务项目报价占比的40%，如有缺少按比例扣除。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9</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color w:val="auto"/>
                <w:sz w:val="24"/>
                <w:highlight w:val="none"/>
              </w:rPr>
              <w:t xml:space="preserve">园区自立项目过程管理服务</w:t>
            </w:r>
            <w:r/>
          </w:p>
        </w:tc>
        <w:tc>
          <w:tcPr>
            <w:tcW w:w="3705" w:type="pct"/>
            <w:vAlign w:val="center"/>
            <w:textDirection w:val="lrTb"/>
            <w:noWrap w:val="false"/>
          </w:tcPr>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做好园区自立项目管理服务5项</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该服务需匹配专家，每年累计使用专家投入服务工作量12人*日</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rHeight w:val="973"/>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10</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科技管理能力提升服务</w:t>
            </w:r>
            <w:r/>
          </w:p>
        </w:tc>
        <w:tc>
          <w:tcPr>
            <w:tcW w:w="3705"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提供科技管理能力提升</w:t>
            </w:r>
            <w:r>
              <w:rPr>
                <w:rFonts w:hint="eastAsia" w:asciiTheme="minorEastAsia" w:hAnsiTheme="minorEastAsia" w:cstheme="minorEastAsia"/>
                <w:color w:val="auto"/>
                <w:sz w:val="24"/>
                <w:highlight w:val="none"/>
              </w:rPr>
              <w:t xml:space="preserve">培训活动4次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rPr>
                <w:rFonts w:hint="eastAsia" w:asciiTheme="minorEastAsia" w:hAnsiTheme="minorEastAsia" w:cstheme="minorEastAsia"/>
                <w:color w:val="auto"/>
                <w:sz w:val="24"/>
                <w:highlight w:val="none"/>
              </w:rPr>
              <w:t xml:space="preserve">。</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11</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杰青荟</w:t>
            </w:r>
            <w:r/>
          </w:p>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rPr>
              <w:t xml:space="preserve">举办“杰青荟”人才对接活动4场</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涉及专家邀请，每场要求5名专家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rPr>
                <w:rFonts w:hint="eastAsia" w:asciiTheme="minorEastAsia" w:hAnsiTheme="minorEastAsia" w:cstheme="minorEastAsia"/>
                <w:color w:val="auto"/>
                <w:sz w:val="24"/>
                <w:highlight w:val="none"/>
                <w:lang w:eastAsia="zh-CN"/>
              </w:rPr>
              <w:t xml:space="preserve">；</w:t>
            </w:r>
            <w:r/>
          </w:p>
          <w:p>
            <w:pPr>
              <w:ind w:left="0" w:right="0" w:firstLine="0"/>
              <w:spacing w:line="360" w:lineRule="auto"/>
              <w:rPr>
                <w:rFonts w:hint="eastAsia"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向园区推送杰青专家技术成果50项，</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rPr>
                <w:rFonts w:hint="eastAsia" w:asciiTheme="minorEastAsia" w:hAnsiTheme="minorEastAsia" w:cstheme="minorEastAsia"/>
                <w:color w:val="auto"/>
                <w:sz w:val="24"/>
                <w:highlight w:val="none"/>
                <w:lang w:eastAsia="zh-CN"/>
              </w:rPr>
              <w:t xml:space="preserve">；</w:t>
            </w:r>
            <w:r/>
          </w:p>
          <w:p>
            <w:pPr>
              <w:ind w:left="0" w:right="0" w:firstLine="0"/>
              <w:spacing w:line="360" w:lineRule="auto"/>
              <w:rPr>
                <w:rFonts w:hint="eastAsia" w:eastAsia="宋体"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推动10名省杰青人才园交流对接</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占本服务项目报价占比的20%，如有缺少按比例扣除。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12</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创新标杆研学服务</w:t>
            </w:r>
            <w:r/>
          </w:p>
        </w:tc>
        <w:tc>
          <w:tcPr>
            <w:tcW w:w="3705" w:type="pct"/>
            <w:vAlign w:val="center"/>
            <w:textDirection w:val="lrTb"/>
            <w:noWrap w:val="false"/>
          </w:tcPr>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提供2次赴省内外相关产业园区研学交流，</w:t>
            </w:r>
            <w:r>
              <w:rPr>
                <w:rFonts w:hint="eastAsia" w:asciiTheme="minorEastAsia" w:hAnsiTheme="minorEastAsia" w:cstheme="minorEastAsia"/>
                <w:color w:val="auto"/>
                <w:sz w:val="24"/>
                <w:highlight w:val="none"/>
                <w:lang w:val="en-US" w:eastAsia="zh-CN"/>
              </w:rPr>
              <w:t xml:space="preserve">每年</w:t>
            </w:r>
            <w:r>
              <w:rPr>
                <w:rFonts w:hint="eastAsia" w:asciiTheme="minorEastAsia" w:hAnsiTheme="minorEastAsia" w:cstheme="minorEastAsia"/>
                <w:color w:val="auto"/>
                <w:sz w:val="24"/>
                <w:highlight w:val="none"/>
              </w:rPr>
              <w:t xml:space="preserve">提供10人次研学名额</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占本服务项目报价占比的100%，如有缺少按比例扣除。</w:t>
            </w:r>
            <w:r/>
          </w:p>
        </w:tc>
      </w:tr>
      <w:tr>
        <w:trPr/>
        <w:tc>
          <w:tcPr>
            <w:tcW w:w="495" w:type="pct"/>
            <w:vAlign w:val="center"/>
            <w:textDirection w:val="lrTb"/>
            <w:noWrap w:val="false"/>
          </w:tcPr>
          <w:p>
            <w:pPr>
              <w:ind w:left="0" w:right="0" w:firstLine="0"/>
              <w:jc w:val="center"/>
              <w:spacing w:line="240" w:lineRule="auto"/>
              <w:rPr>
                <w:rFonts w:asciiTheme="minorEastAsia" w:hAnsiTheme="minorEastAsia" w:cstheme="minorEastAsia"/>
                <w:b/>
                <w:bCs/>
                <w:color w:val="auto"/>
                <w:sz w:val="28"/>
                <w:highlight w:val="none"/>
              </w:rPr>
            </w:pPr>
            <w:r>
              <w:rPr>
                <w:rFonts w:hint="eastAsia" w:asciiTheme="minorEastAsia" w:hAnsiTheme="minorEastAsia" w:cstheme="minorEastAsia"/>
                <w:b/>
                <w:bCs/>
                <w:color w:val="auto"/>
                <w:sz w:val="28"/>
                <w:highlight w:val="none"/>
              </w:rPr>
              <w:t xml:space="preserve">13</w:t>
            </w:r>
            <w:r/>
          </w:p>
        </w:tc>
        <w:tc>
          <w:tcPr>
            <w:tcW w:w="799" w:type="pct"/>
            <w:vAlign w:val="center"/>
            <w:textDirection w:val="lrTb"/>
            <w:noWrap w:val="false"/>
          </w:tcPr>
          <w:p>
            <w:pPr>
              <w:ind w:left="0" w:right="0" w:firstLine="0"/>
              <w:jc w:val="center"/>
              <w:spacing w:line="24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科技招商服务</w:t>
            </w:r>
            <w:r/>
          </w:p>
        </w:tc>
        <w:tc>
          <w:tcPr>
            <w:tcW w:w="3705" w:type="pct"/>
            <w:vAlign w:val="center"/>
            <w:textDirection w:val="lrTb"/>
            <w:noWrap w:val="false"/>
          </w:tcPr>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提供有效科技招商讯息30条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占本服务项目报价占比的30%，如有缺少按比例扣除；</w:t>
            </w:r>
            <w:r/>
          </w:p>
          <w:p>
            <w:pPr>
              <w:ind w:left="0" w:right="0" w:firstLine="0"/>
              <w:spacing w:line="360" w:lineRule="auto"/>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rPr>
              <w:t xml:space="preserve">组织园区参加科技招引全国行等活动3次</w:t>
            </w:r>
            <w:r>
              <w:rPr>
                <w:rFonts w:hint="eastAsia" w:asciiTheme="minorEastAsia" w:hAnsiTheme="minorEastAsia" w:cstheme="minorEastAsia"/>
                <w:color w:val="auto"/>
                <w:sz w:val="24"/>
                <w:highlight w:val="none"/>
                <w:lang w:val="en-US" w:eastAsia="zh-CN"/>
              </w:rPr>
              <w:t xml:space="preserve">/年</w:t>
            </w:r>
            <w:r>
              <w:rPr>
                <w:rFonts w:hint="eastAsia"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占本服务项目报价占比的60%，如有缺少按比例扣除；</w:t>
            </w:r>
            <w:r/>
          </w:p>
          <w:p>
            <w:pPr>
              <w:ind w:left="0" w:right="0" w:firstLine="0"/>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现场对接优质项目团队10个</w:t>
            </w:r>
            <w:r>
              <w:rPr>
                <w:rFonts w:hint="eastAsia" w:asciiTheme="minorEastAsia" w:hAnsiTheme="minorEastAsia" w:cstheme="minorEastAsia"/>
                <w:color w:val="auto"/>
                <w:sz w:val="24"/>
                <w:highlight w:val="none"/>
                <w:lang w:val="en-US" w:eastAsia="zh-CN"/>
              </w:rPr>
              <w:t xml:space="preserve">/年，占本服务项目报价占比的10%，如有缺少按比例扣除</w:t>
            </w:r>
            <w:r>
              <w:rPr>
                <w:rFonts w:hint="eastAsia" w:asciiTheme="minorEastAsia" w:hAnsiTheme="minorEastAsia" w:cstheme="minorEastAsia"/>
                <w:color w:val="auto"/>
                <w:sz w:val="24"/>
                <w:highlight w:val="none"/>
              </w:rPr>
              <w:t xml:space="preserve">。</w:t>
            </w:r>
            <w:r/>
          </w:p>
        </w:tc>
      </w:tr>
    </w:tbl>
    <w:p>
      <w:pPr>
        <w:jc w:val="both"/>
        <w:rPr>
          <w:rFonts w:hint="eastAsia" w:ascii="黑体" w:eastAsia="黑体"/>
          <w:color w:val="auto"/>
          <w:sz w:val="28"/>
          <w:highlight w:val="none"/>
        </w:rPr>
        <w:outlineLvl w:val="0"/>
      </w:pPr>
      <w:r>
        <w:rPr>
          <w:rFonts w:hint="eastAsia" w:ascii="黑体" w:eastAsia="黑体"/>
          <w:color w:val="auto"/>
          <w:sz w:val="28"/>
          <w:highlight w:val="none"/>
        </w:rPr>
      </w:r>
      <w:r/>
    </w:p>
    <w:p>
      <w:pPr>
        <w:jc w:val="center"/>
        <w:keepLines w:val="0"/>
        <w:keepNext w:val="0"/>
        <w:pageBreakBefore/>
        <w:widowControl w:val="off"/>
        <w:rPr>
          <w:rFonts w:ascii="黑体" w:eastAsia="黑体"/>
          <w:color w:val="auto"/>
          <w:sz w:val="28"/>
          <w:highlight w:val="none"/>
        </w:rPr>
        <w:outlineLvl w:val="0"/>
      </w:pPr>
      <w:r>
        <w:rPr>
          <w:rFonts w:hint="eastAsia" w:ascii="黑体" w:eastAsia="黑体"/>
          <w:color w:val="auto"/>
          <w:sz w:val="28"/>
          <w:highlight w:val="none"/>
        </w:rPr>
        <w:t xml:space="preserve">第四章 评标方法和标准</w:t>
      </w:r>
      <w:bookmarkEnd w:id="89"/>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44</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26分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技术部分</w:t>
      </w:r>
      <w:r/>
    </w:p>
    <w:tbl>
      <w:tblPr>
        <w:tblStyle w:val="895"/>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528"/>
        <w:gridCol w:w="940"/>
        <w:gridCol w:w="576"/>
        <w:gridCol w:w="6150"/>
        <w:gridCol w:w="907"/>
      </w:tblGrid>
      <w:tr>
        <w:trPr>
          <w:jc w:val="center"/>
          <w:trHeight w:val="510"/>
        </w:trPr>
        <w:tc>
          <w:tcPr>
            <w:tcBorders>
              <w:top w:val="single" w:color="auto" w:sz="4" w:space="0"/>
              <w:left w:val="single" w:color="auto" w:sz="4" w:space="0"/>
              <w:right w:val="single" w:color="auto" w:sz="4" w:space="0"/>
            </w:tcBorders>
            <w:tcW w:w="38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6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7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537"/>
        </w:trPr>
        <w:tc>
          <w:tcPr>
            <w:tcBorders>
              <w:top w:val="single" w:color="auto" w:sz="4" w:space="0"/>
              <w:left w:val="single" w:color="auto" w:sz="4" w:space="0"/>
              <w:right w:val="single" w:color="auto" w:sz="4" w:space="0"/>
            </w:tcBorders>
            <w:tcW w:w="380" w:type="pct"/>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技术部分</w:t>
            </w:r>
            <w:r/>
          </w:p>
        </w:tc>
        <w:tc>
          <w:tcPr>
            <w:tcBorders>
              <w:top w:val="single" w:color="auto" w:sz="4" w:space="0"/>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需求理解</w:t>
            </w:r>
            <w:r/>
          </w:p>
        </w:tc>
        <w:tc>
          <w:tcPr>
            <w:tcBorders>
              <w:top w:val="single" w:color="auto" w:sz="4" w:space="0"/>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的需求理解方案，就方案中</w:t>
            </w:r>
            <w:r>
              <w:rPr>
                <w:rFonts w:hint="eastAsia" w:ascii="宋体" w:hAnsi="宋体" w:eastAsia="宋体" w:cs="宋体"/>
                <w:color w:val="auto"/>
                <w:sz w:val="24"/>
                <w:highlight w:val="none"/>
              </w:rPr>
              <w:t xml:space="preserve">对本项目的项目背景、项目必要性、工作内容、预期目标成果的理解和认识</w:t>
            </w:r>
            <w:r>
              <w:rPr>
                <w:rFonts w:hint="eastAsia" w:ascii="宋体" w:hAnsi="宋体" w:eastAsia="宋体" w:cs="宋体"/>
                <w:color w:val="auto"/>
                <w:sz w:val="24"/>
                <w:highlight w:val="none"/>
                <w:lang w:val="en-US" w:eastAsia="zh-CN"/>
              </w:rPr>
              <w:t xml:space="preserve">等方面，进行评审：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w:t>
            </w:r>
            <w:r>
              <w:rPr>
                <w:rFonts w:hint="eastAsia" w:ascii="宋体" w:hAnsi="宋体" w:eastAsia="宋体" w:cs="宋体"/>
                <w:color w:val="auto"/>
                <w:sz w:val="24"/>
                <w:highlight w:val="none"/>
              </w:rPr>
              <w:t xml:space="preserve">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其余不得分，本项最高得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98"/>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服务方案</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的13项</w:t>
            </w:r>
            <w:r>
              <w:rPr>
                <w:rFonts w:hint="eastAsia" w:ascii="宋体" w:hAnsi="宋体" w:cs="宋体"/>
                <w:color w:val="auto"/>
                <w:sz w:val="24"/>
                <w:highlight w:val="none"/>
                <w:lang w:val="en-US" w:eastAsia="zh-CN"/>
              </w:rPr>
              <w:t xml:space="preserve">服务项目</w:t>
            </w:r>
            <w:r>
              <w:rPr>
                <w:rFonts w:hint="eastAsia" w:ascii="宋体" w:hAnsi="宋体" w:eastAsia="宋体" w:cs="宋体"/>
                <w:color w:val="auto"/>
                <w:sz w:val="24"/>
                <w:highlight w:val="none"/>
                <w:lang w:val="en-US" w:eastAsia="zh-CN"/>
              </w:rPr>
              <w:t xml:space="preserve">的服务方案，就方案中结合以往经验对</w:t>
            </w:r>
            <w:r>
              <w:rPr>
                <w:rFonts w:hint="eastAsia" w:ascii="宋体" w:hAnsi="宋体" w:cs="宋体"/>
                <w:color w:val="auto"/>
                <w:sz w:val="24"/>
                <w:highlight w:val="none"/>
                <w:lang w:val="en-US" w:eastAsia="zh-CN"/>
              </w:rPr>
              <w:t xml:space="preserve">本项目的</w:t>
            </w:r>
            <w:r>
              <w:rPr>
                <w:rFonts w:hint="eastAsia" w:ascii="宋体" w:hAnsi="宋体" w:eastAsia="宋体" w:cs="宋体"/>
                <w:color w:val="auto"/>
                <w:sz w:val="24"/>
                <w:highlight w:val="none"/>
                <w:lang w:val="en-US" w:eastAsia="zh-CN"/>
              </w:rPr>
              <w:t xml:space="preserve">各项服务</w:t>
            </w:r>
            <w:r>
              <w:rPr>
                <w:rFonts w:hint="eastAsia" w:ascii="宋体" w:hAnsi="宋体" w:cs="宋体"/>
                <w:color w:val="auto"/>
                <w:sz w:val="24"/>
                <w:highlight w:val="none"/>
                <w:lang w:val="en-US" w:eastAsia="zh-CN"/>
              </w:rPr>
              <w:t xml:space="preserve">提出</w:t>
            </w:r>
            <w:r>
              <w:rPr>
                <w:rFonts w:hint="eastAsia" w:ascii="宋体" w:hAnsi="宋体" w:eastAsia="宋体" w:cs="宋体"/>
                <w:color w:val="auto"/>
                <w:sz w:val="24"/>
                <w:highlight w:val="none"/>
                <w:lang w:val="en-US" w:eastAsia="zh-CN"/>
              </w:rPr>
              <w:t xml:space="preserve">总体思路、具体实施方案、服务流程、人员及物料的安排</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en-US" w:eastAsia="zh-CN"/>
              </w:rPr>
              <w:t xml:space="preserve">方面</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，切合项目实际，可行性强</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内容较为完整，科学性及合理性良好，符合本项目实际，可行性较强的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内容粗糙，科学性及合理性一般，不太符合本项目实际，可行性一般的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其余不得分，本项最高得13分。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61"/>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重难点分析和解决方案</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评标委员会根据投标人提供的难</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重点分析及解决措施方案，就方案中结合以往经验对本项目13项服务内容实施过程中的难</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重点进行分析，并提出相应的解决方案进行评审：</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内容全面</w:t>
            </w:r>
            <w:r>
              <w:rPr>
                <w:rFonts w:hint="eastAsia" w:ascii="宋体" w:hAnsi="宋体" w:eastAsia="宋体" w:cs="宋体"/>
                <w:color w:val="auto"/>
                <w:sz w:val="24"/>
                <w:highlight w:val="none"/>
              </w:rPr>
              <w:t xml:space="preserve">完整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科学合理</w:t>
            </w:r>
            <w:r>
              <w:rPr>
                <w:rFonts w:hint="eastAsia" w:ascii="宋体" w:hAnsi="宋体" w:eastAsia="宋体" w:cs="宋体"/>
                <w:color w:val="auto"/>
                <w:sz w:val="24"/>
                <w:highlight w:val="none"/>
                <w:lang w:val="en-US" w:eastAsia="zh-CN"/>
              </w:rPr>
              <w:t xml:space="preserve">，切合项目实际，可行性强</w:t>
            </w:r>
            <w:r>
              <w:rPr>
                <w:rFonts w:hint="eastAsia" w:ascii="宋体" w:hAnsi="宋体" w:eastAsia="宋体" w:cs="宋体"/>
                <w:color w:val="auto"/>
                <w:sz w:val="24"/>
                <w:highlight w:val="none"/>
              </w:rPr>
              <w:t xml:space="preserve">的得</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内容较为完整，科学性及合理性良好，符合本项目实际，可行性较强的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内容粗糙，科学性及合理性一般，不太符合本项目实际，可行性一般的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项目进度计划</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评标委员会根据投标人提供的项目进度计划，就方案中项目进度安排、人员及物料的调配、进度保障措施等方面，进行评审：</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1.进度计划内容详实，表述清晰，保障措施切实可行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lang w:val="en-US" w:eastAsia="zh-CN"/>
              </w:rPr>
              <w:t xml:space="preserve">利于项目实施，可行性强的得5分；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2.进度计划较为完整，表述清晰，保障措施与本项目实际要求匹配的，可行性较强的，得3分；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3.进度计划内容粗糙，不太符合本项目实际，可行性一般的得1分；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其余不得分，本项最高得5分。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0"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8"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p>
        </w:tc>
        <w:tc>
          <w:tcPr>
            <w:tcBorders>
              <w:left w:val="single" w:color="auto" w:sz="4" w:space="0"/>
              <w:right w:val="single" w:color="auto" w:sz="4" w:space="0"/>
            </w:tcBorders>
            <w:tcW w:w="477" w:type="pct"/>
            <w:vAlign w:val="center"/>
            <w:textDirection w:val="lrTb"/>
            <w:noWrap w:val="false"/>
          </w:tcPr>
          <w:p>
            <w:pPr>
              <w:jc w:val="left"/>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质量保证措施</w:t>
            </w:r>
            <w:r/>
          </w:p>
        </w:tc>
        <w:tc>
          <w:tcPr>
            <w:tcBorders>
              <w:left w:val="single" w:color="auto" w:sz="4" w:space="0"/>
              <w:right w:val="single" w:color="auto" w:sz="4" w:space="0"/>
            </w:tcBorders>
            <w:tcW w:w="292"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120" w:type="pct"/>
            <w:vAlign w:val="center"/>
            <w:textDirection w:val="lrTb"/>
            <w:noWrap w:val="false"/>
          </w:tcPr>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评标委员会根据投标人提供的质量保证措施，就方案中的质量管理、保障体系、廉政措施、保密管理、服务响应等</w:t>
            </w:r>
            <w:r>
              <w:rPr>
                <w:rFonts w:hint="eastAsia" w:ascii="宋体" w:hAnsi="宋体" w:cs="宋体"/>
                <w:color w:val="auto"/>
                <w:sz w:val="24"/>
                <w:highlight w:val="none"/>
                <w:lang w:val="en-US" w:eastAsia="zh-CN"/>
              </w:rPr>
              <w:t xml:space="preserve">，</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1.进度计划内容详实，表述清晰，保障措施切实可行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lang w:val="en-US" w:eastAsia="zh-CN"/>
              </w:rPr>
              <w:t xml:space="preserve">利于项目实施，可行性强的得7分；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2.进度计划较为完整，表述清晰，保障措施与本项目实际要求匹配的，可行性较强的，得4分；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3.进度计划内容粗糙，不太符合本项目实际，可行性一般的得1分；</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其余不得分，本项最高得7分。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pStyle w:val="899"/>
        <w:spacing w:line="360" w:lineRule="auto"/>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商务部分</w:t>
      </w:r>
      <w:r/>
    </w:p>
    <w:tbl>
      <w:tblPr>
        <w:tblStyle w:val="895"/>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536"/>
        <w:gridCol w:w="801"/>
        <w:gridCol w:w="614"/>
        <w:gridCol w:w="6166"/>
        <w:gridCol w:w="972"/>
      </w:tblGrid>
      <w:tr>
        <w:trPr>
          <w:jc w:val="center"/>
          <w:trHeight w:val="510"/>
        </w:trPr>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72"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06"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3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4171"/>
        </w:trPr>
        <w:tc>
          <w:tcPr>
            <w:tcBorders>
              <w:top w:val="single" w:color="auto" w:sz="4" w:space="0"/>
              <w:left w:val="single" w:color="auto" w:sz="4" w:space="0"/>
              <w:right w:val="single" w:color="auto" w:sz="4" w:space="0"/>
            </w:tcBorders>
            <w:tcW w:w="384" w:type="pct"/>
            <w:vAlign w:val="center"/>
            <w:vMerge w:val="restart"/>
            <w:textDirection w:val="lrTb"/>
            <w:noWrap w:val="false"/>
          </w:tcPr>
          <w:p>
            <w:pPr>
              <w:jc w:val="center"/>
              <w:spacing w:line="420" w:lineRule="exact"/>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商务部分</w:t>
            </w:r>
            <w:r/>
          </w:p>
        </w:tc>
        <w:tc>
          <w:tcPr>
            <w:tcBorders>
              <w:top w:val="single" w:color="auto" w:sz="4" w:space="0"/>
              <w:left w:val="single" w:color="auto" w:sz="4" w:space="0"/>
              <w:right w:val="single" w:color="auto" w:sz="4" w:space="0"/>
            </w:tcBorders>
            <w:tcW w:w="272" w:type="pct"/>
            <w:vAlign w:val="center"/>
            <w:textDirection w:val="lrTb"/>
            <w:noWrap w:val="false"/>
          </w:tcPr>
          <w:p>
            <w:pPr>
              <w:jc w:val="center"/>
              <w:spacing w:line="4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406" w:type="pct"/>
            <w:vAlign w:val="center"/>
            <w:textDirection w:val="lrTb"/>
            <w:noWrap w:val="false"/>
          </w:tcPr>
          <w:p>
            <w:pPr>
              <w:ind w:left="0" w:right="0"/>
              <w:jc w:val="center"/>
              <w:keepLines w:val="0"/>
              <w:keepNext w:val="0"/>
              <w:spacing w:before="0" w:beforeAutospacing="0" w:after="0" w:afterAutospacing="0" w:line="276" w:lineRule="auto"/>
              <w:rPr>
                <w:rFonts w:ascii="宋体" w:hAnsi="宋体" w:cs="宋体"/>
                <w:bCs/>
                <w:color w:val="auto"/>
                <w:sz w:val="24"/>
                <w:highlight w:val="none"/>
              </w:rPr>
              <w:suppressLineNumbers w:val="0"/>
            </w:pPr>
            <w:r>
              <w:rPr>
                <w:rFonts w:hint="eastAsia" w:ascii="宋体" w:hAnsi="宋体"/>
                <w:color w:val="auto"/>
                <w:sz w:val="24"/>
                <w:szCs w:val="24"/>
                <w:highlight w:val="none"/>
              </w:rPr>
              <w:t xml:space="preserve">人员配备</w:t>
            </w:r>
            <w:r/>
          </w:p>
        </w:tc>
        <w:tc>
          <w:tcPr>
            <w:tcBorders>
              <w:top w:val="single" w:color="auto" w:sz="4" w:space="0"/>
              <w:left w:val="single" w:color="auto" w:sz="4" w:space="0"/>
              <w:right w:val="single" w:color="auto" w:sz="4" w:space="0"/>
            </w:tcBorders>
            <w:tcW w:w="311" w:type="pct"/>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eastAsia="宋体" w:cs="宋体"/>
                <w:bCs/>
                <w:color w:val="auto"/>
                <w:sz w:val="24"/>
                <w:highlight w:val="none"/>
                <w:lang w:val="en-US" w:eastAsia="zh-CN"/>
              </w:rPr>
              <w:suppressLineNumbers w:val="0"/>
            </w:pP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分</w:t>
            </w:r>
            <w:r/>
          </w:p>
        </w:tc>
        <w:tc>
          <w:tcPr>
            <w:tcBorders>
              <w:top w:val="single" w:color="auto" w:sz="4" w:space="0"/>
              <w:left w:val="single" w:color="auto" w:sz="4" w:space="0"/>
              <w:right w:val="single" w:color="auto" w:sz="4" w:space="0"/>
            </w:tcBorders>
            <w:tcW w:w="3131" w:type="pct"/>
            <w:vAlign w:val="center"/>
            <w:textDirection w:val="lrTb"/>
            <w:noWrap w:val="false"/>
          </w:tcPr>
          <w:p>
            <w:pPr>
              <w:pStyle w:val="992"/>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投标人为本项目配备专业的</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负责人1名</w:t>
            </w:r>
            <w:r>
              <w:rPr>
                <w:rFonts w:hint="eastAsia" w:cs="宋体"/>
                <w:color w:val="auto"/>
                <w:sz w:val="24"/>
                <w:szCs w:val="24"/>
                <w:highlight w:val="none"/>
                <w:lang w:val="en-US" w:eastAsia="zh-CN"/>
              </w:rPr>
              <w:t xml:space="preserve">项目负责人具备正高级及以上职称的得3分；高级的得2分；中级的得1分，本项最高得3分</w:t>
            </w:r>
            <w:r>
              <w:rPr>
                <w:rFonts w:hint="eastAsia" w:ascii="宋体" w:hAnsi="宋体" w:eastAsia="宋体" w:cs="宋体"/>
                <w:color w:val="auto"/>
                <w:sz w:val="24"/>
                <w:szCs w:val="24"/>
                <w:highlight w:val="none"/>
              </w:rPr>
              <w:t xml:space="preserve">。</w:t>
            </w:r>
            <w:r/>
          </w:p>
          <w:p>
            <w:pPr>
              <w:pStyle w:val="992"/>
              <w:numPr>
                <w:ilvl w:val="0"/>
                <w:numId w:val="8"/>
              </w:numPr>
              <w:ind w:left="0" w:right="0" w:firstLine="0"/>
              <w:jc w:val="both"/>
              <w:keepLines w:val="0"/>
              <w:keepNext w:val="0"/>
              <w:spacing w:before="0" w:beforeAutospacing="0" w:after="0" w:afterAutospacing="0" w:line="360" w:lineRule="auto"/>
              <w:widowControl w:val="off"/>
              <w:rPr>
                <w:rFonts w:hint="eastAsia"/>
                <w:b w:val="0"/>
                <w:bCs w:val="0"/>
                <w:color w:val="auto"/>
                <w:sz w:val="24"/>
                <w:highlight w:val="none"/>
                <w:lang w:val="en-US" w:eastAsia="zh-CN"/>
              </w:rPr>
              <w:suppressLineNumbers w:val="0"/>
            </w:pPr>
            <w:r>
              <w:rPr>
                <w:rFonts w:hint="eastAsia"/>
                <w:b w:val="0"/>
                <w:bCs w:val="0"/>
                <w:color w:val="auto"/>
                <w:sz w:val="24"/>
                <w:highlight w:val="none"/>
                <w:lang w:val="en-US" w:eastAsia="zh-CN"/>
              </w:rPr>
              <w:t xml:space="preserve">投标人为本项目配备的专业的项目组成员（项目负责人除外），</w:t>
            </w:r>
            <w:r>
              <w:rPr>
                <w:rFonts w:hint="eastAsia" w:cs="宋体"/>
                <w:color w:val="auto"/>
                <w:sz w:val="24"/>
                <w:szCs w:val="24"/>
                <w:highlight w:val="none"/>
                <w:lang w:val="en-US" w:eastAsia="zh-CN"/>
              </w:rPr>
              <w:t xml:space="preserve">具备正高级及以上职称的得3分/人；高级的得2分/人；中级的得1分/人，本项最高得15分</w:t>
            </w:r>
            <w:r/>
          </w:p>
          <w:p>
            <w:pPr>
              <w:pStyle w:val="992"/>
              <w:numPr>
                <w:ilvl w:val="0"/>
                <w:numId w:val="0"/>
              </w:numPr>
              <w:ind w:left="0" w:right="0" w:firstLine="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b/>
                <w:bCs/>
                <w:color w:val="auto"/>
                <w:sz w:val="24"/>
                <w:highlight w:val="none"/>
              </w:rPr>
              <w:t xml:space="preserve">（投标文件中提供投标人为其缴纳的投标截止时间前近十二个月中</w:t>
            </w:r>
            <w:r>
              <w:rPr>
                <w:rFonts w:hint="eastAsia"/>
                <w:b/>
                <w:bCs/>
                <w:color w:val="auto"/>
                <w:sz w:val="24"/>
                <w:highlight w:val="none"/>
                <w:lang w:val="en-US" w:eastAsia="zh-CN"/>
              </w:rPr>
              <w:t xml:space="preserve">任一个</w:t>
            </w:r>
            <w:r>
              <w:rPr>
                <w:rFonts w:hint="eastAsia"/>
                <w:b/>
                <w:bCs/>
                <w:color w:val="auto"/>
                <w:sz w:val="24"/>
                <w:highlight w:val="none"/>
              </w:rPr>
              <w:t xml:space="preserve">月社保证明及相关证书</w:t>
            </w:r>
            <w:r>
              <w:rPr>
                <w:rFonts w:hint="eastAsia"/>
                <w:b/>
                <w:bCs/>
                <w:color w:val="auto"/>
                <w:sz w:val="24"/>
                <w:highlight w:val="none"/>
                <w:lang w:val="en-US" w:eastAsia="zh-CN"/>
              </w:rPr>
              <w:t xml:space="preserve">的</w:t>
            </w:r>
            <w:r>
              <w:rPr>
                <w:rStyle w:val="993"/>
                <w:rFonts w:hint="eastAsia"/>
                <w:color w:val="auto"/>
                <w:highlight w:val="none"/>
                <w:lang w:val="en-US" w:eastAsia="zh-CN" w:bidi="ar"/>
              </w:rPr>
              <w:t xml:space="preserve">原件扫描件</w:t>
            </w:r>
            <w:r>
              <w:rPr>
                <w:rFonts w:hint="eastAsia"/>
                <w:b/>
                <w:bCs/>
                <w:color w:val="auto"/>
                <w:sz w:val="24"/>
                <w:highlight w:val="none"/>
              </w:rPr>
              <w:t xml:space="preserve">并加盖投标人公章</w:t>
            </w:r>
            <w:r>
              <w:rPr>
                <w:rFonts w:hint="eastAsia"/>
                <w:b/>
                <w:bCs/>
                <w:color w:val="auto"/>
                <w:sz w:val="24"/>
                <w:highlight w:val="none"/>
                <w:lang w:eastAsia="zh-CN"/>
              </w:rPr>
              <w:t xml:space="preserve">，</w:t>
            </w:r>
            <w:r>
              <w:rPr>
                <w:rFonts w:hint="eastAsia"/>
                <w:b/>
                <w:bCs/>
                <w:color w:val="auto"/>
                <w:sz w:val="24"/>
                <w:highlight w:val="none"/>
                <w:lang w:val="en-US" w:eastAsia="zh-CN"/>
              </w:rPr>
              <w:t xml:space="preserve">否则不得分</w:t>
            </w:r>
            <w:r>
              <w:rPr>
                <w:rFonts w:hint="eastAsia"/>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r>
      <w:tr>
        <w:trPr>
          <w:jc w:val="center"/>
          <w:trHeight w:val="680"/>
        </w:trPr>
        <w:tc>
          <w:tcPr>
            <w:tcBorders>
              <w:left w:val="single" w:color="auto" w:sz="4" w:space="0"/>
              <w:right w:val="single" w:color="auto" w:sz="4" w:space="0"/>
            </w:tcBorders>
            <w:tcW w:w="384"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left="0" w:right="0"/>
              <w:jc w:val="left"/>
              <w:keepLines w:val="0"/>
              <w:keepNext w:val="0"/>
              <w:spacing w:before="0" w:beforeAutospacing="0" w:after="0" w:afterAutospacing="0"/>
              <w:rPr>
                <w:rFonts w:ascii="宋体" w:hAnsi="宋体" w:cs="宋体"/>
                <w:bCs/>
                <w:color w:val="auto"/>
                <w:sz w:val="24"/>
                <w:highlight w:val="none"/>
              </w:rPr>
              <w:suppressLineNumbers w:val="0"/>
            </w:pPr>
            <w:r>
              <w:rPr>
                <w:rFonts w:hint="eastAsia" w:ascii="宋体" w:hAnsi="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lang w:eastAsia="zh-CN"/>
              </w:rPr>
              <w:suppressLineNumbers w:val="0"/>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13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2023年1月1日以来，承担过与本项目类似</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项目</w:t>
            </w:r>
            <w:r>
              <w:rPr>
                <w:rFonts w:hint="eastAsia" w:ascii="宋体" w:hAnsi="宋体" w:cs="宋体"/>
                <w:i w:val="0"/>
                <w:iCs w:val="0"/>
                <w:color w:val="auto"/>
                <w:sz w:val="24"/>
                <w:szCs w:val="24"/>
                <w:highlight w:val="none"/>
                <w:u w:val="none"/>
                <w:lang w:val="en-US" w:eastAsia="zh-CN" w:bidi="ar"/>
              </w:rPr>
              <w:t xml:space="preserve">业绩</w:t>
            </w:r>
            <w:r>
              <w:rPr>
                <w:rFonts w:hint="eastAsia" w:ascii="宋体" w:hAnsi="宋体" w:eastAsia="宋体" w:cs="宋体"/>
                <w:i w:val="0"/>
                <w:iCs w:val="0"/>
                <w:color w:val="auto"/>
                <w:sz w:val="24"/>
                <w:szCs w:val="24"/>
                <w:highlight w:val="none"/>
                <w:u w:val="none"/>
                <w:lang w:val="en-US" w:eastAsia="zh-CN" w:bidi="ar"/>
              </w:rPr>
              <w:t xml:space="preserve">的，有一个得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p>
            <w:pPr>
              <w:ind w:left="0" w:right="0"/>
              <w:jc w:val="left"/>
              <w:keepLines w:val="0"/>
              <w:keepNext w:val="0"/>
              <w:spacing w:before="0" w:beforeAutospacing="0" w:after="0" w:afterAutospacing="0" w:line="360" w:lineRule="auto"/>
              <w:widowControl/>
              <w:rPr>
                <w:bCs/>
                <w:color w:val="auto"/>
                <w:highlight w:val="none"/>
              </w:rPr>
              <w:suppressLineNumbers w:val="0"/>
            </w:pPr>
            <w:r>
              <w:rPr>
                <w:rStyle w:val="993"/>
                <w:color w:val="auto"/>
                <w:highlight w:val="none"/>
                <w:lang w:val="en-US" w:eastAsia="zh-CN" w:bidi="ar"/>
              </w:rPr>
              <w:t xml:space="preserve">（投标文件中须提供合同</w:t>
            </w:r>
            <w:r>
              <w:rPr>
                <w:rStyle w:val="993"/>
                <w:rFonts w:hint="eastAsia"/>
                <w:color w:val="auto"/>
                <w:highlight w:val="none"/>
                <w:lang w:val="en-US" w:eastAsia="zh-CN" w:bidi="ar"/>
              </w:rPr>
              <w:t xml:space="preserve">原件扫描件</w:t>
            </w:r>
            <w:r>
              <w:rPr>
                <w:rStyle w:val="993"/>
                <w:color w:val="auto"/>
                <w:highlight w:val="none"/>
                <w:lang w:val="en-US" w:eastAsia="zh-CN" w:bidi="ar"/>
              </w:rPr>
              <w:t xml:space="preserve">并加盖</w:t>
            </w:r>
            <w:r>
              <w:rPr>
                <w:rStyle w:val="993"/>
                <w:rFonts w:hint="eastAsia"/>
                <w:color w:val="auto"/>
                <w:highlight w:val="none"/>
                <w:lang w:val="en-US" w:eastAsia="zh-CN" w:bidi="ar"/>
              </w:rPr>
              <w:t xml:space="preserve">投标人</w:t>
            </w:r>
            <w:r>
              <w:rPr>
                <w:rStyle w:val="993"/>
                <w:color w:val="auto"/>
                <w:highlight w:val="none"/>
                <w:lang w:val="en-US" w:eastAsia="zh-CN" w:bidi="ar"/>
              </w:rPr>
              <w:t xml:space="preserve">公章，以合同签订时间为准，未提供不得分）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contextualSpacing/>
              <w:spacing w:line="360" w:lineRule="auto"/>
              <w:widowControl/>
              <w:rPr>
                <w:rFonts w:hint="eastAsia" w:ascii="宋体" w:hAnsi="宋体"/>
                <w:color w:val="auto"/>
                <w:sz w:val="24"/>
                <w:szCs w:val="24"/>
                <w:highlight w:val="none"/>
                <w:lang w:bidi="en-US"/>
              </w:rPr>
            </w:pPr>
            <w:r>
              <w:rPr>
                <w:rFonts w:hint="eastAsia" w:ascii="宋体" w:hAnsi="宋体"/>
                <w:color w:val="auto"/>
                <w:sz w:val="24"/>
                <w:szCs w:val="24"/>
                <w:highlight w:val="none"/>
                <w:lang w:bidi="en-US"/>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价格部分</w:t>
      </w:r>
      <w:r/>
    </w:p>
    <w:tbl>
      <w:tblPr>
        <w:tblStyle w:val="895"/>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Arial"/>
                <w:color w:val="auto"/>
                <w:sz w:val="22"/>
                <w:szCs w:val="22"/>
                <w:highlight w:val="none"/>
                <w:lang w:val="en-US" w:eastAsia="zh-CN"/>
              </w:rPr>
            </w:pPr>
            <w:r>
              <w:rPr>
                <w:rFonts w:hint="eastAsia" w:ascii="宋体" w:hAnsi="宋体" w:cs="Arial"/>
                <w:color w:val="auto"/>
                <w:sz w:val="22"/>
                <w:szCs w:val="22"/>
                <w:highlight w:val="none"/>
                <w:lang w:val="en-US" w:eastAsia="zh-CN"/>
              </w:rPr>
              <w:t xml:space="preserve">30</w:t>
            </w:r>
            <w:r>
              <w:rPr>
                <w:rFonts w:hint="eastAsia" w:ascii="宋体" w:hAnsi="宋体" w:cs="Arial"/>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价格分采用低价优先法，即满足招标文件要求且投标价格最低的投标报价为评标基准价，其价格分为满分。其他投标人的价格分统一按照下列公式计算：投标报价得分=（评标基准价/投标报价）×</w:t>
            </w:r>
            <w:r>
              <w:rPr>
                <w:rFonts w:hint="eastAsia" w:ascii="宋体" w:hAnsi="宋体" w:cs="Arial"/>
                <w:color w:val="auto"/>
                <w:sz w:val="22"/>
                <w:szCs w:val="22"/>
                <w:highlight w:val="none"/>
                <w:lang w:val="en-US" w:eastAsia="zh-CN"/>
              </w:rPr>
              <w:t xml:space="preserve">30</w:t>
            </w:r>
            <w:r>
              <w:rPr>
                <w:rFonts w:hint="eastAsia" w:ascii="宋体" w:hAnsi="宋体" w:cs="Arial"/>
                <w:color w:val="auto"/>
                <w:sz w:val="22"/>
                <w:szCs w:val="22"/>
                <w:highlight w:val="none"/>
              </w:rPr>
              <w:t xml:space="preserve">分。（以四舍五入法，保留两位小数）</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评分过程中如出现小数点后三位，采用四舍五入法，最终保留两位小数；</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所有提供的证明材料必须保证清晰，内容模糊无法确认的后果由</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90" w:name="_Toc23604"/>
      <w:r>
        <w:rPr>
          <w:rFonts w:hint="eastAsia" w:ascii="黑体" w:eastAsia="黑体"/>
          <w:color w:val="auto"/>
          <w:sz w:val="28"/>
          <w:highlight w:val="none"/>
        </w:rPr>
        <w:t xml:space="preserve">第五章 政府采购合同（格式）</w:t>
      </w:r>
      <w:bookmarkEnd w:id="83"/>
      <w:r/>
      <w:bookmarkEnd w:id="84"/>
      <w:r/>
      <w:bookmarkEnd w:id="85"/>
      <w:r/>
      <w:bookmarkEnd w:id="86"/>
      <w:r/>
      <w:bookmarkEnd w:id="90"/>
      <w:r/>
      <w:r/>
    </w:p>
    <w:p>
      <w:pPr>
        <w:pStyle w:val="964"/>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4"/>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4"/>
        <w:ind w:firstLine="0"/>
        <w:jc w:val="center"/>
        <w:rPr>
          <w:rFonts w:hAnsi="宋体" w:cs="宋体"/>
          <w:b/>
          <w:color w:val="auto"/>
          <w:szCs w:val="24"/>
          <w:highlight w:val="none"/>
        </w:rPr>
      </w:pPr>
      <w:r/>
      <w:bookmarkStart w:id="91" w:name="_Hlk190695075"/>
      <w:r/>
      <w:r/>
    </w:p>
    <w:p>
      <w:pPr>
        <w:pStyle w:val="964"/>
        <w:ind w:firstLine="0"/>
        <w:jc w:val="center"/>
        <w:rPr>
          <w:rFonts w:hAnsi="宋体" w:cs="宋体"/>
          <w:b/>
          <w:color w:val="auto"/>
          <w:szCs w:val="24"/>
          <w:highlight w:val="none"/>
        </w:rPr>
      </w:pPr>
      <w:r/>
      <w:bookmarkStart w:id="92" w:name="_Hlk190698770"/>
      <w:r>
        <w:rPr>
          <w:rFonts w:hint="eastAsia" w:hAnsi="宋体" w:cs="宋体"/>
          <w:b/>
          <w:color w:val="auto"/>
          <w:szCs w:val="24"/>
          <w:highlight w:val="none"/>
        </w:rPr>
        <w:t xml:space="preserve">第一部分 合同书</w:t>
      </w:r>
      <w:r/>
    </w:p>
    <w:p>
      <w:pPr>
        <w:pStyle w:val="964"/>
        <w:ind w:firstLine="0"/>
        <w:rPr>
          <w:rFonts w:hAnsi="宋体" w:cs="宋体"/>
          <w:color w:val="auto"/>
          <w:szCs w:val="24"/>
          <w:highlight w:val="none"/>
        </w:rPr>
      </w:pPr>
      <w:r>
        <w:rPr>
          <w:rFonts w:hAnsi="宋体" w:cs="宋体"/>
          <w:color w:val="auto"/>
          <w:szCs w:val="24"/>
          <w:highlight w:val="none"/>
        </w:rPr>
      </w:r>
      <w:r/>
    </w:p>
    <w:p>
      <w:pPr>
        <w:pStyle w:val="964"/>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93"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58"/>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58"/>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宜兴环科园2026-2027年度科技创新集成服务采购项目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无锡高新技术产业开发区环保科技工业园管理办公室</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4" w:name="_Toc20421"/>
      <w:r/>
      <w:bookmarkStart w:id="95" w:name="_Toc15367"/>
      <w:r/>
      <w:bookmarkStart w:id="96" w:name="_Toc19273"/>
      <w:r/>
      <w:bookmarkStart w:id="97" w:name="_Toc22967"/>
      <w:r/>
      <w:bookmarkStart w:id="98" w:name="_Toc28855"/>
      <w:r>
        <w:rPr>
          <w:rFonts w:hint="eastAsia" w:ascii="宋体" w:hAnsi="宋体" w:cs="宋体"/>
          <w:b/>
          <w:color w:val="auto"/>
          <w:sz w:val="24"/>
          <w:szCs w:val="24"/>
          <w:highlight w:val="none"/>
        </w:rPr>
        <w:t xml:space="preserve">1.1 合同组成部分</w:t>
      </w:r>
      <w:bookmarkEnd w:id="94"/>
      <w:r/>
      <w:bookmarkEnd w:id="95"/>
      <w:r/>
      <w:bookmarkEnd w:id="96"/>
      <w:r/>
      <w:bookmarkEnd w:id="97"/>
      <w:r/>
      <w:bookmarkEnd w:id="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9" w:name="_Toc2918"/>
      <w:r/>
      <w:bookmarkStart w:id="100" w:name="_Toc22185"/>
      <w:r/>
      <w:bookmarkStart w:id="101" w:name="_Toc6773"/>
      <w:r/>
      <w:bookmarkStart w:id="102" w:name="_Toc6311"/>
      <w:r/>
      <w:bookmarkStart w:id="103" w:name="_Toc18585"/>
      <w:r>
        <w:rPr>
          <w:rFonts w:hint="eastAsia" w:ascii="宋体" w:hAnsi="宋体" w:cs="宋体"/>
          <w:b/>
          <w:color w:val="auto"/>
          <w:sz w:val="24"/>
          <w:szCs w:val="24"/>
          <w:highlight w:val="none"/>
        </w:rPr>
        <w:t xml:space="preserve">1.2 标的</w:t>
      </w:r>
      <w:bookmarkEnd w:id="99"/>
      <w:r/>
      <w:bookmarkEnd w:id="100"/>
      <w:r/>
      <w:bookmarkEnd w:id="101"/>
      <w:r/>
      <w:bookmarkEnd w:id="102"/>
      <w:r/>
      <w:bookmarkEnd w:id="103"/>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4" w:name="_Toc1386"/>
      <w:r/>
      <w:bookmarkStart w:id="105" w:name="_Toc21124"/>
      <w:r/>
      <w:bookmarkStart w:id="106" w:name="_Toc5635"/>
      <w:r/>
      <w:bookmarkStart w:id="107" w:name="_Toc13918"/>
      <w:r/>
      <w:bookmarkStart w:id="108" w:name="_Toc4929"/>
      <w:r>
        <w:rPr>
          <w:rFonts w:hint="eastAsia" w:ascii="宋体" w:hAnsi="宋体" w:cs="宋体"/>
          <w:b/>
          <w:color w:val="auto"/>
          <w:sz w:val="24"/>
          <w:szCs w:val="24"/>
          <w:highlight w:val="none"/>
        </w:rPr>
        <w:t xml:space="preserve">1.3 价款</w:t>
      </w:r>
      <w:bookmarkEnd w:id="104"/>
      <w:r/>
      <w:bookmarkEnd w:id="105"/>
      <w:r/>
      <w:bookmarkEnd w:id="106"/>
      <w:r/>
      <w:bookmarkEnd w:id="107"/>
      <w:r/>
      <w:bookmarkEnd w:id="10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5"/>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9"/>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59"/>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59"/>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9" w:name="_Toc30506"/>
      <w:r/>
      <w:bookmarkStart w:id="110" w:name="_Toc30158"/>
      <w:r/>
      <w:bookmarkStart w:id="111" w:name="_Toc14993"/>
      <w:r/>
      <w:bookmarkStart w:id="112" w:name="_Toc3654"/>
      <w:r/>
      <w:bookmarkStart w:id="113" w:name="_Toc26916"/>
      <w:r>
        <w:rPr>
          <w:rFonts w:hint="eastAsia" w:ascii="宋体" w:hAnsi="宋体" w:cs="宋体"/>
          <w:b/>
          <w:color w:val="auto"/>
          <w:sz w:val="24"/>
          <w:szCs w:val="24"/>
          <w:highlight w:val="none"/>
        </w:rPr>
        <w:t xml:space="preserve">1.4 付款方式和发票开具方式</w:t>
      </w:r>
      <w:bookmarkEnd w:id="109"/>
      <w:r/>
      <w:bookmarkEnd w:id="110"/>
      <w:r/>
      <w:bookmarkEnd w:id="111"/>
      <w:r/>
      <w:bookmarkEnd w:id="112"/>
      <w:r/>
      <w:bookmarkEnd w:id="11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4" w:name="_Toc31421"/>
      <w:r/>
      <w:bookmarkStart w:id="115" w:name="_Toc11108"/>
      <w:r/>
      <w:bookmarkStart w:id="116" w:name="_Toc3625"/>
      <w:r/>
      <w:bookmarkStart w:id="117" w:name="_Toc4760"/>
      <w:r/>
      <w:bookmarkStart w:id="118" w:name="_Toc8772"/>
      <w:r>
        <w:rPr>
          <w:rFonts w:hint="eastAsia" w:ascii="宋体" w:hAnsi="宋体" w:cs="宋体"/>
          <w:b/>
          <w:color w:val="auto"/>
          <w:sz w:val="24"/>
          <w:szCs w:val="24"/>
          <w:highlight w:val="none"/>
        </w:rPr>
        <w:t xml:space="preserve">1.5 履行期限、地点和方式</w:t>
      </w:r>
      <w:bookmarkEnd w:id="114"/>
      <w:r/>
      <w:bookmarkEnd w:id="115"/>
      <w:r/>
      <w:bookmarkEnd w:id="116"/>
      <w:r/>
      <w:bookmarkEnd w:id="117"/>
      <w:r/>
      <w:bookmarkEnd w:id="118"/>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9" w:name="_Toc2375"/>
      <w:r/>
      <w:bookmarkStart w:id="120" w:name="_Toc8586"/>
      <w:r/>
      <w:bookmarkStart w:id="121" w:name="_Toc5698"/>
      <w:r/>
      <w:bookmarkStart w:id="122" w:name="_Toc24662"/>
      <w:r/>
      <w:bookmarkStart w:id="123" w:name="_Toc3079"/>
      <w:r>
        <w:rPr>
          <w:rFonts w:hint="eastAsia" w:ascii="宋体" w:hAnsi="宋体" w:cs="宋体"/>
          <w:b/>
          <w:color w:val="auto"/>
          <w:sz w:val="24"/>
          <w:szCs w:val="24"/>
          <w:highlight w:val="none"/>
        </w:rPr>
        <w:t xml:space="preserve">1.6 违约责任</w:t>
      </w:r>
      <w:bookmarkEnd w:id="119"/>
      <w:r/>
      <w:bookmarkEnd w:id="120"/>
      <w:r/>
      <w:bookmarkEnd w:id="121"/>
      <w:r/>
      <w:bookmarkEnd w:id="122"/>
      <w:r/>
      <w:bookmarkEnd w:id="12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4" w:name="_Toc26807"/>
      <w:r/>
      <w:bookmarkStart w:id="125" w:name="_Toc9497"/>
      <w:r/>
      <w:bookmarkStart w:id="126" w:name="_Toc30329"/>
      <w:r/>
      <w:bookmarkStart w:id="127" w:name="_Toc18683"/>
      <w:r/>
      <w:bookmarkStart w:id="128" w:name="_Toc32454"/>
      <w:r>
        <w:rPr>
          <w:rFonts w:hint="eastAsia" w:ascii="宋体" w:hAnsi="宋体" w:cs="宋体"/>
          <w:b/>
          <w:color w:val="auto"/>
          <w:sz w:val="24"/>
          <w:szCs w:val="24"/>
          <w:highlight w:val="none"/>
        </w:rPr>
        <w:t xml:space="preserve">1.7 合同争议的解决</w:t>
      </w:r>
      <w:bookmarkEnd w:id="124"/>
      <w:r/>
      <w:bookmarkEnd w:id="125"/>
      <w:r/>
      <w:bookmarkEnd w:id="126"/>
      <w:r/>
      <w:bookmarkEnd w:id="127"/>
      <w:r/>
      <w:bookmarkEnd w:id="128"/>
      <w:r/>
      <w:r/>
    </w:p>
    <w:p>
      <w:pPr>
        <w:ind w:firstLine="480"/>
        <w:spacing w:line="560" w:lineRule="exact"/>
        <w:rPr>
          <w:rFonts w:ascii="宋体" w:hAnsi="宋体" w:cs="宋体"/>
          <w:color w:val="auto"/>
          <w:sz w:val="24"/>
          <w:szCs w:val="24"/>
          <w:highlight w:val="none"/>
        </w:rPr>
      </w:pPr>
      <w:r/>
      <w:bookmarkStart w:id="129" w:name="_Toc12273"/>
      <w:r/>
      <w:bookmarkStart w:id="130" w:name="_Toc23784"/>
      <w:r/>
      <w:bookmarkStart w:id="131" w:name="_Toc26227"/>
      <w:r/>
      <w:bookmarkStart w:id="132" w:name="_Toc15827"/>
      <w:r/>
      <w:bookmarkStart w:id="133"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9"/>
      <w:r/>
      <w:bookmarkEnd w:id="130"/>
      <w:r/>
      <w:bookmarkEnd w:id="131"/>
      <w:r/>
      <w:bookmarkEnd w:id="132"/>
      <w:r/>
      <w:bookmarkEnd w:id="13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4"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4"/>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4"/>
      <w:r/>
      <w:bookmarkStart w:id="135" w:name="_Toc19539"/>
      <w:r/>
      <w:bookmarkStart w:id="136" w:name="_Toc279701241"/>
      <w:r/>
      <w:bookmarkStart w:id="137" w:name="_Toc487900350"/>
      <w:r/>
      <w:bookmarkStart w:id="138" w:name="_Toc16752"/>
      <w:r/>
      <w:bookmarkStart w:id="139" w:name="_Toc3769"/>
      <w:r/>
      <w:bookmarkStart w:id="140" w:name="_Toc23289"/>
      <w:r/>
      <w:bookmarkStart w:id="141" w:name="_Toc31402"/>
      <w:r/>
      <w:bookmarkStart w:id="142" w:name="_Toc259093670"/>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3" w:name="_Ref467378463"/>
      <w:r/>
      <w:bookmarkStart w:id="144" w:name="_Ref467379101"/>
      <w:r/>
      <w:bookmarkStart w:id="145" w:name="_Ref467379205"/>
      <w:r/>
      <w:bookmarkStart w:id="146" w:name="_Ref467379109"/>
      <w:r/>
      <w:bookmarkStart w:id="147" w:name="_Ref467378404"/>
      <w:r/>
      <w:bookmarkStart w:id="148" w:name="_Toc31297"/>
      <w:r/>
      <w:bookmarkStart w:id="149" w:name="_Toc14021"/>
      <w:r/>
      <w:bookmarkStart w:id="150" w:name="_Toc5228"/>
      <w:r/>
      <w:bookmarkStart w:id="151" w:name="_Toc279701240"/>
      <w:r/>
      <w:bookmarkStart w:id="152" w:name="_Toc487900349"/>
      <w:r/>
      <w:bookmarkStart w:id="153" w:name="_Ref467379225"/>
      <w:r/>
      <w:bookmarkStart w:id="154" w:name="_Toc25079"/>
      <w:r/>
      <w:bookmarkStart w:id="155" w:name="_Ref467379094"/>
      <w:r/>
      <w:bookmarkStart w:id="156" w:name="_Ref467379214"/>
      <w:r/>
      <w:bookmarkStart w:id="157" w:name="_Ref467379195"/>
      <w:r/>
      <w:bookmarkStart w:id="158" w:name="_Toc19680"/>
      <w:r/>
      <w:bookmarkStart w:id="159" w:name="_Ref467378499"/>
      <w:r/>
      <w:bookmarkStart w:id="160" w:name="_Toc259093669"/>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w:t>
      </w:r>
      <w:bookmarkEnd w:id="162"/>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bookmarkEnd w:id="135"/>
      <w:r/>
      <w:bookmarkEnd w:id="136"/>
      <w:r/>
      <w:bookmarkEnd w:id="137"/>
      <w:r/>
      <w:bookmarkEnd w:id="138"/>
      <w:r/>
      <w:bookmarkEnd w:id="139"/>
      <w:r/>
      <w:bookmarkEnd w:id="140"/>
      <w:r/>
      <w:bookmarkEnd w:id="141"/>
      <w:r/>
      <w:bookmarkEnd w:id="142"/>
      <w:r/>
      <w:r/>
    </w:p>
    <w:p>
      <w:pPr>
        <w:ind w:firstLine="482"/>
        <w:spacing w:line="560" w:lineRule="exact"/>
        <w:rPr>
          <w:rFonts w:ascii="宋体" w:hAnsi="宋体" w:cs="宋体"/>
          <w:b/>
          <w:color w:val="auto"/>
          <w:sz w:val="24"/>
          <w:szCs w:val="24"/>
          <w:highlight w:val="none"/>
        </w:rPr>
      </w:pPr>
      <w:r/>
      <w:bookmarkStart w:id="164" w:name="_Toc259093671"/>
      <w:r/>
      <w:bookmarkStart w:id="165" w:name="_Toc9161"/>
      <w:r/>
      <w:bookmarkStart w:id="166" w:name="_Toc12412"/>
      <w:r/>
      <w:bookmarkStart w:id="167" w:name="_Toc27945"/>
      <w:r/>
      <w:bookmarkStart w:id="168" w:name="_Toc487900351"/>
      <w:r/>
      <w:bookmarkStart w:id="169" w:name="_Toc4133"/>
      <w:r/>
      <w:bookmarkStart w:id="170" w:name="_Toc279701242"/>
      <w:r/>
      <w:bookmarkStart w:id="171" w:name="_Toc13673"/>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4"/>
      <w:r/>
      <w:bookmarkEnd w:id="165"/>
      <w:r/>
      <w:bookmarkEnd w:id="166"/>
      <w:r/>
      <w:bookmarkEnd w:id="167"/>
      <w:r/>
      <w:bookmarkEnd w:id="168"/>
      <w:r/>
      <w:bookmarkEnd w:id="169"/>
      <w:r/>
      <w:bookmarkEnd w:id="170"/>
      <w:r/>
      <w:bookmarkEnd w:id="171"/>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72" w:name="_Toc13467"/>
      <w:r/>
      <w:bookmarkStart w:id="173" w:name="_Toc259093677"/>
      <w:r/>
      <w:bookmarkStart w:id="174" w:name="_Ref467379863"/>
      <w:r/>
      <w:bookmarkStart w:id="175" w:name="_Ref467379852"/>
      <w:r/>
      <w:bookmarkStart w:id="176" w:name="_Toc16163"/>
      <w:r/>
      <w:bookmarkStart w:id="177" w:name="_Toc279701248"/>
      <w:r/>
      <w:bookmarkStart w:id="178" w:name="_Toc13154"/>
      <w:r/>
      <w:bookmarkStart w:id="179" w:name="_Toc30507"/>
      <w:r/>
      <w:bookmarkStart w:id="180" w:name="_Toc18990"/>
      <w:r/>
      <w:bookmarkStart w:id="181" w:name="_Ref467379923"/>
      <w:r/>
      <w:bookmarkStart w:id="182" w:name="_Toc487900358"/>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3" w:name="_Ref467379657"/>
      <w:r>
        <w:rPr>
          <w:rFonts w:hint="eastAsia" w:ascii="宋体" w:hAnsi="宋体" w:cs="宋体"/>
          <w:color w:val="auto"/>
          <w:sz w:val="24"/>
          <w:szCs w:val="24"/>
          <w:highlight w:val="none"/>
        </w:rPr>
        <w:t xml:space="preserve">2.4.1</w:t>
      </w:r>
      <w:bookmarkEnd w:id="183"/>
      <w:r/>
      <w:bookmarkStart w:id="184" w:name="_Toc186431854"/>
      <w:r/>
      <w:bookmarkStart w:id="185" w:name="_Ref467379807"/>
      <w:r/>
      <w:bookmarkStart w:id="186" w:name="_Toc279701247"/>
      <w:r/>
      <w:bookmarkStart w:id="187" w:name="_Toc487900357"/>
      <w:r/>
      <w:bookmarkStart w:id="188" w:name="_Toc259093676"/>
      <w:r/>
      <w:bookmarkStart w:id="189" w:name="_Ref467379793"/>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4"/>
      <w:r/>
      <w:bookmarkStart w:id="190" w:name="_Toc186431855"/>
      <w:r>
        <w:rPr>
          <w:rFonts w:hint="eastAsia" w:ascii="宋体" w:hAnsi="宋体" w:cs="宋体"/>
          <w:color w:val="auto"/>
          <w:sz w:val="24"/>
          <w:szCs w:val="24"/>
          <w:highlight w:val="none"/>
        </w:rPr>
        <w:t xml:space="preserve">。</w:t>
      </w:r>
      <w:bookmarkEnd w:id="172"/>
      <w:r/>
      <w:bookmarkEnd w:id="173"/>
      <w:r/>
      <w:bookmarkEnd w:id="174"/>
      <w:r/>
      <w:bookmarkEnd w:id="175"/>
      <w:r/>
      <w:bookmarkEnd w:id="176"/>
      <w:r/>
      <w:bookmarkEnd w:id="177"/>
      <w:r/>
      <w:bookmarkEnd w:id="178"/>
      <w:r/>
      <w:bookmarkEnd w:id="179"/>
      <w:r/>
      <w:bookmarkEnd w:id="180"/>
      <w:r/>
      <w:bookmarkEnd w:id="181"/>
      <w:r/>
      <w:bookmarkEnd w:id="182"/>
      <w:r/>
      <w:bookmarkEnd w:id="185"/>
      <w:r/>
      <w:bookmarkEnd w:id="186"/>
      <w:r/>
      <w:bookmarkEnd w:id="187"/>
      <w:r/>
      <w:bookmarkEnd w:id="188"/>
      <w:r/>
      <w:bookmarkEnd w:id="189"/>
      <w:r/>
      <w:bookmarkEnd w:id="190"/>
      <w:r/>
      <w:r/>
    </w:p>
    <w:p>
      <w:pPr>
        <w:ind w:firstLine="482"/>
        <w:spacing w:line="560" w:lineRule="exact"/>
        <w:rPr>
          <w:rFonts w:ascii="宋体" w:hAnsi="宋体" w:cs="宋体"/>
          <w:b/>
          <w:color w:val="auto"/>
          <w:sz w:val="24"/>
          <w:szCs w:val="24"/>
          <w:highlight w:val="none"/>
        </w:rPr>
      </w:pPr>
      <w:r/>
      <w:bookmarkStart w:id="191" w:name="_Toc19069"/>
      <w:r/>
      <w:bookmarkStart w:id="192" w:name="_Toc487900362"/>
      <w:r/>
      <w:bookmarkStart w:id="193" w:name="_Toc259093681"/>
      <w:r/>
      <w:bookmarkStart w:id="194" w:name="_Toc27970125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5" w:name="_Toc22267"/>
      <w:r>
        <w:rPr>
          <w:rFonts w:hint="eastAsia" w:ascii="宋体" w:hAnsi="宋体" w:cs="宋体"/>
          <w:b/>
          <w:color w:val="auto"/>
          <w:sz w:val="24"/>
          <w:szCs w:val="24"/>
          <w:highlight w:val="none"/>
        </w:rPr>
        <w:t xml:space="preserve">2.7 延迟</w:t>
      </w:r>
      <w:bookmarkEnd w:id="192"/>
      <w:r/>
      <w:bookmarkEnd w:id="193"/>
      <w:r/>
      <w:bookmarkEnd w:id="194"/>
      <w:r>
        <w:rPr>
          <w:rFonts w:hint="eastAsia" w:ascii="宋体" w:hAnsi="宋体" w:cs="宋体"/>
          <w:b/>
          <w:color w:val="auto"/>
          <w:sz w:val="24"/>
          <w:szCs w:val="24"/>
          <w:highlight w:val="none"/>
        </w:rPr>
        <w:t xml:space="preserve">履行</w:t>
      </w:r>
      <w:bookmarkEnd w:id="19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6" w:name="_Toc10611"/>
      <w:r/>
      <w:bookmarkStart w:id="197" w:name="_Toc42"/>
      <w:r/>
      <w:bookmarkStart w:id="198" w:name="_Toc23368"/>
      <w:r/>
      <w:bookmarkStart w:id="199" w:name="_Toc26689"/>
      <w:r/>
      <w:bookmarkStart w:id="200" w:name="_Toc487900369"/>
      <w:r/>
      <w:bookmarkStart w:id="201" w:name="_Toc279701259"/>
      <w:r/>
      <w:bookmarkStart w:id="202" w:name="_Toc21830"/>
      <w:r/>
      <w:bookmarkStart w:id="203" w:name="_Toc259093688"/>
      <w:r/>
      <w:bookmarkStart w:id="204" w:name="_Toc10663"/>
      <w:r/>
      <w:bookmarkStart w:id="205" w:name="_Toc487900364"/>
      <w:r/>
      <w:bookmarkStart w:id="206" w:name="_Ref467378121"/>
      <w:r/>
      <w:bookmarkStart w:id="207" w:name="_Toc259093683"/>
      <w:r/>
      <w:bookmarkStart w:id="208" w:name="_Toc279701254"/>
      <w:r>
        <w:rPr>
          <w:rFonts w:hint="eastAsia" w:ascii="宋体" w:hAnsi="宋体" w:cs="宋体"/>
          <w:b/>
          <w:color w:val="auto"/>
          <w:sz w:val="24"/>
          <w:szCs w:val="24"/>
          <w:highlight w:val="none"/>
        </w:rPr>
        <w:t xml:space="preserve">2.8 合同变更</w:t>
      </w:r>
      <w:bookmarkEnd w:id="19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7"/>
      <w:r/>
      <w:bookmarkEnd w:id="198"/>
      <w:r/>
      <w:bookmarkEnd w:id="199"/>
      <w:r/>
      <w:bookmarkEnd w:id="200"/>
      <w:r/>
      <w:bookmarkEnd w:id="201"/>
      <w:r/>
      <w:bookmarkEnd w:id="202"/>
      <w:r/>
      <w:bookmarkEnd w:id="203"/>
      <w:r/>
      <w:bookmarkEnd w:id="204"/>
      <w:r/>
      <w:r/>
    </w:p>
    <w:p>
      <w:pPr>
        <w:ind w:firstLine="482"/>
        <w:spacing w:line="560" w:lineRule="exact"/>
        <w:rPr>
          <w:rFonts w:ascii="宋体" w:hAnsi="宋体" w:cs="宋体"/>
          <w:b/>
          <w:color w:val="auto"/>
          <w:sz w:val="24"/>
          <w:szCs w:val="24"/>
          <w:highlight w:val="none"/>
        </w:rPr>
      </w:pPr>
      <w:r/>
      <w:bookmarkStart w:id="209" w:name="_Toc25571"/>
      <w:r/>
      <w:bookmarkStart w:id="210" w:name="_Toc14371"/>
      <w:r/>
      <w:bookmarkStart w:id="211" w:name="_Toc4720"/>
      <w:r/>
      <w:bookmarkStart w:id="212" w:name="_Toc26633"/>
      <w:r/>
      <w:bookmarkStart w:id="213" w:name="_Toc32494"/>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09"/>
      <w:r/>
      <w:bookmarkEnd w:id="210"/>
      <w:r/>
      <w:bookmarkEnd w:id="211"/>
      <w:r/>
      <w:bookmarkEnd w:id="212"/>
      <w:r/>
      <w:bookmarkEnd w:id="213"/>
      <w:r/>
      <w:r/>
    </w:p>
    <w:p>
      <w:pPr>
        <w:ind w:firstLine="482"/>
        <w:spacing w:line="560" w:lineRule="exact"/>
        <w:rPr>
          <w:rFonts w:ascii="宋体" w:hAnsi="宋体" w:cs="宋体"/>
          <w:b/>
          <w:color w:val="auto"/>
          <w:sz w:val="24"/>
          <w:szCs w:val="24"/>
          <w:highlight w:val="none"/>
        </w:rPr>
      </w:pPr>
      <w:r/>
      <w:bookmarkStart w:id="214" w:name="_Toc23854"/>
      <w:r/>
      <w:bookmarkStart w:id="215" w:name="_Toc24465"/>
      <w:r/>
      <w:bookmarkStart w:id="216" w:name="_Toc14115"/>
      <w:r/>
      <w:bookmarkStart w:id="217" w:name="_Toc279701255"/>
      <w:r/>
      <w:bookmarkStart w:id="218" w:name="_Toc25783"/>
      <w:r/>
      <w:bookmarkStart w:id="219" w:name="_Toc487900365"/>
      <w:r/>
      <w:bookmarkStart w:id="220" w:name="_Toc259093684"/>
      <w:r/>
      <w:bookmarkStart w:id="221" w:name="_Toc3638"/>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4"/>
      <w:r/>
      <w:bookmarkEnd w:id="215"/>
      <w:r/>
      <w:bookmarkEnd w:id="216"/>
      <w:r/>
      <w:bookmarkEnd w:id="217"/>
      <w:r/>
      <w:bookmarkEnd w:id="218"/>
      <w:r/>
      <w:bookmarkEnd w:id="219"/>
      <w:r/>
      <w:bookmarkEnd w:id="220"/>
      <w:r/>
      <w:bookmarkEnd w:id="221"/>
      <w:r/>
      <w:r/>
    </w:p>
    <w:p>
      <w:pPr>
        <w:ind w:firstLine="482"/>
        <w:spacing w:line="560" w:lineRule="exact"/>
        <w:rPr>
          <w:rFonts w:ascii="宋体" w:hAnsi="宋体" w:cs="宋体"/>
          <w:b/>
          <w:color w:val="auto"/>
          <w:sz w:val="24"/>
          <w:szCs w:val="24"/>
          <w:highlight w:val="none"/>
        </w:rPr>
      </w:pPr>
      <w:r/>
      <w:bookmarkStart w:id="222" w:name="_Toc2016"/>
      <w:r/>
      <w:bookmarkStart w:id="223" w:name="_Toc23323"/>
      <w:r/>
      <w:bookmarkStart w:id="224" w:name="_Toc1123"/>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5" w:name="_Toc30105"/>
      <w:r/>
      <w:bookmarkStart w:id="226" w:name="_Toc259093687"/>
      <w:r/>
      <w:bookmarkStart w:id="227" w:name="_Toc487900368"/>
      <w:r/>
      <w:bookmarkStart w:id="228" w:name="_Toc7315"/>
      <w:r/>
      <w:bookmarkStart w:id="229" w:name="_Toc25525"/>
      <w:r/>
      <w:bookmarkStart w:id="230" w:name="_Toc26883"/>
      <w:r/>
      <w:bookmarkStart w:id="231" w:name="_Toc279701258"/>
      <w:r/>
      <w:bookmarkStart w:id="232" w:name="_Toc14814"/>
      <w:r>
        <w:rPr>
          <w:rFonts w:hint="eastAsia" w:ascii="宋体" w:hAnsi="宋体" w:cs="宋体"/>
          <w:b/>
          <w:color w:val="auto"/>
          <w:sz w:val="24"/>
          <w:szCs w:val="24"/>
          <w:highlight w:val="none"/>
        </w:rPr>
        <w:t xml:space="preserve">2.12 乙方破产</w:t>
      </w:r>
      <w:bookmarkEnd w:id="225"/>
      <w:r/>
      <w:bookmarkEnd w:id="226"/>
      <w:r/>
      <w:bookmarkEnd w:id="227"/>
      <w:r/>
      <w:bookmarkEnd w:id="228"/>
      <w:r/>
      <w:bookmarkEnd w:id="229"/>
      <w:r/>
      <w:bookmarkEnd w:id="230"/>
      <w:r/>
      <w:bookmarkEnd w:id="231"/>
      <w:r/>
      <w:bookmarkEnd w:id="23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2"/>
      <w:r/>
      <w:bookmarkEnd w:id="223"/>
      <w:r/>
      <w:bookmarkEnd w:id="224"/>
      <w:r/>
      <w:r/>
    </w:p>
    <w:p>
      <w:pPr>
        <w:ind w:firstLine="482"/>
        <w:spacing w:line="560" w:lineRule="exact"/>
        <w:rPr>
          <w:rFonts w:ascii="宋体" w:hAnsi="宋体" w:cs="宋体"/>
          <w:b/>
          <w:color w:val="auto"/>
          <w:sz w:val="24"/>
          <w:szCs w:val="24"/>
          <w:highlight w:val="none"/>
        </w:rPr>
      </w:pPr>
      <w:r/>
      <w:bookmarkStart w:id="233" w:name="_Toc1969"/>
      <w:r/>
      <w:bookmarkStart w:id="234" w:name="_Toc17363"/>
      <w:r/>
      <w:bookmarkStart w:id="235" w:name="_Toc14525"/>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5"/>
      <w:r/>
      <w:bookmarkEnd w:id="206"/>
      <w:r/>
      <w:bookmarkEnd w:id="207"/>
      <w:r/>
      <w:bookmarkEnd w:id="208"/>
      <w:r/>
      <w:bookmarkEnd w:id="233"/>
      <w:r/>
      <w:bookmarkEnd w:id="234"/>
      <w:r/>
      <w:bookmarkEnd w:id="235"/>
      <w:r/>
      <w:r/>
    </w:p>
    <w:p>
      <w:pPr>
        <w:ind w:firstLine="482"/>
        <w:spacing w:line="560" w:lineRule="exact"/>
        <w:rPr>
          <w:rFonts w:ascii="宋体" w:hAnsi="宋体" w:cs="宋体"/>
          <w:b/>
          <w:color w:val="auto"/>
          <w:sz w:val="24"/>
          <w:szCs w:val="24"/>
          <w:highlight w:val="none"/>
        </w:rPr>
      </w:pPr>
      <w:r/>
      <w:bookmarkStart w:id="236" w:name="_Toc487900371"/>
      <w:r/>
      <w:bookmarkStart w:id="237" w:name="_Toc12666"/>
      <w:r/>
      <w:bookmarkStart w:id="238" w:name="_Toc2308"/>
      <w:r/>
      <w:bookmarkStart w:id="239" w:name="_Toc25198"/>
      <w:r/>
      <w:bookmarkStart w:id="240" w:name="_Toc279701261"/>
      <w:r/>
      <w:bookmarkStart w:id="241" w:name="_Toc9808"/>
      <w:r/>
      <w:bookmarkStart w:id="242" w:name="_Toc31892"/>
      <w:r/>
      <w:bookmarkStart w:id="243" w:name="_Toc259093690"/>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6"/>
      <w:r/>
      <w:bookmarkEnd w:id="237"/>
      <w:r/>
      <w:bookmarkEnd w:id="238"/>
      <w:r/>
      <w:bookmarkEnd w:id="239"/>
      <w:r/>
      <w:bookmarkEnd w:id="240"/>
      <w:r/>
      <w:bookmarkEnd w:id="241"/>
      <w:r/>
      <w:bookmarkEnd w:id="242"/>
      <w:r/>
      <w:bookmarkEnd w:id="243"/>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4" w:name="_Toc7073"/>
      <w:r/>
      <w:bookmarkStart w:id="245" w:name="_Toc29220"/>
      <w:r/>
      <w:bookmarkStart w:id="246" w:name="_Toc259093691"/>
      <w:r/>
      <w:bookmarkStart w:id="247" w:name="_Toc487900372"/>
      <w:r/>
      <w:bookmarkStart w:id="248"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4"/>
      <w:r/>
      <w:bookmarkEnd w:id="245"/>
      <w:r/>
      <w:r/>
    </w:p>
    <w:p>
      <w:pPr>
        <w:ind w:firstLine="480"/>
        <w:spacing w:line="560" w:lineRule="exact"/>
        <w:rPr>
          <w:rFonts w:ascii="宋体" w:hAnsi="宋体" w:cs="宋体"/>
          <w:color w:val="auto"/>
          <w:sz w:val="24"/>
          <w:szCs w:val="24"/>
          <w:highlight w:val="none"/>
        </w:rPr>
      </w:pPr>
      <w:r/>
      <w:bookmarkStart w:id="249" w:name="_Toc27674"/>
      <w:r/>
      <w:bookmarkStart w:id="250"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46"/>
      <w:r/>
      <w:bookmarkEnd w:id="247"/>
      <w:r/>
      <w:bookmarkEnd w:id="248"/>
      <w:r/>
      <w:r/>
    </w:p>
    <w:p>
      <w:pPr>
        <w:ind w:firstLine="482"/>
        <w:spacing w:line="560" w:lineRule="exact"/>
        <w:rPr>
          <w:rFonts w:ascii="宋体" w:hAnsi="宋体" w:cs="宋体"/>
          <w:b/>
          <w:color w:val="auto"/>
          <w:sz w:val="24"/>
          <w:szCs w:val="24"/>
          <w:highlight w:val="none"/>
        </w:rPr>
      </w:pPr>
      <w:r/>
      <w:bookmarkStart w:id="251" w:name="_Toc279701263"/>
      <w:r/>
      <w:bookmarkStart w:id="252" w:name="_Toc27644"/>
      <w:r/>
      <w:bookmarkStart w:id="253" w:name="_Toc28906"/>
      <w:r/>
      <w:bookmarkStart w:id="254" w:name="_Toc20808"/>
      <w:r/>
      <w:bookmarkStart w:id="255" w:name="_Toc487900373"/>
      <w:r/>
      <w:bookmarkStart w:id="256" w:name="_Toc259093692"/>
      <w:r/>
      <w:bookmarkStart w:id="257" w:name="_Toc12254"/>
      <w:r/>
      <w:bookmarkStart w:id="258" w:name="_Toc5063"/>
      <w:r>
        <w:rPr>
          <w:rFonts w:hint="eastAsia" w:ascii="宋体" w:hAnsi="宋体" w:cs="宋体"/>
          <w:b/>
          <w:color w:val="auto"/>
          <w:sz w:val="24"/>
          <w:szCs w:val="24"/>
          <w:highlight w:val="none"/>
        </w:rPr>
        <w:t xml:space="preserve">2.16 合同使用的文字和适用的法律</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87"/>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91"/>
      <w:r/>
      <w:bookmarkEnd w:id="92"/>
      <w:r/>
      <w:bookmarkEnd w:id="93"/>
      <w:r/>
      <w:r/>
    </w:p>
    <w:p>
      <w:pPr>
        <w:jc w:val="center"/>
        <w:keepLines w:val="0"/>
        <w:keepNext w:val="0"/>
        <w:pageBreakBefore/>
        <w:widowControl w:val="off"/>
        <w:rPr>
          <w:rFonts w:ascii="黑体" w:eastAsia="黑体"/>
          <w:color w:val="auto"/>
          <w:sz w:val="28"/>
          <w:highlight w:val="none"/>
        </w:rPr>
        <w:outlineLvl w:val="0"/>
      </w:pPr>
      <w:r/>
      <w:bookmarkStart w:id="259" w:name="_Toc20299"/>
      <w:r>
        <w:rPr>
          <w:rFonts w:hint="eastAsia" w:ascii="黑体" w:eastAsia="黑体"/>
          <w:color w:val="auto"/>
          <w:sz w:val="28"/>
          <w:highlight w:val="none"/>
        </w:rPr>
        <w:t xml:space="preserve">第六章 投标文件（格式）</w:t>
      </w:r>
      <w:bookmarkEnd w:id="87"/>
      <w:r/>
      <w:bookmarkEnd w:id="259"/>
      <w:r/>
      <w:r/>
    </w:p>
    <w:p>
      <w:pPr>
        <w:pStyle w:val="964"/>
        <w:ind w:firstLine="0"/>
        <w:jc w:val="center"/>
        <w:rPr>
          <w:rFonts w:ascii="黑体" w:eastAsia="黑体"/>
          <w:color w:val="auto"/>
          <w:sz w:val="28"/>
          <w:highlight w:val="none"/>
        </w:rPr>
      </w:pPr>
      <w:r>
        <w:rPr>
          <w:rFonts w:ascii="黑体" w:eastAsia="黑体"/>
          <w:color w:val="auto"/>
          <w:sz w:val="28"/>
          <w:highlight w:val="none"/>
        </w:rPr>
      </w:r>
      <w:r/>
    </w:p>
    <w:p>
      <w:pPr>
        <w:pStyle w:val="964"/>
        <w:ind w:firstLine="0"/>
        <w:jc w:val="center"/>
        <w:rPr>
          <w:rFonts w:ascii="黑体" w:eastAsia="黑体"/>
          <w:color w:val="auto"/>
          <w:sz w:val="28"/>
          <w:highlight w:val="none"/>
        </w:rPr>
      </w:pPr>
      <w:r>
        <w:rPr>
          <w:rFonts w:ascii="黑体" w:eastAsia="黑体"/>
          <w:color w:val="auto"/>
          <w:sz w:val="28"/>
          <w:highlight w:val="none"/>
        </w:rPr>
      </w:r>
      <w:r/>
    </w:p>
    <w:p>
      <w:pPr>
        <w:pStyle w:val="964"/>
        <w:ind w:firstLine="0"/>
        <w:jc w:val="center"/>
        <w:rPr>
          <w:rFonts w:ascii="黑体" w:eastAsia="黑体"/>
          <w:color w:val="auto"/>
          <w:sz w:val="28"/>
          <w:highlight w:val="none"/>
        </w:rPr>
      </w:pPr>
      <w:r>
        <w:rPr>
          <w:rFonts w:ascii="黑体" w:eastAsia="黑体"/>
          <w:color w:val="auto"/>
          <w:sz w:val="28"/>
          <w:highlight w:val="none"/>
        </w:rPr>
      </w:r>
      <w:r/>
    </w:p>
    <w:p>
      <w:pPr>
        <w:pStyle w:val="964"/>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0" w:name="_Toc10010"/>
      <w:r/>
      <w:bookmarkStart w:id="261" w:name="_Toc24371"/>
      <w:r/>
      <w:bookmarkStart w:id="262" w:name="_Toc24602"/>
      <w:r>
        <w:rPr>
          <w:rFonts w:hint="eastAsia" w:ascii="宋体" w:hAnsi="宋体"/>
          <w:b/>
          <w:color w:val="auto"/>
          <w:sz w:val="36"/>
          <w:szCs w:val="36"/>
          <w:highlight w:val="none"/>
        </w:rPr>
        <w:t xml:space="preserve">项目名称：</w:t>
      </w:r>
      <w:bookmarkEnd w:id="260"/>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3" w:name="_Toc2400"/>
      <w:r>
        <w:rPr>
          <w:rFonts w:hint="eastAsia" w:ascii="宋体" w:hAnsi="宋体"/>
          <w:b/>
          <w:color w:val="auto"/>
          <w:sz w:val="36"/>
          <w:szCs w:val="36"/>
          <w:highlight w:val="none"/>
        </w:rPr>
        <w:t xml:space="preserve">项目编号：</w:t>
      </w:r>
      <w:bookmarkEnd w:id="263"/>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1"/>
      <w:r/>
      <w:bookmarkStart w:id="264"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4"/>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5" w:name="_Toc32423"/>
      <w:r>
        <w:rPr>
          <w:rFonts w:hint="eastAsia" w:ascii="黑体" w:eastAsia="黑体"/>
          <w:bCs/>
          <w:color w:val="auto"/>
          <w:sz w:val="28"/>
          <w:szCs w:val="28"/>
          <w:highlight w:val="none"/>
        </w:rPr>
        <w:t xml:space="preserve">开标一览表</w:t>
      </w:r>
      <w:bookmarkEnd w:id="265"/>
      <w:r/>
      <w:r/>
    </w:p>
    <w:p>
      <w:pPr>
        <w:pStyle w:val="913"/>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1436"/>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3"/>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13"/>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13"/>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3"/>
        <w:jc w:val="right"/>
        <w:rPr>
          <w:color w:val="auto"/>
          <w:highlight w:val="none"/>
        </w:rPr>
      </w:pPr>
      <w:r>
        <w:rPr>
          <w:color w:val="auto"/>
          <w:highlight w:val="none"/>
        </w:rPr>
      </w:r>
      <w:r/>
    </w:p>
    <w:p>
      <w:pPr>
        <w:pStyle w:val="913"/>
        <w:jc w:val="right"/>
        <w:rPr>
          <w:color w:val="auto"/>
          <w:highlight w:val="none"/>
        </w:rPr>
      </w:pPr>
      <w:r>
        <w:rPr>
          <w:color w:val="auto"/>
          <w:highlight w:val="none"/>
        </w:rPr>
      </w:r>
      <w:r/>
    </w:p>
    <w:p>
      <w:pPr>
        <w:pStyle w:val="913"/>
        <w:ind w:right="480"/>
        <w:jc w:val="right"/>
        <w:rPr>
          <w:rFonts w:hAnsi="宋体"/>
          <w:color w:val="auto"/>
          <w:highlight w:val="none"/>
        </w:rPr>
      </w:pPr>
      <w:r>
        <w:rPr>
          <w:rFonts w:hAnsi="宋体"/>
          <w:color w:val="auto"/>
          <w:highlight w:val="none"/>
        </w:rPr>
      </w:r>
      <w:r/>
    </w:p>
    <w:p>
      <w:pPr>
        <w:pStyle w:val="913"/>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无锡高新技术产业开发区环保科技工业园管理办公室</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JSZC-320282-WXJR-G2026-0017</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JSZC-320282-WXJR-G2026-0017</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2"/>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pStyle w:val="987"/>
        <w:rPr>
          <w:color w:val="auto"/>
          <w:highlight w:val="none"/>
        </w:rPr>
      </w:pPr>
      <w:r>
        <w:rPr>
          <w:color w:val="auto"/>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无锡高新技术产业开发区环保科技工业园管理办公室</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兴环科园2026-2027年度科技创新集成服务采购项目（项目编号：JSZC-320282-WXJR-G2026-0017）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9.</w:t>
      </w:r>
      <w:r>
        <w:rPr>
          <w:rFonts w:hint="eastAsia" w:ascii="宋体" w:hAnsi="宋体"/>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详见第二章投标人须知相关要求</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致无锡高新技术产业开发区环保科技工业园管理办公室、无锡君瑞祥泰招标有限公司：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JSZC-320282-WXJR-G2026-0017</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9"/>
        </w:numPr>
        <w:ind w:firstLine="480"/>
        <w:spacing w:line="360" w:lineRule="auto"/>
        <w:tabs>
          <w:tab w:val="clear" w:pos="0" w:leader="none"/>
        </w:tabs>
        <w:rPr>
          <w:rFonts w:ascii="宋体" w:hAnsi="宋体"/>
          <w:bCs/>
          <w:color w:val="auto"/>
          <w:sz w:val="24"/>
          <w:highlight w:val="none"/>
          <w:lang w:val="zh-CN"/>
        </w:rPr>
      </w:pPr>
      <w:r/>
      <w:bookmarkStart w:id="266" w:name="OLE_LINK233"/>
      <w:r/>
      <w:bookmarkStart w:id="267"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68" w:name="_Hlk131935611"/>
      <w:r>
        <w:rPr>
          <w:rFonts w:hint="eastAsia" w:ascii="宋体" w:hAnsi="宋体"/>
          <w:bCs/>
          <w:color w:val="auto"/>
          <w:sz w:val="24"/>
          <w:highlight w:val="none"/>
          <w:lang w:val="zh-CN"/>
        </w:rPr>
        <w:t xml:space="preserve">《项目技术要求偏离表》</w:t>
      </w:r>
      <w:bookmarkEnd w:id="268"/>
      <w:r>
        <w:rPr>
          <w:rFonts w:hint="eastAsia" w:ascii="宋体" w:hAnsi="宋体"/>
          <w:bCs/>
          <w:color w:val="auto"/>
          <w:sz w:val="24"/>
          <w:highlight w:val="none"/>
          <w:lang w:val="zh-CN"/>
        </w:rPr>
        <w:t xml:space="preserve">。</w:t>
      </w:r>
      <w:r/>
    </w:p>
    <w:p>
      <w:pPr>
        <w:numPr>
          <w:ilvl w:val="0"/>
          <w:numId w:val="9"/>
        </w:numPr>
        <w:jc w:val="left"/>
        <w:spacing w:line="360" w:lineRule="auto"/>
        <w:rPr>
          <w:rFonts w:ascii="宋体" w:hAnsi="宋体"/>
          <w:bCs/>
          <w:color w:val="auto"/>
          <w:sz w:val="24"/>
          <w:highlight w:val="none"/>
          <w:lang w:val="zh-CN"/>
        </w:rPr>
      </w:pPr>
      <w:r/>
      <w:bookmarkStart w:id="269" w:name="_Hlk160091472"/>
      <w:r/>
      <w:bookmarkStart w:id="270"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69"/>
      <w:r>
        <w:rPr>
          <w:rFonts w:hint="eastAsia" w:ascii="宋体" w:hAnsi="宋体"/>
          <w:bCs/>
          <w:color w:val="auto"/>
          <w:sz w:val="24"/>
          <w:highlight w:val="none"/>
          <w:lang w:val="zh-CN"/>
        </w:rPr>
        <w:t xml:space="preserve">。</w:t>
      </w:r>
      <w:bookmarkEnd w:id="270"/>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1"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1"/>
      <w:r>
        <w:rPr>
          <w:rFonts w:hint="eastAsia" w:ascii="宋体" w:hAnsi="宋体"/>
          <w:bCs/>
          <w:color w:val="auto"/>
          <w:sz w:val="24"/>
          <w:highlight w:val="none"/>
          <w:lang w:val="zh-CN"/>
        </w:rPr>
        <w:t xml:space="preserve">。</w:t>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9"/>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2"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6"/>
            <w:r/>
            <w:bookmarkEnd w:id="267"/>
            <w:r/>
            <w:bookmarkEnd w:id="272"/>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71"/>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采购文件预设比例，投标人可随投标（响应）文件一并提交相关书面说明及必要的证明材料。</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left="420"/>
        <w:jc w:val="left"/>
        <w:pageBreakBefore/>
        <w:rPr>
          <w:rFonts w:ascii="宋体" w:hAnsi="宋体"/>
          <w:color w:val="auto"/>
          <w:sz w:val="28"/>
          <w:szCs w:val="28"/>
          <w:highlight w:val="none"/>
        </w:rPr>
      </w:pPr>
      <w:r>
        <w:rPr>
          <w:rFonts w:hint="eastAsia" w:ascii="黑体" w:eastAsia="黑体"/>
          <w:bCs/>
          <w:color w:val="auto"/>
          <w:sz w:val="28"/>
          <w:szCs w:val="28"/>
          <w:highlight w:val="none"/>
          <w:lang w:val="en-US" w:eastAsia="zh-CN"/>
        </w:rPr>
        <w:t xml:space="preserve">3.</w:t>
      </w:r>
      <w:r>
        <w:rPr>
          <w:rFonts w:hint="eastAsia" w:ascii="宋体" w:hAnsi="宋体"/>
          <w:bCs/>
          <w:color w:val="auto"/>
          <w:sz w:val="24"/>
          <w:szCs w:val="24"/>
          <w:highlight w:val="none"/>
        </w:rPr>
        <w:t xml:space="preserve">明细报价表（格式）：</w:t>
      </w:r>
      <w:r/>
    </w:p>
    <w:p>
      <w:pPr>
        <w:ind w:firstLine="3975"/>
        <w:jc w:val="both"/>
        <w:spacing w:before="156"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明细报价表 </w:t>
      </w:r>
      <w:r/>
    </w:p>
    <w:p>
      <w:pPr>
        <w:ind w:firstLine="480"/>
        <w:jc w:val="center"/>
        <w:spacing w:before="156"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w:t>
      </w:r>
      <w:r>
        <w:rPr>
          <w:rFonts w:hint="eastAsia" w:ascii="宋体"/>
          <w:bCs/>
          <w:color w:val="auto"/>
          <w:sz w:val="24"/>
          <w:highlight w:val="none"/>
          <w:lang w:val="zh-CN"/>
        </w:rPr>
        <w:t xml:space="preserve">JSZC-320282-WXJR-G2026-0017</w:t>
      </w:r>
      <w:r/>
    </w:p>
    <w:p>
      <w:pPr>
        <w:jc w:val="center"/>
        <w:spacing w:before="156"/>
        <w:rPr>
          <w:rFonts w:ascii="黑体" w:hAnsi="黑体" w:eastAsia="黑体"/>
          <w:color w:val="auto"/>
          <w:sz w:val="28"/>
          <w:szCs w:val="28"/>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rPr>
          <w:rFonts w:hint="eastAsia" w:ascii="宋体" w:hAnsi="宋体"/>
          <w:color w:val="auto"/>
          <w:sz w:val="24"/>
          <w:szCs w:val="24"/>
          <w:highlight w:val="none"/>
        </w:rPr>
        <w:t xml:space="preserve">：                                               单位：元 </w:t>
      </w:r>
      <w:r/>
    </w:p>
    <w:tbl>
      <w:tblPr>
        <w:tblStyle w:val="895"/>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644"/>
        <w:gridCol w:w="1110"/>
        <w:gridCol w:w="885"/>
        <w:gridCol w:w="1606"/>
        <w:gridCol w:w="1402"/>
        <w:gridCol w:w="1358"/>
      </w:tblGrid>
      <w:tr>
        <w:trPr>
          <w:jc w:val="center"/>
          <w:trHeight w:val="771"/>
        </w:trPr>
        <w:tc>
          <w:tcPr>
            <w:tcW w:w="357"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bookmarkStart w:id="273" w:name="_Toc14859"/>
            <w:r/>
            <w:bookmarkStart w:id="274" w:name="OLE_LINK27"/>
            <w:r>
              <w:rPr>
                <w:rFonts w:hint="eastAsia" w:ascii="楷体_GB2312" w:eastAsia="楷体_GB2312"/>
                <w:color w:val="auto"/>
                <w:szCs w:val="21"/>
                <w:highlight w:val="none"/>
              </w:rPr>
              <w:t xml:space="preserve">序号</w:t>
            </w:r>
            <w:r/>
          </w:p>
        </w:tc>
        <w:tc>
          <w:tcPr>
            <w:tcW w:w="1362"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项目名称</w:t>
            </w:r>
            <w:r/>
          </w:p>
        </w:tc>
        <w:tc>
          <w:tcPr>
            <w:tcW w:w="572"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数量</w:t>
            </w:r>
            <w:r/>
          </w:p>
        </w:tc>
        <w:tc>
          <w:tcPr>
            <w:tcW w:w="456"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单位</w:t>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单价</w:t>
            </w:r>
            <w:r/>
          </w:p>
        </w:tc>
        <w:tc>
          <w:tcPr>
            <w:tcW w:w="723" w:type="pct"/>
            <w:vAlign w:val="center"/>
            <w:textDirection w:val="lrTb"/>
            <w:noWrap w:val="false"/>
          </w:tcPr>
          <w:p>
            <w:pPr>
              <w:ind w:left="0" w:right="0"/>
              <w:jc w:val="center"/>
              <w:keepLines w:val="0"/>
              <w:keepNext w:val="0"/>
              <w:spacing w:before="0" w:beforeAutospacing="0" w:after="0" w:afterAutospacing="0"/>
              <w:rPr>
                <w:rFonts w:hint="eastAsia"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分项总报价</w:t>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备注</w:t>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1</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2</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3</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4</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5</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6</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57" w:type="pct"/>
            <w:vAlign w:val="center"/>
            <w:textDirection w:val="lrTb"/>
            <w:noWrap w:val="false"/>
          </w:tcPr>
          <w:p>
            <w:pPr>
              <w:ind w:left="-111" w:right="0" w:firstLine="54"/>
              <w:jc w:val="center"/>
              <w:keepLines w:val="0"/>
              <w:keepNext w:val="0"/>
              <w:spacing w:before="0" w:beforeAutospacing="0" w:after="0" w:afterAutospacing="0"/>
              <w:rPr>
                <w:rFonts w:hint="eastAsia" w:ascii="楷体_GB2312" w:eastAsia="楷体_GB2312"/>
                <w:color w:val="auto"/>
                <w:szCs w:val="21"/>
                <w:highlight w:val="none"/>
                <w:lang w:val="en-US" w:eastAsia="zh-CN"/>
              </w:rPr>
              <w:suppressLineNumbers w:val="0"/>
            </w:pPr>
            <w:r>
              <w:rPr>
                <w:rFonts w:hint="eastAsia" w:ascii="楷体_GB2312" w:eastAsia="楷体_GB2312"/>
                <w:color w:val="auto"/>
                <w:szCs w:val="21"/>
                <w:highlight w:val="none"/>
                <w:lang w:val="en-US" w:eastAsia="zh-CN"/>
              </w:rPr>
              <w:t xml:space="preserve">7</w:t>
            </w:r>
            <w:r/>
          </w:p>
        </w:tc>
        <w:tc>
          <w:tcPr>
            <w:tcW w:w="136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2"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56"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828"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723"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699"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gridSpan w:val="2"/>
            <w:tcW w:w="1720" w:type="pct"/>
            <w:vAlign w:val="center"/>
            <w:vMerge w:val="restart"/>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lang w:eastAsia="zh-CN"/>
              </w:rPr>
              <w:suppressLineNumbers w:val="0"/>
            </w:pPr>
            <w:r>
              <w:rPr>
                <w:rFonts w:hint="eastAsia" w:ascii="楷体_GB2312" w:eastAsia="楷体_GB2312"/>
                <w:color w:val="auto"/>
                <w:szCs w:val="21"/>
                <w:highlight w:val="none"/>
              </w:rPr>
              <w:t xml:space="preserve">合计</w:t>
            </w:r>
            <w:r/>
          </w:p>
        </w:tc>
        <w:tc>
          <w:tcPr>
            <w:gridSpan w:val="5"/>
            <w:tcW w:w="3279"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（小写）</w:t>
            </w:r>
            <w:r/>
          </w:p>
        </w:tc>
      </w:tr>
      <w:tr>
        <w:trPr>
          <w:jc w:val="center"/>
          <w:trHeight w:val="755"/>
        </w:trPr>
        <w:tc>
          <w:tcPr>
            <w:gridSpan w:val="2"/>
            <w:tcW w:w="1720" w:type="pct"/>
            <w:vAlign w:val="center"/>
            <w:vMerge w:val="continue"/>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gridSpan w:val="5"/>
            <w:tcW w:w="3279"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（大写）</w:t>
            </w:r>
            <w:r/>
          </w:p>
        </w:tc>
      </w:tr>
    </w:tbl>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lang w:val="zh-CN"/>
        </w:rPr>
        <w:t xml:space="preserve">投标人签名：</w:t>
      </w:r>
      <w:r>
        <w:rPr>
          <w:rFonts w:hint="eastAsia" w:ascii="宋体" w:hAnsi="宋体"/>
          <w:bCs/>
          <w:color w:val="auto"/>
          <w:sz w:val="24"/>
          <w:highlight w:val="none"/>
        </w:rPr>
        <w:t xml:space="preserve">                                             </w:t>
      </w:r>
      <w:r>
        <w:rPr>
          <w:rFonts w:hint="eastAsia" w:ascii="宋体" w:hAnsi="宋体"/>
          <w:color w:val="auto"/>
          <w:sz w:val="24"/>
          <w:szCs w:val="24"/>
          <w:highlight w:val="none"/>
        </w:rPr>
        <w:t xml:space="preserve">日期：</w:t>
      </w:r>
      <w:r/>
    </w:p>
    <w:p>
      <w:pPr>
        <w:spacing w:line="360" w:lineRule="auto"/>
        <w:rPr>
          <w:rFonts w:ascii="宋体" w:hAnsi="宋体"/>
          <w:b/>
          <w:color w:val="auto"/>
          <w:szCs w:val="21"/>
          <w:highlight w:val="none"/>
        </w:rPr>
      </w:pPr>
      <w:r>
        <w:rPr>
          <w:rFonts w:ascii="宋体" w:hAnsi="宋体"/>
          <w:b/>
          <w:color w:val="auto"/>
          <w:szCs w:val="21"/>
          <w:highlight w:val="none"/>
        </w:rPr>
      </w:r>
      <w:bookmarkEnd w:id="273"/>
      <w:r/>
      <w:r/>
    </w:p>
    <w:p>
      <w:pPr>
        <w:ind w:firstLine="480"/>
        <w:spacing w:line="360" w:lineRule="auto"/>
        <w:rPr>
          <w:rFonts w:ascii="宋体" w:hAnsi="宋体"/>
          <w:color w:val="auto"/>
          <w:sz w:val="24"/>
          <w:szCs w:val="24"/>
          <w:highlight w:val="none"/>
          <w:lang w:val="zh-CN"/>
        </w:rPr>
      </w:pPr>
      <w:r/>
      <w:bookmarkStart w:id="275" w:name="OLE_LINK149"/>
      <w:r>
        <w:rPr>
          <w:rFonts w:hint="eastAsia" w:ascii="宋体" w:hAnsi="宋体"/>
          <w:color w:val="auto"/>
          <w:sz w:val="24"/>
          <w:szCs w:val="24"/>
          <w:highlight w:val="none"/>
          <w:lang w:val="zh-CN"/>
        </w:rPr>
        <w:t xml:space="preserve">注：</w:t>
      </w:r>
      <w:bookmarkEnd w:id="274"/>
      <w:r/>
      <w:bookmarkEnd w:id="275"/>
      <w:r/>
      <w:r/>
    </w:p>
    <w:p>
      <w:pPr>
        <w:numPr>
          <w:ilvl w:val="0"/>
          <w:numId w:val="10"/>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“项目名称”由投标人自行组织编写</w:t>
      </w:r>
      <w:r/>
    </w:p>
    <w:p>
      <w:pPr>
        <w:numPr>
          <w:ilvl w:val="0"/>
          <w:numId w:val="10"/>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“明细报价表”合计需与“报价一览表”合计一致。</w:t>
      </w:r>
      <w:r/>
    </w:p>
    <w:p>
      <w:pPr>
        <w:numPr>
          <w:ilvl w:val="0"/>
          <w:numId w:val="10"/>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表格不够可自行延长。</w:t>
      </w:r>
      <w:r/>
    </w:p>
    <w:p>
      <w:pPr>
        <w:jc w:val="both"/>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5370" w:hanging="4740"/>
        <w:jc w:val="left"/>
        <w:keepLines w:val="0"/>
        <w:keepNext w:val="0"/>
        <w:pageBreakBefore/>
        <w:spacing w:line="360" w:lineRule="auto"/>
        <w:widowControl w:val="off"/>
        <w:rPr>
          <w:rFonts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6" w:name="_Hlk164083408"/>
      <w:r>
        <w:rPr>
          <w:rFonts w:hint="eastAsia" w:ascii="宋体" w:hAnsi="宋体"/>
          <w:b/>
          <w:bCs/>
          <w:color w:val="auto"/>
          <w:highlight w:val="none"/>
        </w:rPr>
        <w:t xml:space="preserve">应按招标文件要求配备项目人员及提供相关证明材料，以满足项目的</w:t>
      </w:r>
      <w:bookmarkEnd w:id="276"/>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7" w:name="OLE_LINK264"/>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7"/>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3"/>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13"/>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3"/>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3"/>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如不提供此声明函，则不能通过资格审查；非专门面向中小微型企业采购的项目，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3"/>
        <w:ind w:left="0" w:firstLine="480"/>
        <w:jc w:val="both"/>
        <w:keepLines w:val="0"/>
        <w:keepNext w:val="0"/>
        <w:spacing w:before="0" w:beforeAutospacing="0" w:after="0" w:afterAutospacing="0" w:line="360" w:lineRule="auto"/>
        <w:widowControl w:val="off"/>
        <w:rPr>
          <w:rFonts w:ascii="黑体" w:hAnsi="宋体" w:eastAsia="黑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应对照《工业和信息化部、国家统计局、国家发展和改革委员会、财政部关于印发中小企业划型标准规定的通知》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《国家统计局关于印发〈统计上大中小微型企业划分办法（2017）〉的通知》（国统字〔2017〕213号）的规定，自行勾选承接企业的企业规模类型。</w:t>
      </w:r>
      <w:r/>
    </w:p>
    <w:p>
      <w:pPr>
        <w:ind w:firstLine="480"/>
        <w:jc w:val="left"/>
        <w:keepLines w:val="0"/>
        <w:keepNext w:val="0"/>
        <w:pageBreakBefore/>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3"/>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13"/>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为残疾人福利性单位并提供服务的必须提供此声明函，否则将不能通过资格审查。</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为残疾人福利性单位的，此声明函将随中标/成交结果同时公告，接受社会监督</w:t>
      </w:r>
      <w:r/>
    </w:p>
    <w:p>
      <w:pPr>
        <w:pStyle w:val="913"/>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78"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3"/>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13"/>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3"/>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1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13"/>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1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eastAsia="宋体" w:cs="宋体"/>
          <w:color w:val="auto"/>
          <w:sz w:val="24"/>
          <w:szCs w:val="24"/>
          <w:highlight w:val="none"/>
          <w:shd w:val="clear" w:color="auto" w:fill="ffffff"/>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3"/>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w:t>
      </w:r>
      <w:r/>
    </w:p>
    <w:p>
      <w:pPr>
        <w:pStyle w:val="91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3"/>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1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1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1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1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13"/>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78"/>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pStyle w:val="899"/>
        <w:rPr>
          <w:color w:val="auto"/>
          <w:highlight w:val="none"/>
        </w:rPr>
      </w:pPr>
      <w:r>
        <w:rPr>
          <w:color w:val="auto"/>
          <w:highlight w:val="none"/>
        </w:rPr>
      </w:r>
      <w:bookmarkEnd w:id="279"/>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framePr w:wrap="around" w:vAnchor="text" w:hAnchor="margin" w:xAlign="center" w:yAlign="top"/>
    </w:pPr>
    <w:r>
      <w:fldChar w:fldCharType="begin"/>
    </w:r>
    <w:r>
      <w:rPr>
        <w:rStyle w:val="920"/>
      </w:rPr>
      <w:instrText xml:space="preserve"> PAGE  </w:instrText>
    </w:r>
    <w:r>
      <w:fldChar w:fldCharType="separate"/>
    </w:r>
    <w:r>
      <w:rPr>
        <w:rStyle w:val="920"/>
      </w:rPr>
      <w:t xml:space="preserve">- 2 -</w:t>
    </w:r>
    <w:r>
      <w:fldChar w:fldCharType="end"/>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4"/>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5"/>
  </w:num>
  <w:num w:numId="4">
    <w:abstractNumId w:val="3"/>
  </w:num>
  <w:num w:numId="5">
    <w:abstractNumId w:val="4"/>
  </w:num>
  <w:num w:numId="6">
    <w:abstractNumId w:val="6"/>
  </w:num>
  <w:num w:numId="7">
    <w:abstractNumId w:val="9"/>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94"/>
    <w:link w:val="885"/>
    <w:uiPriority w:val="9"/>
    <w:rPr>
      <w:rFonts w:ascii="Arial" w:hAnsi="Arial" w:eastAsia="Arial" w:cs="Arial"/>
      <w:sz w:val="40"/>
      <w:szCs w:val="40"/>
    </w:rPr>
  </w:style>
  <w:style w:type="character" w:styleId="727">
    <w:name w:val="Heading 2 Char"/>
    <w:basedOn w:val="894"/>
    <w:link w:val="886"/>
    <w:uiPriority w:val="9"/>
    <w:rPr>
      <w:rFonts w:ascii="Arial" w:hAnsi="Arial" w:eastAsia="Arial" w:cs="Arial"/>
      <w:sz w:val="34"/>
    </w:rPr>
  </w:style>
  <w:style w:type="character" w:styleId="728">
    <w:name w:val="Heading 3 Char"/>
    <w:basedOn w:val="894"/>
    <w:link w:val="887"/>
    <w:uiPriority w:val="9"/>
    <w:rPr>
      <w:rFonts w:ascii="Arial" w:hAnsi="Arial" w:eastAsia="Arial" w:cs="Arial"/>
      <w:sz w:val="30"/>
      <w:szCs w:val="30"/>
    </w:rPr>
  </w:style>
  <w:style w:type="character" w:styleId="729">
    <w:name w:val="Heading 4 Char"/>
    <w:basedOn w:val="894"/>
    <w:link w:val="888"/>
    <w:uiPriority w:val="9"/>
    <w:rPr>
      <w:rFonts w:ascii="Arial" w:hAnsi="Arial" w:eastAsia="Arial" w:cs="Arial"/>
      <w:b/>
      <w:bCs/>
      <w:sz w:val="26"/>
      <w:szCs w:val="26"/>
    </w:rPr>
  </w:style>
  <w:style w:type="character" w:styleId="730">
    <w:name w:val="Heading 5 Char"/>
    <w:basedOn w:val="894"/>
    <w:link w:val="889"/>
    <w:uiPriority w:val="9"/>
    <w:rPr>
      <w:rFonts w:ascii="Arial" w:hAnsi="Arial" w:eastAsia="Arial" w:cs="Arial"/>
      <w:b/>
      <w:bCs/>
      <w:sz w:val="24"/>
      <w:szCs w:val="24"/>
    </w:rPr>
  </w:style>
  <w:style w:type="character" w:styleId="731">
    <w:name w:val="Heading 6 Char"/>
    <w:basedOn w:val="894"/>
    <w:link w:val="890"/>
    <w:uiPriority w:val="9"/>
    <w:rPr>
      <w:rFonts w:ascii="Arial" w:hAnsi="Arial" w:eastAsia="Arial" w:cs="Arial"/>
      <w:b/>
      <w:bCs/>
      <w:sz w:val="22"/>
      <w:szCs w:val="22"/>
    </w:rPr>
  </w:style>
  <w:style w:type="character" w:styleId="732">
    <w:name w:val="Heading 7 Char"/>
    <w:basedOn w:val="894"/>
    <w:link w:val="891"/>
    <w:uiPriority w:val="9"/>
    <w:rPr>
      <w:rFonts w:ascii="Arial" w:hAnsi="Arial" w:eastAsia="Arial" w:cs="Arial"/>
      <w:b/>
      <w:bCs/>
      <w:i/>
      <w:iCs/>
      <w:sz w:val="22"/>
      <w:szCs w:val="22"/>
    </w:rPr>
  </w:style>
  <w:style w:type="character" w:styleId="733">
    <w:name w:val="Heading 8 Char"/>
    <w:basedOn w:val="894"/>
    <w:link w:val="892"/>
    <w:uiPriority w:val="9"/>
    <w:rPr>
      <w:rFonts w:ascii="Arial" w:hAnsi="Arial" w:eastAsia="Arial" w:cs="Arial"/>
      <w:i/>
      <w:iCs/>
      <w:sz w:val="22"/>
      <w:szCs w:val="22"/>
    </w:rPr>
  </w:style>
  <w:style w:type="character" w:styleId="734">
    <w:name w:val="Heading 9 Char"/>
    <w:basedOn w:val="894"/>
    <w:link w:val="893"/>
    <w:uiPriority w:val="9"/>
    <w:rPr>
      <w:rFonts w:ascii="Arial" w:hAnsi="Arial" w:eastAsia="Arial" w:cs="Arial"/>
      <w:i/>
      <w:iCs/>
      <w:sz w:val="21"/>
      <w:szCs w:val="21"/>
    </w:rPr>
  </w:style>
  <w:style w:type="character" w:styleId="735">
    <w:name w:val="Title Char"/>
    <w:basedOn w:val="894"/>
    <w:link w:val="914"/>
    <w:uiPriority w:val="10"/>
    <w:rPr>
      <w:sz w:val="48"/>
      <w:szCs w:val="48"/>
    </w:rPr>
  </w:style>
  <w:style w:type="character" w:styleId="736">
    <w:name w:val="Subtitle Char"/>
    <w:basedOn w:val="894"/>
    <w:link w:val="908"/>
    <w:uiPriority w:val="11"/>
    <w:rPr>
      <w:sz w:val="24"/>
      <w:szCs w:val="24"/>
    </w:rPr>
  </w:style>
  <w:style w:type="paragraph" w:styleId="737">
    <w:name w:val="Quote"/>
    <w:basedOn w:val="884"/>
    <w:next w:val="884"/>
    <w:link w:val="738"/>
    <w:uiPriority w:val="29"/>
    <w:qFormat/>
    <w:pPr>
      <w:ind w:left="720" w:right="720"/>
    </w:pPr>
    <w:rPr>
      <w:i/>
    </w:rPr>
  </w:style>
  <w:style w:type="character" w:styleId="738">
    <w:name w:val="Quote Char"/>
    <w:link w:val="737"/>
    <w:uiPriority w:val="29"/>
    <w:rPr>
      <w:i/>
    </w:rPr>
  </w:style>
  <w:style w:type="paragraph" w:styleId="739">
    <w:name w:val="Intense Quote"/>
    <w:basedOn w:val="884"/>
    <w:next w:val="884"/>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4"/>
    <w:link w:val="906"/>
    <w:uiPriority w:val="99"/>
  </w:style>
  <w:style w:type="character" w:styleId="742">
    <w:name w:val="Footer Char"/>
    <w:basedOn w:val="894"/>
    <w:link w:val="904"/>
    <w:uiPriority w:val="99"/>
  </w:style>
  <w:style w:type="paragraph" w:styleId="743">
    <w:name w:val="Caption"/>
    <w:basedOn w:val="884"/>
    <w:next w:val="884"/>
    <w:uiPriority w:val="35"/>
    <w:semiHidden/>
    <w:unhideWhenUsed/>
    <w:qFormat/>
    <w:pPr>
      <w:spacing w:line="276" w:lineRule="auto"/>
    </w:pPr>
    <w:rPr>
      <w:b/>
      <w:bCs/>
      <w:color w:val="4f81bd" w:themeColor="accent1"/>
      <w:sz w:val="18"/>
      <w:szCs w:val="18"/>
    </w:rPr>
  </w:style>
  <w:style w:type="character" w:styleId="744">
    <w:name w:val="Caption Char"/>
    <w:basedOn w:val="743"/>
    <w:link w:val="904"/>
    <w:uiPriority w:val="99"/>
  </w:style>
  <w:style w:type="table" w:styleId="745">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9">
    <w:name w:val="footnote text"/>
    <w:basedOn w:val="884"/>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94"/>
    <w:uiPriority w:val="99"/>
    <w:unhideWhenUsed/>
    <w:rPr>
      <w:vertAlign w:val="superscript"/>
    </w:rPr>
  </w:style>
  <w:style w:type="paragraph" w:styleId="872">
    <w:name w:val="endnote text"/>
    <w:basedOn w:val="884"/>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94"/>
    <w:uiPriority w:val="99"/>
    <w:semiHidden/>
    <w:unhideWhenUsed/>
    <w:rPr>
      <w:vertAlign w:val="superscript"/>
    </w:r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uiPriority w:val="0"/>
    <w:qFormat/>
    <w:pPr>
      <w:jc w:val="both"/>
      <w:widowControl w:val="off"/>
    </w:pPr>
    <w:rPr>
      <w:rFonts w:ascii="Calibri" w:hAnsi="Calibri" w:eastAsia="宋体" w:cs="Times New Roman"/>
      <w:sz w:val="21"/>
      <w:lang w:val="en-US" w:eastAsia="zh-CN" w:bidi="ar-SA"/>
    </w:rPr>
  </w:style>
  <w:style w:type="paragraph" w:styleId="885">
    <w:name w:val="Heading 1"/>
    <w:basedOn w:val="884"/>
    <w:next w:val="884"/>
    <w:link w:val="927"/>
    <w:uiPriority w:val="0"/>
    <w:qFormat/>
    <w:pPr>
      <w:keepLines/>
      <w:keepNext/>
      <w:spacing w:before="340" w:after="330" w:line="576" w:lineRule="auto"/>
      <w:outlineLvl w:val="0"/>
    </w:pPr>
    <w:rPr>
      <w:b/>
      <w:sz w:val="44"/>
    </w:rPr>
  </w:style>
  <w:style w:type="paragraph" w:styleId="886">
    <w:name w:val="Heading 2"/>
    <w:basedOn w:val="884"/>
    <w:next w:val="884"/>
    <w:link w:val="928"/>
    <w:uiPriority w:val="0"/>
    <w:qFormat/>
    <w:pPr>
      <w:keepLines/>
      <w:keepNext/>
      <w:spacing w:before="260" w:after="260" w:line="412" w:lineRule="auto"/>
      <w:outlineLvl w:val="1"/>
    </w:pPr>
    <w:rPr>
      <w:rFonts w:ascii="Arial" w:hAnsi="Arial" w:eastAsia="黑体"/>
      <w:b/>
      <w:sz w:val="32"/>
    </w:rPr>
  </w:style>
  <w:style w:type="paragraph" w:styleId="887">
    <w:name w:val="Heading 3"/>
    <w:basedOn w:val="884"/>
    <w:next w:val="884"/>
    <w:link w:val="929"/>
    <w:uiPriority w:val="0"/>
    <w:qFormat/>
    <w:pPr>
      <w:keepLines/>
      <w:keepNext/>
      <w:spacing w:before="260" w:after="260" w:line="412" w:lineRule="auto"/>
      <w:outlineLvl w:val="2"/>
    </w:pPr>
    <w:rPr>
      <w:b/>
      <w:sz w:val="32"/>
    </w:rPr>
  </w:style>
  <w:style w:type="paragraph" w:styleId="888">
    <w:name w:val="Heading 4"/>
    <w:basedOn w:val="884"/>
    <w:next w:val="884"/>
    <w:link w:val="930"/>
    <w:uiPriority w:val="0"/>
    <w:qFormat/>
    <w:pPr>
      <w:keepLines/>
      <w:keepNext/>
      <w:spacing w:before="280" w:after="290" w:line="372" w:lineRule="auto"/>
      <w:outlineLvl w:val="3"/>
    </w:pPr>
    <w:rPr>
      <w:rFonts w:ascii="Arial" w:hAnsi="Arial" w:eastAsia="黑体"/>
      <w:b/>
      <w:sz w:val="28"/>
    </w:rPr>
  </w:style>
  <w:style w:type="paragraph" w:styleId="889">
    <w:name w:val="Heading 5"/>
    <w:basedOn w:val="884"/>
    <w:next w:val="884"/>
    <w:link w:val="931"/>
    <w:uiPriority w:val="0"/>
    <w:qFormat/>
    <w:pPr>
      <w:keepLines/>
      <w:keepNext/>
      <w:spacing w:before="280" w:after="290" w:line="372" w:lineRule="auto"/>
      <w:outlineLvl w:val="4"/>
    </w:pPr>
    <w:rPr>
      <w:b/>
      <w:sz w:val="28"/>
    </w:rPr>
  </w:style>
  <w:style w:type="paragraph" w:styleId="890">
    <w:name w:val="Heading 6"/>
    <w:basedOn w:val="884"/>
    <w:next w:val="884"/>
    <w:link w:val="932"/>
    <w:uiPriority w:val="0"/>
    <w:qFormat/>
    <w:pPr>
      <w:keepLines/>
      <w:keepNext/>
      <w:spacing w:before="240" w:after="64" w:line="316" w:lineRule="auto"/>
      <w:outlineLvl w:val="5"/>
    </w:pPr>
    <w:rPr>
      <w:rFonts w:ascii="Arial" w:hAnsi="Arial" w:eastAsia="黑体"/>
      <w:b/>
      <w:sz w:val="24"/>
    </w:rPr>
  </w:style>
  <w:style w:type="paragraph" w:styleId="891">
    <w:name w:val="Heading 7"/>
    <w:basedOn w:val="884"/>
    <w:next w:val="884"/>
    <w:link w:val="933"/>
    <w:uiPriority w:val="0"/>
    <w:qFormat/>
    <w:pPr>
      <w:keepLines/>
      <w:keepNext/>
      <w:spacing w:before="240" w:after="64" w:line="316" w:lineRule="auto"/>
      <w:outlineLvl w:val="6"/>
    </w:pPr>
    <w:rPr>
      <w:b/>
      <w:sz w:val="24"/>
    </w:rPr>
  </w:style>
  <w:style w:type="paragraph" w:styleId="892">
    <w:name w:val="Heading 8"/>
    <w:basedOn w:val="884"/>
    <w:next w:val="884"/>
    <w:link w:val="934"/>
    <w:uiPriority w:val="0"/>
    <w:qFormat/>
    <w:pPr>
      <w:keepLines/>
      <w:keepNext/>
      <w:spacing w:before="240" w:after="64" w:line="316" w:lineRule="auto"/>
      <w:outlineLvl w:val="7"/>
    </w:pPr>
    <w:rPr>
      <w:rFonts w:ascii="Arial" w:hAnsi="Arial" w:eastAsia="黑体"/>
      <w:sz w:val="24"/>
    </w:rPr>
  </w:style>
  <w:style w:type="paragraph" w:styleId="893">
    <w:name w:val="Heading 9"/>
    <w:basedOn w:val="884"/>
    <w:next w:val="884"/>
    <w:link w:val="935"/>
    <w:uiPriority w:val="0"/>
    <w:qFormat/>
    <w:pPr>
      <w:keepLines/>
      <w:keepNext/>
      <w:spacing w:before="240" w:after="64" w:line="316" w:lineRule="auto"/>
      <w:outlineLvl w:val="8"/>
    </w:pPr>
    <w:rPr>
      <w:rFonts w:ascii="Arial" w:hAnsi="Arial" w:eastAsia="黑体"/>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Normal Indent"/>
    <w:basedOn w:val="884"/>
    <w:next w:val="884"/>
    <w:uiPriority w:val="99"/>
    <w:qFormat/>
    <w:pPr>
      <w:ind w:firstLine="420"/>
      <w:jc w:val="left"/>
      <w:widowControl/>
    </w:pPr>
    <w:rPr>
      <w:sz w:val="24"/>
    </w:rPr>
  </w:style>
  <w:style w:type="paragraph" w:styleId="897">
    <w:name w:val="Document Map"/>
    <w:basedOn w:val="884"/>
    <w:link w:val="968"/>
    <w:uiPriority w:val="99"/>
    <w:unhideWhenUsed/>
    <w:qFormat/>
    <w:rPr>
      <w:rFonts w:ascii="Microsoft YaHei UI" w:eastAsia="Microsoft YaHei UI"/>
      <w:sz w:val="18"/>
      <w:szCs w:val="18"/>
    </w:rPr>
  </w:style>
  <w:style w:type="paragraph" w:styleId="898">
    <w:name w:val="annotation text"/>
    <w:basedOn w:val="884"/>
    <w:link w:val="936"/>
    <w:uiPriority w:val="0"/>
    <w:qFormat/>
    <w:pPr>
      <w:jc w:val="left"/>
    </w:pPr>
  </w:style>
  <w:style w:type="paragraph" w:styleId="899">
    <w:name w:val="Body Text"/>
    <w:basedOn w:val="884"/>
    <w:link w:val="937"/>
    <w:uiPriority w:val="0"/>
    <w:qFormat/>
    <w:rPr>
      <w:sz w:val="20"/>
    </w:rPr>
  </w:style>
  <w:style w:type="paragraph" w:styleId="900">
    <w:name w:val="Body Text Indent"/>
    <w:basedOn w:val="884"/>
    <w:link w:val="938"/>
    <w:uiPriority w:val="0"/>
    <w:qFormat/>
    <w:pPr>
      <w:ind w:left="200"/>
      <w:spacing w:after="120"/>
    </w:pPr>
  </w:style>
  <w:style w:type="paragraph" w:styleId="901">
    <w:name w:val="index 4"/>
    <w:basedOn w:val="884"/>
    <w:next w:val="884"/>
    <w:uiPriority w:val="0"/>
    <w:qFormat/>
    <w:pPr>
      <w:ind w:left="600"/>
    </w:pPr>
    <w:rPr>
      <w:rFonts w:ascii="Times New Roman" w:hAnsi="Times New Roman" w:eastAsia="宋体" w:cs="Times New Roman"/>
    </w:rPr>
  </w:style>
  <w:style w:type="paragraph" w:styleId="902">
    <w:name w:val="Date"/>
    <w:basedOn w:val="884"/>
    <w:next w:val="884"/>
    <w:link w:val="974"/>
    <w:uiPriority w:val="99"/>
    <w:semiHidden/>
    <w:unhideWhenUsed/>
    <w:qFormat/>
    <w:pPr>
      <w:ind w:left="100"/>
    </w:pPr>
  </w:style>
  <w:style w:type="paragraph" w:styleId="903">
    <w:name w:val="Balloon Text"/>
    <w:basedOn w:val="884"/>
    <w:link w:val="939"/>
    <w:uiPriority w:val="0"/>
    <w:qFormat/>
    <w:rPr>
      <w:sz w:val="18"/>
      <w:szCs w:val="18"/>
    </w:rPr>
  </w:style>
  <w:style w:type="paragraph" w:styleId="904">
    <w:name w:val="Footer"/>
    <w:basedOn w:val="884"/>
    <w:link w:val="926"/>
    <w:uiPriority w:val="99"/>
    <w:unhideWhenUsed/>
    <w:qFormat/>
    <w:pPr>
      <w:jc w:val="left"/>
      <w:tabs>
        <w:tab w:val="center" w:pos="4153" w:leader="none"/>
        <w:tab w:val="right" w:pos="8306" w:leader="none"/>
      </w:tabs>
    </w:pPr>
    <w:rPr>
      <w:sz w:val="18"/>
      <w:szCs w:val="18"/>
    </w:rPr>
  </w:style>
  <w:style w:type="paragraph" w:styleId="905">
    <w:name w:val="envelope return"/>
    <w:basedOn w:val="884"/>
    <w:uiPriority w:val="0"/>
    <w:qFormat/>
    <w:pPr>
      <w:ind w:firstLine="200"/>
      <w:spacing w:line="360" w:lineRule="auto"/>
    </w:pPr>
    <w:rPr>
      <w:rFonts w:ascii="Arial" w:hAnsi="Arial" w:eastAsia="仿宋_GB2312" w:cs="Arial"/>
      <w:sz w:val="24"/>
      <w:szCs w:val="21"/>
    </w:rPr>
  </w:style>
  <w:style w:type="paragraph" w:styleId="906">
    <w:name w:val="Header"/>
    <w:basedOn w:val="884"/>
    <w:link w:val="9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84"/>
    <w:next w:val="884"/>
    <w:uiPriority w:val="39"/>
    <w:qFormat/>
  </w:style>
  <w:style w:type="paragraph" w:styleId="908">
    <w:name w:val="Subtitle"/>
    <w:basedOn w:val="884"/>
    <w:next w:val="884"/>
    <w:link w:val="940"/>
    <w:uiPriority w:val="0"/>
    <w:qFormat/>
    <w:pPr>
      <w:jc w:val="center"/>
      <w:spacing w:before="240" w:after="60" w:line="312" w:lineRule="auto"/>
      <w:widowControl/>
      <w:outlineLvl w:val="1"/>
    </w:pPr>
    <w:rPr>
      <w:rFonts w:ascii="Calibri Light" w:hAnsi="Calibri Light"/>
      <w:b/>
      <w:bCs/>
      <w:sz w:val="32"/>
      <w:szCs w:val="32"/>
    </w:rPr>
  </w:style>
  <w:style w:type="paragraph" w:styleId="909">
    <w:name w:val="Body Text Indent 3"/>
    <w:basedOn w:val="884"/>
    <w:link w:val="941"/>
    <w:uiPriority w:val="0"/>
    <w:qFormat/>
    <w:pPr>
      <w:ind w:left="200"/>
      <w:jc w:val="left"/>
      <w:spacing w:after="120"/>
      <w:widowControl/>
    </w:pPr>
    <w:rPr>
      <w:sz w:val="16"/>
      <w:szCs w:val="16"/>
    </w:rPr>
  </w:style>
  <w:style w:type="paragraph" w:styleId="910">
    <w:name w:val="toc 2"/>
    <w:basedOn w:val="884"/>
    <w:next w:val="884"/>
    <w:uiPriority w:val="0"/>
    <w:qFormat/>
    <w:pPr>
      <w:ind w:left="200"/>
    </w:pPr>
  </w:style>
  <w:style w:type="paragraph" w:styleId="911">
    <w:name w:val="Body Text 2"/>
    <w:basedOn w:val="884"/>
    <w:link w:val="942"/>
    <w:uiPriority w:val="0"/>
    <w:qFormat/>
    <w:pPr>
      <w:spacing w:after="120" w:line="480" w:lineRule="auto"/>
    </w:pPr>
    <w:rPr>
      <w:sz w:val="20"/>
    </w:rPr>
  </w:style>
  <w:style w:type="paragraph" w:styleId="912">
    <w:name w:val="HTML Preformatted"/>
    <w:basedOn w:val="884"/>
    <w:link w:val="9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3">
    <w:name w:val="Normal (Web)"/>
    <w:basedOn w:val="884"/>
    <w:uiPriority w:val="99"/>
    <w:qFormat/>
    <w:pPr>
      <w:jc w:val="left"/>
      <w:spacing w:before="100" w:beforeAutospacing="1" w:after="100" w:afterAutospacing="1"/>
      <w:widowControl/>
    </w:pPr>
    <w:rPr>
      <w:rFonts w:ascii="宋体" w:cs="宋体"/>
      <w:sz w:val="24"/>
      <w:szCs w:val="24"/>
    </w:rPr>
  </w:style>
  <w:style w:type="paragraph" w:styleId="914">
    <w:name w:val="Title"/>
    <w:basedOn w:val="884"/>
    <w:next w:val="884"/>
    <w:link w:val="944"/>
    <w:uiPriority w:val="0"/>
    <w:qFormat/>
    <w:pPr>
      <w:jc w:val="center"/>
      <w:spacing w:before="60" w:after="60"/>
      <w:widowControl/>
      <w:outlineLvl w:val="0"/>
    </w:pPr>
    <w:rPr>
      <w:rFonts w:ascii="Cambria" w:hAnsi="Cambria"/>
      <w:b/>
      <w:bCs/>
      <w:sz w:val="24"/>
      <w:szCs w:val="32"/>
    </w:rPr>
  </w:style>
  <w:style w:type="paragraph" w:styleId="915">
    <w:name w:val="annotation subject"/>
    <w:basedOn w:val="898"/>
    <w:next w:val="898"/>
    <w:link w:val="945"/>
    <w:uiPriority w:val="0"/>
    <w:qFormat/>
    <w:rPr>
      <w:b/>
      <w:bCs/>
    </w:rPr>
  </w:style>
  <w:style w:type="paragraph" w:styleId="916">
    <w:name w:val="Body Text First Indent"/>
    <w:basedOn w:val="899"/>
    <w:uiPriority w:val="0"/>
    <w:qFormat/>
    <w:pPr>
      <w:ind w:firstLine="420"/>
      <w:spacing w:after="120"/>
    </w:pPr>
    <w:rPr>
      <w:rFonts w:ascii="宋体" w:hAnsi="宋体"/>
      <w:sz w:val="24"/>
    </w:rPr>
  </w:style>
  <w:style w:type="paragraph" w:styleId="917">
    <w:name w:val="Body Text First Indent 2"/>
    <w:basedOn w:val="900"/>
    <w:next w:val="916"/>
    <w:link w:val="946"/>
    <w:uiPriority w:val="0"/>
    <w:qFormat/>
    <w:pPr>
      <w:ind w:left="0" w:firstLine="200"/>
      <w:spacing w:after="0"/>
    </w:pPr>
    <w:rPr>
      <w:rFonts w:ascii="仿宋_GB2312" w:eastAsia="仿宋_GB2312"/>
      <w:sz w:val="24"/>
      <w:szCs w:val="24"/>
    </w:rPr>
  </w:style>
  <w:style w:type="table" w:styleId="918">
    <w:name w:val="Table Grid"/>
    <w:basedOn w:val="8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basedOn w:val="894"/>
    <w:uiPriority w:val="22"/>
    <w:qFormat/>
    <w:rPr>
      <w:b/>
    </w:rPr>
  </w:style>
  <w:style w:type="character" w:styleId="920">
    <w:name w:val="page number"/>
    <w:basedOn w:val="894"/>
    <w:uiPriority w:val="0"/>
    <w:qFormat/>
  </w:style>
  <w:style w:type="character" w:styleId="921">
    <w:name w:val="FollowedHyperlink"/>
    <w:uiPriority w:val="0"/>
    <w:qFormat/>
    <w:rPr>
      <w:color w:val="auto"/>
      <w:u w:val="none"/>
    </w:rPr>
  </w:style>
  <w:style w:type="character" w:styleId="922">
    <w:name w:val="Hyperlink"/>
    <w:uiPriority w:val="99"/>
    <w:qFormat/>
    <w:rPr>
      <w:color w:val="0000ff"/>
      <w:u w:val="single"/>
    </w:rPr>
  </w:style>
  <w:style w:type="character" w:styleId="923">
    <w:name w:val="annotation reference"/>
    <w:uiPriority w:val="0"/>
    <w:qFormat/>
    <w:rPr>
      <w:sz w:val="21"/>
      <w:szCs w:val="21"/>
    </w:rPr>
  </w:style>
  <w:style w:type="paragraph" w:styleId="924" w:customStyle="1">
    <w:name w:val="段"/>
    <w:next w:val="884"/>
    <w:uiPriority w:val="0"/>
    <w:qFormat/>
    <w:pPr>
      <w:ind w:firstLine="200"/>
      <w:jc w:val="both"/>
    </w:pPr>
    <w:rPr>
      <w:rFonts w:ascii="宋体" w:hAnsi="Times New Roman" w:eastAsia="宋体" w:cs="Times New Roman"/>
      <w:sz w:val="21"/>
      <w:szCs w:val="22"/>
      <w:lang w:val="en-US" w:eastAsia="zh-CN" w:bidi="ar-SA"/>
    </w:rPr>
  </w:style>
  <w:style w:type="character" w:styleId="925" w:customStyle="1">
    <w:name w:val="页眉 Char"/>
    <w:basedOn w:val="894"/>
    <w:link w:val="906"/>
    <w:uiPriority w:val="99"/>
    <w:qFormat/>
    <w:rPr>
      <w:sz w:val="18"/>
      <w:szCs w:val="18"/>
    </w:rPr>
  </w:style>
  <w:style w:type="character" w:styleId="926" w:customStyle="1">
    <w:name w:val="页脚 Char"/>
    <w:basedOn w:val="894"/>
    <w:link w:val="904"/>
    <w:uiPriority w:val="99"/>
    <w:qFormat/>
    <w:rPr>
      <w:sz w:val="18"/>
      <w:szCs w:val="18"/>
    </w:rPr>
  </w:style>
  <w:style w:type="character" w:styleId="927" w:customStyle="1">
    <w:name w:val="标题 1 Char"/>
    <w:basedOn w:val="894"/>
    <w:link w:val="885"/>
    <w:uiPriority w:val="0"/>
    <w:qFormat/>
    <w:rPr>
      <w:rFonts w:ascii="Calibri" w:hAnsi="Calibri" w:eastAsia="宋体" w:cs="Times New Roman"/>
      <w:b/>
      <w:sz w:val="44"/>
      <w:szCs w:val="20"/>
    </w:rPr>
  </w:style>
  <w:style w:type="character" w:styleId="928" w:customStyle="1">
    <w:name w:val="标题 2 Char"/>
    <w:basedOn w:val="894"/>
    <w:link w:val="886"/>
    <w:uiPriority w:val="0"/>
    <w:qFormat/>
    <w:rPr>
      <w:rFonts w:ascii="Arial" w:hAnsi="Arial" w:eastAsia="黑体" w:cs="Times New Roman"/>
      <w:b/>
      <w:sz w:val="32"/>
      <w:szCs w:val="20"/>
    </w:rPr>
  </w:style>
  <w:style w:type="character" w:styleId="929" w:customStyle="1">
    <w:name w:val="标题 3 Char"/>
    <w:basedOn w:val="894"/>
    <w:link w:val="887"/>
    <w:uiPriority w:val="0"/>
    <w:qFormat/>
    <w:rPr>
      <w:rFonts w:ascii="Calibri" w:hAnsi="Calibri" w:eastAsia="宋体" w:cs="Times New Roman"/>
      <w:b/>
      <w:sz w:val="32"/>
      <w:szCs w:val="20"/>
    </w:rPr>
  </w:style>
  <w:style w:type="character" w:styleId="930" w:customStyle="1">
    <w:name w:val="标题 4 Char"/>
    <w:basedOn w:val="894"/>
    <w:link w:val="888"/>
    <w:uiPriority w:val="0"/>
    <w:qFormat/>
    <w:rPr>
      <w:rFonts w:ascii="Arial" w:hAnsi="Arial" w:eastAsia="黑体" w:cs="Times New Roman"/>
      <w:b/>
      <w:sz w:val="28"/>
      <w:szCs w:val="20"/>
    </w:rPr>
  </w:style>
  <w:style w:type="character" w:styleId="931" w:customStyle="1">
    <w:name w:val="标题 5 Char"/>
    <w:basedOn w:val="894"/>
    <w:link w:val="889"/>
    <w:uiPriority w:val="0"/>
    <w:qFormat/>
    <w:rPr>
      <w:rFonts w:ascii="Calibri" w:hAnsi="Calibri" w:eastAsia="宋体" w:cs="Times New Roman"/>
      <w:b/>
      <w:sz w:val="28"/>
      <w:szCs w:val="20"/>
    </w:rPr>
  </w:style>
  <w:style w:type="character" w:styleId="932" w:customStyle="1">
    <w:name w:val="标题 6 Char"/>
    <w:basedOn w:val="894"/>
    <w:link w:val="890"/>
    <w:uiPriority w:val="0"/>
    <w:qFormat/>
    <w:rPr>
      <w:rFonts w:ascii="Arial" w:hAnsi="Arial" w:eastAsia="黑体" w:cs="Times New Roman"/>
      <w:b/>
      <w:sz w:val="24"/>
      <w:szCs w:val="20"/>
    </w:rPr>
  </w:style>
  <w:style w:type="character" w:styleId="933" w:customStyle="1">
    <w:name w:val="标题 7 Char"/>
    <w:basedOn w:val="894"/>
    <w:link w:val="891"/>
    <w:uiPriority w:val="0"/>
    <w:qFormat/>
    <w:rPr>
      <w:rFonts w:ascii="Calibri" w:hAnsi="Calibri" w:eastAsia="宋体" w:cs="Times New Roman"/>
      <w:b/>
      <w:sz w:val="24"/>
      <w:szCs w:val="20"/>
    </w:rPr>
  </w:style>
  <w:style w:type="character" w:styleId="934" w:customStyle="1">
    <w:name w:val="标题 8 Char"/>
    <w:basedOn w:val="894"/>
    <w:link w:val="892"/>
    <w:uiPriority w:val="0"/>
    <w:qFormat/>
    <w:rPr>
      <w:rFonts w:ascii="Arial" w:hAnsi="Arial" w:eastAsia="黑体" w:cs="Times New Roman"/>
      <w:sz w:val="24"/>
      <w:szCs w:val="20"/>
    </w:rPr>
  </w:style>
  <w:style w:type="character" w:styleId="935" w:customStyle="1">
    <w:name w:val="标题 9 Char"/>
    <w:basedOn w:val="894"/>
    <w:link w:val="893"/>
    <w:uiPriority w:val="0"/>
    <w:qFormat/>
    <w:rPr>
      <w:rFonts w:ascii="Arial" w:hAnsi="Arial" w:eastAsia="黑体" w:cs="Times New Roman"/>
      <w:szCs w:val="20"/>
    </w:rPr>
  </w:style>
  <w:style w:type="character" w:styleId="936" w:customStyle="1">
    <w:name w:val="批注文字 Char"/>
    <w:basedOn w:val="894"/>
    <w:link w:val="898"/>
    <w:uiPriority w:val="0"/>
    <w:qFormat/>
    <w:rPr>
      <w:rFonts w:ascii="Calibri" w:hAnsi="Calibri" w:eastAsia="宋体" w:cs="Times New Roman"/>
      <w:szCs w:val="20"/>
    </w:rPr>
  </w:style>
  <w:style w:type="character" w:styleId="937" w:customStyle="1">
    <w:name w:val="正文文本 Char"/>
    <w:basedOn w:val="894"/>
    <w:link w:val="899"/>
    <w:uiPriority w:val="0"/>
    <w:qFormat/>
    <w:rPr>
      <w:rFonts w:ascii="Calibri" w:hAnsi="Calibri" w:eastAsia="宋体" w:cs="Times New Roman"/>
      <w:sz w:val="20"/>
      <w:szCs w:val="20"/>
    </w:rPr>
  </w:style>
  <w:style w:type="character" w:styleId="938" w:customStyle="1">
    <w:name w:val="正文文本缩进 Char"/>
    <w:basedOn w:val="894"/>
    <w:link w:val="900"/>
    <w:uiPriority w:val="0"/>
    <w:qFormat/>
    <w:rPr>
      <w:rFonts w:ascii="Calibri" w:hAnsi="Calibri" w:eastAsia="宋体" w:cs="Times New Roman"/>
      <w:szCs w:val="20"/>
    </w:rPr>
  </w:style>
  <w:style w:type="character" w:styleId="939" w:customStyle="1">
    <w:name w:val="批注框文本 Char"/>
    <w:basedOn w:val="894"/>
    <w:link w:val="903"/>
    <w:uiPriority w:val="0"/>
    <w:qFormat/>
    <w:rPr>
      <w:rFonts w:ascii="Calibri" w:hAnsi="Calibri" w:eastAsia="宋体" w:cs="Times New Roman"/>
      <w:sz w:val="18"/>
      <w:szCs w:val="18"/>
    </w:rPr>
  </w:style>
  <w:style w:type="character" w:styleId="940" w:customStyle="1">
    <w:name w:val="副标题 Char"/>
    <w:basedOn w:val="894"/>
    <w:link w:val="908"/>
    <w:uiPriority w:val="0"/>
    <w:qFormat/>
    <w:rPr>
      <w:rFonts w:ascii="Calibri Light" w:hAnsi="Calibri Light" w:eastAsia="宋体" w:cs="Times New Roman"/>
      <w:b/>
      <w:bCs/>
      <w:sz w:val="32"/>
      <w:szCs w:val="32"/>
    </w:rPr>
  </w:style>
  <w:style w:type="character" w:styleId="941" w:customStyle="1">
    <w:name w:val="正文文本缩进 3 Char"/>
    <w:basedOn w:val="894"/>
    <w:link w:val="909"/>
    <w:uiPriority w:val="0"/>
    <w:qFormat/>
    <w:rPr>
      <w:rFonts w:ascii="Calibri" w:hAnsi="Calibri" w:eastAsia="宋体" w:cs="Times New Roman"/>
      <w:sz w:val="16"/>
      <w:szCs w:val="16"/>
    </w:rPr>
  </w:style>
  <w:style w:type="character" w:styleId="942" w:customStyle="1">
    <w:name w:val="正文文本 2 Char"/>
    <w:basedOn w:val="894"/>
    <w:link w:val="911"/>
    <w:uiPriority w:val="0"/>
    <w:qFormat/>
    <w:rPr>
      <w:rFonts w:ascii="Calibri" w:hAnsi="Calibri" w:eastAsia="宋体" w:cs="Times New Roman"/>
      <w:sz w:val="20"/>
      <w:szCs w:val="20"/>
    </w:rPr>
  </w:style>
  <w:style w:type="character" w:styleId="943" w:customStyle="1">
    <w:name w:val="HTML 预设格式 Char"/>
    <w:basedOn w:val="894"/>
    <w:link w:val="912"/>
    <w:uiPriority w:val="0"/>
    <w:qFormat/>
    <w:rPr>
      <w:rFonts w:ascii="宋体" w:hAnsi="宋体" w:eastAsia="Times New Roman" w:cs="Times New Roman"/>
      <w:sz w:val="24"/>
      <w:szCs w:val="24"/>
      <w:lang w:val="en-US" w:eastAsia="zh-CN"/>
    </w:rPr>
  </w:style>
  <w:style w:type="character" w:styleId="944" w:customStyle="1">
    <w:name w:val="标题 Char"/>
    <w:basedOn w:val="894"/>
    <w:link w:val="914"/>
    <w:uiPriority w:val="0"/>
    <w:qFormat/>
    <w:rPr>
      <w:rFonts w:ascii="Cambria" w:hAnsi="Cambria" w:eastAsia="宋体" w:cs="Times New Roman"/>
      <w:b/>
      <w:bCs/>
      <w:sz w:val="24"/>
      <w:szCs w:val="32"/>
    </w:rPr>
  </w:style>
  <w:style w:type="character" w:styleId="945" w:customStyle="1">
    <w:name w:val="批注主题 Char"/>
    <w:basedOn w:val="936"/>
    <w:link w:val="915"/>
    <w:uiPriority w:val="0"/>
    <w:qFormat/>
    <w:rPr>
      <w:rFonts w:ascii="Calibri" w:hAnsi="Calibri" w:eastAsia="宋体" w:cs="Times New Roman"/>
      <w:b/>
      <w:bCs/>
      <w:szCs w:val="20"/>
    </w:rPr>
  </w:style>
  <w:style w:type="character" w:styleId="946" w:customStyle="1">
    <w:name w:val="正文首行缩进 2 Char"/>
    <w:basedOn w:val="938"/>
    <w:link w:val="917"/>
    <w:uiPriority w:val="0"/>
    <w:qFormat/>
    <w:rPr>
      <w:rFonts w:ascii="仿宋_GB2312" w:hAnsi="Calibri" w:eastAsia="仿宋_GB2312" w:cs="Times New Roman"/>
      <w:sz w:val="24"/>
      <w:szCs w:val="24"/>
    </w:rPr>
  </w:style>
  <w:style w:type="character" w:styleId="947" w:customStyle="1">
    <w:name w:val="正文首行缩进 2 Char1"/>
    <w:uiPriority w:val="0"/>
    <w:qFormat/>
  </w:style>
  <w:style w:type="character" w:styleId="948" w:customStyle="1">
    <w:name w:val="标题 Char1"/>
    <w:uiPriority w:val="0"/>
    <w:qFormat/>
    <w:rPr>
      <w:rFonts w:ascii="Cambria" w:hAnsi="Cambria" w:cs="Times New Roman"/>
      <w:b/>
      <w:bCs/>
      <w:sz w:val="32"/>
      <w:szCs w:val="32"/>
      <w:lang w:bidi="ar-SA"/>
    </w:rPr>
  </w:style>
  <w:style w:type="character" w:styleId="949" w:customStyle="1">
    <w:name w:val="副标题 Char1"/>
    <w:uiPriority w:val="0"/>
    <w:qFormat/>
    <w:rPr>
      <w:rFonts w:ascii="Cambria" w:hAnsi="Cambria" w:cs="Times New Roman"/>
      <w:b/>
      <w:bCs/>
      <w:sz w:val="32"/>
      <w:szCs w:val="32"/>
      <w:lang w:bidi="ar-SA"/>
    </w:rPr>
  </w:style>
  <w:style w:type="character" w:styleId="950" w:customStyle="1">
    <w:name w:val="fr"/>
    <w:basedOn w:val="894"/>
    <w:uiPriority w:val="0"/>
    <w:qFormat/>
  </w:style>
  <w:style w:type="character" w:styleId="951" w:customStyle="1">
    <w:name w:val="15"/>
    <w:uiPriority w:val="0"/>
    <w:qFormat/>
    <w:rPr>
      <w:rFonts w:ascii="Times New Roman" w:hAnsi="Times New Roman" w:cs="Times New Roman"/>
      <w:color w:val="464445"/>
      <w:u w:val="none"/>
      <w:lang w:bidi="ar-SA"/>
    </w:rPr>
  </w:style>
  <w:style w:type="character" w:styleId="952" w:customStyle="1">
    <w:name w:val="标题1"/>
    <w:basedOn w:val="894"/>
    <w:uiPriority w:val="0"/>
    <w:qFormat/>
  </w:style>
  <w:style w:type="character" w:styleId="953" w:customStyle="1">
    <w:name w:val="apple-converted-space"/>
    <w:basedOn w:val="894"/>
    <w:uiPriority w:val="0"/>
    <w:qFormat/>
  </w:style>
  <w:style w:type="paragraph" w:styleId="954" w:customStyle="1">
    <w:name w:val="zhang"/>
    <w:basedOn w:val="884"/>
    <w:uiPriority w:val="0"/>
    <w:qFormat/>
    <w:pPr>
      <w:jc w:val="left"/>
      <w:spacing w:before="100" w:beforeAutospacing="1" w:after="100" w:afterAutospacing="1"/>
      <w:widowControl/>
    </w:pPr>
    <w:rPr>
      <w:rFonts w:ascii="宋体" w:cs="宋体"/>
      <w:b/>
      <w:bCs/>
      <w:smallCaps/>
      <w:color w:val="000000"/>
      <w:sz w:val="20"/>
    </w:rPr>
  </w:style>
  <w:style w:type="paragraph" w:styleId="955">
    <w:name w:val="List Paragraph"/>
    <w:basedOn w:val="884"/>
    <w:uiPriority w:val="0"/>
    <w:qFormat/>
    <w:pPr>
      <w:ind w:firstLine="200"/>
    </w:pPr>
  </w:style>
  <w:style w:type="paragraph" w:styleId="956" w:customStyle="1">
    <w:name w:val="p0"/>
    <w:basedOn w:val="884"/>
    <w:uiPriority w:val="0"/>
    <w:qFormat/>
    <w:pPr>
      <w:widowControl/>
    </w:pPr>
    <w:rPr>
      <w:szCs w:val="21"/>
    </w:rPr>
  </w:style>
  <w:style w:type="paragraph" w:styleId="957" w:customStyle="1">
    <w:name w:val="Default Paragraph Font Para Char"/>
    <w:basedOn w:val="884"/>
    <w:uiPriority w:val="0"/>
    <w:qFormat/>
    <w:pPr>
      <w:jc w:val="left"/>
      <w:spacing w:after="160" w:line="240" w:lineRule="exact"/>
      <w:widowControl/>
    </w:pPr>
  </w:style>
  <w:style w:type="paragraph" w:styleId="958" w:customStyle="1">
    <w:name w:val="索引 11"/>
    <w:basedOn w:val="884"/>
    <w:next w:val="884"/>
    <w:uiPriority w:val="0"/>
    <w:qFormat/>
    <w:pPr>
      <w:spacing w:line="360" w:lineRule="auto"/>
    </w:pPr>
    <w:rPr>
      <w:rFonts w:ascii="仿宋_GB2312" w:eastAsia="仿宋_GB2312"/>
      <w:sz w:val="24"/>
    </w:rPr>
  </w:style>
  <w:style w:type="paragraph" w:styleId="959" w:customStyle="1">
    <w:name w:val="纯文本1"/>
    <w:basedOn w:val="884"/>
    <w:uiPriority w:val="0"/>
    <w:qFormat/>
    <w:rPr>
      <w:rFonts w:ascii="宋体"/>
      <w:szCs w:val="22"/>
    </w:rPr>
  </w:style>
  <w:style w:type="paragraph" w:styleId="960"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1" w:customStyle="1">
    <w:name w:val="_Style 34"/>
    <w:basedOn w:val="884"/>
    <w:uiPriority w:val="0"/>
    <w:qFormat/>
    <w:pPr>
      <w:ind w:firstLine="200"/>
    </w:pPr>
    <w:rPr>
      <w:rFonts w:ascii="Times New Roman" w:hAnsi="Times New Roman"/>
    </w:rPr>
  </w:style>
  <w:style w:type="paragraph" w:styleId="962" w:customStyle="1">
    <w:name w:val="_Style 5"/>
    <w:uiPriority w:val="0"/>
    <w:qFormat/>
    <w:rPr>
      <w:rFonts w:ascii="Calibri" w:hAnsi="Calibri" w:eastAsia="宋体" w:cs="Times New Roman"/>
      <w:sz w:val="21"/>
      <w:lang w:val="en-US" w:eastAsia="zh-CN" w:bidi="ar-SA"/>
    </w:rPr>
  </w:style>
  <w:style w:type="paragraph" w:styleId="963" w:customStyle="1">
    <w:name w:val="TOC 标题1"/>
    <w:basedOn w:val="885"/>
    <w:next w:val="884"/>
    <w:uiPriority w:val="0"/>
    <w:qFormat/>
    <w:pPr>
      <w:spacing w:line="578" w:lineRule="auto"/>
      <w:outlineLvl w:val="9"/>
    </w:pPr>
    <w:rPr>
      <w:bCs/>
      <w:szCs w:val="44"/>
    </w:rPr>
  </w:style>
  <w:style w:type="paragraph" w:styleId="964" w:customStyle="1">
    <w:name w:val="正文缩进1"/>
    <w:basedOn w:val="884"/>
    <w:uiPriority w:val="0"/>
    <w:qFormat/>
    <w:pPr>
      <w:ind w:firstLine="420"/>
      <w:jc w:val="left"/>
    </w:pPr>
    <w:rPr>
      <w:rFonts w:ascii="宋体"/>
      <w:sz w:val="24"/>
      <w:szCs w:val="22"/>
    </w:rPr>
  </w:style>
  <w:style w:type="paragraph" w:styleId="965" w:customStyle="1">
    <w:name w:val="正文_1_0"/>
    <w:basedOn w:val="884"/>
    <w:uiPriority w:val="0"/>
    <w:qFormat/>
    <w:rPr>
      <w:szCs w:val="24"/>
    </w:rPr>
  </w:style>
  <w:style w:type="paragraph" w:styleId="966" w:customStyle="1">
    <w:name w:val="普通文字"/>
    <w:basedOn w:val="884"/>
    <w:next w:val="884"/>
    <w:uiPriority w:val="0"/>
    <w:qFormat/>
    <w:rPr>
      <w:rFonts w:ascii="宋体"/>
      <w:sz w:val="24"/>
    </w:rPr>
  </w:style>
  <w:style w:type="paragraph" w:styleId="967"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68" w:customStyle="1">
    <w:name w:val="文档结构图 Char"/>
    <w:basedOn w:val="894"/>
    <w:link w:val="897"/>
    <w:uiPriority w:val="99"/>
    <w:qFormat/>
    <w:rPr>
      <w:rFonts w:ascii="Microsoft YaHei UI" w:hAnsi="Calibri" w:eastAsia="Microsoft YaHei UI" w:cs="Times New Roman"/>
      <w:sz w:val="18"/>
      <w:szCs w:val="18"/>
    </w:rPr>
  </w:style>
  <w:style w:type="paragraph" w:styleId="969" w:customStyle="1">
    <w:name w:val="xc正文"/>
    <w:basedOn w:val="884"/>
    <w:uiPriority w:val="0"/>
    <w:qFormat/>
    <w:pPr>
      <w:ind w:firstLine="200"/>
      <w:spacing w:line="360" w:lineRule="auto"/>
    </w:pPr>
    <w:rPr>
      <w:sz w:val="24"/>
      <w:szCs w:val="22"/>
    </w:rPr>
  </w:style>
  <w:style w:type="table" w:styleId="970" w:customStyle="1">
    <w:name w:val="网格型1"/>
    <w:basedOn w:val="8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1" w:customStyle="1">
    <w:name w:val="Default"/>
    <w:basedOn w:val="884"/>
    <w:uiPriority w:val="0"/>
    <w:qFormat/>
    <w:pPr>
      <w:jc w:val="left"/>
    </w:pPr>
    <w:rPr>
      <w:rFonts w:ascii="Arial" w:hAnsi="Arial" w:eastAsia="PMingLiU"/>
      <w:sz w:val="20"/>
    </w:rPr>
  </w:style>
  <w:style w:type="character" w:styleId="972" w:customStyle="1">
    <w:name w:val="Unresolved Mention"/>
    <w:basedOn w:val="894"/>
    <w:uiPriority w:val="99"/>
    <w:semiHidden/>
    <w:unhideWhenUsed/>
    <w:qFormat/>
    <w:rPr>
      <w:color w:val="605e5c"/>
      <w:shd w:val="clear" w:color="auto" w:fill="e1dfdd"/>
    </w:rPr>
  </w:style>
  <w:style w:type="table" w:styleId="973" w:customStyle="1">
    <w:name w:val="Grid Table 5 Dark- Accent 4"/>
    <w:basedOn w:val="8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4" w:customStyle="1">
    <w:name w:val="日期 Char"/>
    <w:basedOn w:val="894"/>
    <w:link w:val="902"/>
    <w:uiPriority w:val="99"/>
    <w:semiHidden/>
    <w:qFormat/>
    <w:rPr>
      <w:rFonts w:ascii="Calibri" w:hAnsi="Calibri" w:eastAsia="宋体" w:cs="Times New Roman"/>
      <w:szCs w:val="20"/>
    </w:rPr>
  </w:style>
  <w:style w:type="table" w:styleId="975"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6" w:customStyle="1">
    <w:name w:val="Table Paragraph"/>
    <w:basedOn w:val="884"/>
    <w:uiPriority w:val="1"/>
    <w:qFormat/>
    <w:pPr>
      <w:jc w:val="left"/>
    </w:pPr>
    <w:rPr>
      <w:rFonts w:ascii="宋体" w:hAnsi="宋体" w:cs="宋体"/>
      <w:sz w:val="22"/>
      <w:szCs w:val="22"/>
    </w:rPr>
  </w:style>
  <w:style w:type="character" w:styleId="977">
    <w:name w:val="Placeholder Text"/>
    <w:basedOn w:val="894"/>
    <w:uiPriority w:val="99"/>
    <w:semiHidden/>
    <w:qFormat/>
    <w:rPr>
      <w:color w:val="666666"/>
    </w:rPr>
  </w:style>
  <w:style w:type="paragraph" w:styleId="978" w:customStyle="1">
    <w:name w:val="Table Text"/>
    <w:basedOn w:val="884"/>
    <w:uiPriority w:val="0"/>
    <w:semiHidden/>
    <w:qFormat/>
    <w:rPr>
      <w:rFonts w:ascii="宋体" w:hAnsi="宋体" w:cs="宋体"/>
      <w:sz w:val="24"/>
      <w:szCs w:val="24"/>
      <w:lang w:eastAsia="en-US"/>
    </w:rPr>
  </w:style>
  <w:style w:type="paragraph" w:styleId="979" w:customStyle="1">
    <w:name w:val="*正文"/>
    <w:basedOn w:val="884"/>
    <w:uiPriority w:val="0"/>
    <w:qFormat/>
    <w:pPr>
      <w:ind w:firstLine="200"/>
      <w:jc w:val="left"/>
      <w:spacing w:line="360" w:lineRule="auto"/>
    </w:pPr>
    <w:rPr>
      <w:rFonts w:ascii="宋体" w:hAnsi="宋体"/>
      <w:sz w:val="24"/>
    </w:rPr>
  </w:style>
  <w:style w:type="paragraph" w:styleId="980" w:customStyle="1">
    <w:name w:val="列出段落2"/>
    <w:basedOn w:val="884"/>
    <w:uiPriority w:val="0"/>
    <w:qFormat/>
    <w:pPr>
      <w:ind w:firstLine="420"/>
    </w:pPr>
    <w:rPr>
      <w:sz w:val="22"/>
    </w:rPr>
  </w:style>
  <w:style w:type="paragraph" w:styleId="981" w:customStyle="1">
    <w:name w:val="BodyText1I2"/>
    <w:basedOn w:val="982"/>
    <w:next w:val="984"/>
    <w:uiPriority w:val="0"/>
    <w:qFormat/>
    <w:pPr>
      <w:ind w:left="420" w:firstLine="420"/>
      <w:spacing w:after="120"/>
    </w:pPr>
  </w:style>
  <w:style w:type="paragraph" w:styleId="982" w:customStyle="1">
    <w:name w:val="BodyTextIndent"/>
    <w:basedOn w:val="884"/>
    <w:next w:val="983"/>
    <w:uiPriority w:val="0"/>
    <w:qFormat/>
    <w:pPr>
      <w:ind w:firstLine="900"/>
    </w:pPr>
    <w:rPr>
      <w:sz w:val="28"/>
    </w:rPr>
  </w:style>
  <w:style w:type="paragraph" w:styleId="983" w:customStyle="1">
    <w:name w:val="NormalIndent"/>
    <w:basedOn w:val="884"/>
    <w:next w:val="982"/>
    <w:uiPriority w:val="0"/>
    <w:qFormat/>
    <w:pPr>
      <w:ind w:firstLine="420"/>
    </w:pPr>
  </w:style>
  <w:style w:type="paragraph" w:styleId="984" w:customStyle="1">
    <w:name w:val="UserStyle_14"/>
    <w:basedOn w:val="884"/>
    <w:next w:val="884"/>
    <w:uiPriority w:val="0"/>
    <w:qFormat/>
    <w:pPr>
      <w:jc w:val="center"/>
      <w:spacing w:before="280" w:after="280" w:line="100" w:lineRule="exact"/>
    </w:pPr>
    <w:rPr>
      <w:b/>
      <w:sz w:val="20"/>
    </w:rPr>
  </w:style>
  <w:style w:type="paragraph" w:styleId="985">
    <w:name w:val="No Spacing"/>
    <w:uiPriority w:val="1"/>
    <w:qFormat/>
    <w:pPr>
      <w:jc w:val="both"/>
      <w:widowControl w:val="off"/>
    </w:pPr>
    <w:rPr>
      <w:rFonts w:ascii="宋体" w:hAnsi="宋体" w:eastAsia="宋体" w:cs="Times New Roman"/>
      <w:sz w:val="24"/>
      <w:szCs w:val="24"/>
      <w:lang w:val="en-US" w:eastAsia="zh-CN" w:bidi="ar-SA"/>
    </w:rPr>
  </w:style>
  <w:style w:type="paragraph" w:styleId="986" w:customStyle="1">
    <w:name w:val="首行缩进"/>
    <w:basedOn w:val="884"/>
    <w:uiPriority w:val="0"/>
    <w:qFormat/>
    <w:pPr>
      <w:ind w:firstLine="480"/>
    </w:pPr>
    <w:rPr>
      <w:lang w:val="zh-CN"/>
    </w:rPr>
  </w:style>
  <w:style w:type="paragraph" w:styleId="987" w:customStyle="1">
    <w:name w:val="正文首行缩进 21"/>
    <w:basedOn w:val="988"/>
    <w:next w:val="989"/>
    <w:uiPriority w:val="99"/>
    <w:qFormat/>
    <w:pPr>
      <w:ind w:left="156" w:firstLine="420"/>
      <w:spacing w:after="0" w:line="360" w:lineRule="auto"/>
      <w:widowControl/>
    </w:pPr>
    <w:rPr>
      <w:rFonts w:ascii="宋体" w:hAnsi="宋体"/>
    </w:rPr>
  </w:style>
  <w:style w:type="paragraph" w:styleId="988" w:customStyle="1">
    <w:name w:val="正文文本缩进1"/>
    <w:basedOn w:val="884"/>
    <w:uiPriority w:val="99"/>
    <w:unhideWhenUsed/>
    <w:qFormat/>
    <w:pPr>
      <w:ind w:left="420"/>
      <w:spacing w:after="120"/>
    </w:pPr>
  </w:style>
  <w:style w:type="paragraph" w:styleId="989" w:customStyle="1">
    <w:name w:val="正文首行缩进1"/>
    <w:basedOn w:val="990"/>
    <w:uiPriority w:val="99"/>
    <w:unhideWhenUsed/>
    <w:qFormat/>
    <w:pPr>
      <w:ind w:firstLine="420"/>
      <w:spacing w:after="120"/>
    </w:pPr>
    <w:rPr>
      <w:sz w:val="21"/>
    </w:rPr>
  </w:style>
  <w:style w:type="paragraph" w:styleId="990" w:customStyle="1">
    <w:name w:val="正文文本1"/>
    <w:basedOn w:val="884"/>
    <w:next w:val="884"/>
    <w:uiPriority w:val="0"/>
    <w:qFormat/>
    <w:rPr>
      <w:sz w:val="20"/>
    </w:rPr>
  </w:style>
  <w:style w:type="paragraph" w:styleId="991" w:customStyle="1">
    <w:name w:val="纯文本11"/>
    <w:basedOn w:val="884"/>
    <w:uiPriority w:val="0"/>
    <w:qFormat/>
    <w:rPr>
      <w:rFonts w:ascii="宋体" w:hAnsi="Courier New"/>
    </w:rPr>
  </w:style>
  <w:style w:type="paragraph" w:styleId="992" w:customStyle="1">
    <w:name w:val="无间隔1"/>
    <w:basedOn w:val="884"/>
    <w:uiPriority w:val="99"/>
    <w:qFormat/>
    <w:pPr>
      <w:jc w:val="center"/>
    </w:pPr>
    <w:rPr>
      <w:rFonts w:ascii="宋体" w:hAnsi="宋体" w:cs="宋体"/>
      <w:szCs w:val="24"/>
    </w:rPr>
  </w:style>
  <w:style w:type="character" w:styleId="993" w:customStyle="1">
    <w:name w:val="font01"/>
    <w:basedOn w:val="894"/>
    <w:uiPriority w:val="0"/>
    <w:qFormat/>
    <w:rPr>
      <w:rFonts w:hint="eastAsia" w:ascii="宋体" w:hAnsi="宋体" w:eastAsia="宋体" w:cs="宋体"/>
      <w:b/>
      <w:bCs/>
      <w:color w:val="000000"/>
      <w:sz w:val="24"/>
      <w:szCs w:val="24"/>
      <w:u w:val="none"/>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cce02c9b-3e39-4c5b-8f59-6a50b57468e0</errorID>
      <errorWord>“.</errorWord>
      <group>L1_Punc</group>
      <groupName>标点问题</groupName>
      <ability>L2_Punc_CN</ability>
      <abilityName>标点符号问题</abilityName>
      <candidateList>
        <item>“</item>
      </candidateList>
      <explain/>
      <paraID>18477F96</paraID>
      <start>71</start>
      <end>73</end>
      <status>ignored</status>
      <modifiedWord/>
      <trackRevisions>false</trackRevisions>
    </reviewItem>
    <reviewItem>
      <errorID>cfedefe3-9f17-4b84-877b-ea3a27388b34</errorID>
      <errorWord>“.</errorWord>
      <group>L1_Punc</group>
      <groupName>标点问题</groupName>
      <ability>L2_Punc_CN</ability>
      <abilityName>标点符号问题</abilityName>
      <candidateList>
        <item>“</item>
      </candidateList>
      <explain/>
      <paraID> 6C96C1D</paraID>
      <start>19</start>
      <end>21</end>
      <status>ignored</status>
      <modifiedWord/>
      <trackRevisions>false</trackRevisions>
    </reviewItem>
    <reviewItem>
      <errorID>0d1f6e2a-3c90-49f0-b590-af6e09b26273</errorID>
      <errorWord>（</errorWord>
      <group>L1_Punc</group>
      <groupName>标点问题</groupName>
      <ability>L2_Punc_CN</ability>
      <abilityName>标点符号问题</abilityName>
      <candidateList/>
      <explain>同一形式括号套用。</explain>
      <paraID>6623E1B1</paraID>
      <start>308</start>
      <end>309</end>
      <status>ignored</status>
      <modifiedWord/>
      <trackRevisions>false</trackRevisions>
    </reviewItem>
    <reviewItem>
      <errorID>9328b049-a4c7-4b17-a331-e9a09412a911</errorID>
      <errorWord>）</errorWord>
      <group>L1_Punc</group>
      <groupName>标点问题</groupName>
      <ability>L2_Punc_CN</ability>
      <abilityName>标点符号问题</abilityName>
      <candidateList/>
      <explain>同一形式括号套用。</explain>
      <paraID>6623E1B1</paraID>
      <start>314</start>
      <end>315</end>
      <status>ignored</status>
      <modifiedWord/>
      <trackRevisions>false</trackRevisions>
    </reviewItem>
    <reviewItem>
      <errorID>dc7f8007-cc39-46ff-8422-7511c2b16077</errorID>
      <errorWord>“.</errorWord>
      <group>L1_Punc</group>
      <groupName>标点问题</groupName>
      <ability>L2_Punc_CN</ability>
      <abilityName>标点符号问题</abilityName>
      <candidateList>
        <item>“</item>
      </candidateList>
      <explain/>
      <paraID>64DD44DF</paraID>
      <start>30</start>
      <end>32</end>
      <status>ignored</status>
      <modifiedWord/>
      <trackRevisions>false</trackRevisions>
    </reviewItem>
    <reviewItem>
      <errorID>c73cb3fe-9ba7-4ae1-83e8-13b006d14523</errorID>
      <errorWord>“.</errorWord>
      <group>L1_Punc</group>
      <groupName>标点问题</groupName>
      <ability>L2_Punc_CN</ability>
      <abilityName>标点符号问题</abilityName>
      <candidateList>
        <item>“</item>
      </candidateList>
      <explain/>
      <paraID>519B8249</paraID>
      <start>157</start>
      <end>159</end>
      <status>ignored</status>
      <modifiedWord/>
      <trackRevisions>false</trackRevisions>
    </reviewItem>
    <reviewItem>
      <errorID>4e32a2e5-c01b-406e-bfd6-3b1172206962</errorID>
      <errorWord>（</errorWord>
      <group>L1_Punc</group>
      <groupName>标点问题</groupName>
      <ability>L2_Punc_CN</ability>
      <abilityName>标点符号问题</abilityName>
      <candidateList/>
      <explain>同一形式括号套用。</explain>
      <paraID>519B8249</paraID>
      <start>242</start>
      <end>243</end>
      <status>ignored</status>
      <modifiedWord/>
      <trackRevisions>false</trackRevisions>
    </reviewItem>
    <reviewItem>
      <errorID>26fff0ad-d7fb-42c3-91ff-91e4e6fd94eb</errorID>
      <errorWord>）</errorWord>
      <group>L1_Punc</group>
      <groupName>标点问题</groupName>
      <ability>L2_Punc_CN</ability>
      <abilityName>标点符号问题</abilityName>
      <candidateList/>
      <explain>同一形式括号套用。</explain>
      <paraID>519B8249</paraID>
      <start>246</start>
      <end>247</end>
      <status>ignored</status>
      <modifiedWord/>
      <trackRevisions>false</trackRevisions>
    </reviewItem>
    <reviewItem>
      <errorID>e0844f9a-ce7b-42f6-b775-f7e8d29793f9</errorID>
      <errorWord>（</errorWord>
      <group>L1_Punc</group>
      <groupName>标点问题</groupName>
      <ability>L2_Punc_CN</ability>
      <abilityName>标点符号问题</abilityName>
      <candidateList/>
      <explain>同一形式括号套用。</explain>
      <paraID>55F48479</paraID>
      <start>89</start>
      <end>90</end>
      <status>ignored</status>
      <modifiedWord/>
      <trackRevisions>false</trackRevisions>
    </reviewItem>
    <reviewItem>
      <errorID>edba3dc9-6689-44e6-aed5-df382ebd75d7</errorID>
      <errorWord>）</errorWord>
      <group>L1_Punc</group>
      <groupName>标点问题</groupName>
      <ability>L2_Punc_CN</ability>
      <abilityName>标点符号问题</abilityName>
      <candidateList/>
      <explain>同一形式括号套用。</explain>
      <paraID>55F48479</paraID>
      <start>95</start>
      <end>96</end>
      <status>ignored</status>
      <modifiedWord/>
      <trackRevisions>false</trackRevisions>
    </reviewItem>
    <reviewItem>
      <errorID>b74034fb-7085-4f05-b49a-5182d142b216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4c2e9d93-963a-42d8-a6f1-e8d3ab6c2d24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ac9e67bb-5ea6-45d7-80fb-91e58c6374e6</errorID>
      <errorWord>取取</errorWord>
      <group>L1_Word</group>
      <groupName>字词问题</groupName>
      <ability>L2_Typo</ability>
      <abilityName>字词错误</abilityName>
      <candidateList>
        <item>取</item>
      </candidateList>
      <explain/>
      <paraID>37E15AAE</paraID>
      <start>59</start>
      <end>60</end>
      <status>modified</status>
      <modifiedWord>取</modifiedWord>
      <trackRevisions>false</trackRevisions>
    </reviewItem>
    <reviewItem>
      <errorID>12b6d763-bc41-4970-89d2-14ea7e922895</errorID>
      <errorWord>、以及</errorWord>
      <group>L1_Punc</group>
      <groupName>标点问题</groupName>
      <ability>L2_Punc_CN</ability>
      <abilityName>标点符号问题</abilityName>
      <candidateList>
        <item>，以及</item>
      </candidateList>
      <explain>连接词前后不宜使用顿号，建议使用逗号。</explain>
      <paraID>60855A8B</paraID>
      <start>14</start>
      <end>17</end>
      <status>modified</status>
      <modifiedWord>，以及</modifiedWord>
      <trackRevisions>false</trackRevisions>
    </reviewItem>
    <reviewItem>
      <errorID>5249527d-9916-4741-adb1-c3c3885f3c1b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2E4BC25B</paraID>
      <start>0</start>
      <end>2</end>
      <status>modified</status>
      <modifiedWord>2.</modifiedWord>
      <trackRevisions>false</trackRevisions>
    </reviewItem>
    <reviewItem>
      <errorID>b2105da3-a1d5-4683-8630-d77e8d56ebf9</errorID>
      <errorWord>《</errorWord>
      <group>L1_Punc</group>
      <groupName>标点问题</groupName>
      <ability>L2_Punc_CN</ability>
      <abilityName>标点符号问题</abilityName>
      <candidateList/>
      <explain>同一形式括号套用。</explain>
      <paraID>4F4CE0DC</paraID>
      <start>68</start>
      <end>69</end>
      <status>ignored</status>
      <modifiedWord/>
      <trackRevisions>false</trackRevisions>
    </reviewItem>
    <reviewItem>
      <errorID>98a069e8-989c-4498-97ba-51240836d9e3</errorID>
      <errorWord>》</errorWord>
      <group>L1_Punc</group>
      <groupName>标点问题</groupName>
      <ability>L2_Punc_CN</ability>
      <abilityName>标点符号问题</abilityName>
      <candidateList/>
      <explain>同一形式括号套用。</explain>
      <paraID>4F4CE0DC</paraID>
      <start>84</start>
      <end>85</end>
      <status>ignored</status>
      <modifiedWord/>
      <trackRevisions>false</trackRevisions>
    </reviewItem>
    <reviewItem>
      <errorID>827133c6-7aab-49e1-8c9e-0d7d1924a407</errorID>
      <errorWord>详实</errorWord>
      <group>L1_Word</group>
      <groupName>字词问题</groupName>
      <ability>L2_Typo</ability>
      <abilityName>字词错误</abilityName>
      <candidateList>
        <item>翔实</item>
      </candidateList>
      <explain/>
      <paraID>70D116EE</paraID>
      <start>8</start>
      <end>10</end>
      <status>ignored</status>
      <modifiedWord/>
      <trackRevisions>false</trackRevisions>
    </reviewItem>
    <reviewItem>
      <errorID>e870384a-1ce3-4b5e-9bf2-440ba7d1b508</errorID>
      <errorWord>，</errorWord>
      <group>L1_Word</group>
      <groupName>字词问题</groupName>
      <ability>L2_Typo</ability>
      <abilityName>字词错误</abilityName>
      <candidateList>
        <item>，有</item>
      </candidateList>
      <explain/>
      <paraID>70D116EE</paraID>
      <start>24</start>
      <end>26</end>
      <status>modified</status>
      <modifiedWord>，有</modifiedWord>
      <trackRevisions>false</trackRevisions>
    </reviewItem>
    <reviewItem>
      <errorID>e30f6d65-1d05-458e-bfd9-1e222754941a</errorID>
      <errorWord>，。</errorWord>
      <group>L1_Punc</group>
      <groupName>标点问题</groupName>
      <ability>L2_Punc_CN</ability>
      <abilityName>标点符号问题</abilityName>
      <candidateList>
        <item>，</item>
      </candidateList>
      <explain/>
      <paraID>1A1F67A2</paraID>
      <start>50</start>
      <end>51</end>
      <status>modified</status>
      <modifiedWord>，</modifiedWord>
      <trackRevisions>false</trackRevisions>
    </reviewItem>
    <reviewItem>
      <errorID>784861a8-9148-415a-8f09-2f589c364c2c</errorID>
      <errorWord>详实</errorWord>
      <group>L1_Word</group>
      <groupName>字词问题</groupName>
      <ability>L2_Typo</ability>
      <abilityName>字词错误</abilityName>
      <candidateList>
        <item>翔实</item>
      </candidateList>
      <explain/>
      <paraID>215A3EE6</paraID>
      <start>8</start>
      <end>10</end>
      <status>ignored</status>
      <modifiedWord/>
      <trackRevisions>false</trackRevisions>
    </reviewItem>
    <reviewItem>
      <errorID>4b9f1e7e-eb10-49b9-b515-47c97bb25006</errorID>
      <errorWord>，</errorWord>
      <group>L1_Word</group>
      <groupName>字词问题</groupName>
      <ability>L2_Typo</ability>
      <abilityName>字词错误</abilityName>
      <candidateList>
        <item>，有</item>
      </candidateList>
      <explain/>
      <paraID>215A3EE6</paraID>
      <start>24</start>
      <end>26</end>
      <status>modified</status>
      <modifiedWord>，有</modifiedWord>
      <trackRevisions>false</trackRevisions>
    </reviewItem>
    <reviewItem>
      <errorID>ff0e1f24-1f42-4073-b16b-811323304f4b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6b93f4bf-c4ff-476d-ae16-1dfedaca5fc1</errorID>
      <errorWord>)</errorWord>
      <group>L1_Format</group>
      <groupName>格式问题</groupName>
      <ability>L2_HalfPunc_CN</ability>
      <abilityName>全半角问题</abilityName>
      <candidateList>
        <item>）</item>
      </candidateList>
      <explain>文本全半角错误。</explain>
      <paraID>532C85FD</paraID>
      <start>72</start>
      <end>73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843A53FD-2AE8-4D0D-A3B7-B0A62B3A79F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9</cp:revision>
  <dcterms:created xsi:type="dcterms:W3CDTF">2026-04-15T05:56:00Z</dcterms:created>
  <dcterms:modified xsi:type="dcterms:W3CDTF">2026-09-08T00:44:16Z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eyJoZGlkIjoiYzY1NjhjNTIzZDNlYWNhZmE2MDI3ODllMTY3MDFmMTciLCJ1c2VySWQiOiI0NTg4Njk2MzYifQ==</vt:lpwstr>
  </property>
  <property fmtid="{D5CDD505-2E9C-101B-9397-08002B2CF9AE}" pid="3" name="KSOProductBuildVer">
    <vt:lpwstr>2052-12.1.0.28505</vt:lpwstr>
  </property>
  <property fmtid="{D5CDD505-2E9C-101B-9397-08002B2CF9AE}" pid="4" name="ICV">
    <vt:lpwstr>A1924A3DF3374C7782827D777D1D5B01_13</vt:lpwstr>
  </property>
</Properties>
</file>