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编号：JSZC-320506-DLHX-T2026-0010号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苏州市政府采购竞争性谈判文件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采购单位：苏州市吴中区种子管理站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采购内容：苏州市吴中区2026-2027年小麦良种补贴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采购类别：货物类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苏州华厦招投标代理有限公司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二O二六年九月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 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竞争性谈判采购公告</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竞争性谈判文件</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合同主要条款</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竞争性谈判程序及谈判小组成员组成</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一、竞争性谈判采购公告</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6"/>
      </w:tblGrid>
      <w:tr>
        <w:trPr>
          <w:trHeight w:val="189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74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苏州市吴中区2026-2027年小麦良种补贴项目 JSZC-320506-DLHX-T2026-0010 采购项目的潜在供应商应在苏采云系统 获取采购文件，并于2026-09-20 09:30 （北京时间）前提交响应文件。</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项目编号：JSZC-320506-DLHX-T2026-0010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项目名称：苏州市吴中区2026-2027年小麦良种补贴项目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预算金额：222.588000万元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最高限价（如有）：单价最高限价4.32元/公斤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24"/>
        <w:gridCol w:w="1934"/>
        <w:gridCol w:w="1834"/>
        <w:gridCol w:w="204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2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9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数量（公斤）</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4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524" w:type="dxa"/>
            <w:vAlign w:val="center"/>
            <w:vMerge w:val="restart"/>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苏州市吴中区2026-2027年小麦良种补贴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镇麦12号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71250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48" w:type="dxa"/>
            <w:vAlign w:val="center"/>
            <w:vMerge w:val="restart"/>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含品种权保护费</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扬麦34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234250</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镇麦15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209750</w:t>
            </w:r>
            <w:r/>
          </w:p>
        </w:tc>
        <w:tc>
          <w:tcPr>
            <w:vMerge w:val="continue"/>
            <w:textDirection w:val="lrTb"/>
            <w:noWrap w:val="false"/>
          </w:tcPr>
          <w:p>
            <w:r/>
            <w:r/>
          </w:p>
        </w:tc>
      </w:tr>
      <w:tr>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40"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注：1、本次所采购良种的生产须符合我国最新的有关技术标准和规范。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2、实际供种数量按照采购方需求量可做适当调整。</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合同履行期限：2026年10月31日前完成集中供种。供种形式，必须以镇为单位、村为单元，即每个镇必须以各镇种子管理部门为供种点，以村为供应窗口。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2.响应单位须具备合法的种子生产经营资质。响应文件中须提供相应的《营业执照》、《农作物种子生产经营许可证》等复印件作为证明材料，加盖响应单位公章。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须具有合法种子来源和全面供种能力。响应文件中须提供相应的《农作物种子生产经营许可证》、品种授权材料等复印件作为证明材料，加盖响应单位公章。须提供承诺书（格式自拟），承诺规范生产经营、稳定种子价格、保障种源供应、承担质量责任、确保吴中区小麦良种补贴顺利实施等，加盖响应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时间：自谈判文件公告发布之日起3个工作日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方式：苏采云系统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截止时间：2026-09-20 09:30 （北京时间）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时间：2026-09-20 09:30 （北京时间）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地点：苏州市市辖区政府采购不见面虚拟开标室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1.CA相关说明：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系统使用指导与咨询：联系电话：13914088964；智能客服：登录苏采云系统后，联系系统右下方智能客服图标进行咨询。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4.请供应商确保电脑、系统及其他设备（视频输入输出设备等）无误，且开标直至项目结束始终保持系统在线状态。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单位名称：苏州市吴中区种子管理站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单位地址：苏州市吴中区越溪苏街198号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联系人：韩雪梅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联系电话：65658757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单位名称：苏州华厦招投标代理有限公司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单位地址：江苏省苏州市高新区锦峰路198号纽威大厦8楼801室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联系人：房仁珺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联系电话：15806200810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项目联系人：房仁珺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电话：15806200810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1"/>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苏州市政府采购竞争性谈判文件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一、谈判编号：JSZC-320506-DLHX-T2026-0010号</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二、响应单位资格要求：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（2）响应单位须具备合法的种子生产经营资质。响应文件中须提供相应的《营业执照》、《农作物种子生产经营许可证》等复印件作为证明材料，加盖响应单位公章。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须具有合法种子来源和全面供种能力。响应文件中须提供相应的《农作物种子生产经营许可证》、品种授权材料等复印件作为证明材料，加盖响应单位公章。须提供承诺书（格式自拟），承诺规范生产经营、稳定种子价格、保障种源供应、承担质量责任、确保吴中区小麦良种补贴顺利实施等，加盖响应单位公章</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三、谈判内容及技术质量要求：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（一）采购清单：</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23"/>
        <w:gridCol w:w="1933"/>
        <w:gridCol w:w="1843"/>
        <w:gridCol w:w="2055"/>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数量（公斤）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苏州市吴中区2026-2027年小麦良种补贴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镇麦12号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含品种权保护费</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扬麦34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234250</w:t>
            </w:r>
            <w:r/>
          </w:p>
        </w:tc>
        <w:tc>
          <w:tcPr>
            <w:vMerge w:val="continue"/>
            <w:textDirection w:val="lrTb"/>
            <w:noWrap w:val="false"/>
          </w:tcPr>
          <w:p>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镇麦15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209750</w:t>
            </w:r>
            <w:r/>
          </w:p>
        </w:tc>
        <w:tc>
          <w:tcPr>
            <w:vMerge w:val="continue"/>
            <w:textDirection w:val="lrTb"/>
            <w:noWrap w:val="false"/>
          </w:tcPr>
          <w:p>
            <w:r/>
            <w:r/>
          </w:p>
        </w:tc>
      </w:tr>
      <w:tr>
        <w:trPr>
          <w:trHeight w:val="77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注：1、本次所采购良种的生产须符合我国最新的有关技术标准和规范。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2、实际供种数量按照采购方需求量可做适当调整。</w:t>
            </w:r>
            <w:r/>
          </w:p>
          <w:p>
            <w:pPr>
              <w:ind w:left="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3、响应单位应在约定供种总量之外，另行保有不低于合同供种总量【5】%的预备种。</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州市稻麦良种补贴项目实施管理办法》（苏府办【2021】138号）相关要求，本次采购的标的是苏州市吴中区种子管理站实施的2026-2027年小麦良种补贴项目所需麦种。本次采购预算包括配送到农户手中的相关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1.质量规定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按照《苏州市稻麦良种补贴项目实施管理办法》，种子质量达到国家标准（GB4404.1），纯度不低于99.5%。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2.包装规定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规格不超过25公斤/袋，彩色印刷，在显著位置印制全市统一的“苏州良种补贴”项目标识和“专家教我来种田”服务二维码。种子标签和使用说明的制作执行《农作物种子标签和使用说明管理办法》，纯度标注值不得低于99.5%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1.响应单位须具备合法的种子生产经营资质。响应文件中须提供相应的《营业执照》、《农作物种子生产经营许可证》等复印件作为证明材料，加盖响应单位公章。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须具有合法种子来源和全面供种能力。响应文件中须提供相应的《农作物种子生产经营许可证》、品种授权材料等复印件作为证明材料，加盖响应单位公章。须提供良种保供承诺书（格式自拟），承诺规范生产经营、稳定种子价格、保障种源供应、承担质量责任、确保吴中区小麦良种补贴顺利实施等，加盖响应单位公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3.响应单位生产加工设备、储藏仓库、检验设施、技术人员等完备，守法经营，市场和售后服务信誉良好，近两年未出现重大供种质量事故。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种子必须符合采购要求品种；投标种子质量有保证，种子必须经过精选、包装，良种质量必须符合国家粮食作物种子（禾谷类）质量标准（GB4404.1）和《苏州市稻麦良种补贴项目实施管理办法》（苏府办【2021】138号）的质量规定；种子出现质量问题，一切后果由供货商自负。供种完成后，如有余量种子转商品粮食处理，相关损失由供货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5.成交单位应按照《中华人民共和国种子法》、《江苏省种子条例》等相关法律法规要求，建立健全所供种子生产经营档案。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6.交货期限：2026年10月31日前完成集中供种。供种形式，必须以镇为单位、村为单元，即每个镇必须以各镇种子管理部门为供种点，以村为供应窗口。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7.交货地点：根据苏州市吴中区种子管理站安排，供种到户。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1.谈判供应商必须承诺采购文件中提出的全部技术规格与要求，如果其中某些条款不响应时，应在文件中逐条列出，未列出的视同响应。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响应单位须保障采购方在使用货物或其任何一部分时不受到第三方关于侵犯专利权、商标权或工业设计权的指控。如果任何第三方提出侵权指控，谈判供应商须与第三方交涉，并承担由此而产生的索赔、损失、损害、支出等一切费用（含律师费）。如采购方因此而遭致损失的，成交方应赔偿该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3.质量保证：提供货物的相关证明材料都完全符合采购相应要求。所提供证明材料必须为真实有效。谈判供应商如提供虚假证明材料，一经查实作为无效响应。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4.成交后，采购单位有权不定期对货物质量进行查看，如果发现成交单位存在违反本次采购要求的，采购单位有权终止合同，相关损失由成交单位承担。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应包括所供种子及其包装、仓储、卸货、发货、代理服务费、送货、保险、运费、各种税费、劳保、专利技术及质保等所发生的全部费用以及谈判供应商企业利润、税金和政策性文件规定及合同包含的所有风险、责任等各项应有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6.付款步骤：种子款按照乙方实际供种数量结算。待项目结束后，市区两级财政下拨的良种补贴资金由甲方一次性拨付给乙方；农户自负的购种资金，以村或种植户个体为单位直接支付给乙方。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7.出现下列情形之一的，应当终止竞争性谈判采购活动，重新开展采购活动：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（1）因情况变化，不再符合规定的竞争性谈判采购方式适用情形的；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（3）在采购过程中符合竞争要求的响应单位或者报价未超过采购预算的供应商不足3家的。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8.成交服务费率：本项目采购预算包含代理服务费，由成交单位支付。根据以下的收费标准支付成交服务费。该费用应在领取成交通知书时付清。依据苏州市级政府采购代理服务收费公告信息表第一批收费标准。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预算金额100万元以下部分，费率为该部分预算金额的1.5%，预算金额100万元（含）－500万元部分，费率为该部分预算金额的1.1%，本项目服务费28484元。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服务费账号：30530188000070877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账户名：苏州华厦招投标代理有限公司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开户行：江苏银行苏州科技城支行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（收取方式：现金或转账）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9.凡涉及谈判文件的补充说明和修改，均以苏州市政府采购网上的通知为准。</w:t>
      </w:r>
      <w:r/>
    </w:p>
    <w:p>
      <w:pPr>
        <w:ind w:left="0" w:right="0" w:firstLine="1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五、谈判响应文件的组成</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1.报价部分 (格式见附件)：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(1)谈判报价表；</w:t>
      </w:r>
      <w:r/>
    </w:p>
    <w:p>
      <w:pPr>
        <w:ind w:left="0" w:right="0" w:firstLine="420"/>
        <w:jc w:val="both"/>
        <w:spacing w:before="0" w:after="0" w:line="85" w:lineRule="atLeast"/>
        <w:tabs>
          <w:tab w:val="left" w:pos="4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(2)谈判单位法定代表人身份证复印件；谈判单位法定代表人授权委托书，被授权委托人身份证复印件（如有授权）；</w:t>
      </w:r>
      <w:r/>
    </w:p>
    <w:p>
      <w:pPr>
        <w:ind w:left="0" w:right="0" w:firstLine="420"/>
        <w:jc w:val="both"/>
        <w:spacing w:before="0" w:after="0" w:line="85" w:lineRule="atLeast"/>
        <w:tabs>
          <w:tab w:val="left" w:pos="4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(3)中小企业声明函；</w:t>
      </w:r>
      <w:r/>
    </w:p>
    <w:p>
      <w:pPr>
        <w:ind w:left="0" w:right="0" w:firstLine="420"/>
        <w:jc w:val="both"/>
        <w:spacing w:before="0" w:after="0" w:line="85" w:lineRule="atLeast"/>
        <w:tabs>
          <w:tab w:val="left" w:pos="4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(4)谈判响应单位证明其满足资格要求的证明文件或承诺函（开标现场经资格审查符合后进入评审程序）；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2.资格及技术部分：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(1)谈判响应承诺书；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(2)关于资格文件的声明函；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(4)响应单位的营业执照副本、税务登记证副本复印件或三证合一的营业执照复印件；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(5)响应产品数量、规格、品牌型号、性能、技术指标说明与描述、质量要求、交货期说明等；</w:t>
      </w:r>
      <w:r/>
    </w:p>
    <w:p>
      <w:pPr>
        <w:ind w:left="41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(6)提供相应《农作物种子生产经营许可证》、品种授权材料等复印件；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(7)提供良种保供承诺书（格式自拟），承诺规范生产经营、稳定种子价格、保障种源供应、承担质量责任、确保吴中区小麦良种补贴顺利实施等；</w:t>
      </w:r>
      <w:r/>
    </w:p>
    <w:p>
      <w:pPr>
        <w:ind w:left="41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(8)响应单位认为需要提供的证明材料。</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响应文件由1（1-4）、2（1-8）条款规定的内容共同组成。否则，谈判响应文件将因未实质响应谈判采购文件而被拒绝；谈判响应单位所提交的资格及技术部分文件的完整与否，将直接影响谈判响应单位的评审。</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4.相关法规要求：</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根据《关于贯彻执行绿色采购、促进采集人就业和支持监狱企业发展有关政策的通知（苏财购【2019】10号）》的通知，若本次采购的产品属于《节能产品政府采购清单》、《环境标志产品政府采购清单》品目中强制采购的，应选择节能环保产品并提供国家确定的认证机构出具的认证证书，否则投标无效。响应产品属于《节能产品政府采购清单》、《环境标志产品政府采购清单》品目中优先采购的，则在报价相同情况下，提供优先采购产品最多的响应单位优先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质疑和投诉办法》财政部第94号令，供应商认为采购文件、招标过程、成交结果使自己的权益受到损害的，可以在知道或者应知其权益受到损害之日起7个工作日内，以书面形式向采购人、采购代理机构提出质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本次采购文件要求供应商在法定质疑期内一次性提出针对同一采购程序环节的质疑，质疑时与质疑函一并提交“网上报名确认单”。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采购人、采购代理机构收到质疑供应商在法定质疑期内发出的质疑函，应当在收到质疑函后7个工作日内作出答复，并以书面形式通知质疑供应商和其他有关供应商。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供应商提出质疑应当提交质疑函和必要的证明材料。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质疑接收人：苏州华厦招投标代理有限公司/房仁珺/15806200810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质疑接收方式：现场递交或邮寄（拒绝到付）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质疑接收地址：（苏州市虎丘区锦峰路198号纽威大厦8楼）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质疑联系电话：15806200810/（0512）68700399</w:t>
      </w:r>
      <w:r/>
    </w:p>
    <w:p>
      <w:pPr>
        <w:ind w:left="0" w:right="0" w:firstLine="16"/>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5.谈判响应文件有效期为自谈判之日起90日。</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6.谈判响应文件组成部分中如竞争性谈判采购文件已给定格式的，谈判响应单位应按给定格式提供，不得更改，如必须更改时，须另行制作偏离说明，并作为谈判响应文件的组成部分；</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7.一经递交，除非谈判响应单位在谈判响应文件中对竞争性谈判采购文件的规定或条款有书面偏离或保留，否则应视为其全部接受和遵守。同时无论是否成交，其谈判响应文件恕不退还；</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谈判响应单位提交的谈判响应文件以及供方（谈判响应单位）与招标代理机构就有关采购的所有来往函电均应使用中文书写，谈判响应单位提交的支持文件和印刷的文献可以用另一种语言，但相应内容均应附有中文的翻译本，在解释谈判响应文件时以中文翻译本为准。</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通知书：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525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甲方：苏州市吴中区种子管理站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乙方：（成交单位）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中华人民共和国政府采购法》等有关法律法规，并按照《苏州市稻麦良种补贴项目实施管理办法》苏府办【2021】138号)的相关要求，为明确采购单位（甲方）和供应单位（乙方）购销过程中的权利、义务和经济责任，双方遵循平等、自愿、公平和诚实信用原则，经友好协商，同意按照下面的条款和条件订立本合同，以资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一、合同标的物</w:t>
      </w:r>
      <w:r/>
    </w:p>
    <w:p>
      <w:pPr>
        <w:ind w:left="425"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乙方负责甲方采购的 </w:t>
      </w:r>
      <w:r>
        <w:rPr>
          <w:rFonts w:ascii="SimSun" w:hAnsi="SimSun" w:eastAsia="SimSun" w:cs="SimSun"/>
          <w:color w:val="000000"/>
          <w:sz w:val="24"/>
          <w:u w:val="single"/>
        </w:rPr>
        <w:t xml:space="preserve">                   </w:t>
      </w:r>
      <w:r>
        <w:rPr>
          <w:rFonts w:ascii="SimSun" w:hAnsi="SimSun" w:eastAsia="SimSun" w:cs="SimSun"/>
          <w:color w:val="000000"/>
          <w:sz w:val="24"/>
        </w:rPr>
        <w:t xml:space="preserve">，详见价格明细清单。</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7"/>
        <w:gridCol w:w="1533"/>
        <w:gridCol w:w="1812"/>
        <w:gridCol w:w="1414"/>
        <w:gridCol w:w="1193"/>
        <w:gridCol w:w="1206"/>
      </w:tblGrid>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数量（公斤）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苏州市吴中区2026-2027年小麦良种补贴项目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镇麦12号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含品种权保护费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扬麦34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镇麦15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209750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注：1、本次所采购良种的生产须符合我国最新的有关技术标准和规范。</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实际供种数量按照甲方需求量可做适当调整。</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3、乙方应在本合同约定供种总量之外，另行保有不低于合同供种总量【5】%的预备种。</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4、乙方对提供的标的物应当拥有完整的物权，并且负有保证第三人不得向甲方主张任何权利（包括知识产权）的义务。</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二、合同价格</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1、合同价格按此次成交价格执行，合同总金额为人民币</w:t>
      </w:r>
      <w:r>
        <w:rPr>
          <w:rFonts w:ascii="SimSun" w:hAnsi="SimSun" w:eastAsia="SimSun" w:cs="SimSun"/>
          <w:b/>
          <w:color w:val="000000"/>
          <w:sz w:val="24"/>
          <w:u w:val="single"/>
        </w:rPr>
        <w:t xml:space="preserve"> 大写小写：（￥）</w:t>
      </w:r>
      <w:r>
        <w:rPr>
          <w:rFonts w:ascii="SimSun" w:hAnsi="SimSun" w:eastAsia="SimSun" w:cs="SimSun"/>
          <w:b/>
          <w:color w:val="000000"/>
          <w:sz w:val="24"/>
        </w:rPr>
        <w:t xml:space="preserve">，</w:t>
      </w:r>
      <w:r>
        <w:rPr>
          <w:rFonts w:ascii="SimSun" w:hAnsi="SimSun" w:eastAsia="SimSun" w:cs="SimSun"/>
          <w:color w:val="000000"/>
          <w:sz w:val="24"/>
        </w:rPr>
        <w:t xml:space="preserve">（其中包含市区两级财政下拨的良种补贴资金和农户自负的购种资金），本合同价格包括所供种子及其包装、仓储、卸货、发货、代理服务费、送货、保险、运费、各种税费、劳保、专利技术及质保等所发生的全部费用以及谈判供应商企业利润、税金和政策性文件规定及合同包含的所有风险、责任等各项应有的一切费用。</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2、根据现行税法对甲方征收的与本合同有关的一切税费均由甲方承担；根据现行税</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法对乙方征收的与本合同有关的一切税费均由乙方承担。</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三、标的物交付</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1、供种日期：2026年10月31日前完成集中供种。供种形式，必须以镇为单位、村为单元，即每个镇必须以各镇种子管理部门为供种点，以村为供应窗口。</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2、交付地点：根据苏州市吴中区种子管理站安排，供种到户。</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四、质量与验收</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1、乙方须严格按国家有关部门的规定和采购文件的要求供货。</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2、供应方式：由乙方按质量要求供应，供货前必须事先征得甲方单位同意。</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3、乙方承诺提供的良种质量必须符合《苏州市稻麦良种补贴项目实施管理办法》（苏府办【2021】138号）有关规定，种子质量达到国家标准（GB4404.1），纯度不低于99.5%。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承诺提供的种子的标签和使用说明的制作执行《农作物种子标签和使用说明管理办法》（农业部令2016年第6号）。包装规格不超过25公斤/袋，彩色印刷，在显著位置印制全市统一的“苏州良种补贴”项目标识和“专家教我来种田”服务二维码。种子标签和使用说明的制作执行《农作物种子标签和使用说明管理办法》，纯度标注值不得低于99.5%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5、质量出现问题，乙方负责包退、包换，费用由乙方承担。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6、验收标准：符合国标要求及采购文件质量要求。验收内容包括：数量、包装、标签和使用说明、检测结果等。</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五、合同价格支付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1、种子款按照乙方实际供种数量结算。待项目结束后，市区两级财政下拨的良种补贴资金由甲方一次性拨付给乙方；农户自负的购种资金，以村或种植户个体为单位直接支付给乙方。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2、付款方式：银行转账。</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按照采购文件和乙方在响应文件中承诺的服务执行。</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1、如乙方延期交付，除不可抗拒的因素外，乙方应向甲方就延期时间部分偿还违约金，具体按延期时间部分的决算价款每日0.5%支付，另外，甲方有权随时终止合同履行。</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2、甲方延期付款时（有正当拒付理由者除外）应向乙方偿付逾期付款违约金，按逾期总额每日0.5%的标准计算。</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3、乙方供应品种不符合甲方采购要求，则供应种子不享受良种补贴金；如乙方供应未取得合格的种子，一旦发生种子事故，不仅要负责赔偿，并处标的额2%处罚。</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4、甲方对乙方进行全过程的监督检查。</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九、合同修改</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甲方和乙方都不得擅自变更本合同，但合同继续履行将损害国家和社会公共利益的除外。在合同履行中，甲方可以增加原成交货物的数量，但增加的总金额不得超过成交货物金额的10%。</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十、转让和分包</w:t>
      </w:r>
      <w:r/>
    </w:p>
    <w:p>
      <w:pPr>
        <w:ind w:left="567" w:right="0" w:firstLine="0"/>
        <w:jc w:val="both"/>
        <w:spacing w:before="0" w:after="0" w:line="85" w:lineRule="atLeast"/>
        <w:tabs>
          <w:tab w:val="left" w:pos="540"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1、政府采购合同的部分和全部都不得转让。</w:t>
      </w:r>
      <w:r/>
    </w:p>
    <w:p>
      <w:pPr>
        <w:ind w:left="567" w:right="0" w:firstLine="0"/>
        <w:jc w:val="both"/>
        <w:spacing w:before="0" w:after="0" w:line="85" w:lineRule="atLeast"/>
        <w:tabs>
          <w:tab w:val="left" w:pos="540"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2、经甲方和同级政府采购监督管理部门事先书面同意，乙方可以将合同项下非主</w:t>
      </w:r>
      <w:r/>
    </w:p>
    <w:p>
      <w:pPr>
        <w:ind w:left="0" w:right="0" w:firstLine="0"/>
        <w:jc w:val="both"/>
        <w:spacing w:before="0" w:after="0" w:line="85" w:lineRule="atLeast"/>
        <w:tabs>
          <w:tab w:val="left" w:pos="540"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十一、合同的解除</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153"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numPr>
          <w:ilvl w:val="0"/>
          <w:numId w:val="13"/>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因合同一方违约导致合同不能履行，另一方有权解除合同。</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2、有权解除合同的一方，应当在违约事实或不可抗力发生之后三十天内书面通知对方以主张解除合同，合同在书面通知到达对方时解除。</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十二、争议解决办法</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因本合同或与本合同有关的一切事项发生争议，由双方友好协商解决。协商不成的，任何一方均可选择以下方式解决：</w:t>
      </w:r>
      <w:r/>
    </w:p>
    <w:p>
      <w:pPr>
        <w:ind w:left="0" w:right="0" w:firstLine="61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方式一：双方达成仲裁协议，向约定的仲裁委员会申请仲裁，本合同约定的仲裁委员会是合同履行地仲裁机构；</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方式二：向甲方所在地的人民法院起诉。</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十三、合同生效及其他</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1、本合同经双方法定（授权）代表人签字（或盖章）并盖单位公章（合同章）后生效。</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153"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153"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（2）乙方成交的响应文件；</w:t>
      </w:r>
      <w:r/>
    </w:p>
    <w:p>
      <w:pPr>
        <w:ind w:left="0" w:right="-153"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w:t>
      </w:r>
      <w:r/>
    </w:p>
    <w:p>
      <w:pPr>
        <w:ind w:left="0" w:right="-153"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（4）乙方在响应过程中所作的其他承诺、声明、书面澄清等。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3、本合同壹式肆份，甲乙双方、采购代理机构、备案机构各执壹份，各份具有同等法律效力。</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在执行过程中出现的未尽事宜，双方在不违背本合同和采购文件的原则下协商解决，协商结果以书面形式盖章记录在案，作为本合同的附件，与本合同具有同等效力，并提交政府采购监督管理部门和代理机构备存。</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十四、未尽事宜</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未尽事宜应按照《中华人民共和国民法典》、《中华人民共和国政府采购法》等相关法律法规之规定解释。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法定（授权）代表人（签章）：法定（授权）代表人（签章）：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w:t>
      </w:r>
      <w:r/>
    </w:p>
    <w:p>
      <w:pPr>
        <w:ind w:left="17"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合同签订地：苏州市吴中区种子管理站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四、竞争性谈判程序及谈判小组成员组成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由采购代理机构在线主持，邀请投标人在线参加。投标人应当按照《苏采云系统供应商操作手册》规定，参加开标活动和在“苏采云”系统规定的时间内对响应文件进行解密。评标委员会成员不得参加开标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2.开标完成后，进入评审环节，谈判小组按照谈判文件的要求独立对供应商进行资格性和符合性审查，确定合格供应商。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2.1资格审查：由谈判小组依据法律法规和谈判文件的规定，对响应文件中的资格证明文件进行审查，以确定供应商是否具备参加谈判的资格。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2.2符合性审查：依据谈判文件的规定，由谈判小组从响应文件的有效性、完整性和对谈判文件的响应程度进行审查，以确定是否对谈判文件的实质性要求作出响应。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2.5.1供应商在苏采云系统规定的时间内未成功解密电子响应文件的。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2.5.2供应商未按照谈判文件要求上传电子响应文件的。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2.5.3同一供应商提交两个（含两个）以上不同的响应文件或者最后报价的。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2.5.4供应商不具备谈判文件中规定资格要求的。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2.5.5供应商的最后报价超过了采购预算。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2.5.6不符合谈判文件中规定的实质性要求和条件的。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响应文件含有采购人不能接受的附加条件的。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2.5.10响应文件未按照谈判文件要求加盖CA电子公章的。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2.6未实质性响应谈判文件的响应文件按无效响应处理。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2.7如果响应文件实质上没有响应谈判文件的要求，谈判小组将予以拒绝，供应商不得通过修改或撤销不合要求的偏离或保留而使其成为实质性响应的文件。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2.8供应商在项目评审全过程中应保持通讯畅通，并安排专人与采购中心及谈判小组联系。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最后报价是供应商响应文件的有效组成部分。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6.谈判小组根据谈判成交原则确定成交供应商，并将结果通知所有参加谈判的未成交的供应商。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（一）谈判小组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3.谈判小组的评审工作由采购代理机构负责组织，具体评审事务由谈判小组负责，并独立履行法律、法规规定的职责。</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（二）谈判过程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接到谈判小组澄清、说明和更正要求的供应商如未按规定做出澄清、说明和 更正，其风险由供应商自行承担。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4.采购代理机构将采取必要措施，保证评审在严格保密的情况下进行，任何单位和个人不得非法干预、影响评审过程和结果。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5.项目开标后，直到宣布成交结果为止，凡属于评审、澄清、评价和比较响应等相关的信息都不应向供应商或与评审无关的其他人泄露。</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（一）项目成交需同时满足以下条件：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1.满足谈判文件实质性要求的合格供应商不少于三家；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2.合格供应商的报价均未超过采购预算；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3.采购过程中未出现违法、违规行为；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4.按照谈判文件规定的评审办法确定成交供应商。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（二）重新评审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采购人或者采购代理机构不得通过对样品进行检测、对供应商进行考察等方式改变评审结果。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（三）成交通知书及合同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2.采购人与成交供应商应当在成交通知书发出之日起三十日内，按照谈判文件及响应文件确定的事项签订政府采购合同。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成交通知书对采购人和成交供应商均具有法律效力，成交通知书发出后，采购人改变成交结果的，或者成交供应商放弃成交项目的，应当依法承担法律责任。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1.出现下列情形之一的，将被认定为响应无效或无效文件：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（1）违反政府采购相关规定的；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（2）未实质性响应谈判文件要求的；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（3）谈判小组认定的其他情形；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2.被认定为响应无效或无效文件的，采购代理机构应当将理由告知相关供应商。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1.出现下列情形之一的，采购人或者采购代理机构应当终止竞争性谈判采购活动，发布项目终止公告并说明原因，重新开展采购活动：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（1）因情况变化，不再符合规定的竞争性谈判采购方式适用情形的；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（4）谈判采购过程中，如遇到交易中心出现断电、断网或其他不可预见原因导致采购活动无法正常进行的。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2.项目终止后，采购代理机构应当将项目终止的理由告知所有供应商。</w:t>
      </w:r>
      <w:r/>
    </w:p>
    <w:p>
      <w:pPr>
        <w:ind w:left="0" w:right="0" w:firstLine="22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五、评审方法</w:t>
      </w:r>
      <w:r/>
    </w:p>
    <w:p>
      <w:pPr>
        <w:ind w:left="0" w:right="0" w:firstLine="211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一、成交规则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1.本次谈判采用最低评标价法，供应商的响应内容需全部满足谈判文件的实质性要求，且最后报价不超过采购预算的供应商不少于三家，最后报价最低的供应商为成交供应商。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4.谈判小组对最后报价进行复核。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5.对评审结果有异议的谈判小组成员，应当在评审结果表上签署不同意见并说明理由，谈判小组成员拒绝在评审结果表上签字又不书面说明其不同意见和理由的，视为同意评审结果。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的扣除，用扣除后的价格参与评审，如扣除后的价格为最低价的，则作为评标基准价，成交金额则以实际投标报价为准，</w:t>
      </w:r>
      <w:r>
        <w:rPr>
          <w:rFonts w:ascii="SimSun" w:hAnsi="SimSun" w:eastAsia="SimSun" w:cs="SimSun"/>
          <w:b/>
          <w:color w:val="000000"/>
          <w:sz w:val="24"/>
        </w:rPr>
        <w:t xml:space="preserve">本项目所属行业为：农、林、牧、渔业。供应商提供的货物既有中小企业制造货物，也有大型企业制造货物的，不享受中小企业扶持政策。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和监狱企业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2.若供应商提供的《中小企业声明函》 、《残疾人福利性单位声明函》及监狱企业认定证明等材料为虚假材料，按《中华人民共和国政府采购法》等相关法律法规的规定处理，并报请政府采购监管部门给予行政处罚。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w:t>
      </w:r>
      <w:r>
        <w:rPr>
          <w:rFonts w:ascii="SimSun" w:hAnsi="SimSun" w:eastAsia="SimSun" w:cs="SimSun"/>
          <w:color w:val="000000"/>
          <w:sz w:val="24"/>
        </w:rPr>
        <w:t xml:space="preserve">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4.评审过程中出现下列情形之一的，评审委员会应当启动异常低价投标（响应）审查程序：</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w:t>
      </w:r>
      <w:r>
        <w:rPr>
          <w:rFonts w:ascii="SimSun" w:hAnsi="SimSun" w:eastAsia="SimSun" w:cs="SimSun"/>
          <w:color w:val="000000"/>
          <w:sz w:val="24"/>
        </w:rPr>
        <w:t xml:space="preserve">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标委员会在评审现场及时获取同类项目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异常低价投标（响应）审查的启动原因、审查意见和审查结果应当在评审报告中记录，并随供应商提供的相关书面说明及证明材料，以及评标委员会有关互联网浏览、查询历史一并归档。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三、评审内容：</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1"/>
        <w:gridCol w:w="1445"/>
        <w:gridCol w:w="1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是否合格（是/否）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1、谈判响应单位的资格条件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2、谈判响应产品的数量、规格、参数等技术要求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3、交货期限、交货地点、付款步骤、售后服务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4、响应文件中须提供相应《农作物种子生产经营许可证》、品种授权材料、良种保供承诺书（格式自拟）等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5、其他（除谈判响应单位资格条件及采购技术内容以外的其他涉及实质性响应采购文件的证明材料条款内容）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六、附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附件1：谈判响应报价表（参考格式，谈判响应单位可根据下述格式自制表格进行投标）</w:t>
      </w:r>
      <w:r/>
    </w:p>
    <w:p>
      <w:pPr>
        <w:ind w:left="0" w:right="0" w:firstLine="31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谈判响应报价表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采购编号：JSZC-320506-DLHX-T2026-0010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谈判响应单位（盖章）：</w:t>
      </w:r>
      <w:r>
        <w:rPr>
          <w:rFonts w:ascii="SimSun" w:hAnsi="SimSun" w:eastAsia="SimSun" w:cs="SimSun"/>
          <w:color w:val="000000"/>
          <w:sz w:val="24"/>
          <w:u w:val="single"/>
        </w:rPr>
        <w:t xml:space="preserve">              </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23"/>
        <w:gridCol w:w="2107"/>
        <w:gridCol w:w="1517"/>
        <w:gridCol w:w="1051"/>
        <w:gridCol w:w="1185"/>
        <w:gridCol w:w="1171"/>
      </w:tblGrid>
      <w:tr>
        <w:trPr>
          <w:trHeight w:val="4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谈判响应总报价</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人民币             元（￥：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交货时间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优惠条款</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报价包含一切由供方承担的费用，各谈判响应单位可参照上述格式自制《谈判响应报价表》投标。总价格包括所供种子及其包装、仓储、卸货、发货、代理服务费、送货、保险、运费、各种税费、劳保、专利技术及质保等所发生的全部费用以及谈判供应商企业利润、税金和政策性文件规定及合同包含的所有风险、责任等各项应有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附件2、（格式为参考，谈判响应单位可参照下述格式自制表格投标，但至少应包括下述格式中的内容，没有参考格式的则可根据情况自行编制）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1.偏离表（技术、商务）：要求对商务及技术中所有偏离逐一进行列明</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213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1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2.项目人员表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采购内容：采购编号： JSZC-320506-DLHX-T2026-0010</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6"/>
        <w:gridCol w:w="1819"/>
        <w:gridCol w:w="1503"/>
        <w:gridCol w:w="1084"/>
        <w:gridCol w:w="1035"/>
        <w:gridCol w:w="1105"/>
        <w:gridCol w:w="100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谈判响应单位法定代表人或委托人：（签字或盖章）日期：</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注：请按以上格式自制表格填写后投标。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3.谈判响应单位情况表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响应单位情况表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单位名称（盖公章）</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87"/>
        <w:gridCol w:w="2262"/>
        <w:gridCol w:w="1531"/>
        <w:gridCol w:w="226"/>
        <w:gridCol w:w="1754"/>
        <w:gridCol w:w="847"/>
      </w:tblGrid>
      <w:tr>
        <w:trPr>
          <w:trHeight w:val="533"/>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7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60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3"/>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8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3"/>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8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最近一年     万元</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最近一年    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8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（含厂房面积）</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1"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3"/>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8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rHeight w:val="53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68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4.谈判响应承诺书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号谈判邀请函，经仔细阅读和研究，我们决定参加该次谈判活动。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1、我们愿意按照谈判文件的一切要求，提供包括完成该项目的各项应有费用，明细见《报价表》。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2、如果我们谈判商务被接受，我们将严格履行谈判文件中规定的每一项要求，按期、按质、按量履行合同的义务。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3、我们愿意提供邀请方在谈判文件中要求的所有资料。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4、我们认为你们有权决定成交人者，还认为你们有权接受或拒绝所有的谈判响应单位。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5、我们愿意遵守谈判文件中所列的收费标准。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6、如果我们成交，我们愿意在领取成交通知书的同时支付成交服务费；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7、如果我们成交后未履行以上承诺，我公司愿意接受有关部门的处理：</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A、取消成交资格</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B、列入不诚信企业名录予以曝光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8、综合说明：</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      </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      </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 </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3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3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谈判响应单位：（单位盖章）</w:t>
      </w:r>
      <w:r/>
    </w:p>
    <w:p>
      <w:pPr>
        <w:ind w:left="0" w:right="0" w:firstLine="37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42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42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5.（谈判响应单位）法定代表人授权委托书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（谈判响应单位名称）的法定代表人，现授权委托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（姓名）为我公司委托代理人，以本公司的名义参加苏州华厦招投标代理有限公司组织实施的 编号为</w:t>
      </w:r>
      <w:r>
        <w:rPr>
          <w:rFonts w:ascii="SimSun" w:hAnsi="SimSun" w:eastAsia="SimSun" w:cs="SimSun"/>
          <w:color w:val="000000"/>
          <w:sz w:val="24"/>
          <w:u w:val="single"/>
        </w:rPr>
        <w:t xml:space="preserve">JSZC-320506-DLHX-T2026-0010</w:t>
      </w:r>
      <w:r>
        <w:rPr>
          <w:rFonts w:ascii="SimSun" w:hAnsi="SimSun" w:eastAsia="SimSun" w:cs="SimSun"/>
          <w:color w:val="000000"/>
          <w:sz w:val="24"/>
        </w:rPr>
        <w:t xml:space="preserve">号的招标活动。委托代理人在开标、评标、合同谈判过程中所签署的一切文件和处理与这有关的一切事务，我均予以承认。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委托代理人在授权委托书有效期内签署的所有文件不因授权委托的撤销而失效，除非有撤销授权委托的书面通知，本授权委托书自投标开始至合同履行完毕止。</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委托代理人无转委托权。特此委托。</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谈判响应单位：（公章）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号的招标活动进行投标。本公司所提交的响应文件中所有关于投标资格的文件、证明和陈述均是真实的、有效的。若与真实情况不符，本公司愿意承担由此而产生的一切后果。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谈判响应单位法定代表人或委托代理人：（签字或盖章）</w:t>
      </w:r>
      <w:r/>
    </w:p>
    <w:p>
      <w:pPr>
        <w:ind w:left="17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700" w:right="0" w:firstLine="21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谈判响应单位：（公章）</w:t>
      </w:r>
      <w:r/>
    </w:p>
    <w:p>
      <w:pPr>
        <w:ind w:left="4675"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94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w:t>
        <w:tab/>
        <w:t xml:space="preserve"> 月 </w:t>
        <w:tab/>
        <w:t xml:space="preserve">日</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7.企业业绩一览表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响应单位名称：_________________________</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3375"/>
        <w:gridCol w:w="3069"/>
        <w:gridCol w:w="1843"/>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113" w:right="11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注：响应文件中须附业绩合同复印件，否则将不作为评标的依据。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采购活动，货物全部由符合政策要求的中小企业承接。相关企业（含联合体中的中小企业、签订分包意向协议的中小企业）的具体情况如下：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农、林、牧、渔业行业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农、林、牧、渔业 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88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29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10.关于符合本国产品标准的声明函</w:t>
      </w:r>
      <w:r/>
    </w:p>
    <w:p>
      <w:pPr>
        <w:ind w:left="0" w:right="0" w:firstLine="0"/>
        <w:jc w:val="center"/>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关于符合本国产品标准的声明函</w:t>
      </w:r>
      <w:r/>
    </w:p>
    <w:p>
      <w:pPr>
        <w:ind w:left="0" w:right="0" w:firstLine="48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57250" cy="1333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7783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1331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4839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422039"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31900"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82420"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7.5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4"/>
        </w:rPr>
        <w:t xml:space="preserve">，生产厂为</w:t>
      </w:r>
      <w:r>
        <w:rPr>
          <w:rFonts w:ascii="SimSun" w:hAnsi="SimSun" w:eastAsia="SimSun" w:cs="SimSun"/>
          <w:i/>
          <w:color w:val="000000"/>
          <w:sz w:val="21"/>
          <w:u w:val="single"/>
        </w:rPr>
        <w:t xml:space="preserve">（厂名）</w:t>
      </w:r>
      <w:r>
        <w:rPr>
          <w:rFonts w:ascii="SimSun" w:hAnsi="SimSun" w:eastAsia="SimSun" w:cs="SimSun"/>
          <w:i/>
          <w:color w:val="000000"/>
          <w:sz w:val="21"/>
          <w:vertAlign w:val="superscript"/>
        </w:rPr>
        <w:t xml:space="preserve">2</w:t>
      </w:r>
      <w:r>
        <w:rPr>
          <w:rFonts w:ascii="SimSun" w:hAnsi="SimSun" w:eastAsia="SimSun" w:cs="SimSun"/>
          <w:color w:val="000000"/>
          <w:sz w:val="24"/>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4"/>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4"/>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4"/>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4"/>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4"/>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4"/>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4"/>
        </w:rPr>
        <w:t xml:space="preserve">在中国境内完成。</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57250" cy="1333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43326"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6088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2239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43259"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51650"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87523"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4"/>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4"/>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4"/>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4"/>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4"/>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4"/>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4"/>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4"/>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4"/>
        </w:rPr>
        <w:t xml:space="preserve">在中国境内完成。</w:t>
      </w:r>
      <w:r/>
    </w:p>
    <w:p>
      <w:pPr>
        <w:ind w:left="0" w:right="0" w:firstLine="48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15" w:firstLine="0"/>
        <w:jc w:val="right"/>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815" w:firstLine="0"/>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用斜线划除的地方无需填写。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jc w:val="both"/>
        <w:spacing w:before="0" w:after="0" w:line="85" w:lineRule="atLeast"/>
        <w:tabs>
          <w:tab w:val="left" w:pos="38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pacing w:line="360" w:lineRule="auto"/>
        <w:tabs>
          <w:tab w:val="left" w:pos="0" w:leader="none"/>
          <w:tab w:val="left" w:pos="384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华文中宋">
    <w:panose1 w:val="02010600040101010101"/>
  </w:font>
  <w:font w:name="黑体">
    <w:panose1 w:val="02010609060101010101"/>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hint="eastAsia" w:ascii="宋体" w:hAnsi="宋体" w:cs="宋体"/>
      </w:rPr>
    </w:pPr>
    <w:r>
      <w:rPr>
        <w:rFonts w:hint="eastAsia" w:ascii="宋体" w:hAnsi="宋体" w:cs="宋体"/>
        <w:szCs w:val="21"/>
      </w:rPr>
      <w:t xml:space="preserve">第 </w:t>
    </w:r>
    <w:r>
      <w:rPr>
        <w:rFonts w:hint="eastAsia" w:ascii="宋体" w:hAnsi="宋体" w:cs="宋体"/>
        <w:szCs w:val="21"/>
      </w:rPr>
      <w:fldChar w:fldCharType="begin"/>
    </w:r>
    <w:r>
      <w:rPr>
        <w:rFonts w:hint="eastAsia" w:ascii="宋体" w:hAnsi="宋体" w:cs="宋体"/>
        <w:szCs w:val="21"/>
      </w:rPr>
      <w:instrText xml:space="preserve"> PAGE </w:instrText>
    </w:r>
    <w:r>
      <w:rPr>
        <w:rFonts w:hint="eastAsia" w:ascii="宋体" w:hAnsi="宋体" w:cs="宋体"/>
        <w:szCs w:val="21"/>
      </w:rPr>
      <w:fldChar w:fldCharType="separate"/>
    </w:r>
    <w:r>
      <w:rPr>
        <w:rFonts w:ascii="宋体" w:hAnsi="宋体" w:cs="宋体"/>
        <w:szCs w:val="21"/>
      </w:rPr>
      <w:t xml:space="preserve">22</w:t>
    </w:r>
    <w:r>
      <w:rPr>
        <w:rFonts w:hint="eastAsia" w:ascii="宋体" w:hAnsi="宋体" w:cs="宋体"/>
        <w:szCs w:val="21"/>
      </w:rPr>
      <w:fldChar w:fldCharType="end"/>
    </w:r>
    <w:r>
      <w:rPr>
        <w:rFonts w:hint="eastAsia" w:ascii="宋体" w:hAnsi="宋体" w:cs="宋体"/>
        <w:szCs w:val="21"/>
      </w:rPr>
      <w:t xml:space="preserve"> 页 共 </w:t>
    </w:r>
    <w:r>
      <w:rPr>
        <w:rFonts w:hint="eastAsia" w:ascii="宋体" w:hAnsi="宋体" w:cs="宋体"/>
        <w:szCs w:val="21"/>
      </w:rPr>
      <w:fldChar w:fldCharType="begin"/>
    </w:r>
    <w:r>
      <w:rPr>
        <w:rFonts w:hint="eastAsia" w:ascii="宋体" w:hAnsi="宋体" w:cs="宋体"/>
        <w:szCs w:val="21"/>
      </w:rPr>
      <w:instrText xml:space="preserve"> NUMPAGES </w:instrText>
    </w:r>
    <w:r>
      <w:rPr>
        <w:rFonts w:hint="eastAsia" w:ascii="宋体" w:hAnsi="宋体" w:cs="宋体"/>
        <w:szCs w:val="21"/>
      </w:rPr>
      <w:fldChar w:fldCharType="separate"/>
    </w:r>
    <w:r>
      <w:rPr>
        <w:rFonts w:ascii="宋体" w:hAnsi="宋体" w:cs="宋体"/>
        <w:szCs w:val="21"/>
      </w:rPr>
      <w:t xml:space="preserve">31</w:t>
    </w:r>
    <w:r>
      <w:rPr>
        <w:rFonts w:hint="eastAsia" w:ascii="宋体" w:hAnsi="宋体" w:cs="宋体"/>
        <w:szCs w:val="21"/>
      </w:rPr>
      <w:fldChar w:fldCharType="end"/>
    </w:r>
    <w:r>
      <w:rPr>
        <w:rFonts w:hint="eastAsia" w:ascii="宋体" w:hAnsi="宋体" w:cs="宋体"/>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both"/>
      <w:rPr>
        <w:rFonts w:hint="eastAsia" w:ascii="宋体" w:hAnsi="宋体" w:eastAsia="宋体" w:cs="宋体"/>
        <w:b/>
        <w:lang w:eastAsia="zh-CN"/>
      </w:rPr>
    </w:pPr>
    <w:r>
      <w:rPr>
        <w:rFonts w:hint="eastAsia" w:ascii="宋体" w:hAnsi="宋体" w:cs="宋体"/>
        <w:b/>
      </w:rPr>
      <w:t xml:space="preserve">苏州华厦招投标代理有限公司竞争性谈判文件                                       </w:t>
    </w:r>
    <w:r>
      <w:rPr>
        <w:rFonts w:hint="eastAsia" w:ascii="宋体" w:hAnsi="宋体" w:cs="宋体"/>
        <w:b/>
        <w:lang w:eastAsia="zh-CN"/>
      </w:rPr>
      <w:t xml:space="preserve">JSZC-320506-DLHX-T2026-0010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141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5"/>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927"/>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1410" w:hanging="72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9">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1410" w:hanging="72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2"/>
  </w:num>
  <w:num w:numId="2">
    <w:abstractNumId w:val="1"/>
  </w:num>
  <w:num w:numId="3">
    <w:abstractNumId w:val="4"/>
  </w:num>
  <w:num w:numId="4">
    <w:abstractNumId w:val="3"/>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link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link w:val="723"/>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24"/>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25"/>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26"/>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27"/>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28"/>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0"/>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1"/>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Body Text Indent"/>
    <w:basedOn w:val="685"/>
    <w:next w:val="685"/>
    <w:uiPriority w:val="0"/>
    <w:qFormat/>
    <w:pPr>
      <w:ind w:left="420" w:firstLine="1188"/>
      <w:spacing w:line="360" w:lineRule="exact"/>
    </w:pPr>
    <w:rPr>
      <w:rFonts w:ascii="Times New Roman" w:hAnsi="Times New Roman" w:cs="Times New Roman"/>
    </w:rPr>
  </w:style>
  <w:style w:type="paragraph" w:styleId="698">
    <w:name w:val="toc 7"/>
    <w:basedOn w:val="686"/>
    <w:next w:val="685"/>
    <w:uiPriority w:val="39"/>
    <w:unhideWhenUsed/>
    <w:qFormat/>
    <w:pPr>
      <w:ind w:left="1701" w:right="0" w:firstLine="0"/>
      <w:spacing w:after="57"/>
    </w:pPr>
  </w:style>
  <w:style w:type="paragraph" w:styleId="699">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List 2"/>
    <w:basedOn w:val="686"/>
    <w:next w:val="698"/>
    <w:uiPriority w:val="0"/>
    <w:qFormat/>
    <w:pPr>
      <w:ind w:left="100" w:firstLine="3640"/>
      <w:spacing w:before="0" w:after="0" w:line="240" w:lineRule="auto"/>
    </w:pPr>
    <w:rPr>
      <w:rFonts w:ascii="Times New Roman" w:hAnsi="Times New Roman" w:cs="Times New Roman"/>
    </w:rPr>
  </w:style>
  <w:style w:type="paragraph" w:styleId="701">
    <w:name w:val="toc 5"/>
    <w:basedOn w:val="685"/>
    <w:next w:val="685"/>
    <w:uiPriority w:val="39"/>
    <w:unhideWhenUsed/>
    <w:qFormat/>
    <w:pPr>
      <w:ind w:left="1134" w:right="0" w:firstLine="0"/>
      <w:spacing w:after="57"/>
    </w:pPr>
  </w:style>
  <w:style w:type="paragraph" w:styleId="702">
    <w:name w:val="toc 3"/>
    <w:basedOn w:val="685"/>
    <w:next w:val="685"/>
    <w:uiPriority w:val="39"/>
    <w:unhideWhenUsed/>
    <w:qFormat/>
    <w:pPr>
      <w:ind w:left="567" w:right="0" w:firstLine="0"/>
      <w:spacing w:after="57"/>
    </w:pPr>
  </w:style>
  <w:style w:type="paragraph" w:styleId="703">
    <w:name w:val="toc 8"/>
    <w:basedOn w:val="685"/>
    <w:next w:val="685"/>
    <w:uiPriority w:val="39"/>
    <w:unhideWhenUsed/>
    <w:qFormat/>
    <w:pPr>
      <w:ind w:left="1984" w:right="0" w:firstLine="0"/>
      <w:spacing w:after="57"/>
    </w:pPr>
  </w:style>
  <w:style w:type="paragraph" w:styleId="704">
    <w:name w:val="endnote text"/>
    <w:basedOn w:val="685"/>
    <w:link w:val="869"/>
    <w:uiPriority w:val="99"/>
    <w:semiHidden/>
    <w:unhideWhenUsed/>
    <w:qFormat/>
    <w:pPr>
      <w:spacing w:after="0" w:line="240" w:lineRule="auto"/>
    </w:pPr>
    <w:rPr>
      <w:sz w:val="20"/>
    </w:rPr>
  </w:style>
  <w:style w:type="paragraph" w:styleId="705">
    <w:name w:val="Footer"/>
    <w:basedOn w:val="685"/>
    <w:link w:val="742"/>
    <w:uiPriority w:val="99"/>
    <w:unhideWhenUsed/>
    <w:qFormat/>
    <w:pPr>
      <w:spacing w:after="0" w:line="240" w:lineRule="auto"/>
      <w:tabs>
        <w:tab w:val="center" w:pos="7143" w:leader="none"/>
        <w:tab w:val="right" w:pos="14287" w:leader="none"/>
      </w:tabs>
    </w:pPr>
  </w:style>
  <w:style w:type="paragraph" w:styleId="706">
    <w:name w:val="Header"/>
    <w:basedOn w:val="685"/>
    <w:link w:val="740"/>
    <w:uiPriority w:val="99"/>
    <w:unhideWhenUsed/>
    <w:qFormat/>
    <w:pPr>
      <w:spacing w:after="0" w:line="240" w:lineRule="auto"/>
      <w:tabs>
        <w:tab w:val="center" w:pos="7143" w:leader="none"/>
        <w:tab w:val="right" w:pos="14287" w:leader="none"/>
      </w:tabs>
    </w:pPr>
  </w:style>
  <w:style w:type="paragraph" w:styleId="707">
    <w:name w:val="toc 1"/>
    <w:basedOn w:val="685"/>
    <w:next w:val="685"/>
    <w:uiPriority w:val="39"/>
    <w:unhideWhenUsed/>
    <w:qFormat/>
    <w:pPr>
      <w:ind w:left="0" w:right="0" w:firstLine="0"/>
      <w:spacing w:after="57"/>
    </w:pPr>
  </w:style>
  <w:style w:type="paragraph" w:styleId="708">
    <w:name w:val="toc 4"/>
    <w:basedOn w:val="685"/>
    <w:next w:val="685"/>
    <w:uiPriority w:val="39"/>
    <w:unhideWhenUsed/>
    <w:qFormat/>
    <w:pPr>
      <w:ind w:left="850" w:right="0" w:firstLine="0"/>
      <w:spacing w:after="57"/>
    </w:pPr>
  </w:style>
  <w:style w:type="paragraph" w:styleId="709">
    <w:name w:val="Subtitle"/>
    <w:basedOn w:val="685"/>
    <w:next w:val="685"/>
    <w:link w:val="735"/>
    <w:uiPriority w:val="11"/>
    <w:qFormat/>
    <w:pPr>
      <w:spacing w:before="200" w:after="200"/>
    </w:pPr>
    <w:rPr>
      <w:sz w:val="24"/>
      <w:szCs w:val="24"/>
    </w:rPr>
  </w:style>
  <w:style w:type="paragraph" w:styleId="710">
    <w:name w:val="footnote text"/>
    <w:basedOn w:val="685"/>
    <w:link w:val="868"/>
    <w:uiPriority w:val="99"/>
    <w:semiHidden/>
    <w:unhideWhenUsed/>
    <w:qFormat/>
    <w:pPr>
      <w:spacing w:after="40" w:line="240" w:lineRule="auto"/>
    </w:pPr>
    <w:rPr>
      <w:sz w:val="18"/>
    </w:rPr>
  </w:style>
  <w:style w:type="paragraph" w:styleId="711">
    <w:name w:val="toc 6"/>
    <w:basedOn w:val="685"/>
    <w:next w:val="685"/>
    <w:uiPriority w:val="39"/>
    <w:unhideWhenUsed/>
    <w:qFormat/>
    <w:pPr>
      <w:ind w:left="1417" w:right="0" w:firstLine="0"/>
      <w:spacing w:after="57"/>
    </w:pPr>
  </w:style>
  <w:style w:type="paragraph" w:styleId="712">
    <w:name w:val="table of figures"/>
    <w:basedOn w:val="685"/>
    <w:next w:val="685"/>
    <w:uiPriority w:val="99"/>
    <w:unhideWhenUsed/>
    <w:qFormat/>
    <w:pPr>
      <w:spacing w:after="0" w:afterAutospacing="0"/>
    </w:pPr>
  </w:style>
  <w:style w:type="paragraph" w:styleId="713">
    <w:name w:val="toc 2"/>
    <w:basedOn w:val="685"/>
    <w:next w:val="685"/>
    <w:uiPriority w:val="39"/>
    <w:unhideWhenUsed/>
    <w:qFormat/>
    <w:pPr>
      <w:ind w:left="283" w:right="0" w:firstLine="0"/>
      <w:spacing w:after="57"/>
    </w:pPr>
  </w:style>
  <w:style w:type="paragraph" w:styleId="714">
    <w:name w:val="toc 9"/>
    <w:basedOn w:val="685"/>
    <w:next w:val="685"/>
    <w:uiPriority w:val="39"/>
    <w:unhideWhenUsed/>
    <w:qFormat/>
    <w:pPr>
      <w:ind w:left="2268" w:right="0" w:firstLine="0"/>
      <w:spacing w:after="57"/>
    </w:pPr>
  </w:style>
  <w:style w:type="paragraph" w:styleId="715">
    <w:name w:val="Normal (Web)"/>
    <w:basedOn w:val="685"/>
    <w:next w:val="700"/>
    <w:uiPriority w:val="99"/>
    <w:unhideWhenUsed/>
    <w:qFormat/>
    <w:pPr>
      <w:jc w:val="left"/>
      <w:spacing w:before="100" w:beforeAutospacing="1" w:after="100" w:afterAutospacing="1"/>
      <w:widowControl/>
    </w:pPr>
    <w:rPr>
      <w:rFonts w:ascii="宋体" w:hAnsi="宋体" w:cs="宋体"/>
      <w:sz w:val="24"/>
    </w:rPr>
  </w:style>
  <w:style w:type="paragraph" w:styleId="716">
    <w:name w:val="Title"/>
    <w:basedOn w:val="685"/>
    <w:next w:val="685"/>
    <w:link w:val="734"/>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95"/>
    <w:uiPriority w:val="22"/>
    <w:qFormat/>
    <w:rPr>
      <w:b/>
    </w:rPr>
  </w:style>
  <w:style w:type="character" w:styleId="719">
    <w:name w:val="endnote reference"/>
    <w:uiPriority w:val="99"/>
    <w:semiHidden/>
    <w:unhideWhenUsed/>
    <w:qFormat/>
    <w:rPr>
      <w:vertAlign w:val="superscript"/>
    </w:rPr>
  </w:style>
  <w:style w:type="character" w:styleId="720">
    <w:name w:val="Emphasis"/>
    <w:uiPriority w:val="0"/>
    <w:qFormat/>
    <w:rPr>
      <w:rFonts w:ascii="Times New Roman" w:hAnsi="Times New Roman" w:eastAsia="宋体" w:cs="Times New Roman"/>
      <w:i/>
      <w:sz w:val="21"/>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86"/>
    <w:uiPriority w:val="9"/>
    <w:qFormat/>
    <w:rPr>
      <w:rFonts w:ascii="Arial" w:hAnsi="Arial" w:eastAsia="Arial" w:cs="Arial"/>
      <w:sz w:val="40"/>
      <w:szCs w:val="40"/>
    </w:rPr>
  </w:style>
  <w:style w:type="character" w:styleId="724" w:customStyle="1">
    <w:name w:val="Heading 2 Char"/>
    <w:link w:val="687"/>
    <w:uiPriority w:val="9"/>
    <w:qFormat/>
    <w:rPr>
      <w:rFonts w:ascii="Arial" w:hAnsi="Arial" w:eastAsia="Arial" w:cs="Arial"/>
      <w:sz w:val="34"/>
    </w:rPr>
  </w:style>
  <w:style w:type="character" w:styleId="725" w:customStyle="1">
    <w:name w:val="Heading 3 Char"/>
    <w:link w:val="688"/>
    <w:uiPriority w:val="9"/>
    <w:qFormat/>
    <w:rPr>
      <w:rFonts w:ascii="Arial" w:hAnsi="Arial" w:eastAsia="Arial" w:cs="Arial"/>
      <w:sz w:val="30"/>
      <w:szCs w:val="30"/>
    </w:rPr>
  </w:style>
  <w:style w:type="character" w:styleId="726" w:customStyle="1">
    <w:name w:val="Heading 4 Char"/>
    <w:link w:val="689"/>
    <w:uiPriority w:val="9"/>
    <w:qFormat/>
    <w:rPr>
      <w:rFonts w:ascii="Arial" w:hAnsi="Arial" w:eastAsia="Arial" w:cs="Arial"/>
      <w:b/>
      <w:bCs/>
      <w:sz w:val="26"/>
      <w:szCs w:val="26"/>
    </w:rPr>
  </w:style>
  <w:style w:type="character" w:styleId="727" w:customStyle="1">
    <w:name w:val="Heading 5 Char"/>
    <w:link w:val="690"/>
    <w:uiPriority w:val="9"/>
    <w:qFormat/>
    <w:rPr>
      <w:rFonts w:ascii="Arial" w:hAnsi="Arial" w:eastAsia="Arial" w:cs="Arial"/>
      <w:b/>
      <w:bCs/>
      <w:sz w:val="24"/>
      <w:szCs w:val="24"/>
    </w:rPr>
  </w:style>
  <w:style w:type="character" w:styleId="728" w:customStyle="1">
    <w:name w:val="Heading 6 Char"/>
    <w:link w:val="691"/>
    <w:uiPriority w:val="9"/>
    <w:qFormat/>
    <w:rPr>
      <w:rFonts w:ascii="Arial" w:hAnsi="Arial" w:eastAsia="Arial" w:cs="Arial"/>
      <w:b/>
      <w:bCs/>
      <w:sz w:val="22"/>
      <w:szCs w:val="22"/>
    </w:rPr>
  </w:style>
  <w:style w:type="character" w:styleId="729" w:customStyle="1">
    <w:name w:val="Heading 7 Char"/>
    <w:link w:val="692"/>
    <w:uiPriority w:val="9"/>
    <w:qFormat/>
    <w:rPr>
      <w:rFonts w:ascii="Arial" w:hAnsi="Arial" w:eastAsia="Arial" w:cs="Arial"/>
      <w:b/>
      <w:bCs/>
      <w:i/>
      <w:iCs/>
      <w:sz w:val="22"/>
      <w:szCs w:val="22"/>
    </w:rPr>
  </w:style>
  <w:style w:type="character" w:styleId="730" w:customStyle="1">
    <w:name w:val="Heading 8 Char"/>
    <w:link w:val="693"/>
    <w:uiPriority w:val="9"/>
    <w:qFormat/>
    <w:rPr>
      <w:rFonts w:ascii="Arial" w:hAnsi="Arial" w:eastAsia="Arial" w:cs="Arial"/>
      <w:i/>
      <w:iCs/>
      <w:sz w:val="22"/>
      <w:szCs w:val="22"/>
    </w:rPr>
  </w:style>
  <w:style w:type="character" w:styleId="731" w:customStyle="1">
    <w:name w:val="Heading 9 Char"/>
    <w:link w:val="694"/>
    <w:uiPriority w:val="9"/>
    <w:qFormat/>
    <w:rPr>
      <w:rFonts w:ascii="Arial" w:hAnsi="Arial" w:eastAsia="Arial" w:cs="Arial"/>
      <w:i/>
      <w:iCs/>
      <w:sz w:val="21"/>
      <w:szCs w:val="21"/>
    </w:rPr>
  </w:style>
  <w:style w:type="paragraph" w:styleId="732">
    <w:name w:val="List Paragraph"/>
    <w:basedOn w:val="685"/>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6"/>
    <w:uiPriority w:val="10"/>
    <w:qFormat/>
    <w:rPr>
      <w:sz w:val="48"/>
      <w:szCs w:val="48"/>
    </w:rPr>
  </w:style>
  <w:style w:type="character" w:styleId="735" w:customStyle="1">
    <w:name w:val="Subtitle Char"/>
    <w:link w:val="709"/>
    <w:uiPriority w:val="11"/>
    <w:qFormat/>
    <w:rPr>
      <w:sz w:val="24"/>
      <w:szCs w:val="24"/>
    </w:rPr>
  </w:style>
  <w:style w:type="paragraph" w:styleId="736">
    <w:name w:val="Quote"/>
    <w:basedOn w:val="685"/>
    <w:next w:val="685"/>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5"/>
    <w:next w:val="685"/>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6"/>
    <w:uiPriority w:val="99"/>
    <w:qFormat/>
  </w:style>
  <w:style w:type="character" w:styleId="741" w:customStyle="1">
    <w:name w:val="Footer Char"/>
    <w:link w:val="705"/>
    <w:uiPriority w:val="99"/>
    <w:qFormat/>
  </w:style>
  <w:style w:type="character" w:styleId="742" w:customStyle="1">
    <w:name w:val="Caption Char"/>
    <w:link w:val="705"/>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0"/>
    <w:uiPriority w:val="99"/>
    <w:qFormat/>
    <w:rPr>
      <w:sz w:val="18"/>
    </w:rPr>
  </w:style>
  <w:style w:type="character" w:styleId="869" w:customStyle="1">
    <w:name w:val="Endnote Text Char"/>
    <w:link w:val="704"/>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5"/>
    <w:next w:val="685"/>
    <w:link w:val="876"/>
    <w:uiPriority w:val="0"/>
    <w:qFormat/>
    <w:pPr>
      <w:jc w:val="center"/>
      <w:keepLines/>
      <w:keepNext/>
      <w:spacing w:before="156" w:after="156"/>
      <w:tabs>
        <w:tab w:val="left" w:pos="1134" w:leader="none"/>
      </w:tabs>
      <w:outlineLvl w:val="0"/>
    </w:pPr>
    <w:rPr>
      <w:rFonts w:ascii="宋体" w:hAnsi="宋体"/>
      <w:b/>
      <w:sz w:val="24"/>
      <w:szCs w:val="20"/>
    </w:rPr>
  </w:style>
  <w:style w:type="paragraph" w:styleId="872" w:customStyle="1">
    <w:name w:val="标题 21"/>
    <w:basedOn w:val="685"/>
    <w:next w:val="685"/>
    <w:link w:val="877"/>
    <w:uiPriority w:val="0"/>
    <w:qFormat/>
    <w:pPr>
      <w:keepLines/>
      <w:keepNext/>
      <w:spacing w:before="260" w:after="260" w:line="416" w:lineRule="auto"/>
      <w:outlineLvl w:val="1"/>
    </w:pPr>
    <w:rPr>
      <w:rFonts w:ascii="Arial" w:hAnsi="Arial" w:eastAsia="黑体"/>
      <w:b/>
      <w:bCs/>
      <w:sz w:val="32"/>
      <w:szCs w:val="32"/>
    </w:rPr>
  </w:style>
  <w:style w:type="paragraph" w:styleId="873" w:customStyle="1">
    <w:name w:val="标题 31"/>
    <w:next w:val="685"/>
    <w:uiPriority w:val="9"/>
    <w:qFormat/>
    <w:pPr>
      <w:keepLines/>
      <w:keepNext/>
      <w:spacing w:before="120" w:after="120" w:line="415" w:lineRule="auto"/>
      <w:outlineLvl w:val="2"/>
    </w:pPr>
    <w:rPr>
      <w:rFonts w:hint="default" w:ascii="Times New Roman" w:hAnsi="Times New Roman" w:eastAsia="宋体" w:cs="Times New Roman"/>
      <w:b/>
      <w:bCs/>
      <w:sz w:val="24"/>
      <w:szCs w:val="32"/>
      <w:lang w:val="en-US" w:eastAsia="zh-CN" w:bidi="ar-SA"/>
    </w:rPr>
  </w:style>
  <w:style w:type="character" w:styleId="874" w:customStyle="1">
    <w:name w:val="默认段落字体1"/>
    <w:link w:val="685"/>
    <w:uiPriority w:val="1"/>
    <w:unhideWhenUsed/>
    <w:qFormat/>
  </w:style>
  <w:style w:type="table" w:styleId="875" w:customStyle="1">
    <w:name w:val="普通表格1"/>
    <w:uiPriority w:val="99"/>
    <w:unhideWhenUsed/>
    <w:qFormat/>
    <w:tblPr/>
  </w:style>
  <w:style w:type="character" w:styleId="876" w:customStyle="1">
    <w:name w:val="标题 1 Char"/>
    <w:link w:val="871"/>
    <w:uiPriority w:val="0"/>
    <w:qFormat/>
    <w:rPr>
      <w:rFonts w:ascii="宋体" w:hAnsi="宋体" w:eastAsia="宋体"/>
      <w:b/>
      <w:sz w:val="24"/>
      <w:lang w:val="en-US" w:eastAsia="zh-CN" w:bidi="ar-SA"/>
    </w:rPr>
  </w:style>
  <w:style w:type="character" w:styleId="877" w:customStyle="1">
    <w:name w:val="标题 2 Char"/>
    <w:link w:val="872"/>
    <w:uiPriority w:val="0"/>
    <w:qFormat/>
    <w:rPr>
      <w:rFonts w:ascii="Arial" w:hAnsi="Arial" w:eastAsia="黑体"/>
      <w:b/>
      <w:bCs/>
      <w:sz w:val="32"/>
      <w:szCs w:val="32"/>
      <w:lang w:val="en-US" w:eastAsia="zh-CN" w:bidi="ar-SA"/>
    </w:rPr>
  </w:style>
  <w:style w:type="paragraph" w:styleId="878" w:customStyle="1">
    <w:name w:val="正文缩进1"/>
    <w:basedOn w:val="685"/>
    <w:next w:val="685"/>
    <w:uiPriority w:val="0"/>
    <w:qFormat/>
    <w:pPr>
      <w:ind w:firstLine="420"/>
      <w:jc w:val="left"/>
    </w:pPr>
    <w:rPr>
      <w:rFonts w:eastAsia="楷体_GB2312"/>
      <w:sz w:val="24"/>
      <w:szCs w:val="20"/>
    </w:rPr>
  </w:style>
  <w:style w:type="paragraph" w:styleId="879" w:customStyle="1">
    <w:name w:val="批注文字1"/>
    <w:basedOn w:val="685"/>
    <w:link w:val="880"/>
    <w:uiPriority w:val="0"/>
    <w:qFormat/>
    <w:pPr>
      <w:jc w:val="left"/>
    </w:pPr>
  </w:style>
  <w:style w:type="character" w:styleId="880" w:customStyle="1">
    <w:name w:val="批注文字 Char"/>
    <w:link w:val="879"/>
    <w:uiPriority w:val="0"/>
    <w:qFormat/>
    <w:rPr>
      <w:sz w:val="21"/>
      <w:szCs w:val="24"/>
    </w:rPr>
  </w:style>
  <w:style w:type="paragraph" w:styleId="881" w:customStyle="1">
    <w:name w:val="正文文本1"/>
    <w:basedOn w:val="685"/>
    <w:next w:val="878"/>
    <w:uiPriority w:val="0"/>
    <w:qFormat/>
    <w:pPr>
      <w:tabs>
        <w:tab w:val="left" w:pos="5250" w:leader="none"/>
      </w:tabs>
    </w:pPr>
    <w:rPr>
      <w:sz w:val="28"/>
    </w:rPr>
  </w:style>
  <w:style w:type="paragraph" w:styleId="882" w:customStyle="1">
    <w:name w:val="正文文本缩进1"/>
    <w:basedOn w:val="685"/>
    <w:next w:val="883"/>
    <w:uiPriority w:val="0"/>
    <w:qFormat/>
    <w:pPr>
      <w:ind w:left="570"/>
      <w:spacing w:line="520" w:lineRule="exact"/>
    </w:pPr>
    <w:rPr>
      <w:rFonts w:ascii="方正仿宋简体" w:hAnsi="创艺简仿宋" w:eastAsia="方正仿宋简体"/>
      <w:sz w:val="24"/>
      <w:szCs w:val="20"/>
    </w:rPr>
  </w:style>
  <w:style w:type="paragraph" w:styleId="883" w:customStyle="1">
    <w:name w:val="寄信人地址1"/>
    <w:basedOn w:val="685"/>
    <w:uiPriority w:val="0"/>
    <w:qFormat/>
    <w:pPr>
      <w:jc w:val="both"/>
      <w:widowControl w:val="off"/>
    </w:pPr>
    <w:rPr>
      <w:rFonts w:ascii="Arial" w:hAnsi="Arial" w:eastAsia="宋体" w:cs="Times New Roman"/>
      <w:sz w:val="21"/>
      <w:szCs w:val="24"/>
      <w:lang w:val="en-US" w:eastAsia="zh-CN" w:bidi="ar-SA"/>
    </w:rPr>
  </w:style>
  <w:style w:type="paragraph" w:styleId="884" w:customStyle="1">
    <w:name w:val="列表 21"/>
    <w:basedOn w:val="685"/>
    <w:uiPriority w:val="0"/>
    <w:qFormat/>
    <w:pPr>
      <w:ind w:left="100" w:hanging="200"/>
    </w:pPr>
  </w:style>
  <w:style w:type="paragraph" w:styleId="885" w:customStyle="1">
    <w:name w:val="纯文本11"/>
    <w:basedOn w:val="685"/>
    <w:link w:val="886"/>
    <w:uiPriority w:val="0"/>
    <w:qFormat/>
    <w:rPr>
      <w:rFonts w:ascii="宋体" w:hAnsi="Courier New" w:eastAsia="楷体_GB2312"/>
      <w:sz w:val="28"/>
      <w:szCs w:val="20"/>
    </w:rPr>
  </w:style>
  <w:style w:type="character" w:styleId="886" w:customStyle="1">
    <w:name w:val="纯文本 Char"/>
    <w:link w:val="885"/>
    <w:uiPriority w:val="0"/>
    <w:qFormat/>
    <w:rPr>
      <w:rFonts w:ascii="宋体" w:hAnsi="Courier New" w:eastAsia="楷体_GB2312"/>
      <w:sz w:val="28"/>
    </w:rPr>
  </w:style>
  <w:style w:type="paragraph" w:styleId="887" w:customStyle="1">
    <w:name w:val="日期1"/>
    <w:basedOn w:val="685"/>
    <w:next w:val="685"/>
    <w:uiPriority w:val="0"/>
    <w:qFormat/>
    <w:pPr>
      <w:ind w:left="100"/>
    </w:pPr>
    <w:rPr>
      <w:sz w:val="28"/>
    </w:rPr>
  </w:style>
  <w:style w:type="paragraph" w:styleId="888" w:customStyle="1">
    <w:name w:val="正文文本缩进 21"/>
    <w:basedOn w:val="685"/>
    <w:uiPriority w:val="0"/>
    <w:qFormat/>
    <w:pPr>
      <w:ind w:firstLine="570"/>
      <w:spacing w:line="520" w:lineRule="exact"/>
    </w:pPr>
    <w:rPr>
      <w:rFonts w:ascii="方正仿宋简体" w:hAnsi="创艺简仿宋" w:eastAsia="方正仿宋简体"/>
      <w:bCs/>
      <w:sz w:val="24"/>
      <w:szCs w:val="20"/>
    </w:rPr>
  </w:style>
  <w:style w:type="paragraph" w:styleId="889" w:customStyle="1">
    <w:name w:val="批注框文本1"/>
    <w:basedOn w:val="685"/>
    <w:uiPriority w:val="0"/>
    <w:semiHidden/>
    <w:qFormat/>
    <w:rPr>
      <w:sz w:val="18"/>
      <w:szCs w:val="18"/>
    </w:rPr>
  </w:style>
  <w:style w:type="paragraph" w:styleId="890" w:customStyle="1">
    <w:name w:val="页脚1"/>
    <w:basedOn w:val="685"/>
    <w:uiPriority w:val="0"/>
    <w:qFormat/>
    <w:pPr>
      <w:jc w:val="left"/>
      <w:tabs>
        <w:tab w:val="center" w:pos="4153" w:leader="none"/>
        <w:tab w:val="right" w:pos="8306" w:leader="none"/>
      </w:tabs>
    </w:pPr>
    <w:rPr>
      <w:sz w:val="18"/>
      <w:szCs w:val="18"/>
    </w:rPr>
  </w:style>
  <w:style w:type="paragraph" w:styleId="891"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892" w:customStyle="1">
    <w:name w:val="脚注文本1"/>
    <w:basedOn w:val="685"/>
    <w:uiPriority w:val="99"/>
    <w:unhideWhenUsed/>
    <w:qFormat/>
    <w:pPr>
      <w:jc w:val="left"/>
    </w:pPr>
    <w:rPr>
      <w:sz w:val="18"/>
      <w:szCs w:val="18"/>
    </w:rPr>
  </w:style>
  <w:style w:type="paragraph" w:styleId="893" w:customStyle="1">
    <w:name w:val="正文文本缩进 31"/>
    <w:basedOn w:val="685"/>
    <w:uiPriority w:val="0"/>
    <w:qFormat/>
    <w:pPr>
      <w:ind w:left="420"/>
      <w:spacing w:after="120"/>
    </w:pPr>
    <w:rPr>
      <w:sz w:val="16"/>
      <w:szCs w:val="16"/>
    </w:rPr>
  </w:style>
  <w:style w:type="paragraph" w:styleId="894" w:customStyle="1">
    <w:name w:val="HTML 预设格式1"/>
    <w:basedOn w:val="6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95" w:customStyle="1">
    <w:name w:val="普通(网站)1"/>
    <w:basedOn w:val="685"/>
    <w:uiPriority w:val="0"/>
    <w:unhideWhenUsed/>
    <w:qFormat/>
    <w:pPr>
      <w:jc w:val="left"/>
      <w:spacing w:before="100" w:beforeAutospacing="1" w:after="100" w:afterAutospacing="1"/>
      <w:widowControl/>
    </w:pPr>
    <w:rPr>
      <w:rFonts w:ascii="宋体" w:hAnsi="宋体" w:cs="宋体"/>
      <w:sz w:val="24"/>
    </w:rPr>
  </w:style>
  <w:style w:type="paragraph" w:styleId="896" w:customStyle="1">
    <w:name w:val="批注主题1"/>
    <w:basedOn w:val="879"/>
    <w:next w:val="879"/>
    <w:link w:val="897"/>
    <w:uiPriority w:val="0"/>
    <w:qFormat/>
    <w:rPr>
      <w:b/>
      <w:bCs/>
    </w:rPr>
  </w:style>
  <w:style w:type="character" w:styleId="897" w:customStyle="1">
    <w:name w:val="批注主题 Char"/>
    <w:link w:val="896"/>
    <w:uiPriority w:val="0"/>
    <w:qFormat/>
    <w:rPr>
      <w:b/>
      <w:bCs/>
      <w:sz w:val="21"/>
      <w:szCs w:val="24"/>
    </w:rPr>
  </w:style>
  <w:style w:type="paragraph" w:styleId="898" w:customStyle="1">
    <w:name w:val="正文首行缩进 21"/>
    <w:basedOn w:val="882"/>
    <w:uiPriority w:val="0"/>
    <w:qFormat/>
    <w:pPr>
      <w:ind w:firstLine="420"/>
    </w:pPr>
  </w:style>
  <w:style w:type="table" w:styleId="899" w:customStyle="1">
    <w:name w:val="网格型1"/>
    <w:basedOn w:val="875"/>
    <w:uiPriority w:val="0"/>
    <w:qFormat/>
    <w:pPr>
      <w:jc w:val="both"/>
      <w:widowControl w:val="off"/>
    </w:pPr>
    <w:tblPr/>
  </w:style>
  <w:style w:type="character" w:styleId="900" w:customStyle="1">
    <w:name w:val="要点1"/>
    <w:link w:val="685"/>
    <w:uiPriority w:val="0"/>
    <w:qFormat/>
    <w:rPr>
      <w:b/>
    </w:rPr>
  </w:style>
  <w:style w:type="character" w:styleId="901" w:customStyle="1">
    <w:name w:val="页码1"/>
    <w:link w:val="685"/>
    <w:uiPriority w:val="0"/>
    <w:qFormat/>
  </w:style>
  <w:style w:type="character" w:styleId="902" w:customStyle="1">
    <w:name w:val="已访问的超链接1"/>
    <w:link w:val="685"/>
    <w:uiPriority w:val="0"/>
    <w:qFormat/>
    <w:rPr>
      <w:color w:val="800080"/>
      <w:u w:val="single"/>
    </w:rPr>
  </w:style>
  <w:style w:type="character" w:styleId="903" w:customStyle="1">
    <w:name w:val="超链接1"/>
    <w:link w:val="685"/>
    <w:uiPriority w:val="0"/>
    <w:qFormat/>
    <w:rPr>
      <w:color w:val="0000ff"/>
      <w:u w:val="single"/>
    </w:rPr>
  </w:style>
  <w:style w:type="character" w:styleId="904" w:customStyle="1">
    <w:name w:val="批注引用1"/>
    <w:link w:val="685"/>
    <w:uiPriority w:val="0"/>
    <w:qFormat/>
    <w:rPr>
      <w:sz w:val="21"/>
      <w:szCs w:val="21"/>
    </w:rPr>
  </w:style>
  <w:style w:type="character" w:styleId="905" w:customStyle="1">
    <w:name w:val="脚注引用1"/>
    <w:link w:val="685"/>
    <w:uiPriority w:val="0"/>
    <w:unhideWhenUsed/>
    <w:qFormat/>
    <w:rPr>
      <w:vertAlign w:val="superscript"/>
    </w:rPr>
  </w:style>
  <w:style w:type="paragraph" w:styleId="906" w:customStyle="1">
    <w:name w:val="段"/>
    <w:next w:val="685"/>
    <w:uiPriority w:val="0"/>
    <w:qFormat/>
    <w:pPr>
      <w:ind w:firstLine="200"/>
      <w:jc w:val="both"/>
    </w:pPr>
    <w:rPr>
      <w:rFonts w:hint="default" w:ascii="宋体" w:hAnsi="Times New Roman" w:eastAsia="宋体" w:cs="Times New Roman"/>
      <w:sz w:val="21"/>
      <w:szCs w:val="22"/>
      <w:lang w:val="en-US" w:eastAsia="zh-CN" w:bidi="ar-SA"/>
    </w:rPr>
  </w:style>
  <w:style w:type="character" w:styleId="907" w:customStyle="1">
    <w:name w:val="font01"/>
    <w:link w:val="685"/>
    <w:uiPriority w:val="0"/>
    <w:qFormat/>
    <w:rPr>
      <w:rFonts w:ascii="font-weight : 400" w:hAnsi="font-weight : 400" w:eastAsia="font-weight : 400" w:cs="font-weight : 400"/>
      <w:color w:val="000000"/>
      <w:sz w:val="22"/>
      <w:szCs w:val="22"/>
      <w:u w:val="none"/>
    </w:rPr>
  </w:style>
  <w:style w:type="character" w:styleId="908" w:customStyle="1">
    <w:name w:val="font41"/>
    <w:link w:val="685"/>
    <w:uiPriority w:val="0"/>
    <w:qFormat/>
    <w:rPr>
      <w:rFonts w:hint="eastAsia" w:ascii="华文中宋" w:hAnsi="华文中宋" w:eastAsia="华文中宋" w:cs="华文中宋"/>
      <w:color w:val="000000"/>
      <w:sz w:val="20"/>
      <w:szCs w:val="20"/>
      <w:u w:val="none"/>
    </w:rPr>
  </w:style>
  <w:style w:type="character" w:styleId="909" w:customStyle="1">
    <w:name w:val="font51"/>
    <w:link w:val="685"/>
    <w:uiPriority w:val="0"/>
    <w:qFormat/>
    <w:rPr>
      <w:rFonts w:hint="eastAsia" w:ascii="宋体" w:hAnsi="宋体" w:eastAsia="宋体" w:cs="宋体"/>
      <w:color w:val="000000"/>
      <w:sz w:val="20"/>
      <w:szCs w:val="20"/>
      <w:u w:val="none"/>
    </w:rPr>
  </w:style>
  <w:style w:type="character" w:styleId="910" w:customStyle="1">
    <w:name w:val="font31"/>
    <w:link w:val="685"/>
    <w:uiPriority w:val="0"/>
    <w:qFormat/>
    <w:rPr>
      <w:rFonts w:hint="eastAsia" w:ascii="宋体" w:hAnsi="宋体" w:eastAsia="宋体" w:cs="宋体"/>
      <w:color w:val="000000"/>
      <w:sz w:val="20"/>
      <w:szCs w:val="20"/>
      <w:u w:val="none"/>
      <w:vertAlign w:val="superscript"/>
    </w:rPr>
  </w:style>
  <w:style w:type="character" w:styleId="911" w:customStyle="1">
    <w:name w:val="font21"/>
    <w:link w:val="685"/>
    <w:uiPriority w:val="0"/>
    <w:qFormat/>
    <w:rPr>
      <w:rFonts w:hint="eastAsia" w:ascii="宋体" w:hAnsi="宋体" w:eastAsia="宋体" w:cs="宋体"/>
      <w:color w:val="000000"/>
      <w:sz w:val="22"/>
      <w:szCs w:val="22"/>
      <w:u w:val="none"/>
    </w:rPr>
  </w:style>
  <w:style w:type="character" w:styleId="912" w:customStyle="1">
    <w:name w:val="style4"/>
    <w:link w:val="685"/>
    <w:uiPriority w:val="0"/>
    <w:qFormat/>
  </w:style>
  <w:style w:type="character" w:styleId="913" w:customStyle="1">
    <w:name w:val="Char Char1"/>
    <w:link w:val="685"/>
    <w:uiPriority w:val="0"/>
    <w:qFormat/>
    <w:rPr>
      <w:rFonts w:ascii="宋体" w:hAnsi="Courier New"/>
      <w:szCs w:val="20"/>
    </w:rPr>
  </w:style>
  <w:style w:type="character" w:styleId="914" w:customStyle="1">
    <w:name w:val="font11"/>
    <w:link w:val="685"/>
    <w:uiPriority w:val="0"/>
    <w:qFormat/>
    <w:rPr>
      <w:rFonts w:hint="eastAsia" w:ascii="宋体" w:hAnsi="宋体" w:eastAsia="宋体" w:cs="宋体"/>
      <w:color w:val="000000"/>
      <w:sz w:val="20"/>
      <w:szCs w:val="20"/>
      <w:u w:val="none"/>
      <w:vertAlign w:val="superscript"/>
    </w:rPr>
  </w:style>
  <w:style w:type="paragraph" w:styleId="915" w:customStyle="1">
    <w:name w:val="无间隔"/>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16" w:customStyle="1">
    <w:name w:val="列出段落"/>
    <w:basedOn w:val="685"/>
    <w:uiPriority w:val="0"/>
    <w:qFormat/>
    <w:pPr>
      <w:ind w:firstLine="420"/>
    </w:pPr>
  </w:style>
  <w:style w:type="paragraph" w:styleId="917" w:customStyle="1">
    <w:name w:val="p0"/>
    <w:basedOn w:val="685"/>
    <w:uiPriority w:val="0"/>
    <w:qFormat/>
    <w:pPr>
      <w:widowControl/>
    </w:pPr>
    <w:rPr>
      <w:szCs w:val="21"/>
    </w:rPr>
  </w:style>
  <w:style w:type="paragraph" w:styleId="918"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919" w:customStyle="1">
    <w:name w:val="p18"/>
    <w:basedOn w:val="685"/>
    <w:uiPriority w:val="0"/>
    <w:qFormat/>
    <w:pPr>
      <w:ind w:firstLine="570"/>
      <w:spacing w:line="520" w:lineRule="atLeast"/>
      <w:widowControl/>
    </w:pPr>
    <w:rPr>
      <w:rFonts w:ascii="方正仿宋简体" w:hAnsi="方正仿宋简体" w:cs="宋体"/>
      <w:sz w:val="24"/>
    </w:rPr>
  </w:style>
  <w:style w:type="paragraph" w:styleId="920" w:customStyle="1">
    <w:name w:val="首行缩进"/>
    <w:basedOn w:val="685"/>
    <w:uiPriority w:val="0"/>
    <w:qFormat/>
    <w:pPr>
      <w:ind w:firstLine="480"/>
    </w:pPr>
    <w:rPr>
      <w:szCs w:val="20"/>
      <w:lang w:val="zh-CN"/>
    </w:rPr>
  </w:style>
  <w:style w:type="paragraph" w:styleId="921" w:customStyle="1">
    <w:name w:val="纯文本1"/>
    <w:basedOn w:val="685"/>
    <w:uiPriority w:val="0"/>
    <w:qFormat/>
    <w:rPr>
      <w:rFonts w:ascii="宋体" w:hAnsi="Courier New"/>
    </w:rPr>
  </w:style>
  <w:style w:type="paragraph" w:styleId="922" w:customStyle="1">
    <w:name w:val="List Paragraph1"/>
    <w:basedOn w:val="685"/>
    <w:uiPriority w:val="34"/>
    <w:qFormat/>
    <w:pPr>
      <w:ind w:firstLine="420"/>
    </w:pPr>
  </w:style>
  <w:style w:type="paragraph" w:styleId="923" w:customStyle="1">
    <w:name w:val="首行缩进1"/>
    <w:basedOn w:val="685"/>
    <w:uiPriority w:val="0"/>
    <w:qFormat/>
    <w:pPr>
      <w:ind w:firstLine="480"/>
    </w:pPr>
    <w:rPr>
      <w:szCs w:val="20"/>
      <w:lang w:val="zh-CN"/>
    </w:rPr>
  </w:style>
  <w:style w:type="paragraph" w:styleId="924" w:customStyle="1">
    <w:name w:val="5"/>
    <w:basedOn w:val="685"/>
    <w:uiPriority w:val="0"/>
    <w:qFormat/>
    <w:pPr>
      <w:jc w:val="left"/>
    </w:pPr>
    <w:rPr>
      <w:rFonts w:ascii="宋体"/>
      <w:b/>
      <w:bCs/>
      <w:sz w:val="18"/>
      <w:szCs w:val="18"/>
    </w:rPr>
  </w:style>
  <w:style w:type="paragraph" w:styleId="925" w:customStyle="1">
    <w:name w:val="00"/>
    <w:basedOn w:val="685"/>
    <w:uiPriority w:val="0"/>
    <w:qFormat/>
    <w:pPr>
      <w:jc w:val="left"/>
    </w:pPr>
    <w:rPr>
      <w:rFonts w:ascii="黑体" w:eastAsia="黑体"/>
      <w:b/>
      <w:bCs/>
      <w:sz w:val="20"/>
      <w:szCs w:val="20"/>
    </w:rPr>
  </w:style>
  <w:style w:type="paragraph" w:styleId="926" w:customStyle="1">
    <w:name w:val="正文2"/>
    <w:basedOn w:val="685"/>
    <w:uiPriority w:val="0"/>
    <w:qFormat/>
    <w:pPr>
      <w:ind w:firstLine="200"/>
      <w:jc w:val="left"/>
      <w:spacing w:after="160" w:line="360" w:lineRule="auto"/>
      <w:widowControl/>
    </w:pPr>
    <w:rPr>
      <w:szCs w:val="20"/>
    </w:rPr>
  </w:style>
  <w:style w:type="paragraph" w:styleId="927" w:customStyle="1">
    <w:name w:val="正文文本缩进 2 + 仿宋_GB2312"/>
    <w:basedOn w:val="888"/>
    <w:uiPriority w:val="0"/>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28" w:customStyle="1">
    <w:name w:val="纯文本2"/>
    <w:basedOn w:val="685"/>
    <w:uiPriority w:val="0"/>
    <w:qFormat/>
    <w:rPr>
      <w:rFonts w:hint="eastAsia" w:ascii="宋体" w:hAnsi="Courier New" w:eastAsia="楷体_GB2312"/>
      <w:sz w:val="28"/>
      <w:szCs w:val="20"/>
    </w:rPr>
  </w:style>
  <w:style w:type="paragraph" w:styleId="92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30" w:customStyle="1">
    <w:name w:val="111111"/>
    <w:basedOn w:val="685"/>
    <w:uiPriority w:val="0"/>
    <w:qFormat/>
    <w:pPr>
      <w:jc w:val="center"/>
      <w:spacing w:before="120" w:after="120"/>
    </w:pPr>
    <w:rPr>
      <w:rFonts w:ascii="宋体" w:hAnsi="宋体" w:eastAsia="黑体"/>
      <w:b/>
      <w:bCs/>
      <w:szCs w:val="21"/>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房仁珺</cp:lastModifiedBy>
  <cp:revision>12</cp:revision>
  <dcterms:created xsi:type="dcterms:W3CDTF">2020-12-30T17:23:00Z</dcterms:created>
  <dcterms:modified xsi:type="dcterms:W3CDTF">2026-09-15T05:16:33Z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eyJoZGlkIjoiMzk2NThkYmM1MzUzYjczNWNmYjBkMWYxNmEzZGE3MTYiLCJ1c2VySWQiOiIyMjM3MjI3NjMifQ==</vt:lpwstr>
  </property>
  <property fmtid="{D5CDD505-2E9C-101B-9397-08002B2CF9AE}" pid="3" name="KSOProductBuildVer">
    <vt:lpwstr>2052-12.1.0.28505</vt:lpwstr>
  </property>
  <property fmtid="{D5CDD505-2E9C-101B-9397-08002B2CF9AE}" pid="4" name="ICV">
    <vt:lpwstr>BB6DFC2D46854E858A850046065984CC_13</vt:lpwstr>
  </property>
</Properties>
</file>