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523127445"/>
      <w:r/>
      <w:bookmarkStart w:id="2" w:name="_Toc20823272"/>
      <w:r/>
      <w:bookmarkStart w:id="3" w:name="_Toc513029200"/>
      <w:r/>
      <w:bookmarkStart w:id="4" w:name="_Toc16938516"/>
      <w:r/>
      <w:bookmarkStart w:id="5" w:name="_Toc479757206"/>
      <w:r/>
      <w:r/>
    </w:p>
    <w:p>
      <w:pPr>
        <w:pStyle w:val="714"/>
        <w:rPr>
          <w:rFonts w:hint="eastAsia"/>
        </w:rPr>
      </w:pPr>
      <w:r>
        <w:rPr>
          <w:rFonts w:hint="eastAsia"/>
        </w:rPr>
      </w:r>
      <w:r/>
    </w:p>
    <w:p>
      <w:pPr>
        <w:pStyle w:val="975"/>
        <w:jc w:val="center"/>
        <w:rPr>
          <w:rFonts w:hint="eastAsia" w:eastAsia="黑体"/>
          <w:b/>
          <w:bCs/>
          <w:sz w:val="84"/>
        </w:rPr>
      </w:pPr>
      <w:r>
        <w:rPr>
          <w:rFonts w:hint="eastAsia" w:eastAsia="黑体"/>
          <w:b/>
          <w:bCs/>
          <w:sz w:val="84"/>
        </w:rPr>
        <w:t xml:space="preserve">招　标　文　件</w:t>
      </w:r>
      <w:r/>
    </w:p>
    <w:p>
      <w:pPr>
        <w:ind w:firstLine="1506"/>
        <w:rPr>
          <w:rFonts w:hint="eastAsia"/>
          <w:b/>
          <w:sz w:val="30"/>
          <w:szCs w:val="30"/>
        </w:rPr>
      </w:pPr>
      <w:r>
        <w:rPr>
          <w:rFonts w:hint="eastAsia"/>
          <w:b/>
          <w:sz w:val="30"/>
          <w:szCs w:val="30"/>
        </w:rPr>
      </w:r>
      <w:r/>
    </w:p>
    <w:p>
      <w:pPr>
        <w:ind w:firstLine="1506"/>
        <w:rPr>
          <w:rFonts w:hint="eastAsia"/>
          <w:b/>
          <w:sz w:val="30"/>
          <w:szCs w:val="30"/>
        </w:rPr>
      </w:pPr>
      <w:r>
        <w:rPr>
          <w:rFonts w:hint="eastAsia"/>
          <w:b/>
          <w:sz w:val="30"/>
          <w:szCs w:val="30"/>
        </w:rPr>
      </w:r>
      <w:r/>
    </w:p>
    <w:p>
      <w:pPr>
        <w:ind w:firstLine="1506"/>
        <w:rPr>
          <w:rFonts w:hint="eastAsia"/>
          <w:b/>
          <w:sz w:val="30"/>
          <w:szCs w:val="30"/>
        </w:rPr>
      </w:pPr>
      <w:r>
        <w:rPr>
          <w:rFonts w:hint="eastAsia"/>
          <w:b/>
          <w:sz w:val="30"/>
          <w:szCs w:val="30"/>
        </w:rPr>
      </w:r>
      <w:r/>
    </w:p>
    <w:p>
      <w:pPr>
        <w:ind w:firstLine="1506"/>
        <w:rPr>
          <w:rFonts w:hint="eastAsia"/>
          <w:b/>
          <w:sz w:val="30"/>
          <w:szCs w:val="30"/>
        </w:rPr>
      </w:pPr>
      <w:r>
        <w:rPr>
          <w:rFonts w:hint="eastAsia"/>
          <w:b/>
          <w:sz w:val="30"/>
          <w:szCs w:val="30"/>
        </w:rPr>
      </w:r>
      <w:r/>
    </w:p>
    <w:p>
      <w:pPr>
        <w:ind w:firstLine="1506"/>
        <w:rPr>
          <w:b/>
          <w:sz w:val="30"/>
          <w:szCs w:val="30"/>
          <w:u w:val="single"/>
        </w:rPr>
      </w:pPr>
      <w:r>
        <w:rPr>
          <w:rFonts w:hint="eastAsia"/>
          <w:b/>
          <w:sz w:val="30"/>
          <w:szCs w:val="30"/>
        </w:rPr>
        <w:t xml:space="preserve">项目名称：</w:t>
      </w:r>
      <w:r>
        <w:rPr>
          <w:rFonts w:hint="eastAsia"/>
          <w:b/>
          <w:color w:val="000000"/>
          <w:sz w:val="32"/>
          <w:szCs w:val="32"/>
        </w:rPr>
        <w:t xml:space="preserve">雪亮工程视频监控、信号灯维护项目（202</w:t>
      </w:r>
      <w:r>
        <w:rPr>
          <w:b/>
          <w:color w:val="000000"/>
          <w:sz w:val="32"/>
          <w:szCs w:val="32"/>
        </w:rPr>
        <w:t xml:space="preserve">6</w:t>
      </w:r>
      <w:r>
        <w:rPr>
          <w:rFonts w:hint="eastAsia"/>
          <w:b/>
          <w:color w:val="000000"/>
          <w:sz w:val="32"/>
          <w:szCs w:val="32"/>
        </w:rPr>
        <w:t xml:space="preserve">）</w:t>
      </w:r>
      <w:r>
        <w:rPr>
          <w:rFonts w:hint="eastAsia"/>
          <w:b/>
          <w:color w:val="0000ff"/>
          <w:sz w:val="32"/>
          <w:szCs w:val="32"/>
        </w:rPr>
        <w:t xml:space="preserve"> </w:t>
      </w:r>
      <w:r/>
    </w:p>
    <w:p>
      <w:pPr>
        <w:ind w:firstLine="1506"/>
        <w:rPr>
          <w:rFonts w:hint="eastAsia"/>
          <w:b/>
          <w:color w:val="ff0000"/>
          <w:sz w:val="30"/>
          <w:szCs w:val="30"/>
        </w:rPr>
      </w:pPr>
      <w:r>
        <w:rPr>
          <w:rFonts w:hint="eastAsia"/>
          <w:b/>
          <w:sz w:val="30"/>
          <w:szCs w:val="30"/>
        </w:rPr>
        <w:t xml:space="preserve">项目编号：JSZC-320116-JZCG-G2026-0041</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p>
    <w:p>
      <w:pPr>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sz w:val="30"/>
          <w:szCs w:val="30"/>
        </w:rPr>
        <w:t xml:space="preserve">面向中小企业）</w:t>
      </w:r>
      <w:r/>
    </w:p>
    <w:p>
      <w:pPr>
        <w:jc w:val="center"/>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5"/>
        <w:ind w:firstLine="0"/>
        <w:jc w:val="center"/>
        <w:rPr>
          <w:rFonts w:hint="eastAsia"/>
          <w:b/>
          <w:bCs/>
          <w:sz w:val="32"/>
        </w:rPr>
      </w:pPr>
      <w:r>
        <w:rPr>
          <w:rFonts w:hint="eastAsia"/>
          <w:b/>
          <w:bCs/>
          <w:sz w:val="32"/>
        </w:rPr>
        <w:t xml:space="preserve">南京市公共资源交易中心六合分中心</w:t>
      </w:r>
      <w:r/>
    </w:p>
    <w:p>
      <w:pPr>
        <w:jc w:val="center"/>
        <w:rPr>
          <w:rFonts w:hint="eastAsia" w:ascii="Arial" w:hAnsi="Arial"/>
          <w:color w:val="000000"/>
          <w:sz w:val="24"/>
          <w:szCs w:val="24"/>
          <w:u w:val="single"/>
        </w:rPr>
      </w:pPr>
      <w:r>
        <w:rPr>
          <w:rFonts w:hint="eastAsia"/>
          <w:b/>
          <w:color w:val="000000"/>
          <w:sz w:val="32"/>
          <w:szCs w:val="32"/>
        </w:rPr>
        <w:t xml:space="preserve">2026年8月</w:t>
      </w: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jc w:val="left"/>
        <w:spacing w:before="120" w:after="120" w:line="360" w:lineRule="auto"/>
        <w:rPr>
          <w:color w:val="000000"/>
        </w:rPr>
      </w:pPr>
      <w:r>
        <w:rPr>
          <w:rFonts w:hint="eastAsia" w:ascii="Arial" w:hAnsi="Arial"/>
          <w:color w:val="000000"/>
          <w:sz w:val="24"/>
          <w:szCs w:val="24"/>
        </w:rPr>
        <w:t xml:space="preserve"> </w:t>
      </w:r>
      <w:r/>
    </w:p>
    <w:p>
      <w:pPr>
        <w:pStyle w:val="916"/>
        <w:rPr>
          <w:rFonts w:hint="eastAsia"/>
        </w:rPr>
      </w:pPr>
      <w:r>
        <w:rPr>
          <w:rFonts w:hint="eastAsia"/>
        </w:rPr>
      </w:r>
      <w:r/>
    </w:p>
    <w:p>
      <w:pPr>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br w:type="page" w:clear="all"/>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投标邀请…………………………………… </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投标人须知………………………………… </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960" w:lineRule="auto"/>
        <w:rPr>
          <w:rFonts w:hint="eastAsia"/>
        </w:rPr>
        <w:outlineLvl w:val="1"/>
      </w:pPr>
      <w:r>
        <w:rPr>
          <w:rFonts w:hint="eastAsia" w:ascii="黑体" w:hAnsi="宋体" w:eastAsia="黑体"/>
          <w:sz w:val="36"/>
        </w:rPr>
        <w:t xml:space="preserve">投标文件格式………………………………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pStyle w:val="887"/>
        <w:ind w:firstLine="465"/>
        <w:spacing w:before="145" w:after="145" w:line="252" w:lineRule="auto"/>
        <w:rPr>
          <w:rFonts w:hint="eastAsia" w:ascii="方正黑体_GBK" w:hAnsi="方正黑体_GBK" w:eastAsia="方正黑体_GBK" w:cs="方正黑体_GBK"/>
          <w:b w:val="0"/>
          <w:bCs w:val="0"/>
          <w:sz w:val="30"/>
          <w:szCs w:val="30"/>
        </w:rPr>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p>
    <w:p>
      <w:pPr>
        <w:ind w:firstLine="480"/>
        <w:spacing w:line="252" w:lineRule="auto"/>
        <w:rPr>
          <w:rFonts w:ascii="宋体" w:hAnsi="宋体"/>
          <w:color w:val="0000ff"/>
          <w:sz w:val="24"/>
          <w:szCs w:val="24"/>
        </w:rPr>
      </w:pPr>
      <w:r>
        <w:rPr>
          <w:rFonts w:hint="eastAsia" w:ascii="宋体" w:hAnsi="宋体"/>
          <w:sz w:val="24"/>
          <w:szCs w:val="24"/>
        </w:rPr>
        <w:t xml:space="preserve">1.项目编号：</w:t>
      </w:r>
      <w:r>
        <w:rPr>
          <w:rFonts w:hint="eastAsia" w:ascii="宋体" w:hAnsi="宋体"/>
          <w:color w:val="000000" w:themeColor="text1"/>
          <w:sz w:val="24"/>
          <w:szCs w:val="24"/>
          <w14:textFill>
            <w14:solidFill>
              <w14:schemeClr w14:val="tx1"/>
            </w14:solidFill>
          </w14:textFill>
        </w:rPr>
        <w:t xml:space="preserve">JSZC-320116-JZCG-G2026-0041</w:t>
      </w:r>
      <w:r>
        <w:rPr>
          <w:rFonts w:hint="eastAsia" w:ascii="宋体" w:hAnsi="宋体"/>
          <w:color w:val="0000ff"/>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2.项目名称：</w:t>
      </w:r>
      <w:r>
        <w:rPr>
          <w:rFonts w:hint="eastAsia"/>
          <w:color w:val="000000"/>
          <w:sz w:val="24"/>
        </w:rPr>
        <w:t xml:space="preserve">雪亮工程视频监控、信号灯维护项目（2026）</w:t>
      </w:r>
      <w:r/>
    </w:p>
    <w:p>
      <w:pPr>
        <w:ind w:firstLine="480"/>
        <w:jc w:val="left"/>
        <w:spacing w:line="264" w:lineRule="auto"/>
        <w:rPr>
          <w:rFonts w:hint="eastAsia" w:ascii="宋体" w:hAnsi="宋体"/>
          <w:sz w:val="24"/>
          <w:szCs w:val="24"/>
        </w:rPr>
      </w:pPr>
      <w:r>
        <w:rPr>
          <w:rFonts w:hint="eastAsia" w:ascii="宋体" w:hAnsi="宋体"/>
          <w:sz w:val="24"/>
          <w:szCs w:val="24"/>
        </w:rPr>
        <w:t xml:space="preserve">3.预算金额：880</w:t>
      </w:r>
      <w:r>
        <w:rPr>
          <w:rFonts w:hint="eastAsia"/>
          <w:color w:val="000000"/>
          <w:sz w:val="24"/>
        </w:rPr>
        <w:t xml:space="preserve">万元</w:t>
      </w:r>
      <w:r>
        <w:rPr>
          <w:color w:val="000000"/>
          <w:sz w:val="24"/>
          <w:lang w:val="en-GB"/>
        </w:rPr>
        <w:t xml:space="preserve">/</w:t>
      </w:r>
      <w:r>
        <w:rPr>
          <w:rFonts w:hint="eastAsia"/>
          <w:color w:val="000000"/>
          <w:sz w:val="24"/>
        </w:rPr>
        <w:t xml:space="preserve">年。</w:t>
      </w:r>
      <w:r/>
    </w:p>
    <w:p>
      <w:pPr>
        <w:ind w:firstLine="480"/>
        <w:spacing w:line="252" w:lineRule="auto"/>
        <w:rPr>
          <w:rFonts w:hint="eastAsia" w:ascii="宋体" w:hAnsi="宋体" w:cs="宋体"/>
          <w:sz w:val="24"/>
          <w:szCs w:val="24"/>
        </w:rPr>
      </w:pPr>
      <w:r>
        <w:rPr>
          <w:rFonts w:hint="eastAsia" w:ascii="宋体" w:hAnsi="宋体"/>
          <w:sz w:val="24"/>
          <w:szCs w:val="24"/>
        </w:rPr>
        <w:t xml:space="preserve">4.最高限价：714.9256</w:t>
      </w:r>
      <w:r>
        <w:rPr>
          <w:rFonts w:hint="eastAsia"/>
          <w:color w:val="000000"/>
          <w:sz w:val="24"/>
        </w:rPr>
        <w:t xml:space="preserve">万元</w:t>
      </w:r>
      <w:r>
        <w:rPr>
          <w:color w:val="000000"/>
          <w:sz w:val="24"/>
          <w:lang w:val="en-GB"/>
        </w:rPr>
        <w:t xml:space="preserve">/</w:t>
      </w:r>
      <w:r>
        <w:rPr>
          <w:rFonts w:hint="eastAsia"/>
          <w:color w:val="000000"/>
          <w:sz w:val="24"/>
        </w:rPr>
        <w:t xml:space="preserve">年。</w:t>
      </w:r>
      <w:r/>
    </w:p>
    <w:p>
      <w:pPr>
        <w:ind w:firstLine="482"/>
        <w:jc w:val="left"/>
        <w:spacing w:line="400" w:lineRule="exact"/>
        <w:rPr>
          <w:rFonts w:hint="eastAsia" w:ascii="宋体" w:hAnsi="宋体"/>
          <w:color w:val="000000"/>
          <w:sz w:val="24"/>
          <w:szCs w:val="24"/>
          <w:lang w:val="zh-CN"/>
        </w:rPr>
      </w:pPr>
      <w:r>
        <w:rPr>
          <w:rFonts w:hint="eastAsia" w:ascii="宋体" w:hAnsi="宋体"/>
          <w:sz w:val="24"/>
          <w:szCs w:val="24"/>
        </w:rPr>
        <w:t xml:space="preserve">5.采购需求（简介）：</w:t>
      </w:r>
      <w:r>
        <w:rPr>
          <w:rFonts w:hint="eastAsia" w:ascii="宋体" w:hAnsi="宋体"/>
          <w:color w:val="000000"/>
          <w:sz w:val="24"/>
          <w:szCs w:val="24"/>
          <w:lang w:val="zh-CN"/>
        </w:rPr>
        <w:t xml:space="preserve">视频监控、交通安全设施、机房及网络传输等设备维护服务及上述相关设备备件采购项目。（详细内容见本招标文件第四章）</w:t>
      </w:r>
      <w:r/>
    </w:p>
    <w:p>
      <w:pPr>
        <w:ind w:firstLine="480"/>
        <w:spacing w:line="252" w:lineRule="auto"/>
        <w:rPr>
          <w:rFonts w:ascii="宋体" w:hAnsi="宋体"/>
          <w:sz w:val="24"/>
          <w:szCs w:val="24"/>
          <w:u w:val="single"/>
        </w:rPr>
      </w:pPr>
      <w:r>
        <w:rPr>
          <w:rFonts w:hint="eastAsia" w:ascii="宋体" w:hAnsi="宋体" w:cs="宋体"/>
          <w:sz w:val="24"/>
          <w:szCs w:val="24"/>
        </w:rPr>
        <w:t xml:space="preserve">（详细内容见本招标文件第四章） </w:t>
      </w:r>
      <w:r/>
    </w:p>
    <w:p>
      <w:pPr>
        <w:ind w:firstLine="480"/>
        <w:spacing w:line="252" w:lineRule="auto"/>
        <w:rPr>
          <w:rFonts w:hint="eastAsia" w:ascii="宋体" w:hAnsi="宋体" w:cs="宋体"/>
          <w:sz w:val="24"/>
          <w:szCs w:val="24"/>
        </w:rPr>
      </w:pPr>
      <w:r>
        <w:rPr>
          <w:rFonts w:hint="eastAsia" w:ascii="宋体" w:hAnsi="宋体"/>
          <w:sz w:val="24"/>
          <w:szCs w:val="24"/>
        </w:rPr>
        <w:t xml:space="preserve">6.合同履行期限：服务期2年（从进场维护之日起算），合同一年一签，每年考核合格后续签下一年度合同。每年服务期满，采购人有权根据预算调整或考核情况决定继续履行合同（可能根据预算调整压缩合同金额）或终止合同。</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p>
    <w:p>
      <w:pPr>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p>
    <w:p>
      <w:pPr>
        <w:pStyle w:val="887"/>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8985264"/>
      <w:r/>
      <w:bookmarkStart w:id="13" w:name="_Toc28359080"/>
      <w:r/>
      <w:bookmarkStart w:id="14" w:name="_Toc28359003"/>
      <w:r/>
      <w:bookmarkStart w:id="15" w:name="_Toc35393622"/>
      <w:r/>
      <w:bookmarkStart w:id="16" w:name="_Toc35393791"/>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28359004"/>
      <w:r/>
      <w:bookmarkStart w:id="18" w:name="_Toc28359081"/>
      <w:r/>
      <w:bookmarkStart w:id="19" w:name="_Toc38985265"/>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color w:val="0000ff"/>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color w:val="000000"/>
          <w:sz w:val="24"/>
          <w:szCs w:val="24"/>
          <w:lang w:val="zh-CN"/>
        </w:rPr>
        <w:t xml:space="preserve">无。</w:t>
      </w:r>
      <w:r/>
    </w:p>
    <w:p>
      <w:pPr>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color w:val="000000"/>
          <w:sz w:val="24"/>
          <w:szCs w:val="24"/>
          <w:lang w:val="zh-CN"/>
        </w:rPr>
        <w:t xml:space="preserve">无。</w:t>
      </w:r>
      <w:r/>
    </w:p>
    <w:p>
      <w:pPr>
        <w:pStyle w:val="88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8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w:t>
      </w: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间、开标时间和地点</w:t>
      </w:r>
      <w:bookmarkEnd w:id="24"/>
      <w:r/>
      <w:bookmarkEnd w:id="25"/>
      <w:r/>
      <w:bookmarkEnd w:id="26"/>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bookmarkStart w:id="27" w:name="_Toc28359084"/>
      <w:r/>
      <w:bookmarkStart w:id="28" w:name="_Toc35393794"/>
      <w:r/>
      <w:bookmarkStart w:id="29" w:name="_Toc38985267"/>
      <w:r/>
      <w:bookmarkStart w:id="30" w:name="_Toc28359007"/>
      <w:r/>
      <w:bookmarkStart w:id="31" w:name="_Toc35393625"/>
      <w:r>
        <w:rPr>
          <w:rFonts w:hint="eastAsia" w:ascii="宋体" w:hAnsi="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cs="宋体"/>
          <w:bCs/>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09</w:t>
      </w:r>
      <w:r>
        <w:rPr>
          <w:rFonts w:hint="eastAsia"/>
          <w:bCs/>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00</w:t>
      </w:r>
      <w:r>
        <w:rPr>
          <w:rFonts w:hint="eastAsia" w:ascii="宋体" w:hAnsi="宋体"/>
          <w:bCs/>
          <w:color w:val="000000" w:themeColor="text1"/>
          <w:sz w:val="24"/>
          <w:szCs w:val="24"/>
          <w:highlight w:val="none"/>
          <w14:textFill>
            <w14:solidFill>
              <w14:schemeClr w14:val="tx1"/>
            </w14:solidFill>
          </w14:textFill>
        </w:rPr>
        <w:t xml:space="preserve">分（北京时间）。</w:t>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江苏省政府采购交易系统（以下简称“苏采云系统”）网上开标大厅。</w:t>
      </w:r>
      <w:r/>
    </w:p>
    <w:p>
      <w:pPr>
        <w:pStyle w:val="88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88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themeColor="text1"/>
          <w:sz w:val="24"/>
          <w:szCs w:val="24"/>
          <w:highlight w:val="none"/>
          <w14:textFill>
            <w14:solidFill>
              <w14:schemeClr w14:val="tx1"/>
            </w14:solidFill>
          </w14:textFill>
        </w:rPr>
      </w:pPr>
      <w:r/>
      <w:bookmarkStart w:id="35" w:name="_Toc35393627"/>
      <w:r/>
      <w:bookmarkStart w:id="36" w:name="_Toc28359008"/>
      <w:r/>
      <w:bookmarkStart w:id="37" w:name="_Toc35393796"/>
      <w:r/>
      <w:bookmarkStart w:id="38" w:name="_Toc28359085"/>
      <w:r/>
      <w:bookmarkStart w:id="39" w:name="_Toc38985269"/>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264" w:lineRule="auto"/>
        <w:tabs>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本项目组织集中</w:t>
      </w:r>
      <w:r>
        <w:rPr>
          <w:rFonts w:hint="eastAsia" w:ascii="宋体" w:hAnsi="宋体"/>
          <w:color w:val="000000" w:themeColor="text1"/>
          <w:sz w:val="24"/>
          <w:szCs w:val="24"/>
          <w:highlight w:val="none"/>
          <w14:textFill>
            <w14:solidFill>
              <w14:schemeClr w14:val="tx1"/>
            </w14:solidFill>
          </w14:textFill>
        </w:rPr>
        <w:t xml:space="preserve">答疑（</w:t>
      </w:r>
      <w:r>
        <w:rPr>
          <w:rFonts w:hint="eastAsia" w:ascii="宋体" w:hAnsi="宋体" w:cs="宋体"/>
          <w:color w:val="000000" w:themeColor="text1"/>
          <w:sz w:val="24"/>
          <w:szCs w:val="24"/>
          <w:highlight w:val="none"/>
          <w14:textFill>
            <w14:solidFill>
              <w14:schemeClr w14:val="tx1"/>
            </w14:solidFill>
          </w14:textFill>
        </w:rPr>
        <w:t xml:space="preserve">不组织集中</w:t>
      </w:r>
      <w:r>
        <w:rPr>
          <w:rFonts w:hint="eastAsia" w:ascii="宋体" w:hAnsi="宋体"/>
          <w:color w:val="000000" w:themeColor="text1"/>
          <w:sz w:val="24"/>
          <w:szCs w:val="24"/>
          <w:highlight w:val="none"/>
          <w14:textFill>
            <w14:solidFill>
              <w14:schemeClr w14:val="tx1"/>
            </w14:solidFill>
          </w14:textFill>
        </w:rPr>
        <w:t xml:space="preserve">勘察）</w:t>
      </w:r>
      <w:r>
        <w:rPr>
          <w:rFonts w:hint="eastAsia" w:ascii="宋体" w:hAnsi="宋体" w:cs="宋体"/>
          <w:color w:val="000000" w:themeColor="text1"/>
          <w:sz w:val="24"/>
          <w:szCs w:val="24"/>
          <w:highlight w:val="none"/>
          <w14:textFill>
            <w14:solidFill>
              <w14:schemeClr w14:val="tx1"/>
            </w14:solidFill>
          </w14:textFill>
        </w:rPr>
        <w:t xml:space="preserve">，供应商如对采购需求有疑问，请咨询采购单位联系人。投标人代表携带加盖单位公章的营业执照复印件、法定代表人授权委托书、身份证、</w:t>
      </w:r>
      <w:r>
        <w:rPr>
          <w:rFonts w:hint="eastAsia" w:ascii="宋体" w:hAnsi="宋体"/>
          <w:color w:val="000000" w:themeColor="text1"/>
          <w:sz w:val="24"/>
          <w:szCs w:val="24"/>
          <w:highlight w:val="none"/>
          <w14:textFill>
            <w14:solidFill>
              <w14:schemeClr w14:val="tx1"/>
            </w14:solidFill>
          </w14:textFill>
        </w:rPr>
        <w:t xml:space="preserve">保密协议书（加盖公章），参加集中答疑，答疑后拷贝点位信息。集中答疑时间、地点：签到开始时间：2026年9月3日上午9:30，签到截止时间：2026年9月3日上午10:00，地点：南京市六合区雄州街道雄州东路282号705会议室，联系人：刘主任；联系电话：025-57555557。</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4.有关本次招标的事项若存在变动或修改，请及时关注“江苏政府采购网”（www.ccgp-jiangsu.gov.cn）更正公告。</w:t>
      </w:r>
      <w:r/>
    </w:p>
    <w:p>
      <w:pPr>
        <w:ind w:firstLine="482"/>
        <w:spacing w:line="252"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w:t>
      </w:r>
      <w:r>
        <w:rPr>
          <w:rFonts w:hint="eastAsia" w:ascii="宋体" w:hAnsi="宋体"/>
          <w:b/>
          <w:bCs/>
          <w:color w:val="000000" w:themeColor="text1"/>
          <w:sz w:val="24"/>
          <w:highlight w:val="none"/>
          <w14:textFill>
            <w14:solidFill>
              <w14:schemeClr w14:val="tx1"/>
            </w14:solidFill>
          </w14:textFill>
        </w:rPr>
        <w:t xml:space="preserve">对本项目有关</w:t>
      </w:r>
      <w:r>
        <w:rPr>
          <w:rFonts w:hint="eastAsia" w:ascii="宋体" w:hAnsi="宋体"/>
          <w:b/>
          <w:bCs/>
          <w:color w:val="000000" w:themeColor="text1"/>
          <w:sz w:val="24"/>
          <w:highlight w:val="none"/>
          <w:lang w:val="zh-CN"/>
          <w14:textFill>
            <w14:solidFill>
              <w14:schemeClr w14:val="tx1"/>
            </w14:solidFill>
          </w14:textFill>
        </w:rPr>
        <w:t xml:space="preserve">的</w:t>
      </w:r>
      <w:r>
        <w:rPr>
          <w:rFonts w:hint="eastAsia" w:ascii="宋体" w:hAnsi="宋体"/>
          <w:b/>
          <w:bCs/>
          <w:color w:val="000000" w:themeColor="text1"/>
          <w:sz w:val="24"/>
          <w:highlight w:val="none"/>
          <w14:textFill>
            <w14:solidFill>
              <w14:schemeClr w14:val="tx1"/>
            </w14:solidFill>
          </w14:textFill>
        </w:rPr>
        <w:t xml:space="preserve">所有</w:t>
      </w:r>
      <w:r>
        <w:rPr>
          <w:rFonts w:hint="eastAsia" w:ascii="宋体" w:hAnsi="宋体"/>
          <w:b/>
          <w:bCs/>
          <w:color w:val="000000" w:themeColor="text1"/>
          <w:sz w:val="24"/>
          <w:highlight w:val="none"/>
          <w:lang w:val="zh-CN"/>
          <w14:textFill>
            <w14:solidFill>
              <w14:schemeClr w14:val="tx1"/>
            </w14:solidFill>
          </w14:textFill>
        </w:rPr>
        <w:t xml:space="preserve">询问</w:t>
      </w:r>
      <w:r>
        <w:rPr>
          <w:rFonts w:hint="eastAsia" w:ascii="宋体" w:hAnsi="宋体"/>
          <w:b/>
          <w:bCs/>
          <w:color w:val="000000" w:themeColor="text1"/>
          <w:sz w:val="24"/>
          <w:highlight w:val="none"/>
          <w14:textFill>
            <w14:solidFill>
              <w14:schemeClr w14:val="tx1"/>
            </w14:solidFill>
          </w14:textFill>
        </w:rPr>
        <w:t xml:space="preserve">或</w:t>
      </w:r>
      <w:r>
        <w:rPr>
          <w:rFonts w:hint="eastAsia" w:ascii="宋体" w:hAnsi="宋体"/>
          <w:b/>
          <w:bCs/>
          <w:color w:val="000000" w:themeColor="text1"/>
          <w:sz w:val="24"/>
          <w:highlight w:val="none"/>
          <w:lang w:val="zh-CN"/>
          <w14:textFill>
            <w14:solidFill>
              <w14:schemeClr w14:val="tx1"/>
            </w14:solidFill>
          </w14:textFill>
        </w:rPr>
        <w:t xml:space="preserve">质疑，应向采购人提出，由采购人负责答复。</w:t>
      </w:r>
      <w:r/>
    </w:p>
    <w:p>
      <w:pPr>
        <w:ind w:firstLine="480"/>
        <w:spacing w:line="252"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采购人收《质疑函》，收件人：刘主任；收件地址：</w:t>
      </w:r>
      <w:r>
        <w:rPr>
          <w:rFonts w:hint="eastAsia" w:ascii="宋体" w:hAnsi="宋体" w:cs="宋体"/>
          <w:color w:val="000000" w:themeColor="text1"/>
          <w:sz w:val="24"/>
          <w:szCs w:val="24"/>
          <w:highlight w:val="none"/>
          <w14:textFill>
            <w14:solidFill>
              <w14:schemeClr w14:val="tx1"/>
            </w14:solidFill>
          </w14:textFill>
        </w:rPr>
        <w:t xml:space="preserve">南京市</w:t>
      </w:r>
      <w:r>
        <w:rPr>
          <w:rFonts w:hint="eastAsia" w:ascii="宋体" w:hAnsi="宋体"/>
          <w:color w:val="000000" w:themeColor="text1"/>
          <w:sz w:val="24"/>
          <w:szCs w:val="24"/>
          <w:highlight w:val="none"/>
          <w14:textFill>
            <w14:solidFill>
              <w14:schemeClr w14:val="tx1"/>
            </w14:solidFill>
          </w14:textFill>
        </w:rPr>
        <w:t xml:space="preserve">六合区雄州东路282</w:t>
      </w:r>
      <w:r>
        <w:rPr>
          <w:rFonts w:hint="eastAsia" w:ascii="宋体" w:hAnsi="宋体" w:cs="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highlight w:val="none"/>
          <w14:textFill>
            <w14:solidFill>
              <w14:schemeClr w14:val="tx1"/>
            </w14:solidFill>
          </w14:textFill>
        </w:rPr>
        <w:t xml:space="preserve">联系电话：025-57555557。</w:t>
      </w:r>
      <w:r/>
    </w:p>
    <w:p>
      <w:pPr>
        <w:pStyle w:val="88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名称：南京市公安局六合分局</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地址：江苏省南京市六合区雄州街道雄州东路282号</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联系人：刘主任</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联系电话：025-57555557</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2.交易中心</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址：南京市六合区雄州街道龙池路333号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林先生</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联系电话：025-</w:t>
      </w:r>
      <w:r>
        <w:rPr>
          <w:rFonts w:hint="eastAsia" w:ascii="宋体" w:hAnsi="宋体"/>
          <w:color w:val="000000" w:themeColor="text1"/>
          <w:sz w:val="24"/>
          <w:szCs w:val="24"/>
          <w:highlight w:val="none"/>
          <w:lang w:val="en-US" w:eastAsia="zh-CN"/>
          <w14:textFill>
            <w14:solidFill>
              <w14:schemeClr w14:val="tx1"/>
            </w14:solidFill>
          </w14:textFill>
        </w:rPr>
        <w:t xml:space="preserve">57130352</w:t>
      </w:r>
      <w:r>
        <w:rPr>
          <w:rFonts w:hint="eastAsia" w:ascii="宋体" w:hAnsi="宋体"/>
          <w:color w:val="000000" w:themeColor="text1"/>
          <w:sz w:val="24"/>
          <w:szCs w:val="24"/>
          <w:highlight w:val="none"/>
          <w14:textFill>
            <w14:solidFill>
              <w14:schemeClr w14:val="tx1"/>
            </w14:solidFill>
          </w14:textFill>
        </w:rPr>
        <w:t xml:space="preserve">  </w:t>
      </w:r>
      <w:bookmarkEnd w:id="1"/>
      <w:bookmarkEnd w:id="2"/>
      <w:bookmarkEnd w:id="3"/>
      <w:bookmarkEnd w:id="4"/>
      <w:bookmarkEnd w:id="5"/>
      <w:r/>
    </w:p>
    <w:p>
      <w:pPr>
        <w:pStyle w:val="714"/>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0" w:name="_Hlt16619350"/>
      <w:r/>
      <w:bookmarkStart w:id="41" w:name="_Toc20823346"/>
      <w:r/>
      <w:bookmarkStart w:id="42" w:name="_Toc120614244"/>
      <w:r/>
      <w:bookmarkStart w:id="43" w:name="_Toc16938590"/>
      <w:r/>
      <w:bookmarkStart w:id="44" w:name="_Toc462564139"/>
      <w:r/>
      <w:bookmarkStart w:id="45" w:name="_Toc479757211"/>
      <w:r>
        <w:rPr>
          <w:rFonts w:ascii="黑体" w:eastAsia="黑体"/>
          <w:bCs/>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rPr>
        <w:t xml:space="preserve">第二章  投标人须知</w:t>
      </w:r>
      <w:r/>
    </w:p>
    <w:p>
      <w:pPr>
        <w:pStyle w:val="88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8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在投标截止时间之前，交易中心可以对已发出的招标文件进行必要的澄清或者修改，并在原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88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8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8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8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如出现投标截止时间递交投标文件的投标人不足三家的情况，按政府采购相关规定执行。</w:t>
      </w:r>
      <w:r/>
    </w:p>
    <w:p>
      <w:pPr>
        <w:ind w:firstLine="420"/>
        <w:rPr>
          <w:rFonts w:hint="eastAsia" w:ascii="宋体" w:hAnsi="宋体"/>
          <w:sz w:val="24"/>
          <w:lang w:val="zh-CN"/>
        </w:rPr>
      </w:pPr>
      <w:r>
        <w:rPr>
          <w:rFonts w:hint="eastAsia" w:ascii="宋体" w:hAnsi="宋体"/>
          <w:sz w:val="24"/>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18.2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18.3 评委会独立工作，负责评审所有投标文件并推荐中标候选人，或根据采购人授权直接确定中标人。</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投标人在开、评标全过程中应保持通信畅通，及时登录苏采云系统查阅、答复相关信息。</w:t>
      </w:r>
      <w:r/>
    </w:p>
    <w:p>
      <w:pPr>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rPr>
        <w:t xml:space="preserve">55</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rPr>
        <w:t xml:space="preserve">55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rPr>
        <w:t xml:space="preserve">55</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rPr>
        <w:t xml:space="preserve">55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55</w:t>
      </w:r>
      <w:r>
        <w:rPr>
          <w:rFonts w:hint="eastAsia" w:ascii="宋体" w:hAnsi="宋体"/>
          <w:sz w:val="24"/>
          <w:szCs w:val="22"/>
          <w:lang w:val="zh-CN"/>
        </w:rPr>
        <w:t xml:space="preserve">%的，即投标报价&lt;采购项目最高限价×</w:t>
      </w:r>
      <w:r>
        <w:rPr>
          <w:rFonts w:hint="eastAsia" w:ascii="宋体" w:hAnsi="宋体"/>
          <w:sz w:val="24"/>
          <w:szCs w:val="22"/>
        </w:rPr>
        <w:t xml:space="preserve">55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（4）评委会基于专业判断，认为投标报价过低，有可能影响产品质量或者不能诚信履约的其他情形。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并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88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8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8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87"/>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hint="eastAsia" w:ascii="宋体" w:hAnsi="宋体"/>
          <w:b/>
          <w:bCs/>
          <w:color w:val="000000" w:themeColor="text1"/>
          <w:sz w:val="24"/>
          <w14:textFill>
            <w14:solidFill>
              <w14:schemeClr w14:val="tx1"/>
            </w14:solidFill>
          </w14:textFill>
        </w:rPr>
      </w:pPr>
      <w:r>
        <w:rPr>
          <w:rFonts w:hint="eastAsia" w:ascii="宋体" w:hAnsi="宋体"/>
          <w:b/>
          <w:bCs/>
          <w:sz w:val="24"/>
        </w:rPr>
        <w:t xml:space="preserve">投标人对采购人、交易中心的质疑答复不满意，</w:t>
      </w:r>
      <w:r>
        <w:rPr>
          <w:rFonts w:hint="eastAsia" w:ascii="宋体" w:hAnsi="宋体"/>
          <w:b/>
          <w:bCs/>
          <w:color w:val="000000" w:themeColor="text1"/>
          <w:sz w:val="24"/>
          <w14:textFill>
            <w14:solidFill>
              <w14:schemeClr w14:val="tx1"/>
            </w14:solidFill>
          </w14:textFill>
        </w:rPr>
        <w:t xml:space="preserve">或者采购人、交易中心未在规定时间内作出质疑答复的，可以在答复期满后15个工作日内向南京市六合区财政局提起投诉。</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以下情形的质疑不予受理：</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.1 超出政府采购法定期限的质疑。</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 xml:space="preserve">属于第30条规定的对</w:t>
      </w:r>
      <w:r>
        <w:rPr>
          <w:rFonts w:hint="eastAsia" w:ascii="宋体" w:hAnsi="宋体"/>
          <w:color w:val="000000" w:themeColor="text1"/>
          <w:sz w:val="24"/>
          <w:lang w:val="zh-CN"/>
          <w14:textFill>
            <w14:solidFill>
              <w14:schemeClr w14:val="tx1"/>
            </w14:solidFill>
          </w14:textFill>
        </w:rPr>
        <w:t xml:space="preserve">同一采购程序环节提出</w:t>
      </w:r>
      <w:r>
        <w:rPr>
          <w:rFonts w:hint="eastAsia" w:ascii="宋体" w:hAnsi="宋体"/>
          <w:color w:val="000000" w:themeColor="text1"/>
          <w:sz w:val="24"/>
          <w14:textFill>
            <w14:solidFill>
              <w14:schemeClr w14:val="tx1"/>
            </w14:solidFill>
          </w14:textFill>
        </w:rPr>
        <w:t xml:space="preserve">的多次</w:t>
      </w:r>
      <w:r>
        <w:rPr>
          <w:rFonts w:hint="eastAsia" w:ascii="宋体" w:hAnsi="宋体"/>
          <w:color w:val="000000" w:themeColor="text1"/>
          <w:sz w:val="24"/>
          <w:lang w:val="zh-CN"/>
          <w14:textFill>
            <w14:solidFill>
              <w14:schemeClr w14:val="tx1"/>
            </w14:solidFill>
          </w14:textFill>
        </w:rPr>
        <w:t xml:space="preserve">质疑。</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.3 法律法规规定的</w:t>
      </w:r>
      <w:r>
        <w:rPr>
          <w:rFonts w:hint="eastAsia" w:ascii="宋体" w:hAnsi="宋体"/>
          <w:color w:val="000000" w:themeColor="text1"/>
          <w:sz w:val="24"/>
          <w14:textFill>
            <w14:solidFill>
              <w14:schemeClr w14:val="tx1"/>
            </w14:solidFill>
          </w14:textFill>
        </w:rPr>
        <w:t xml:space="preserve">其他</w:t>
      </w:r>
      <w:r>
        <w:rPr>
          <w:rFonts w:hint="eastAsia" w:ascii="宋体" w:hAnsi="宋体"/>
          <w:color w:val="000000" w:themeColor="text1"/>
          <w:sz w:val="24"/>
          <w:lang w:val="zh-CN"/>
          <w14:textFill>
            <w14:solidFill>
              <w14:schemeClr w14:val="tx1"/>
            </w14:solidFill>
          </w14:textFill>
        </w:rPr>
        <w:t xml:space="preserve">不予受理情形。</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w:t>
      </w:r>
      <w:r>
        <w:rPr>
          <w:rFonts w:hint="eastAsia" w:ascii="宋体" w:hAnsi="宋体"/>
          <w:color w:val="000000" w:themeColor="text1"/>
          <w:sz w:val="24"/>
          <w:lang w:val="zh-CN"/>
          <w14:textFill>
            <w14:solidFill>
              <w14:schemeClr w14:val="tx1"/>
            </w14:solidFill>
          </w14:textFill>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87"/>
        <w:ind w:firstLine="465"/>
        <w:spacing w:before="145" w:after="145" w:line="240"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九、政策功能落实</w:t>
      </w:r>
      <w:r/>
    </w:p>
    <w:p>
      <w:pPr>
        <w:pStyle w:val="888"/>
        <w:ind w:firstLine="422"/>
        <w:spacing w:before="0" w:after="0" w:line="240" w:lineRule="auto"/>
        <w:rPr>
          <w:rFonts w:hint="eastAsia"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lang w:val="zh-CN"/>
          <w14:textFill>
            <w14:solidFill>
              <w14:schemeClr w14:val="tx1"/>
            </w14:solidFill>
          </w14:textFill>
        </w:rPr>
        <w:t xml:space="preserve">3</w:t>
      </w:r>
      <w:r>
        <w:rPr>
          <w:rFonts w:hint="eastAsia" w:ascii="方正楷体_GBK" w:hAnsi="方正楷体_GBK" w:eastAsia="方正楷体_GBK" w:cs="方正楷体_GBK"/>
          <w:color w:val="000000" w:themeColor="text1"/>
          <w14:textFill>
            <w14:solidFill>
              <w14:schemeClr w14:val="tx1"/>
            </w14:solidFill>
          </w14:textFill>
        </w:rPr>
        <w:t xml:space="preserve">5</w:t>
      </w:r>
      <w:r>
        <w:rPr>
          <w:rFonts w:hint="eastAsia" w:ascii="方正楷体_GBK" w:hAnsi="方正楷体_GBK" w:eastAsia="方正楷体_GBK" w:cs="方正楷体_GBK"/>
          <w:color w:val="000000" w:themeColor="text1"/>
          <w:lang w:val="zh-CN"/>
          <w14:textFill>
            <w14:solidFill>
              <w14:schemeClr w14:val="tx1"/>
            </w14:solidFill>
          </w14:textFill>
        </w:rPr>
        <w:t xml:space="preserve">.促进中小企业发展</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35.2 中小企业参加政府采购活动，应当</w:t>
      </w:r>
      <w:r>
        <w:rPr>
          <w:rFonts w:ascii="宋体" w:hAnsi="宋体"/>
          <w:color w:val="000000" w:themeColor="text1"/>
          <w:sz w:val="24"/>
          <w14:textFill>
            <w14:solidFill>
              <w14:schemeClr w14:val="tx1"/>
            </w14:solidFill>
          </w14:textFill>
        </w:rPr>
        <w:t xml:space="preserve">出具</w:t>
      </w:r>
      <w:r>
        <w:rPr>
          <w:rFonts w:hint="eastAsia" w:ascii="宋体" w:hAnsi="宋体"/>
          <w:color w:val="000000" w:themeColor="text1"/>
          <w:sz w:val="24"/>
          <w14:textFill>
            <w14:solidFill>
              <w14:schemeClr w14:val="tx1"/>
            </w14:solidFill>
          </w14:textFill>
        </w:rPr>
        <w:t xml:space="preserve">《中小企业声明函》，否则不享受相关中小企业支持政策。</w:t>
      </w:r>
      <w:r>
        <w:rPr>
          <w:rFonts w:hint="eastAsia" w:ascii="宋体" w:hAnsi="宋体"/>
          <w:b/>
          <w:bCs/>
          <w:color w:val="000000" w:themeColor="text1"/>
          <w:sz w:val="24"/>
          <w14:textFill>
            <w14:solidFill>
              <w14:schemeClr w14:val="tx1"/>
            </w14:solidFill>
          </w14:textFill>
        </w:rPr>
        <w:t xml:space="preserve">中标人享受中小企业扶持政策的，其《中小企业声明函》将随中标结果公开。</w:t>
      </w:r>
      <w:r/>
    </w:p>
    <w:p>
      <w:pPr>
        <w:ind w:firstLine="420"/>
        <w:rPr>
          <w:rFonts w:hint="eastAsia" w:ascii="宋体" w:hAnsi="宋体" w:cs="宋体"/>
          <w:b/>
          <w:bCs/>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35.3 </w:t>
      </w:r>
      <w:r>
        <w:rPr>
          <w:rFonts w:hint="eastAsia" w:ascii="宋体" w:hAnsi="宋体" w:cs="宋体"/>
          <w:b/>
          <w:bCs/>
          <w:color w:val="000000" w:themeColor="text1"/>
          <w:sz w:val="24"/>
          <w:szCs w:val="24"/>
          <w14:textFill>
            <w14:solidFill>
              <w14:schemeClr w14:val="tx1"/>
            </w14:solidFill>
          </w14:textFill>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35.4</w:t>
      </w:r>
      <w:r>
        <w:rPr>
          <w:rFonts w:hint="eastAsia" w:ascii="宋体" w:hAnsi="宋体"/>
          <w:b/>
          <w:bCs/>
          <w:color w:val="000000" w:themeColor="text1"/>
          <w:sz w:val="24"/>
          <w:szCs w:val="22"/>
          <w14:textFill>
            <w14:solidFill>
              <w14:schemeClr w14:val="tx1"/>
            </w14:solidFill>
          </w14:textFill>
        </w:rPr>
        <w:t xml:space="preserve"> </w:t>
      </w:r>
      <w:r>
        <w:rPr>
          <w:rFonts w:hint="eastAsia" w:ascii="宋体" w:hAnsi="宋体"/>
          <w:b/>
          <w:bCs/>
          <w:color w:val="000000" w:themeColor="text1"/>
          <w:sz w:val="24"/>
          <w:szCs w:val="22"/>
          <w:lang w:val="zh-CN"/>
          <w14:textFill>
            <w14:solidFill>
              <w14:schemeClr w14:val="tx1"/>
            </w14:solidFill>
          </w14:textFill>
        </w:rPr>
        <w:t xml:space="preserve">评委会评审中发现</w:t>
      </w:r>
      <w:r>
        <w:rPr>
          <w:rFonts w:hint="eastAsia" w:ascii="宋体" w:hAnsi="宋体"/>
          <w:b/>
          <w:bCs/>
          <w:color w:val="000000" w:themeColor="text1"/>
          <w:sz w:val="24"/>
          <w:szCs w:val="22"/>
          <w14:textFill>
            <w14:solidFill>
              <w14:schemeClr w14:val="tx1"/>
            </w14:solidFill>
          </w14:textFill>
        </w:rPr>
        <w:t xml:space="preserve">投标人</w:t>
      </w:r>
      <w:r>
        <w:rPr>
          <w:rFonts w:hint="eastAsia" w:ascii="宋体" w:hAnsi="宋体"/>
          <w:b/>
          <w:bCs/>
          <w:color w:val="000000" w:themeColor="text1"/>
          <w:sz w:val="24"/>
          <w:szCs w:val="22"/>
          <w:lang w:val="zh-CN"/>
          <w14:textFill>
            <w14:solidFill>
              <w14:schemeClr w14:val="tx1"/>
            </w14:solidFill>
          </w14:textFill>
        </w:rPr>
        <w:t xml:space="preserve">提供的</w:t>
      </w:r>
      <w:r>
        <w:rPr>
          <w:rFonts w:hint="eastAsia" w:ascii="宋体" w:hAnsi="宋体"/>
          <w:b/>
          <w:bCs/>
          <w:color w:val="000000" w:themeColor="text1"/>
          <w:sz w:val="24"/>
          <w:lang w:val="zh-CN"/>
          <w14:textFill>
            <w14:solidFill>
              <w14:schemeClr w14:val="tx1"/>
            </w14:solidFill>
          </w14:textFill>
        </w:rPr>
        <w:t xml:space="preserve">《中小企业声明函》</w:t>
      </w:r>
      <w:r>
        <w:rPr>
          <w:rFonts w:hint="eastAsia" w:ascii="宋体" w:hAnsi="宋体"/>
          <w:b/>
          <w:bCs/>
          <w:color w:val="000000" w:themeColor="text1"/>
          <w:sz w:val="24"/>
          <w:szCs w:val="22"/>
          <w:lang w:val="zh-CN"/>
          <w14:textFill>
            <w14:solidFill>
              <w14:schemeClr w14:val="tx1"/>
            </w14:solidFill>
          </w14:textFill>
        </w:rPr>
        <w:t xml:space="preserve">内容含义不明确、同类事项表述不一致或者有明显文字错误等情况的，应当以书面形式要求</w:t>
      </w:r>
      <w:r>
        <w:rPr>
          <w:rFonts w:hint="eastAsia" w:ascii="宋体" w:hAnsi="宋体"/>
          <w:b/>
          <w:bCs/>
          <w:color w:val="000000" w:themeColor="text1"/>
          <w:sz w:val="24"/>
          <w:szCs w:val="22"/>
          <w14:textFill>
            <w14:solidFill>
              <w14:schemeClr w14:val="tx1"/>
            </w14:solidFill>
          </w14:textFill>
        </w:rPr>
        <w:t xml:space="preserve">投标人</w:t>
      </w:r>
      <w:r>
        <w:rPr>
          <w:rFonts w:hint="eastAsia" w:ascii="宋体" w:hAnsi="宋体"/>
          <w:b/>
          <w:bCs/>
          <w:color w:val="000000" w:themeColor="text1"/>
          <w:sz w:val="24"/>
          <w:szCs w:val="22"/>
          <w:lang w:val="zh-CN"/>
          <w14:textFill>
            <w14:solidFill>
              <w14:schemeClr w14:val="tx1"/>
            </w14:solidFill>
          </w14:textFill>
        </w:rPr>
        <w:t xml:space="preserve">作出必要的澄清、说明或者补正。</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35.7 残疾人福利性单位视同小型、微型企业。按照《关于促进残疾人就业政府采购政策的通知》（财库〔2017〕141号）规定，残疾人福利性单位需提供《残疾人福利性单位声明函》。</w:t>
      </w:r>
      <w:bookmarkEnd w:id="46"/>
      <w:r/>
      <w:bookmarkStart w:id="47" w:name="_Toc479757207"/>
      <w:r/>
      <w:bookmarkStart w:id="48" w:name="_Toc513029242"/>
      <w:r/>
      <w:bookmarkStart w:id="49" w:name="_Toc120614221"/>
      <w:r/>
      <w:bookmarkStart w:id="50" w:name="_Toc16938558"/>
      <w:r/>
      <w:bookmarkStart w:id="51" w:name="_Toc20823314"/>
      <w:r/>
      <w:r/>
    </w:p>
    <w:p>
      <w:pPr>
        <w:pStyle w:val="888"/>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lang w:val="zh-CN"/>
          <w14:textFill>
            <w14:solidFill>
              <w14:schemeClr w14:val="tx1"/>
            </w14:solidFill>
          </w14:textFill>
        </w:rPr>
        <w:t xml:space="preserve">3</w:t>
      </w:r>
      <w:r>
        <w:rPr>
          <w:rFonts w:hint="eastAsia" w:ascii="方正楷体_GBK" w:hAnsi="方正楷体_GBK" w:eastAsia="方正楷体_GBK" w:cs="方正楷体_GBK"/>
          <w:color w:val="000000" w:themeColor="text1"/>
          <w14:textFill>
            <w14:solidFill>
              <w14:schemeClr w14:val="tx1"/>
            </w14:solidFill>
          </w14:textFill>
        </w:rPr>
        <w:t xml:space="preserve">6</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节能产品和环境标志产品</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36.2 采购产品</w:t>
      </w:r>
      <w:r>
        <w:rPr>
          <w:rFonts w:hint="eastAsia" w:ascii="宋体" w:hAnsi="宋体"/>
          <w:color w:val="000000" w:themeColor="text1"/>
          <w:sz w:val="24"/>
          <w:lang w:val="zh-CN"/>
          <w14:textFill>
            <w14:solidFill>
              <w14:schemeClr w14:val="tx1"/>
            </w14:solidFill>
          </w14:textFill>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36.3 采购产品</w:t>
      </w:r>
      <w:r>
        <w:rPr>
          <w:rFonts w:hint="eastAsia" w:ascii="宋体" w:hAnsi="宋体"/>
          <w:color w:val="000000" w:themeColor="text1"/>
          <w:sz w:val="24"/>
          <w:lang w:val="zh-CN"/>
          <w14:textFill>
            <w14:solidFill>
              <w14:schemeClr w14:val="tx1"/>
            </w14:solidFill>
          </w14:textFill>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themeColor="text1"/>
          <w:sz w:val="24"/>
          <w14:textFill>
            <w14:solidFill>
              <w14:schemeClr w14:val="tx1"/>
            </w14:solidFill>
          </w14:textFill>
        </w:rPr>
        <w:t xml:space="preserve">第五章</w:t>
      </w:r>
      <w:r>
        <w:rPr>
          <w:rFonts w:hint="eastAsia" w:ascii="宋体" w:hAnsi="宋体"/>
          <w:color w:val="000000" w:themeColor="text1"/>
          <w:sz w:val="24"/>
          <w:lang w:val="zh-CN"/>
          <w14:textFill>
            <w14:solidFill>
              <w14:schemeClr w14:val="tx1"/>
            </w14:solidFill>
          </w14:textFill>
        </w:rPr>
        <w:t xml:space="preserve">）。</w:t>
      </w:r>
      <w:r/>
    </w:p>
    <w:p>
      <w:pPr>
        <w:pStyle w:val="888"/>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37</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绿色采购</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37.1 采购产品</w:t>
      </w:r>
      <w:r>
        <w:rPr>
          <w:rFonts w:hint="eastAsia" w:ascii="宋体"/>
          <w:bCs/>
          <w:color w:val="000000" w:themeColor="text1"/>
          <w:sz w:val="24"/>
          <w:szCs w:val="24"/>
          <w14:textFill>
            <w14:solidFill>
              <w14:schemeClr w14:val="tx1"/>
            </w14:solidFill>
          </w14:textFill>
        </w:rPr>
        <w:t xml:space="preserve">中涉及商品包装、快递包装要求的，应按照</w:t>
      </w:r>
      <w:r>
        <w:rPr>
          <w:rFonts w:hint="eastAsia" w:ascii="宋体" w:hAnsi="宋体"/>
          <w:color w:val="000000" w:themeColor="text1"/>
          <w:sz w:val="24"/>
          <w:szCs w:val="22"/>
          <w14:textFill>
            <w14:solidFill>
              <w14:schemeClr w14:val="tx1"/>
            </w14:solidFill>
          </w14:textFill>
        </w:rPr>
        <w:t xml:space="preserve">《关于印发〈商品包装政府采购需求标准（试行）&gt;、&lt;快递包装政府采购需求标准（试行）&gt;的通知》（财办库〔2020〕123号）、</w:t>
      </w:r>
      <w:r>
        <w:rPr>
          <w:rFonts w:hint="eastAsia" w:ascii="宋体" w:hAnsi="宋体" w:cs="宋体"/>
          <w:color w:val="000000" w:themeColor="text1"/>
          <w:sz w:val="24"/>
          <w:szCs w:val="24"/>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14:textFill>
            <w14:solidFill>
              <w14:schemeClr w14:val="tx1"/>
            </w14:solidFill>
          </w14:textFill>
        </w:rPr>
        <w:t xml:space="preserve">文件执行。招标文件对</w:t>
      </w:r>
      <w:r>
        <w:rPr>
          <w:rFonts w:hint="eastAsia" w:ascii="宋体"/>
          <w:bCs/>
          <w:color w:val="000000" w:themeColor="text1"/>
          <w:sz w:val="24"/>
          <w:szCs w:val="24"/>
          <w14:textFill>
            <w14:solidFill>
              <w14:schemeClr w14:val="tx1"/>
            </w14:solidFill>
          </w14:textFill>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37.2 采购产品中涉及数据中心相关设备、运维服务的，应按照《关于印发</w:t>
      </w:r>
      <w:r>
        <w:rPr>
          <w:rFonts w:hint="eastAsia" w:ascii="宋体" w:hAnsi="宋体"/>
          <w:color w:val="000000" w:themeColor="text1"/>
          <w:sz w:val="24"/>
          <w:szCs w:val="22"/>
          <w14:textFill>
            <w14:solidFill>
              <w14:schemeClr w14:val="tx1"/>
            </w14:solidFill>
          </w14:textFill>
        </w:rPr>
        <w:t xml:space="preserve">&lt;</w:t>
      </w:r>
      <w:r>
        <w:rPr>
          <w:rFonts w:hint="eastAsia" w:ascii="宋体" w:hAnsi="宋体"/>
          <w:color w:val="000000" w:themeColor="text1"/>
          <w:sz w:val="24"/>
          <w14:textFill>
            <w14:solidFill>
              <w14:schemeClr w14:val="tx1"/>
            </w14:solidFill>
          </w14:textFill>
        </w:rPr>
        <w:t xml:space="preserve">绿色数据中心政府采购需求标准（试行）&gt;的通知》（财办库〔2023〕7号）、</w:t>
      </w:r>
      <w:r>
        <w:rPr>
          <w:rFonts w:hint="eastAsia" w:ascii="宋体" w:hAnsi="宋体" w:cs="宋体"/>
          <w:color w:val="000000" w:themeColor="text1"/>
          <w:sz w:val="24"/>
          <w:szCs w:val="24"/>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14:textFill>
            <w14:solidFill>
              <w14:schemeClr w14:val="tx1"/>
            </w14:solidFill>
          </w14:textFill>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88"/>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38</w:t>
      </w:r>
      <w:r>
        <w:rPr>
          <w:rFonts w:hint="eastAsia" w:ascii="方正楷体_GBK" w:hAnsi="方正楷体_GBK" w:eastAsia="方正楷体_GBK" w:cs="方正楷体_GBK"/>
          <w:color w:val="000000" w:themeColor="text1"/>
          <w:lang w:val="zh-CN"/>
          <w14:textFill>
            <w14:solidFill>
              <w14:schemeClr w14:val="tx1"/>
            </w14:solidFill>
          </w14:textFill>
        </w:rPr>
        <w:t xml:space="preserve">.</w:t>
      </w:r>
      <w:r>
        <w:rPr>
          <w:rFonts w:hint="eastAsia" w:ascii="方正楷体_GBK" w:hAnsi="方正楷体_GBK" w:eastAsia="方正楷体_GBK" w:cs="方正楷体_GBK"/>
          <w:color w:val="000000" w:themeColor="text1"/>
          <w14:textFill>
            <w14:solidFill>
              <w14:schemeClr w14:val="tx1"/>
            </w14:solidFill>
          </w14:textFill>
        </w:rPr>
        <w:t xml:space="preserve">创新产品采购</w:t>
      </w:r>
      <w:r/>
    </w:p>
    <w:p>
      <w:pPr>
        <w:ind w:firstLine="420"/>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38.1 优先采购各级政府部门公开发布的有效期内的创新产品、首台套等《目录》内的创新产品。创新产品自进入《目录》起2年内视同具备相应销售业绩。</w:t>
      </w:r>
      <w:r/>
    </w:p>
    <w:p>
      <w:pPr>
        <w:pStyle w:val="888"/>
        <w:ind w:firstLine="422"/>
        <w:spacing w:before="0" w:after="0" w:line="240" w:lineRule="auto"/>
        <w:rPr>
          <w:rFonts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39.</w:t>
      </w:r>
      <w:r>
        <w:rPr>
          <w:rFonts w:hint="eastAsia" w:ascii="方正楷体_GBK" w:hAnsi="方正楷体_GBK" w:eastAsia="方正楷体_GBK" w:cs="方正楷体_GBK"/>
          <w:color w:val="000000" w:themeColor="text1"/>
          <w:lang w:val="zh-CN"/>
          <w14:textFill>
            <w14:solidFill>
              <w14:schemeClr w14:val="tx1"/>
            </w14:solidFill>
          </w14:textFill>
        </w:rPr>
        <w:t xml:space="preserve">网络产品、市场准入类产品采购</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39.1 </w:t>
      </w:r>
      <w:r>
        <w:rPr>
          <w:rFonts w:hint="eastAsia" w:ascii="宋体" w:hAnsi="宋体"/>
          <w:color w:val="000000" w:themeColor="text1"/>
          <w:sz w:val="24"/>
          <w:lang w:val="zh-CN"/>
          <w14:textFill>
            <w14:solidFill>
              <w14:schemeClr w14:val="tx1"/>
            </w14:solidFill>
          </w14:textFill>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39.2 </w:t>
      </w:r>
      <w:r>
        <w:rPr>
          <w:rFonts w:hint="eastAsia" w:ascii="宋体" w:hAnsi="宋体"/>
          <w:color w:val="000000" w:themeColor="text1"/>
          <w:sz w:val="24"/>
          <w:lang w:val="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88"/>
        <w:ind w:firstLine="422"/>
        <w:spacing w:before="0" w:after="0" w:line="240" w:lineRule="auto"/>
        <w:rPr>
          <w:rFonts w:hint="eastAsia"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lang w:val="zh-CN"/>
          <w14:textFill>
            <w14:solidFill>
              <w14:schemeClr w14:val="tx1"/>
            </w14:solidFill>
          </w14:textFill>
        </w:rPr>
        <w:t xml:space="preserve">4</w:t>
      </w:r>
      <w:r>
        <w:rPr>
          <w:rFonts w:hint="eastAsia" w:ascii="方正楷体_GBK" w:hAnsi="方正楷体_GBK" w:eastAsia="方正楷体_GBK" w:cs="方正楷体_GBK"/>
          <w:color w:val="000000" w:themeColor="text1"/>
          <w14:textFill>
            <w14:solidFill>
              <w14:schemeClr w14:val="tx1"/>
            </w14:solidFill>
          </w14:textFill>
        </w:rPr>
        <w:t xml:space="preserve">0</w:t>
      </w:r>
      <w:r>
        <w:rPr>
          <w:rFonts w:hint="eastAsia" w:ascii="方正楷体_GBK" w:hAnsi="方正楷体_GBK" w:eastAsia="方正楷体_GBK" w:cs="方正楷体_GBK"/>
          <w:color w:val="000000" w:themeColor="text1"/>
          <w:lang w:val="zh-CN"/>
          <w14:textFill>
            <w14:solidFill>
              <w14:schemeClr w14:val="tx1"/>
            </w14:solidFill>
          </w14:textFill>
        </w:rPr>
        <w:t xml:space="preserve">.实施本国产品标准及相关政策</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根据《国务院办公厅关于在政府采购中实施本国产品标准及相关政策的通知》（国办发〔2025〕34号）、《关于贯彻落实</w:t>
      </w:r>
      <w:r>
        <w:rPr>
          <w:rFonts w:hint="eastAsia" w:ascii="宋体" w:hAnsi="宋体"/>
          <w:color w:val="000000" w:themeColor="text1"/>
          <w:sz w:val="24"/>
          <w:szCs w:val="22"/>
          <w14:textFill>
            <w14:solidFill>
              <w14:schemeClr w14:val="tx1"/>
            </w14:solidFill>
          </w14:textFill>
        </w:rPr>
        <w:t xml:space="preserve">&lt;</w:t>
      </w:r>
      <w:r>
        <w:rPr>
          <w:rFonts w:hint="eastAsia" w:ascii="宋体" w:hAnsi="宋体"/>
          <w:color w:val="000000" w:themeColor="text1"/>
          <w:sz w:val="24"/>
          <w14:textFill>
            <w14:solidFill>
              <w14:schemeClr w14:val="tx1"/>
            </w14:solidFill>
          </w14:textFill>
        </w:rPr>
        <w:t xml:space="preserve">国务院办公厅关于在政府采购中实施本国产品标准及相关政策的通知</w:t>
      </w:r>
      <w:r>
        <w:rPr>
          <w:rFonts w:hint="eastAsia" w:ascii="宋体" w:hAnsi="宋体"/>
          <w:color w:val="000000" w:themeColor="text1"/>
          <w:sz w:val="24"/>
          <w:lang w:val="zh-CN"/>
          <w14:textFill>
            <w14:solidFill>
              <w14:schemeClr w14:val="tx1"/>
            </w14:solidFill>
          </w14:textFill>
        </w:rPr>
        <w:t xml:space="preserve">&gt;</w:t>
      </w:r>
      <w:r>
        <w:rPr>
          <w:rFonts w:hint="eastAsia" w:ascii="宋体" w:hAnsi="宋体"/>
          <w:color w:val="000000" w:themeColor="text1"/>
          <w:sz w:val="24"/>
          <w14:textFill>
            <w14:solidFill>
              <w14:schemeClr w14:val="tx1"/>
            </w14:solidFill>
          </w14:textFill>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themeColor="text1"/>
          <w:sz w:val="24"/>
          <w:lang w:val="zh-CN"/>
          <w14:textFill>
            <w14:solidFill>
              <w14:schemeClr w14:val="tx1"/>
            </w14:solidFill>
          </w14:textFill>
        </w:rPr>
        <w:t xml:space="preserve">。</w:t>
      </w:r>
      <w:r/>
    </w:p>
    <w:p>
      <w:pPr>
        <w:ind w:firstLine="420"/>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szCs w:val="22"/>
          <w:lang w:val="zh-CN"/>
          <w14:textFill>
            <w14:solidFill>
              <w14:schemeClr w14:val="tx1"/>
            </w14:solidFill>
          </w14:textFill>
        </w:rPr>
        <w:t xml:space="preserve">本国产品应当符合以下条件：</w:t>
      </w:r>
      <w:r/>
    </w:p>
    <w:p>
      <w:pPr>
        <w:ind w:firstLine="420"/>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（1）在中国境内生产</w:t>
      </w:r>
      <w:r/>
    </w:p>
    <w:p>
      <w:pPr>
        <w:ind w:firstLine="420"/>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（2）在中国境内生产的组件成本占比达到规定比例</w:t>
      </w:r>
      <w:r/>
    </w:p>
    <w:p>
      <w:pPr>
        <w:ind w:firstLine="420"/>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比例计算公式</w:t>
      </w:r>
      <w:r>
        <w:rPr>
          <w:rFonts w:hint="eastAsia" w:ascii="宋体" w:hAnsi="宋体"/>
          <w:color w:val="000000" w:themeColor="text1"/>
          <w:sz w:val="24"/>
          <w:szCs w:val="22"/>
          <w:lang w:val="zh-CN"/>
          <w14:textFill>
            <w14:solidFill>
              <w14:schemeClr w14:val="tx1"/>
            </w14:solidFill>
          </w14:textFill>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（3）特定产品的关键组件、关键工序符合相关要求</w:t>
      </w:r>
      <w:r/>
    </w:p>
    <w:p>
      <w:pPr>
        <w:ind w:firstLine="420"/>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.3本国产品标准的适用范围</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40.4对本国产品的支持政策</w:t>
      </w:r>
      <w:r/>
    </w:p>
    <w:p>
      <w:pPr>
        <w:ind w:firstLine="422"/>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本项目如</w:t>
      </w:r>
      <w:r>
        <w:rPr>
          <w:rFonts w:hint="eastAsia" w:ascii="宋体" w:hAnsi="宋体"/>
          <w:b/>
          <w:bCs/>
          <w:color w:val="000000" w:themeColor="text1"/>
          <w:sz w:val="24"/>
          <w:lang w:val="zh-CN"/>
          <w14:textFill>
            <w14:solidFill>
              <w14:schemeClr w14:val="tx1"/>
            </w14:solidFill>
          </w14:textFill>
        </w:rPr>
        <w:t xml:space="preserve">既有本国产品又有非本国产品参与竞争，依法对本国产品给予价格评审优惠，</w:t>
      </w:r>
      <w:r>
        <w:rPr>
          <w:rFonts w:hint="eastAsia" w:ascii="宋体" w:hAnsi="宋体"/>
          <w:b/>
          <w:bCs/>
          <w:color w:val="000000" w:themeColor="text1"/>
          <w:sz w:val="24"/>
          <w14:textFill>
            <w14:solidFill>
              <w14:schemeClr w14:val="tx1"/>
            </w14:solidFill>
          </w14:textFill>
        </w:rPr>
        <w:t xml:space="preserve">具体详见第五章。</w:t>
      </w:r>
      <w:r/>
    </w:p>
    <w:p>
      <w:pPr>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40.5政策执行要求</w:t>
      </w:r>
      <w:r/>
    </w:p>
    <w:p>
      <w:pPr>
        <w:ind w:firstLine="420"/>
        <w:rPr>
          <w:rFonts w:hint="eastAsia" w:ascii="宋体" w:hAnsi="宋体" w:cs="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）产品在中国境内生产的组件成本核算规则。产品在中国境内生产的组件成本，按照《中国境内生产的组件成本核算基本规则》计算，</w:t>
      </w:r>
      <w:r>
        <w:rPr>
          <w:rFonts w:hint="eastAsia" w:ascii="宋体" w:hAnsi="宋体"/>
          <w:color w:val="000000" w:themeColor="text1"/>
          <w:sz w:val="24"/>
          <w14:textFill>
            <w14:solidFill>
              <w14:schemeClr w14:val="tx1"/>
            </w14:solidFill>
          </w14:textFill>
        </w:rPr>
        <w:t xml:space="preserve">详见</w:t>
      </w:r>
      <w:r>
        <w:rPr>
          <w:rFonts w:hint="eastAsia" w:ascii="宋体" w:hAnsi="宋体" w:cs="宋体"/>
          <w:color w:val="000000" w:themeColor="text1"/>
          <w:sz w:val="24"/>
          <w:szCs w:val="24"/>
          <w:shd w:val="clear" w:color="auto" w:fill="ffffff"/>
          <w14:textFill>
            <w14:solidFill>
              <w14:schemeClr w14:val="tx1"/>
            </w14:solidFill>
          </w14:textFill>
        </w:rPr>
        <w:t xml:space="preserve">《国务院办公厅关于在政府采购中实施本国产品标准及相关政策的通知》（国办发〔2025〕34号）规定。</w:t>
      </w:r>
      <w:r/>
    </w:p>
    <w:p>
      <w:pPr>
        <w:ind w:firstLine="420"/>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（2）有关证明文件。</w:t>
      </w:r>
      <w:r>
        <w:rPr>
          <w:rFonts w:hint="eastAsia" w:ascii="宋体" w:hAnsi="宋体"/>
          <w:b/>
          <w:bCs/>
          <w:color w:val="000000" w:themeColor="text1"/>
          <w:sz w:val="24"/>
          <w14:textFill>
            <w14:solidFill>
              <w14:schemeClr w14:val="tx1"/>
            </w14:solidFill>
          </w14:textFill>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714"/>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45" w:after="145"/>
        <w:rPr>
          <w:rFonts w:hint="eastAsia" w:ascii="宋体" w:hAnsi="宋体"/>
          <w:bCs/>
          <w:color w:val="000000"/>
          <w:sz w:val="24"/>
        </w:rPr>
      </w:pPr>
      <w:r/>
      <w:bookmarkStart w:id="52" w:name="_Toc513029243"/>
      <w:r/>
      <w:bookmarkStart w:id="53" w:name="_Toc16938559"/>
      <w:r/>
      <w:bookmarkStart w:id="54" w:name="_Toc20823315"/>
      <w:r>
        <w:rPr>
          <w:rFonts w:hint="eastAsia" w:ascii="宋体" w:hAnsi="宋体"/>
          <w:bCs/>
          <w:color w:val="000000"/>
          <w:sz w:val="24"/>
        </w:rPr>
        <w:t xml:space="preserve">以下为本项目的合同条款，合同双方不得对招标、投标文件内容作实质性修改。</w:t>
      </w:r>
      <w:r/>
    </w:p>
    <w:p>
      <w:pPr>
        <w:pStyle w:val="714"/>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themeColor="text1"/>
          <w:sz w:val="24"/>
          <w:szCs w:val="24"/>
          <w14:textFill>
            <w14:solidFill>
              <w14:schemeClr w14:val="tx1"/>
            </w14:solidFill>
          </w14:textFill>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w:t>
      </w:r>
      <w:r>
        <w:rPr>
          <w:rFonts w:ascii="宋体" w:hAnsi="宋体" w:cs="Courier New"/>
          <w:color w:val="000000" w:themeColor="text1"/>
          <w:sz w:val="24"/>
          <w:szCs w:val="24"/>
          <w14:textFill>
            <w14:solidFill>
              <w14:schemeClr w14:val="tx1"/>
            </w14:solidFill>
          </w14:textFill>
        </w:rPr>
        <w:t xml:space="preserve">据</w:t>
      </w:r>
      <w:r>
        <w:rPr>
          <w:rFonts w:hint="eastAsia" w:ascii="宋体" w:hAnsi="宋体" w:cs="Courier New"/>
          <w:color w:val="000000" w:themeColor="text1"/>
          <w:sz w:val="24"/>
          <w:szCs w:val="24"/>
          <w14:textFill>
            <w14:solidFill>
              <w14:schemeClr w14:val="tx1"/>
            </w14:solidFill>
          </w14:textFill>
        </w:rPr>
        <w:t xml:space="preserve">南京市公共资源交易中心六合分中心组织的</w:t>
      </w:r>
      <w:r>
        <w:rPr>
          <w:rFonts w:hint="eastAsia" w:hAnsi="宋体" w:cs="Courier New"/>
          <w:color w:val="000000" w:themeColor="text1"/>
          <w:sz w:val="24"/>
          <w:szCs w:val="24"/>
          <w14:textFill>
            <w14:solidFill>
              <w14:schemeClr w14:val="tx1"/>
            </w14:solidFill>
          </w14:textFill>
        </w:rPr>
        <w:t xml:space="preserve">____________________</w:t>
      </w:r>
      <w:r>
        <w:rPr>
          <w:rFonts w:ascii="宋体" w:hAnsi="宋体" w:cs="Courier New"/>
          <w:color w:val="000000" w:themeColor="text1"/>
          <w:sz w:val="24"/>
          <w:szCs w:val="24"/>
          <w14:textFill>
            <w14:solidFill>
              <w14:schemeClr w14:val="tx1"/>
            </w14:solidFill>
          </w14:textFill>
        </w:rPr>
        <w:t xml:space="preserve">项目公开招标结果</w:t>
      </w:r>
      <w:r>
        <w:rPr>
          <w:rFonts w:hint="eastAsia" w:ascii="宋体" w:hAnsi="宋体" w:cs="Courier New"/>
          <w:color w:val="000000" w:themeColor="text1"/>
          <w:sz w:val="24"/>
          <w:szCs w:val="24"/>
          <w14:textFill>
            <w14:solidFill>
              <w14:schemeClr w14:val="tx1"/>
            </w14:solidFill>
          </w14:textFill>
        </w:rPr>
        <w:t xml:space="preserve">，</w:t>
      </w:r>
      <w:r>
        <w:rPr>
          <w:rFonts w:ascii="宋体" w:hAnsi="宋体" w:cs="Courier New"/>
          <w:color w:val="000000" w:themeColor="text1"/>
          <w:sz w:val="24"/>
          <w:szCs w:val="24"/>
          <w14:textFill>
            <w14:solidFill>
              <w14:schemeClr w14:val="tx1"/>
            </w14:solidFill>
          </w14:textFill>
        </w:rPr>
        <w:t xml:space="preserve">签署本合同。</w:t>
      </w:r>
      <w:r/>
    </w:p>
    <w:p>
      <w:pPr>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一、合同内容</w:t>
      </w:r>
      <w:r/>
    </w:p>
    <w:p>
      <w:pPr>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1.1 </w:t>
      </w:r>
      <w:r>
        <w:rPr>
          <w:rFonts w:hint="eastAsia" w:ascii="宋体" w:hAnsi="宋体" w:cs="Courier New"/>
          <w:color w:val="000000" w:themeColor="text1"/>
          <w:sz w:val="24"/>
          <w:szCs w:val="24"/>
          <w14:textFill>
            <w14:solidFill>
              <w14:schemeClr w14:val="tx1"/>
            </w14:solidFill>
          </w14:textFill>
        </w:rPr>
        <w:t xml:space="preserve">标的</w:t>
      </w:r>
      <w:r>
        <w:rPr>
          <w:rFonts w:ascii="宋体" w:hAnsi="宋体" w:cs="Courier New"/>
          <w:color w:val="000000" w:themeColor="text1"/>
          <w:sz w:val="24"/>
          <w:szCs w:val="24"/>
          <w14:textFill>
            <w14:solidFill>
              <w14:schemeClr w14:val="tx1"/>
            </w14:solidFill>
          </w14:textFill>
        </w:rPr>
        <w:t xml:space="preserve">名称：</w:t>
      </w:r>
      <w:r/>
    </w:p>
    <w:p>
      <w:pPr>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1.2</w:t>
      </w:r>
      <w:r>
        <w:rPr>
          <w:rFonts w:hint="eastAsia" w:ascii="宋体" w:hAnsi="宋体" w:cs="Courier New"/>
          <w:color w:val="000000" w:themeColor="text1"/>
          <w:sz w:val="24"/>
          <w:szCs w:val="24"/>
          <w14:textFill>
            <w14:solidFill>
              <w14:schemeClr w14:val="tx1"/>
            </w14:solidFill>
          </w14:textFill>
        </w:rPr>
        <w:t xml:space="preserve"> 标的质量：按招标文件及投标文件执行。</w:t>
      </w:r>
      <w:r/>
    </w:p>
    <w:p>
      <w:pPr>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.3 标的数量（规模）：按招标文件及投标文件执行。</w:t>
      </w:r>
      <w:r/>
    </w:p>
    <w:p>
      <w:pPr>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.4 履行时间（期限）：按招标文件及投标文件执行。</w:t>
      </w:r>
      <w:r/>
    </w:p>
    <w:p>
      <w:pPr>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.5 履行地点：甲方指定地点。</w:t>
      </w:r>
      <w:r/>
    </w:p>
    <w:p>
      <w:pPr>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6 履行方式：按招标文件及投标文件执行。</w:t>
      </w:r>
      <w:r/>
    </w:p>
    <w:p>
      <w:pPr>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.7 包装方式：按招标文件及投标文件执行。</w:t>
      </w:r>
      <w:r/>
    </w:p>
    <w:p>
      <w:pPr>
        <w:rPr>
          <w:rFonts w:ascii="宋体" w:hAnsi="宋体" w:cs="Courier New"/>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1.8</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二、合同金额</w:t>
      </w:r>
      <w:r/>
    </w:p>
    <w:p>
      <w:pPr>
        <w:pStyle w:val="922"/>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w:t>
      </w:r>
      <w:r>
        <w:rPr>
          <w:rFonts w:hint="eastAsia" w:hAnsi="宋体"/>
          <w:color w:val="000000" w:themeColor="text1"/>
          <w:sz w:val="24"/>
          <w:szCs w:val="24"/>
          <w14:textFill>
            <w14:solidFill>
              <w14:schemeClr w14:val="tx1"/>
            </w14:solidFill>
          </w14:textFill>
        </w:rPr>
        <w:t xml:space="preserve">本合同金额为：人民币____________________元，（大写：_____________________）</w:t>
      </w:r>
      <w:r/>
    </w:p>
    <w:p>
      <w:pPr>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三、技术资料</w:t>
      </w:r>
      <w:r/>
    </w:p>
    <w:p>
      <w:pPr>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3.1 乙方应按招标文件规定的时间向甲方提供服务（包含与服务相关的货物）的有关技术资料。</w:t>
      </w:r>
      <w:r/>
    </w:p>
    <w:p>
      <w:pPr>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四、知识产权</w:t>
      </w:r>
      <w:r/>
    </w:p>
    <w:p>
      <w:pPr>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6.1 签订合同时，乙方按照合同金额</w:t>
      </w:r>
      <w:r>
        <w:rPr>
          <w:rFonts w:hint="eastAsia" w:ascii="宋体" w:hAnsi="宋体" w:cs="Courier New"/>
          <w:color w:val="000000"/>
          <w:sz w:val="24"/>
          <w:szCs w:val="24"/>
          <w:u w:val="single"/>
        </w:rPr>
        <w:t xml:space="preserve"> 10 </w:t>
      </w:r>
      <w:r>
        <w:rPr>
          <w:rFonts w:hint="eastAsia" w:ascii="宋体" w:hAnsi="宋体" w:cs="Courier New"/>
          <w:color w:val="000000"/>
          <w:sz w:val="24"/>
          <w:szCs w:val="24"/>
        </w:rPr>
        <w:t xml:space="preserve">%缴纳履约保证金。合同履行结束后，甲方按以下约定退还：</w:t>
      </w:r>
      <w:r/>
    </w:p>
    <w:p>
      <w:pPr>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p>
    <w:p>
      <w:pPr>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22"/>
        <w:rPr>
          <w:rFonts w:hint="eastAsia" w:hAnsi="宋体"/>
          <w:sz w:val="24"/>
          <w:szCs w:val="24"/>
        </w:rPr>
        <w:outlineLvl w:val="3"/>
      </w:pPr>
      <w:r>
        <w:rPr>
          <w:rFonts w:hint="eastAsia" w:hAnsi="宋体"/>
          <w:sz w:val="24"/>
          <w:szCs w:val="24"/>
        </w:rPr>
        <w:t xml:space="preserve">8.1 合同款项的支付方式及时间</w:t>
      </w:r>
      <w:r/>
    </w:p>
    <w:p>
      <w:pPr>
        <w:pStyle w:val="922"/>
        <w:rPr>
          <w:rFonts w:hint="eastAsia" w:hAnsi="宋体"/>
          <w:sz w:val="24"/>
          <w:szCs w:val="24"/>
        </w:rPr>
      </w:pPr>
      <w:r>
        <w:rPr>
          <w:rFonts w:hint="eastAsia" w:hAnsi="宋体"/>
          <w:sz w:val="24"/>
          <w:szCs w:val="24"/>
        </w:rPr>
        <w:t xml:space="preserve">8.1.1预付款支付时间：合同签订后，合同总金额扣除备品备件费和其他未列出设备更换费后的10%作为预付款。</w:t>
      </w:r>
      <w:r/>
    </w:p>
    <w:p>
      <w:pPr>
        <w:pStyle w:val="922"/>
        <w:rPr>
          <w:rFonts w:hint="eastAsia" w:hAnsi="宋体"/>
          <w:sz w:val="24"/>
          <w:szCs w:val="24"/>
        </w:rPr>
      </w:pPr>
      <w:r>
        <w:rPr>
          <w:rFonts w:hint="eastAsia" w:hAnsi="宋体"/>
          <w:sz w:val="24"/>
          <w:szCs w:val="24"/>
        </w:rPr>
        <w:t xml:space="preserve">8.1.2款项支付：按季度支付，每季度支付合同中维护费的25%和实际交付的备品备件费用，同时扣除预付款的25%。第四季度（一年）服务期结束按审定价支付余款。</w:t>
      </w:r>
      <w:r/>
    </w:p>
    <w:p>
      <w:pPr>
        <w:pStyle w:val="922"/>
        <w:rPr>
          <w:rFonts w:hint="eastAsia"/>
        </w:rPr>
      </w:pPr>
      <w:r>
        <w:rPr>
          <w:rFonts w:hint="eastAsia" w:hAnsi="宋体"/>
          <w:sz w:val="24"/>
          <w:szCs w:val="24"/>
        </w:rPr>
        <w:t xml:space="preserve">8.1.3满足合同约定支付条件的，甲方收到乙方发票后，将资金支付到合同约定的乙方账户。 </w:t>
      </w:r>
      <w:r/>
    </w:p>
    <w:p>
      <w:pPr>
        <w:pStyle w:val="92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rPr>
      </w:pPr>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w:t>
      </w:r>
      <w:r>
        <w:rPr>
          <w:rFonts w:ascii="宋体" w:hAnsi="宋体" w:cs="宋体"/>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本合同未尽事宜，遵照《中华人民共和国民法典》《中华人民共和国政府采购法》等有关条文执行。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922"/>
        <w:spacing w:before="120" w:after="120"/>
        <w:rPr>
          <w:rFonts w:hint="eastAsia" w:hAnsi="宋体"/>
          <w:sz w:val="24"/>
          <w:szCs w:val="24"/>
        </w:rPr>
      </w:pPr>
      <w:r>
        <w:rPr>
          <w:rFonts w:hint="eastAsia" w:hAnsi="宋体"/>
          <w:sz w:val="24"/>
          <w:szCs w:val="24"/>
        </w:rPr>
        <w:t xml:space="preserve">  </w:t>
      </w:r>
      <w:bookmarkEnd w:id="52"/>
      <w:bookmarkEnd w:id="53"/>
      <w:bookmarkEnd w:id="54"/>
      <w:r/>
    </w:p>
    <w:p>
      <w:pPr>
        <w:pStyle w:val="922"/>
        <w:ind w:firstLine="240"/>
        <w:spacing w:before="120" w:after="120"/>
        <w:rPr>
          <w:rFonts w:hint="eastAsia" w:hAnsi="宋体"/>
          <w:sz w:val="24"/>
          <w:szCs w:val="24"/>
        </w:rPr>
      </w:pPr>
      <w:r>
        <w:rPr>
          <w:rFonts w:hint="eastAsia" w:hAnsi="宋体"/>
          <w:sz w:val="24"/>
          <w:szCs w:val="24"/>
        </w:rPr>
        <w:t xml:space="preserve">甲方：（公章）                       乙方：（公章） </w:t>
      </w:r>
      <w:r/>
    </w:p>
    <w:p>
      <w:pPr>
        <w:pStyle w:val="922"/>
        <w:spacing w:before="120" w:after="120"/>
        <w:rPr>
          <w:rFonts w:hint="eastAsia" w:hAnsi="宋体"/>
          <w:sz w:val="24"/>
          <w:szCs w:val="24"/>
        </w:rPr>
      </w:pPr>
      <w:r>
        <w:rPr>
          <w:rFonts w:hint="eastAsia" w:hAnsi="宋体"/>
          <w:sz w:val="24"/>
          <w:szCs w:val="24"/>
        </w:rPr>
        <w:t xml:space="preserve">  地址：                               地址： </w:t>
      </w:r>
      <w:r/>
    </w:p>
    <w:p>
      <w:pPr>
        <w:pStyle w:val="922"/>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22"/>
        <w:ind w:firstLine="240"/>
        <w:spacing w:before="120" w:after="120"/>
        <w:rPr>
          <w:rFonts w:hint="eastAsia" w:hAnsi="宋体"/>
          <w:sz w:val="24"/>
          <w:szCs w:val="24"/>
        </w:rPr>
      </w:pPr>
      <w:r>
        <w:rPr>
          <w:rFonts w:hint="eastAsia" w:hAnsi="宋体"/>
          <w:sz w:val="24"/>
          <w:szCs w:val="24"/>
        </w:rPr>
        <w:t xml:space="preserve">联系电话：                           联系电话：          </w:t>
      </w:r>
      <w:r/>
    </w:p>
    <w:p>
      <w:pPr>
        <w:pStyle w:val="922"/>
        <w:spacing w:before="120" w:after="120"/>
        <w:rPr>
          <w:rFonts w:hint="eastAsia" w:hAnsi="宋体"/>
          <w:sz w:val="24"/>
          <w:szCs w:val="24"/>
        </w:rPr>
      </w:pPr>
      <w:r>
        <w:rPr>
          <w:rFonts w:hint="eastAsia" w:hAnsi="宋体"/>
          <w:sz w:val="24"/>
          <w:szCs w:val="24"/>
        </w:rPr>
        <w:t xml:space="preserve">                                          </w:t>
      </w:r>
      <w:r/>
    </w:p>
    <w:p>
      <w:pPr>
        <w:pStyle w:val="922"/>
        <w:ind w:firstLine="5280"/>
        <w:spacing w:before="120" w:after="120"/>
        <w:rPr>
          <w:rFonts w:hint="eastAsia" w:hAnsi="宋体"/>
          <w:sz w:val="24"/>
          <w:szCs w:val="24"/>
        </w:rPr>
      </w:pPr>
      <w:r>
        <w:rPr>
          <w:rFonts w:hint="eastAsia" w:hAnsi="宋体"/>
          <w:sz w:val="24"/>
          <w:szCs w:val="24"/>
        </w:rPr>
        <w:t xml:space="preserve">签订日期：</w:t>
      </w:r>
      <w:r/>
    </w:p>
    <w:p>
      <w:pPr>
        <w:pStyle w:val="922"/>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922"/>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spacing w:line="340" w:lineRule="exact"/>
        <w:rPr>
          <w:rFonts w:ascii="宋体" w:hAnsi="宋体"/>
          <w:color w:val="000000"/>
          <w:sz w:val="24"/>
        </w:rPr>
      </w:pPr>
      <w:r>
        <w:rPr>
          <w:rFonts w:hint="eastAsia" w:hAnsi="宋体"/>
          <w:color w:val="000000"/>
          <w:sz w:val="24"/>
          <w:szCs w:val="24"/>
        </w:rPr>
        <w:br w:type="page" w:clear="all"/>
      </w:r>
      <w:r>
        <w:rPr>
          <w:rFonts w:hint="eastAsia" w:ascii="宋体" w:hAnsi="宋体"/>
          <w:color w:val="000000"/>
          <w:sz w:val="24"/>
        </w:rPr>
        <w:t xml:space="preserve">附件1</w:t>
      </w:r>
      <w:r/>
    </w:p>
    <w:p>
      <w:pPr>
        <w:jc w:val="center"/>
        <w:spacing w:after="240" w:line="500" w:lineRule="exact"/>
        <w:rPr>
          <w:rFonts w:ascii="华文中宋" w:hAnsi="华文中宋" w:eastAsia="华文中宋"/>
          <w:b/>
          <w:color w:val="000000"/>
          <w:sz w:val="36"/>
          <w:szCs w:val="36"/>
        </w:rPr>
      </w:pPr>
      <w:r>
        <w:rPr>
          <w:rFonts w:hint="eastAsia" w:ascii="华文中宋" w:hAnsi="华文中宋" w:eastAsia="华文中宋"/>
          <w:b/>
          <w:color w:val="000000"/>
          <w:sz w:val="36"/>
          <w:szCs w:val="36"/>
        </w:rPr>
        <w:t xml:space="preserve">保密协议书</w:t>
      </w:r>
      <w:r/>
    </w:p>
    <w:p>
      <w:pPr>
        <w:spacing w:line="340" w:lineRule="exact"/>
        <w:rPr>
          <w:rFonts w:ascii="宋体" w:hAnsi="宋体"/>
          <w:color w:val="000000"/>
          <w:sz w:val="24"/>
          <w:u w:val="single"/>
        </w:rPr>
      </w:pPr>
      <w:r>
        <w:rPr>
          <w:rFonts w:hint="eastAsia" w:ascii="宋体" w:hAnsi="宋体"/>
          <w:color w:val="000000"/>
          <w:sz w:val="24"/>
        </w:rPr>
        <w:t xml:space="preserve">采购方（以下简称甲方）</w:t>
      </w:r>
      <w:r>
        <w:rPr>
          <w:rFonts w:hint="eastAsia" w:ascii="宋体" w:hAnsi="宋体"/>
          <w:color w:val="000000"/>
          <w:sz w:val="24"/>
          <w:u w:val="single"/>
        </w:rPr>
        <w:t xml:space="preserve">                         </w:t>
      </w:r>
      <w:r/>
    </w:p>
    <w:p>
      <w:pPr>
        <w:spacing w:after="240" w:line="340" w:lineRule="exact"/>
        <w:rPr>
          <w:rFonts w:ascii="宋体" w:hAnsi="宋体"/>
          <w:color w:val="000000"/>
          <w:sz w:val="24"/>
        </w:rPr>
      </w:pPr>
      <w:r>
        <w:rPr>
          <w:rFonts w:hint="eastAsia" w:ascii="宋体" w:hAnsi="宋体"/>
          <w:color w:val="000000"/>
          <w:sz w:val="24"/>
        </w:rPr>
        <w:t xml:space="preserve">供货商（以下简称乙方）</w:t>
      </w:r>
      <w:r>
        <w:rPr>
          <w:rFonts w:hint="eastAsia" w:ascii="宋体" w:hAnsi="宋体"/>
          <w:color w:val="000000"/>
          <w:sz w:val="24"/>
          <w:u w:val="single"/>
        </w:rPr>
        <w:t xml:space="preserve">                         </w:t>
      </w:r>
      <w:r/>
    </w:p>
    <w:p>
      <w:pPr>
        <w:ind w:firstLine="480"/>
        <w:rPr>
          <w:rFonts w:ascii="宋体" w:hAnsi="宋体"/>
          <w:color w:val="000000"/>
          <w:sz w:val="24"/>
        </w:rPr>
      </w:pPr>
      <w:r>
        <w:rPr>
          <w:rFonts w:hint="eastAsia" w:ascii="宋体" w:hAnsi="宋体"/>
          <w:color w:val="000000"/>
          <w:sz w:val="24"/>
        </w:rPr>
        <w:t xml:space="preserve">项目名称：雪亮工程视频监控、信号灯维护项目（2026）的招投标及项目合同执行期间，为加强对国家秘密和警务工作秘密的保护，维护国家安全和利益，严防失、泄密事件的发生，根据《中华人民共和国保守国家秘密法》和公安机关有关保密工作规定，约定本保密协议如下：</w:t>
      </w:r>
      <w:r/>
    </w:p>
    <w:p>
      <w:pPr>
        <w:ind w:firstLine="480"/>
        <w:spacing w:line="340" w:lineRule="exact"/>
        <w:rPr>
          <w:rFonts w:ascii="宋体" w:hAnsi="宋体"/>
          <w:color w:val="000000"/>
          <w:sz w:val="24"/>
        </w:rPr>
      </w:pPr>
      <w:r>
        <w:rPr>
          <w:rFonts w:hint="eastAsia" w:ascii="宋体" w:hAnsi="宋体"/>
          <w:color w:val="000000"/>
          <w:sz w:val="24"/>
        </w:rPr>
        <w:t xml:space="preserve">一、本协议中所指的秘密事项是指，以文字、数据、符号、图形、视频、音频以及其他任何形式记载的国家秘密、警务工作秘密以及公安机关的其他应当保密的事宜。</w:t>
      </w:r>
      <w:r/>
    </w:p>
    <w:p>
      <w:pPr>
        <w:ind w:firstLine="480"/>
        <w:spacing w:line="340" w:lineRule="exact"/>
        <w:rPr>
          <w:rFonts w:ascii="宋体" w:hAnsi="宋体"/>
          <w:color w:val="000000"/>
          <w:sz w:val="24"/>
        </w:rPr>
      </w:pPr>
      <w:r>
        <w:rPr>
          <w:rFonts w:hint="eastAsia" w:ascii="宋体" w:hAnsi="宋体"/>
          <w:color w:val="000000"/>
          <w:sz w:val="24"/>
        </w:rPr>
        <w:t xml:space="preserve">二、甲方应当对乙方的基本情况（公司名称、公司地址、公司法人等资料）进行审查备案。乙方应当如实提供上述基本情况。</w:t>
      </w:r>
      <w:r/>
    </w:p>
    <w:p>
      <w:pPr>
        <w:ind w:firstLine="480"/>
        <w:spacing w:line="340" w:lineRule="exact"/>
        <w:rPr>
          <w:rFonts w:ascii="宋体" w:hAnsi="宋体"/>
          <w:color w:val="000000"/>
          <w:sz w:val="24"/>
        </w:rPr>
      </w:pPr>
      <w:r>
        <w:rPr>
          <w:rFonts w:hint="eastAsia" w:ascii="宋体" w:hAnsi="宋体"/>
          <w:color w:val="000000"/>
          <w:sz w:val="24"/>
        </w:rPr>
        <w:t xml:space="preserve">三、甲方应当对乙方保密制度的执行情况进行监督检查，及时发现问题、纠正错误。</w:t>
      </w:r>
      <w:r/>
    </w:p>
    <w:p>
      <w:pPr>
        <w:ind w:firstLine="480"/>
        <w:spacing w:line="340" w:lineRule="exact"/>
        <w:rPr>
          <w:rFonts w:ascii="宋体" w:hAnsi="宋体"/>
          <w:color w:val="000000"/>
          <w:sz w:val="24"/>
        </w:rPr>
      </w:pPr>
      <w:r>
        <w:rPr>
          <w:rFonts w:hint="eastAsia" w:ascii="宋体" w:hAnsi="宋体"/>
          <w:color w:val="000000"/>
          <w:sz w:val="24"/>
        </w:rPr>
        <w:t xml:space="preserve">四、乙方应当严格遵守《中华人民共和国保守国家秘密法》及有关的保密法律法规和甲方保密工作纪律、有关规章制度，保守国家秘密和警务工作秘密，自觉维护国家安全和利益。严禁有下列行为：</w:t>
      </w:r>
      <w:r/>
    </w:p>
    <w:p>
      <w:pPr>
        <w:ind w:firstLine="480"/>
        <w:spacing w:line="340" w:lineRule="exact"/>
        <w:rPr>
          <w:rFonts w:ascii="宋体" w:hAnsi="宋体"/>
          <w:color w:val="000000"/>
          <w:sz w:val="24"/>
        </w:rPr>
      </w:pPr>
      <w:r>
        <w:rPr>
          <w:rFonts w:hint="eastAsia" w:ascii="宋体" w:hAnsi="宋体"/>
          <w:color w:val="000000"/>
          <w:sz w:val="24"/>
        </w:rPr>
        <w:t xml:space="preserve">1.以抄录、复制、下载、编写、发布、传递或其他任何方式泄露工作中接触或知悉的秘密事项。</w:t>
      </w:r>
      <w:r/>
    </w:p>
    <w:p>
      <w:pPr>
        <w:ind w:firstLine="480"/>
        <w:spacing w:line="340" w:lineRule="exact"/>
        <w:rPr>
          <w:rFonts w:ascii="宋体" w:hAnsi="宋体"/>
          <w:color w:val="000000"/>
          <w:sz w:val="24"/>
        </w:rPr>
      </w:pPr>
      <w:r>
        <w:rPr>
          <w:rFonts w:hint="eastAsia" w:ascii="宋体" w:hAnsi="宋体"/>
          <w:color w:val="000000"/>
          <w:sz w:val="24"/>
        </w:rPr>
        <w:t xml:space="preserve">2.将甲方的秘密事项带出工作场所；与无关人员谈论有关甲方的秘密工作情况；使用私人存储介质进入公安机关网络系统；擅自在甲方工作场所摄像、照相；私自打听甲方秘密事项。</w:t>
      </w:r>
      <w:r/>
    </w:p>
    <w:p>
      <w:pPr>
        <w:ind w:firstLine="480"/>
        <w:spacing w:line="340" w:lineRule="exact"/>
        <w:rPr>
          <w:rFonts w:ascii="宋体" w:hAnsi="宋体"/>
          <w:color w:val="000000"/>
          <w:sz w:val="24"/>
        </w:rPr>
      </w:pPr>
      <w:r>
        <w:rPr>
          <w:rFonts w:hint="eastAsia" w:ascii="宋体" w:hAnsi="宋体"/>
          <w:color w:val="000000"/>
          <w:sz w:val="24"/>
        </w:rPr>
        <w:t xml:space="preserve">五、乙方未经甲方批准不得查看使用公安信息网、计算机、纸介质、光电磁介质等存储记载的内容。</w:t>
      </w:r>
      <w:r/>
    </w:p>
    <w:p>
      <w:pPr>
        <w:ind w:firstLine="480"/>
        <w:spacing w:line="340" w:lineRule="exact"/>
        <w:rPr>
          <w:rFonts w:ascii="宋体" w:hAnsi="宋体"/>
          <w:color w:val="000000"/>
          <w:sz w:val="24"/>
        </w:rPr>
      </w:pPr>
      <w:r>
        <w:rPr>
          <w:rFonts w:hint="eastAsia" w:ascii="宋体" w:hAnsi="宋体"/>
          <w:color w:val="000000"/>
          <w:sz w:val="24"/>
        </w:rPr>
        <w:t xml:space="preserve">六、招投标程序结束或合同期满后，对在此期间获知的秘密事项应当严格保守，不得以任何方式对外泄露。</w:t>
      </w:r>
      <w:r/>
    </w:p>
    <w:p>
      <w:pPr>
        <w:ind w:firstLine="480"/>
        <w:spacing w:line="340" w:lineRule="exact"/>
        <w:rPr>
          <w:rFonts w:ascii="宋体" w:hAnsi="宋体"/>
          <w:color w:val="000000"/>
          <w:sz w:val="24"/>
        </w:rPr>
      </w:pPr>
      <w:r>
        <w:rPr>
          <w:rFonts w:hint="eastAsia" w:ascii="宋体" w:hAnsi="宋体"/>
          <w:color w:val="000000"/>
          <w:sz w:val="24"/>
        </w:rPr>
        <w:t xml:space="preserve">七、乙方违反上述规定，甲方一经发现，立即取消其投标资格或解除其施工合同，并依法追究其相关责任。</w:t>
      </w:r>
      <w:r/>
    </w:p>
    <w:p>
      <w:pPr>
        <w:ind w:firstLine="480"/>
        <w:spacing w:line="340" w:lineRule="exact"/>
        <w:rPr>
          <w:rFonts w:ascii="宋体" w:hAnsi="宋体"/>
          <w:color w:val="000000"/>
          <w:sz w:val="24"/>
        </w:rPr>
      </w:pPr>
      <w:r>
        <w:rPr>
          <w:rFonts w:hint="eastAsia" w:ascii="宋体" w:hAnsi="宋体"/>
          <w:color w:val="000000"/>
          <w:sz w:val="24"/>
        </w:rPr>
        <w:t xml:space="preserve">乙方泄露在项目招投标或项目施工期间获知的秘密事项的，甲方应当根据相关法律法规追究乙方法律责任。</w:t>
      </w:r>
      <w:r/>
    </w:p>
    <w:p>
      <w:pPr>
        <w:ind w:firstLine="480"/>
        <w:spacing w:line="340" w:lineRule="exact"/>
        <w:rPr>
          <w:rFonts w:ascii="宋体" w:hAnsi="宋体"/>
          <w:color w:val="000000"/>
          <w:sz w:val="24"/>
        </w:rPr>
      </w:pPr>
      <w:r>
        <w:rPr>
          <w:rFonts w:hint="eastAsia" w:ascii="宋体" w:hAnsi="宋体"/>
          <w:color w:val="000000"/>
          <w:sz w:val="24"/>
        </w:rPr>
        <w:t xml:space="preserve">乙方造成严重失、泄密事故的，甲方应当将其移送司法机关依法追究刑事责任。</w:t>
      </w:r>
      <w:r/>
    </w:p>
    <w:p>
      <w:pPr>
        <w:ind w:firstLine="480"/>
        <w:spacing w:line="340" w:lineRule="exact"/>
        <w:rPr>
          <w:rFonts w:ascii="宋体" w:hAnsi="宋体"/>
          <w:color w:val="000000"/>
          <w:sz w:val="24"/>
        </w:rPr>
      </w:pPr>
      <w:r>
        <w:rPr>
          <w:rFonts w:hint="eastAsia" w:ascii="宋体" w:hAnsi="宋体"/>
          <w:color w:val="000000"/>
          <w:sz w:val="24"/>
        </w:rPr>
        <w:t xml:space="preserve">八、本协议一式两份，甲乙双方各执一份，自双方签字盖章之日起生效。</w:t>
      </w:r>
      <w:r/>
    </w:p>
    <w:p>
      <w:pPr>
        <w:ind w:firstLine="480"/>
        <w:spacing w:line="340" w:lineRule="exact"/>
        <w:rPr>
          <w:rFonts w:ascii="宋体" w:hAnsi="宋体"/>
          <w:color w:val="000000"/>
          <w:sz w:val="24"/>
        </w:rPr>
      </w:pPr>
      <w:r>
        <w:rPr>
          <w:rFonts w:ascii="宋体" w:hAnsi="宋体"/>
          <w:color w:val="000000"/>
          <w:sz w:val="24"/>
        </w:rPr>
      </w:r>
      <w:r/>
    </w:p>
    <w:p>
      <w:pPr>
        <w:ind w:firstLine="480"/>
        <w:spacing w:line="340" w:lineRule="exact"/>
        <w:rPr>
          <w:rFonts w:ascii="宋体" w:hAnsi="宋体"/>
          <w:color w:val="000000"/>
          <w:sz w:val="24"/>
        </w:rPr>
      </w:pPr>
      <w:r>
        <w:rPr>
          <w:rFonts w:hint="eastAsia" w:ascii="宋体" w:hAnsi="宋体"/>
          <w:color w:val="000000"/>
          <w:sz w:val="24"/>
        </w:rPr>
        <w:t xml:space="preserve">甲方：（签章）                      乙方：（签字）</w:t>
      </w:r>
      <w:r/>
    </w:p>
    <w:p>
      <w:pPr>
        <w:ind w:firstLine="480"/>
        <w:spacing w:line="340" w:lineRule="exact"/>
        <w:rPr>
          <w:rFonts w:ascii="宋体" w:hAnsi="宋体"/>
          <w:color w:val="000000"/>
          <w:sz w:val="24"/>
        </w:rPr>
      </w:pPr>
      <w:r>
        <w:rPr>
          <w:rFonts w:hint="eastAsia" w:ascii="宋体" w:hAnsi="宋体"/>
          <w:color w:val="000000"/>
          <w:sz w:val="24"/>
        </w:rPr>
        <w:t xml:space="preserve">2026年　月　日                     </w:t>
      </w:r>
      <w:r>
        <w:rPr>
          <w:rFonts w:ascii="宋体" w:hAnsi="宋体"/>
          <w:color w:val="000000"/>
          <w:sz w:val="24"/>
          <w:lang w:val="en-GB"/>
        </w:rPr>
        <w:t xml:space="preserve"> </w:t>
      </w:r>
      <w:r>
        <w:rPr>
          <w:rFonts w:hint="eastAsia" w:ascii="宋体" w:hAnsi="宋体"/>
          <w:color w:val="000000"/>
          <w:sz w:val="24"/>
        </w:rPr>
        <w:t xml:space="preserve">2026年　月　日</w:t>
      </w:r>
      <w:r/>
    </w:p>
    <w:p>
      <w:pPr>
        <w:spacing w:after="240"/>
        <w:rPr>
          <w:rFonts w:hAnsi="宋体"/>
          <w:color w:val="000000"/>
          <w:sz w:val="24"/>
          <w:szCs w:val="24"/>
        </w:rPr>
      </w:pPr>
      <w:r>
        <w:rPr>
          <w:rFonts w:hAnsi="宋体"/>
          <w:color w:val="000000"/>
          <w:sz w:val="24"/>
          <w:szCs w:val="24"/>
        </w:rPr>
      </w:r>
      <w:r/>
    </w:p>
    <w:p>
      <w:pPr>
        <w:spacing w:after="240"/>
        <w:rPr>
          <w:rFonts w:ascii="宋体" w:hAnsi="宋体"/>
          <w:color w:val="000000"/>
          <w:sz w:val="24"/>
          <w:szCs w:val="24"/>
        </w:rPr>
      </w:pPr>
      <w:r>
        <w:rPr>
          <w:rFonts w:ascii="宋体" w:hAnsi="宋体"/>
          <w:color w:val="000000"/>
          <w:sz w:val="24"/>
          <w:szCs w:val="24"/>
        </w:rPr>
      </w:r>
      <w:r/>
    </w:p>
    <w:p>
      <w:pPr>
        <w:spacing w:after="240"/>
        <w:rPr>
          <w:rFonts w:ascii="宋体" w:hAnsi="宋体"/>
          <w:color w:val="000000"/>
          <w:sz w:val="24"/>
          <w:szCs w:val="24"/>
        </w:rPr>
      </w:pPr>
      <w:r>
        <w:rPr>
          <w:rFonts w:hint="eastAsia" w:ascii="宋体" w:hAnsi="宋体"/>
          <w:color w:val="000000"/>
          <w:sz w:val="24"/>
        </w:rPr>
        <w:br w:type="page" w:clear="all"/>
      </w:r>
      <w:r>
        <w:rPr>
          <w:rFonts w:hint="eastAsia" w:ascii="宋体" w:hAnsi="宋体"/>
          <w:color w:val="000000"/>
          <w:sz w:val="24"/>
        </w:rPr>
        <w:t xml:space="preserve">附件2</w:t>
      </w:r>
      <w:r/>
    </w:p>
    <w:p>
      <w:pPr>
        <w:jc w:val="center"/>
        <w:spacing w:after="240"/>
        <w:rPr>
          <w:b/>
          <w:bCs/>
          <w:color w:val="000000"/>
          <w:spacing w:val="-4"/>
          <w:sz w:val="36"/>
          <w:szCs w:val="36"/>
        </w:rPr>
      </w:pPr>
      <w:r>
        <w:rPr>
          <w:rFonts w:hint="eastAsia" w:ascii="华文中宋" w:hAnsi="华文中宋" w:eastAsia="华文中宋"/>
          <w:b/>
          <w:color w:val="000000"/>
          <w:sz w:val="36"/>
          <w:szCs w:val="36"/>
        </w:rPr>
        <w:t xml:space="preserve">违 约 责 任 书</w:t>
      </w:r>
      <w:r/>
    </w:p>
    <w:p>
      <w:pPr>
        <w:rPr>
          <w:rFonts w:ascii="仿宋_GB2312" w:eastAsia="仿宋_GB2312"/>
          <w:color w:val="000000"/>
        </w:rPr>
      </w:pPr>
      <w:r>
        <w:rPr>
          <w:rFonts w:hint="eastAsia" w:ascii="宋体" w:hAnsi="宋体"/>
          <w:color w:val="000000"/>
        </w:rPr>
        <w:t xml:space="preserve">采购方（以下简称甲方）</w:t>
      </w:r>
      <w:r>
        <w:rPr>
          <w:rFonts w:hint="eastAsia" w:ascii="宋体" w:hAnsi="宋体"/>
          <w:color w:val="000000"/>
          <w:u w:val="single"/>
        </w:rPr>
        <w:t xml:space="preserve">                         </w:t>
      </w:r>
      <w:r/>
    </w:p>
    <w:p>
      <w:pPr>
        <w:ind w:firstLine="420"/>
        <w:rPr>
          <w:rFonts w:ascii="宋体" w:hAnsi="宋体"/>
          <w:color w:val="000000"/>
        </w:rPr>
      </w:pPr>
      <w:r>
        <w:rPr>
          <w:rFonts w:hint="eastAsia" w:ascii="宋体" w:hAnsi="宋体"/>
          <w:color w:val="000000"/>
        </w:rPr>
        <w:t xml:space="preserve">1.如乙方不能交付服务的，乙方应向甲方支付合同总价5%的违约金。</w:t>
      </w:r>
      <w:r/>
    </w:p>
    <w:p>
      <w:pPr>
        <w:ind w:firstLine="420"/>
        <w:spacing w:line="340" w:lineRule="exact"/>
        <w:rPr>
          <w:rFonts w:ascii="宋体" w:hAnsi="宋体"/>
          <w:color w:val="000000"/>
        </w:rPr>
      </w:pPr>
      <w:r>
        <w:rPr>
          <w:rFonts w:hint="eastAsia" w:ascii="宋体" w:hAnsi="宋体"/>
          <w:color w:val="000000"/>
        </w:rPr>
        <w:t xml:space="preserve">2.乙方逾期交付的，每逾期1天，乙方向甲方偿付合同总额的5‰的违约金。如乙方逾期交付达10天，甲方有权解除合同，解除合同的通知自到达乙方时生效，违约责任依照第1款。</w:t>
      </w:r>
      <w:r/>
    </w:p>
    <w:p>
      <w:pPr>
        <w:ind w:firstLine="420"/>
        <w:spacing w:line="340" w:lineRule="exact"/>
        <w:rPr>
          <w:rFonts w:ascii="宋体" w:hAnsi="宋体"/>
          <w:color w:val="000000"/>
        </w:rPr>
      </w:pPr>
      <w:r>
        <w:rPr>
          <w:rFonts w:hint="eastAsia" w:ascii="宋体" w:hAnsi="宋体"/>
          <w:color w:val="000000"/>
        </w:rPr>
        <w:t xml:space="preserve">3.乙方所交付的服务不符合合同规定的，甲方有权拒收。甲方拒收的，乙方应向甲方支付合同总价5%的违约金。</w:t>
      </w:r>
      <w:r/>
    </w:p>
    <w:p>
      <w:pPr>
        <w:ind w:firstLine="420"/>
        <w:spacing w:line="340" w:lineRule="exact"/>
        <w:rPr>
          <w:rFonts w:ascii="宋体" w:hAnsi="宋体"/>
          <w:color w:val="000000"/>
        </w:rPr>
      </w:pPr>
      <w:r>
        <w:rPr>
          <w:rFonts w:hint="eastAsia" w:ascii="宋体" w:hAnsi="宋体"/>
          <w:color w:val="000000"/>
        </w:rPr>
        <w:t xml:space="preserve">4.乙方提供的服务不符合要求的，应立即进行整改，并按每次1000元标准支付违约金。乙方拒绝整改、整改后仍不符合要求或者累计发生3次以上需整改情形的，甲方有权解除合同，乙方应退回全部合同价款，并按第3款处理。同时，乙方还须赔偿甲方因此遭受的损失。</w:t>
      </w:r>
      <w:r/>
    </w:p>
    <w:p>
      <w:pPr>
        <w:ind w:firstLine="420"/>
        <w:spacing w:line="340" w:lineRule="exact"/>
        <w:rPr>
          <w:rFonts w:ascii="宋体" w:hAnsi="宋体"/>
          <w:color w:val="000000"/>
        </w:rPr>
      </w:pPr>
      <w:r>
        <w:rPr>
          <w:rFonts w:hint="eastAsia" w:ascii="宋体" w:hAnsi="宋体"/>
          <w:color w:val="000000"/>
        </w:rPr>
        <w:t xml:space="preserve">5.乙方未按本合同的规定和“服务承诺”提供伴随服务/售后服务的，应按合同总价款的1%向甲方承担违约责任。</w:t>
      </w:r>
      <w:r/>
    </w:p>
    <w:p>
      <w:pPr>
        <w:ind w:firstLine="420"/>
        <w:spacing w:line="340" w:lineRule="exact"/>
        <w:rPr>
          <w:rFonts w:ascii="宋体" w:hAnsi="宋体"/>
          <w:color w:val="000000"/>
        </w:rPr>
      </w:pPr>
      <w:r>
        <w:rPr>
          <w:rFonts w:hint="eastAsia" w:ascii="宋体" w:hAnsi="宋体"/>
          <w:color w:val="000000"/>
        </w:rPr>
        <w:t xml:space="preserve">6.乙方响应属虚假承诺，或经权威部门监测提供的服务不能满足招标文件要求，或是由于乙方的过错造成合同无法继续履行的，乙方应向甲方支付不少于合同总价5%赔偿金。</w:t>
      </w:r>
      <w:r/>
    </w:p>
    <w:p>
      <w:pPr>
        <w:ind w:firstLine="420"/>
        <w:spacing w:line="340" w:lineRule="exact"/>
        <w:rPr>
          <w:rFonts w:ascii="宋体" w:hAnsi="宋体"/>
          <w:color w:val="000000"/>
        </w:rPr>
      </w:pPr>
      <w:r>
        <w:rPr>
          <w:rFonts w:hint="eastAsia" w:ascii="宋体" w:hAnsi="宋体"/>
          <w:color w:val="000000"/>
        </w:rPr>
        <w:t xml:space="preserve">7.对于逾期支付违约金的，每逾期1天需额外支付违约金逾期利息5‰；但累计违约逾期利息金总额不超过总额的5%。</w:t>
      </w:r>
      <w:r/>
    </w:p>
    <w:p>
      <w:pPr>
        <w:ind w:firstLine="420"/>
        <w:spacing w:line="340" w:lineRule="exact"/>
        <w:rPr>
          <w:rFonts w:ascii="宋体" w:hAnsi="宋体"/>
          <w:color w:val="000000"/>
        </w:rPr>
      </w:pPr>
      <w:r>
        <w:rPr>
          <w:rFonts w:hint="eastAsia" w:ascii="宋体" w:hAnsi="宋体"/>
          <w:color w:val="000000"/>
        </w:rPr>
        <w:t xml:space="preserve">8.乙方在承担上述1-7款一项或多项违约责任后，仍应继续履行合同规定的义务（甲方解除合同的除外）。甲方未能及时追究乙方的任何一项违约责任并不表明甲方放弃追究乙方该项或其他违约责任。</w:t>
      </w:r>
      <w:r/>
    </w:p>
    <w:p>
      <w:pPr>
        <w:ind w:firstLine="420"/>
        <w:spacing w:line="340" w:lineRule="exact"/>
        <w:rPr>
          <w:rFonts w:ascii="宋体" w:hAnsi="宋体"/>
          <w:color w:val="000000"/>
        </w:rPr>
      </w:pPr>
      <w:r>
        <w:rPr>
          <w:rFonts w:hint="eastAsia" w:ascii="宋体" w:hAnsi="宋体"/>
          <w:color w:val="000000"/>
          <w:lang w:val="en-GB"/>
        </w:rPr>
        <w:t xml:space="preserve">9.</w:t>
      </w:r>
      <w:r>
        <w:rPr>
          <w:rFonts w:hint="eastAsia" w:ascii="宋体" w:hAnsi="宋体"/>
          <w:color w:val="000000"/>
        </w:rPr>
        <w:t xml:space="preserve">如项目出现违约，根据项目现场管理要求，结合现场实际工作情况，进行如下处罚：</w:t>
      </w:r>
      <w:r/>
    </w:p>
    <w:p>
      <w:pPr>
        <w:ind w:firstLine="420"/>
        <w:spacing w:line="340" w:lineRule="exact"/>
        <w:rPr>
          <w:rFonts w:ascii="宋体" w:hAnsi="宋体"/>
          <w:color w:val="000000"/>
        </w:rPr>
      </w:pPr>
      <w:r>
        <w:rPr>
          <w:rFonts w:hint="eastAsia" w:ascii="宋体" w:hAnsi="宋体"/>
          <w:color w:val="000000"/>
        </w:rPr>
        <w:t xml:space="preserve">（1）乙方必须按国家、省、市行业标准规范，提交基础文档、过程文档、技术文档和验收文档，由甲方进行抽查审核。如没有通过甲方验收，甲方有权扣除合同金额20%。</w:t>
      </w:r>
      <w:r/>
    </w:p>
    <w:p>
      <w:pPr>
        <w:ind w:firstLine="420"/>
        <w:spacing w:line="340" w:lineRule="exact"/>
        <w:rPr>
          <w:rFonts w:ascii="宋体" w:hAnsi="宋体"/>
          <w:color w:val="000000"/>
        </w:rPr>
      </w:pPr>
      <w:r>
        <w:rPr>
          <w:rFonts w:hint="eastAsia" w:ascii="宋体" w:hAnsi="宋体"/>
          <w:color w:val="000000"/>
        </w:rPr>
        <w:t xml:space="preserve">（2）乙方违约行为造成影响的或损失较大的，违约金不足以弥补所造成损失的，不足差额部分由乙方进行支付。</w:t>
      </w:r>
      <w:r/>
    </w:p>
    <w:p>
      <w:pPr>
        <w:ind w:firstLine="420"/>
        <w:spacing w:line="340" w:lineRule="exact"/>
        <w:rPr>
          <w:rFonts w:ascii="宋体" w:hAnsi="宋体"/>
          <w:color w:val="000000"/>
        </w:rPr>
      </w:pPr>
      <w:r>
        <w:rPr>
          <w:rFonts w:hint="eastAsia" w:ascii="宋体" w:hAnsi="宋体"/>
          <w:color w:val="000000"/>
        </w:rPr>
        <w:t xml:space="preserve">（3）如果乙方在开展项目实施过程中，因自身管理不善，出现对社会造成重大影响的事故时，乙方承担消除负面影响或损失产生的诉讼费、取证费、律师费等相关费用，甲方有权扣除项目合同金额20%。同时，鉴于违法行为造成的后果较长时间才能被发现或者显现，或损失数额难以一次性确认，公安机关保留进一步追偿的权利。</w:t>
      </w:r>
      <w:r/>
    </w:p>
    <w:p>
      <w:pPr>
        <w:ind w:firstLine="420"/>
        <w:spacing w:line="340" w:lineRule="exact"/>
        <w:rPr>
          <w:rFonts w:ascii="宋体" w:hAnsi="宋体"/>
          <w:color w:val="000000"/>
        </w:rPr>
      </w:pPr>
      <w:r>
        <w:rPr>
          <w:rFonts w:hint="eastAsia" w:ascii="宋体" w:hAnsi="宋体"/>
          <w:color w:val="000000"/>
        </w:rPr>
        <w:t xml:space="preserve">（</w:t>
      </w:r>
      <w:r>
        <w:rPr>
          <w:rFonts w:ascii="宋体" w:hAnsi="宋体"/>
          <w:color w:val="000000"/>
          <w:lang w:val="en-GB"/>
        </w:rPr>
        <w:t xml:space="preserve">4</w:t>
      </w:r>
      <w:r>
        <w:rPr>
          <w:rFonts w:hint="eastAsia" w:ascii="宋体" w:hAnsi="宋体"/>
          <w:color w:val="000000"/>
        </w:rPr>
        <w:t xml:space="preserve">）如乙方出现不按投标文件执行，不服从甲方管理，不执行甲方制定的工作要求，对甲方工作要求故意拖延、拒不执行，或项目实施出现严重安全事件或导致业务无法正常开展等后果，乙方需消除影响、提供替代软硬件产品或寻求第三方协助等相关的补救措施；构成违法犯罪的违约行为，甲方有权将涉及的单位或个人列入政府采购严重违法失信记录名单、市场监督管理严重失信名单。甲方有权根据乙方违法、违规行为的情节严重程度，采取取消付款、要求退款和支付违约金、解除合同等措施，违约金金额为项目合同金额的20%。</w:t>
      </w:r>
      <w:r/>
    </w:p>
    <w:p>
      <w:pPr>
        <w:ind w:firstLine="420"/>
        <w:jc w:val="right"/>
        <w:spacing w:line="340" w:lineRule="exact"/>
        <w:rPr>
          <w:rFonts w:ascii="宋体" w:hAnsi="宋体"/>
          <w:color w:val="000000"/>
        </w:rPr>
      </w:pPr>
      <w:r>
        <w:rPr>
          <w:rFonts w:hint="eastAsia" w:ascii="宋体" w:hAnsi="宋体"/>
          <w:color w:val="000000"/>
        </w:rPr>
        <w:t xml:space="preserve">承诺人： </w:t>
      </w:r>
      <w:r>
        <w:rPr>
          <w:rFonts w:hint="eastAsia" w:ascii="宋体" w:hAnsi="宋体"/>
          <w:color w:val="000000"/>
        </w:rPr>
        <w:tab/>
      </w:r>
      <w:r>
        <w:rPr>
          <w:rFonts w:hint="eastAsia" w:ascii="宋体" w:hAnsi="宋体"/>
          <w:color w:val="000000"/>
        </w:rPr>
        <w:t xml:space="preserve">  （盖单位章）</w:t>
      </w:r>
      <w:r/>
    </w:p>
    <w:p>
      <w:pPr>
        <w:ind w:firstLine="420"/>
        <w:jc w:val="right"/>
        <w:spacing w:line="340" w:lineRule="exact"/>
        <w:rPr>
          <w:rFonts w:ascii="宋体" w:hAnsi="宋体"/>
          <w:color w:val="000000"/>
        </w:rPr>
      </w:pPr>
      <w:r>
        <w:rPr>
          <w:rFonts w:ascii="宋体" w:hAnsi="宋体"/>
          <w:color w:val="000000"/>
        </w:rPr>
      </w:r>
      <w:r/>
    </w:p>
    <w:p>
      <w:pPr>
        <w:ind w:firstLine="420"/>
        <w:jc w:val="right"/>
        <w:spacing w:line="340" w:lineRule="exact"/>
        <w:rPr>
          <w:rFonts w:ascii="宋体" w:hAnsi="宋体"/>
          <w:color w:val="000000"/>
        </w:rPr>
      </w:pPr>
      <w:r>
        <w:rPr>
          <w:rFonts w:hint="eastAsia" w:ascii="宋体" w:hAnsi="宋体"/>
          <w:color w:val="000000"/>
        </w:rPr>
        <w:t xml:space="preserve">时间：     年   月    日</w:t>
      </w:r>
      <w:r/>
    </w:p>
    <w:p>
      <w:pPr>
        <w:pStyle w:val="922"/>
        <w:ind w:firstLine="840"/>
        <w:jc w:val="left"/>
        <w:spacing w:before="120" w:after="120"/>
        <w:rPr>
          <w:rFonts w:hint="eastAsia" w:hAnsi="宋体"/>
          <w:color w:val="000000"/>
          <w:sz w:val="24"/>
          <w:szCs w:val="24"/>
        </w:rPr>
      </w:pPr>
      <w:r>
        <w:rPr>
          <w:rFonts w:hint="eastAsia" w:hAnsi="宋体"/>
          <w:color w:val="000000"/>
          <w:sz w:val="24"/>
          <w:szCs w:val="24"/>
        </w:rPr>
      </w:r>
      <w:r/>
    </w:p>
    <w:p>
      <w:pPr>
        <w:pStyle w:val="100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0"/>
      <w:r>
        <w:rPr>
          <w:rFonts w:hint="eastAsia" w:ascii="方正小标宋简体" w:hAnsi="方正小标宋简体" w:eastAsia="方正小标宋简体" w:cs="方正小标宋简体"/>
          <w:color w:val="000000"/>
          <w:sz w:val="36"/>
          <w:szCs w:val="36"/>
        </w:rPr>
        <w:t xml:space="preserve">四章  采购需求</w:t>
      </w:r>
      <w:bookmarkEnd w:id="41"/>
      <w:r/>
      <w:bookmarkEnd w:id="42"/>
      <w:r/>
      <w:bookmarkEnd w:id="43"/>
      <w:r/>
      <w:r/>
    </w:p>
    <w:p>
      <w:pPr>
        <w:ind w:firstLine="480"/>
        <w:spacing w:line="252" w:lineRule="auto"/>
        <w:rPr>
          <w:rFonts w:hint="eastAsia" w:ascii="黑体" w:hAnsi="黑体" w:eastAsia="黑体" w:cs="黑体"/>
          <w:color w:val="000000"/>
          <w:sz w:val="24"/>
          <w:szCs w:val="24"/>
        </w:rPr>
      </w:pPr>
      <w:r/>
      <w:bookmarkStart w:id="55" w:name="_Toc49090575"/>
      <w:r/>
      <w:bookmarkStart w:id="56"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52" w:lineRule="auto"/>
        <w:rPr>
          <w:rFonts w:hint="eastAsia" w:ascii="宋体" w:hAnsi="宋体"/>
          <w:sz w:val="24"/>
          <w:szCs w:val="24"/>
        </w:rPr>
      </w:pPr>
      <w:r>
        <w:rPr>
          <w:rFonts w:hint="eastAsia" w:ascii="宋体" w:hAnsi="宋体"/>
          <w:sz w:val="24"/>
          <w:szCs w:val="24"/>
        </w:rPr>
        <w:t xml:space="preserve">（一）项目背景</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交通信号灯、电子警察、视频监控以及机房内等设施维保内容及要求。视频监控、交通安全设施、机房及网络传输等设备维护服务及上述相关设备备件采购项目维保设备情况：</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1.交通信号灯、电子警察：470个路口1661套（方向）信号灯、1647个电子警察设备。</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2.视频监控：1461路视频监控。</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3.卡口、测速设备：865套卡口设备、48套测速设备。</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4.相关设备的杆件、电源、信号灯倒计时、补光灯、交换机、数据传输设备、防雷设备、支架及电源线缆、传输线缆等用于保证功能完整性所必须的其他配套、辅助材料和设施。</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5.机房空调、核心交换机、UPS等设备维护。</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遵循国家、行业及地方现行的规范和标准。依据如下：</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《安全防范工程建设与维护保养费用预算编制办法》GA/T70-2014；</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《数据中心设计规范》GB50174-2017；</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《城市监控报警联网系统建设通用技术要求》GA/T669-2023；</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《综合布线系统工程设计规范》GB50311-2016；</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《电气装置安装工程电气设备交接试验标准》GB50150-2016；</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《电气装置安装工程电缆线路施工及验收规范》GB50168-2018 ；</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《建筑物防雷设计规范》GB50057-2019；</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《安全防范工程技术标准》GB50348—2018；</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《安全防范系统验收规则》GA308-2001；</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《视频安防监控系统工程设计规范》GB50395-2023；</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《视频安防监控系统技术要求》GA/T367-2001；</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《公共安全视频监控联网系统信息传输、交换、控制技术要求》GB28181-2022；</w:t>
      </w:r>
      <w:r/>
    </w:p>
    <w:p>
      <w:pPr>
        <w:ind w:firstLine="480"/>
        <w:spacing w:line="252" w:lineRule="auto"/>
        <w:rPr>
          <w:rFonts w:hint="eastAsia" w:ascii="宋体" w:hAnsi="宋体" w:cs="Courier New"/>
          <w:color w:val="000000"/>
          <w:sz w:val="24"/>
          <w:szCs w:val="24"/>
        </w:rPr>
      </w:pPr>
      <w:r>
        <w:rPr>
          <w:rFonts w:hint="eastAsia" w:ascii="宋体" w:hAnsi="宋体" w:cs="Courier New"/>
          <w:color w:val="000000"/>
          <w:sz w:val="24"/>
          <w:szCs w:val="24"/>
        </w:rPr>
        <w:t xml:space="preserve">《安全防范工程程序与要求》GA/T75-1994。</w:t>
      </w:r>
      <w:r/>
    </w:p>
    <w:p>
      <w:pPr>
        <w:numPr>
          <w:ilvl w:val="0"/>
          <w:numId w:val="5"/>
        </w:numPr>
        <w:ind w:firstLine="480"/>
        <w:spacing w:line="252" w:lineRule="auto"/>
        <w:rPr>
          <w:rFonts w:hint="eastAsia"/>
        </w:rPr>
      </w:pPr>
      <w:r>
        <w:rPr>
          <w:rFonts w:hint="eastAsia" w:ascii="黑体" w:hAnsi="黑体" w:eastAsia="黑体" w:cs="黑体"/>
          <w:sz w:val="24"/>
          <w:szCs w:val="24"/>
        </w:rPr>
        <w:t xml:space="preserve">项目清单</w:t>
      </w:r>
      <w:r/>
    </w:p>
    <w:p>
      <w:pPr>
        <w:ind w:firstLine="422"/>
        <w:rPr>
          <w:b/>
          <w:bCs/>
        </w:rPr>
      </w:pPr>
      <w:r>
        <w:rPr>
          <w:rFonts w:hint="eastAsia"/>
          <w:b/>
          <w:bCs/>
        </w:rPr>
        <w:t xml:space="preserve">1.汇总表</w:t>
      </w:r>
      <w:r/>
    </w:p>
    <w:tbl>
      <w:tblPr>
        <w:tblStyle w:val="713"/>
        <w:tblpPr w:horzAnchor="page" w:tblpX="1081" w:vertAnchor="text" w:tblpY="480" w:leftFromText="180" w:topFromText="0" w:rightFromText="180" w:bottomFromText="0"/>
        <w:tblW w:w="5065"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80"/>
        <w:gridCol w:w="1548"/>
        <w:gridCol w:w="779"/>
        <w:gridCol w:w="626"/>
        <w:gridCol w:w="1476"/>
        <w:gridCol w:w="945"/>
        <w:gridCol w:w="1077"/>
        <w:gridCol w:w="704"/>
        <w:gridCol w:w="1092"/>
        <w:gridCol w:w="1162"/>
      </w:tblGrid>
      <w:tr>
        <w:trPr>
          <w:trHeight w:val="888"/>
        </w:trPr>
        <w:tc>
          <w:tcPr>
            <w:tcW w:w="480"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序号</w:t>
            </w:r>
            <w:r/>
          </w:p>
        </w:tc>
        <w:tc>
          <w:tcPr>
            <w:tcW w:w="1545"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分项名称</w:t>
            </w:r>
            <w:r/>
          </w:p>
        </w:tc>
        <w:tc>
          <w:tcPr>
            <w:tcW w:w="778"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数量</w:t>
            </w:r>
            <w:r/>
          </w:p>
        </w:tc>
        <w:tc>
          <w:tcPr>
            <w:tcW w:w="625"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单位</w:t>
            </w:r>
            <w:r/>
          </w:p>
        </w:tc>
        <w:tc>
          <w:tcPr>
            <w:tcW w:w="1474"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单价上限</w:t>
            </w:r>
            <w:r/>
          </w:p>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（元）</w:t>
            </w:r>
            <w:r/>
          </w:p>
        </w:tc>
        <w:tc>
          <w:tcPr>
            <w:tcW w:w="943"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产品类型</w:t>
            </w:r>
            <w:r/>
          </w:p>
        </w:tc>
        <w:tc>
          <w:tcPr>
            <w:tcW w:w="1075"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中小企业划分标准所属行业</w:t>
            </w:r>
            <w:r/>
          </w:p>
        </w:tc>
        <w:tc>
          <w:tcPr>
            <w:tcW w:w="703"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属性</w:t>
            </w:r>
            <w:r/>
          </w:p>
        </w:tc>
        <w:tc>
          <w:tcPr>
            <w:tcW w:w="1090"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备注</w:t>
            </w:r>
            <w:r/>
          </w:p>
        </w:tc>
        <w:tc>
          <w:tcPr>
            <w:tcW w:w="1160" w:type="dxa"/>
            <w:vAlign w:val="center"/>
            <w:textDirection w:val="lrTb"/>
            <w:noWrap w:val="false"/>
          </w:tcPr>
          <w:p>
            <w:pPr>
              <w:jc w:val="center"/>
              <w:spacing w:line="288"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政府强制采购节能产品（如有）</w:t>
            </w:r>
            <w:r/>
          </w:p>
        </w:tc>
      </w:tr>
      <w:tr>
        <w:trPr>
          <w:trHeight w:val="587"/>
        </w:trPr>
        <w:tc>
          <w:tcPr>
            <w:tcW w:w="480"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bookmarkStart w:id="74" w:name="_GoBack"/>
            <w:r>
              <w:rPr>
                <w:rFonts w:hint="eastAsia" w:ascii="宋体" w:hAnsi="宋体" w:cs="宋体"/>
                <w:bCs/>
                <w:color w:val="000000" w:themeColor="text1"/>
                <w:sz w:val="24"/>
                <w:szCs w:val="24"/>
                <w:highlight w:val="none"/>
                <w14:textFill>
                  <w14:solidFill>
                    <w14:schemeClr w14:val="tx1"/>
                  </w14:solidFill>
                </w14:textFill>
              </w:rPr>
              <w:t xml:space="preserve">1</w:t>
            </w:r>
            <w:r/>
          </w:p>
        </w:tc>
        <w:tc>
          <w:tcPr>
            <w:tcW w:w="1545" w:type="dxa"/>
            <w:vAlign w:val="center"/>
            <w:textDirection w:val="lrTb"/>
            <w:noWrap w:val="false"/>
          </w:tcPr>
          <w:p>
            <w:pPr>
              <w:pStyle w:val="1007"/>
              <w:ind w:left="143" w:right="106" w:hanging="1"/>
              <w:jc w:val="center"/>
              <w:spacing w:before="90" w:line="242" w:lineRule="auto"/>
              <w:rPr>
                <w:rFonts w:hint="eastAsia"/>
                <w:bCs/>
                <w:color w:val="000000" w:themeColor="text1"/>
                <w:sz w:val="24"/>
                <w:szCs w:val="24"/>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维护报价</w:t>
            </w:r>
            <w:r/>
          </w:p>
        </w:tc>
        <w:tc>
          <w:tcPr>
            <w:tcW w:w="778"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W w:w="625"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w:t>
            </w:r>
            <w:r/>
          </w:p>
        </w:tc>
        <w:tc>
          <w:tcPr>
            <w:tcW w:w="1474"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4594956</w:t>
            </w:r>
            <w:r/>
          </w:p>
        </w:tc>
        <w:tc>
          <w:tcPr>
            <w:tcW w:w="943"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主要产品</w:t>
            </w:r>
            <w:r/>
          </w:p>
        </w:tc>
        <w:tc>
          <w:tcPr>
            <w:tcW w:w="1075"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2"/>
                <w:highlight w:val="none"/>
                <w:lang w:val="zh-CN"/>
                <w14:textFill>
                  <w14:solidFill>
                    <w14:schemeClr w14:val="tx1"/>
                  </w14:solidFill>
                </w14:textFill>
              </w:rPr>
              <w:t xml:space="preserve">软件和信息技术服务业</w:t>
            </w:r>
            <w:r/>
          </w:p>
        </w:tc>
        <w:tc>
          <w:tcPr>
            <w:tcW w:w="703"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服务</w:t>
            </w:r>
            <w:r/>
          </w:p>
        </w:tc>
        <w:tc>
          <w:tcPr>
            <w:tcW w:w="1090"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tc>
        <w:tc>
          <w:tcPr>
            <w:tcW w:w="1160" w:type="dxa"/>
            <w:vAlign w:val="center"/>
            <w:textDirection w:val="lrTb"/>
            <w:noWrap w:val="false"/>
          </w:tcPr>
          <w:p>
            <w:pPr>
              <w:jc w:val="center"/>
              <w:spacing w:line="264"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87"/>
        </w:trPr>
        <w:tc>
          <w:tcPr>
            <w:tcW w:w="480"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W w:w="1545" w:type="dxa"/>
            <w:vAlign w:val="center"/>
            <w:textDirection w:val="lrTb"/>
            <w:noWrap w:val="false"/>
          </w:tcPr>
          <w:p>
            <w:pPr>
              <w:jc w:val="center"/>
              <w:widowControl/>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备品备件报价</w:t>
            </w:r>
            <w:r/>
          </w:p>
        </w:tc>
        <w:tc>
          <w:tcPr>
            <w:tcW w:w="778"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W w:w="625"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w:t>
            </w:r>
            <w:r/>
          </w:p>
        </w:tc>
        <w:tc>
          <w:tcPr>
            <w:tcW w:w="1474"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2354300</w:t>
            </w:r>
            <w:r/>
          </w:p>
        </w:tc>
        <w:tc>
          <w:tcPr>
            <w:tcW w:w="943"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W w:w="1075"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W w:w="703"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货物</w:t>
            </w:r>
            <w:r/>
          </w:p>
        </w:tc>
        <w:tc>
          <w:tcPr>
            <w:tcW w:w="1090"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tc>
        <w:tc>
          <w:tcPr>
            <w:tcW w:w="1160"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tc>
      </w:tr>
      <w:tr>
        <w:trPr>
          <w:trHeight w:val="587"/>
        </w:trPr>
        <w:tc>
          <w:tcPr>
            <w:tcW w:w="480" w:type="dxa"/>
            <w:vAlign w:val="center"/>
            <w:textDirection w:val="lrTb"/>
            <w:noWrap w:val="false"/>
          </w:tcPr>
          <w:p>
            <w:pPr>
              <w:jc w:val="center"/>
              <w:spacing w:line="252"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p>
        </w:tc>
        <w:tc>
          <w:tcPr>
            <w:tcW w:w="1545" w:type="dxa"/>
            <w:vAlign w:val="center"/>
            <w:textDirection w:val="lrTb"/>
            <w:noWrap w:val="false"/>
          </w:tcPr>
          <w:p>
            <w:pPr>
              <w:jc w:val="center"/>
              <w:widowControl/>
              <w:rPr>
                <w:rFonts w:hint="eastAsia"/>
                <w:color w:val="000000" w:themeColor="text1"/>
                <w:spacing w:val="-2"/>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其他未列出设备更换费</w:t>
            </w:r>
            <w:r/>
          </w:p>
        </w:tc>
        <w:tc>
          <w:tcPr>
            <w:tcW w:w="778" w:type="dxa"/>
            <w:vAlign w:val="center"/>
            <w:textDirection w:val="lrTb"/>
            <w:noWrap w:val="false"/>
          </w:tcPr>
          <w:p>
            <w:pPr>
              <w:jc w:val="center"/>
              <w:spacing w:line="252"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p>
        </w:tc>
        <w:tc>
          <w:tcPr>
            <w:tcW w:w="625" w:type="dxa"/>
            <w:vAlign w:val="center"/>
            <w:textDirection w:val="lrTb"/>
            <w:noWrap w:val="false"/>
          </w:tcPr>
          <w:p>
            <w:pPr>
              <w:jc w:val="center"/>
              <w:spacing w:line="252"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项</w:t>
            </w:r>
            <w:r/>
          </w:p>
        </w:tc>
        <w:tc>
          <w:tcPr>
            <w:tcW w:w="1474" w:type="dxa"/>
            <w:vAlign w:val="center"/>
            <w:textDirection w:val="lrTb"/>
            <w:noWrap w:val="false"/>
          </w:tcPr>
          <w:p>
            <w:pPr>
              <w:jc w:val="center"/>
              <w:spacing w:line="252" w:lineRule="auto"/>
              <w:rPr>
                <w:rFonts w:hint="default" w:ascii="宋体" w:hAnsi="宋体" w:eastAsia="宋体"/>
                <w:color w:val="000000" w:themeColor="text1"/>
                <w:sz w:val="22"/>
                <w:highlight w:val="none"/>
                <w:lang w:val="en-US" w:eastAsia="zh-CN"/>
                <w14:textFill>
                  <w14:solidFill>
                    <w14:schemeClr w14:val="tx1"/>
                  </w14:solidFill>
                </w14:textFill>
              </w:rPr>
            </w:pPr>
            <w:r>
              <w:rPr>
                <w:rFonts w:hint="eastAsia" w:ascii="宋体" w:hAnsi="宋体"/>
                <w:color w:val="000000" w:themeColor="text1"/>
                <w:sz w:val="22"/>
                <w:highlight w:val="none"/>
                <w:lang w:val="en-US" w:eastAsia="zh-CN"/>
                <w14:textFill>
                  <w14:solidFill>
                    <w14:schemeClr w14:val="tx1"/>
                  </w14:solidFill>
                </w14:textFill>
              </w:rPr>
              <w:t xml:space="preserve">200000</w:t>
            </w:r>
            <w:r/>
          </w:p>
        </w:tc>
        <w:tc>
          <w:tcPr>
            <w:tcW w:w="943" w:type="dxa"/>
            <w:vAlign w:val="center"/>
            <w:textDirection w:val="lrTb"/>
            <w:noWrap w:val="false"/>
          </w:tcPr>
          <w:p>
            <w:pPr>
              <w:jc w:val="center"/>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W w:w="1075" w:type="dxa"/>
            <w:vAlign w:val="center"/>
            <w:textDirection w:val="lrTb"/>
            <w:noWrap w:val="false"/>
          </w:tcPr>
          <w:p>
            <w:pPr>
              <w:jc w:val="center"/>
              <w:spacing w:line="252"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lang w:val="zh-CN"/>
                <w14:textFill>
                  <w14:solidFill>
                    <w14:schemeClr w14:val="tx1"/>
                  </w14:solidFill>
                </w14:textFill>
              </w:rPr>
              <w:t xml:space="preserve">软件和信息技术服务业</w:t>
            </w:r>
            <w:r/>
          </w:p>
        </w:tc>
        <w:tc>
          <w:tcPr>
            <w:tcW w:w="703" w:type="dxa"/>
            <w:vAlign w:val="center"/>
            <w:textDirection w:val="lrTb"/>
            <w:noWrap w:val="false"/>
          </w:tcPr>
          <w:p>
            <w:pPr>
              <w:jc w:val="center"/>
              <w:spacing w:line="252"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服务</w:t>
            </w:r>
            <w:r/>
          </w:p>
        </w:tc>
        <w:tc>
          <w:tcPr>
            <w:tcW w:w="1090"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color w:val="000000"/>
                <w:sz w:val="20"/>
                <w:szCs w:val="20"/>
                <w:highlight w:val="none"/>
              </w:rPr>
              <w:t xml:space="preserve">根据往年测算，该项费用发生额不少于200000元（本项</w:t>
            </w:r>
            <w:r>
              <w:rPr>
                <w:rFonts w:hint="eastAsia" w:ascii="宋体" w:hAnsi="宋体" w:cs="宋体"/>
                <w:bCs/>
                <w:color w:val="000000"/>
                <w:sz w:val="20"/>
                <w:szCs w:val="20"/>
                <w:highlight w:val="none"/>
              </w:rPr>
              <w:t xml:space="preserve">按实结算</w:t>
            </w:r>
            <w:r>
              <w:rPr>
                <w:rFonts w:hint="eastAsia" w:ascii="宋体" w:hAnsi="宋体" w:cs="宋体"/>
                <w:color w:val="000000"/>
                <w:sz w:val="20"/>
                <w:szCs w:val="20"/>
                <w:highlight w:val="none"/>
              </w:rPr>
              <w:t xml:space="preserve">）</w:t>
            </w:r>
            <w:r/>
          </w:p>
        </w:tc>
        <w:tc>
          <w:tcPr>
            <w:tcW w:w="1160" w:type="dxa"/>
            <w:vAlign w:val="center"/>
            <w:textDirection w:val="lrTb"/>
            <w:noWrap w:val="false"/>
          </w:tcPr>
          <w:p>
            <w:pPr>
              <w:jc w:val="center"/>
              <w:spacing w:line="252"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bookmarkEnd w:id="74"/>
            <w:r/>
          </w:p>
        </w:tc>
      </w:tr>
    </w:tbl>
    <w:p>
      <w:pPr>
        <w:pStyle w:val="7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2.维护分项</w:t>
      </w:r>
      <w:r/>
    </w:p>
    <w:tbl>
      <w:tblPr>
        <w:tblStyle w:val="713"/>
        <w:tblW w:w="9601" w:type="dxa"/>
        <w:tblInd w:w="-10" w:type="dxa"/>
        <w:tblLayout w:type="fixed"/>
        <w:tblCellMar>
          <w:left w:w="108" w:type="dxa"/>
          <w:top w:w="0" w:type="dxa"/>
          <w:right w:w="108" w:type="dxa"/>
          <w:bottom w:w="0" w:type="dxa"/>
        </w:tblCellMar>
        <w:tblLook w:val="04A0" w:firstRow="1" w:lastRow="0" w:firstColumn="1" w:lastColumn="0" w:noHBand="0" w:noVBand="1"/>
      </w:tblPr>
      <w:tblGrid>
        <w:gridCol w:w="583"/>
        <w:gridCol w:w="1484"/>
        <w:gridCol w:w="788"/>
        <w:gridCol w:w="1025"/>
        <w:gridCol w:w="737"/>
        <w:gridCol w:w="700"/>
        <w:gridCol w:w="1077"/>
        <w:gridCol w:w="1292"/>
        <w:gridCol w:w="838"/>
        <w:gridCol w:w="1077"/>
      </w:tblGrid>
      <w:tr>
        <w:trPr>
          <w:trHeight w:val="1140"/>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分项名称</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月份</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单价上限</w:t>
            </w:r>
            <w:r>
              <w:rPr>
                <w:rFonts w:hint="eastAsia" w:ascii="宋体" w:hAnsi="宋体" w:cs="宋体"/>
                <w:b/>
                <w:bCs/>
                <w:color w:val="000000" w:themeColor="text1"/>
                <w:highlight w:val="none"/>
                <w:lang w:bidi="ar"/>
                <w14:textFill>
                  <w14:solidFill>
                    <w14:schemeClr w14:val="tx1"/>
                  </w14:solidFill>
                </w14:textFill>
              </w:rPr>
              <w:br w:type="textWrapping" w:clear="all"/>
            </w:r>
            <w:r>
              <w:rPr>
                <w:rFonts w:hint="eastAsia" w:ascii="宋体" w:hAnsi="宋体" w:cs="宋体"/>
                <w:b/>
                <w:bCs/>
                <w:color w:val="000000" w:themeColor="text1"/>
                <w:highlight w:val="none"/>
                <w:lang w:bidi="ar"/>
                <w14:textFill>
                  <w14:solidFill>
                    <w14:schemeClr w14:val="tx1"/>
                  </w14:solidFill>
                </w14:textFill>
              </w:rPr>
              <w:t xml:space="preserve">（元）</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产品类型</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属性</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备注</w:t>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信号灯</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1661</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套（方向）</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lang w:val="zh-CN"/>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470个路口（含信号机），1661个方向。含每个方向全部车行灯（辅助灯）、非机动车灯、人行灯、倒计时、信号机、LED显示条屏及其他所有设备</w:t>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电警</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1647</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含路口的智能终端维护</w:t>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球机/枪机</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1152</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卡口</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561</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测速</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抓拍监控</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304</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内部普通监控</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309</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室外大屏</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防撞车</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班次</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4小时为一班</w:t>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区间测速检定费</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车道</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1700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按每年每个车道收费</w:t>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UPS维护</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1500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机房空调</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350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1台精密空调，14台模块化机房空调；整机维护</w:t>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信号机管理系统</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1500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保障平台运行的所有费用</w:t>
            </w:r>
            <w:r/>
          </w:p>
        </w:tc>
      </w:tr>
      <w:tr>
        <w:trPr>
          <w:trHeight w:val="375"/>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视频监控综合平台</w:t>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2500</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软件和信息技术服务</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服务</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spacing w:line="200" w:lineRule="exact"/>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保障平台运行的所有费用</w:t>
            </w:r>
            <w:r/>
          </w:p>
        </w:tc>
      </w:tr>
    </w:tbl>
    <w:p>
      <w:pPr>
        <w:pStyle w:val="714"/>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3.备品备件分项</w:t>
      </w:r>
      <w:r/>
    </w:p>
    <w:tbl>
      <w:tblPr>
        <w:tblStyle w:val="713"/>
        <w:tblW w:w="9840" w:type="dxa"/>
        <w:tblInd w:w="-10" w:type="dxa"/>
        <w:tblLayout w:type="fixed"/>
        <w:tblCellMar>
          <w:left w:w="108" w:type="dxa"/>
          <w:top w:w="0" w:type="dxa"/>
          <w:right w:w="108" w:type="dxa"/>
          <w:bottom w:w="0" w:type="dxa"/>
        </w:tblCellMar>
        <w:tblLook w:val="04A0" w:firstRow="1" w:lastRow="0" w:firstColumn="1" w:lastColumn="0" w:noHBand="0" w:noVBand="1"/>
      </w:tblPr>
      <w:tblGrid>
        <w:gridCol w:w="830"/>
        <w:gridCol w:w="1431"/>
        <w:gridCol w:w="625"/>
        <w:gridCol w:w="713"/>
        <w:gridCol w:w="1094"/>
        <w:gridCol w:w="1096"/>
        <w:gridCol w:w="971"/>
        <w:gridCol w:w="1079"/>
        <w:gridCol w:w="922"/>
        <w:gridCol w:w="1079"/>
      </w:tblGrid>
      <w:tr>
        <w:trPr>
          <w:trHeight w:val="1218"/>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分项名称</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单价上限</w:t>
            </w:r>
            <w:r>
              <w:rPr>
                <w:rFonts w:hint="eastAsia" w:ascii="宋体" w:hAnsi="宋体" w:cs="宋体"/>
                <w:b/>
                <w:bCs/>
                <w:color w:val="000000" w:themeColor="text1"/>
                <w:highlight w:val="none"/>
                <w:lang w:bidi="ar"/>
                <w14:textFill>
                  <w14:solidFill>
                    <w14:schemeClr w14:val="tx1"/>
                  </w14:solidFill>
                </w14:textFill>
              </w:rPr>
              <w:br w:type="textWrapping" w:clear="all"/>
            </w:r>
            <w:r>
              <w:rPr>
                <w:rFonts w:hint="eastAsia" w:ascii="宋体" w:hAnsi="宋体" w:cs="宋体"/>
                <w:b/>
                <w:bCs/>
                <w:color w:val="000000" w:themeColor="text1"/>
                <w:highlight w:val="none"/>
                <w:lang w:bidi="ar"/>
                <w14:textFill>
                  <w14:solidFill>
                    <w14:schemeClr w14:val="tx1"/>
                  </w14:solidFill>
                </w14:textFill>
              </w:rPr>
              <w:t xml:space="preserve">（元）</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产品类型</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spacing w:line="24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属性</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备注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spacing w:line="240" w:lineRule="exac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政府强制采购节能产品（如有）</w:t>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800W全结构摄像机</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5200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枪球一体摄像机</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7000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1200万电警</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9000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1400万电警</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9700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500万电警1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500万电警2</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频闪灯1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频闪灯2</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900万环保卡口</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9700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96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环保一体灯</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2100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配合环保卡口用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气体爆闪灯1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气体爆闪灯2</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400万半球</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高性能窄波平板雷达</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3650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8T企业级存储硬盘</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4200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12T企业级存储硬盘</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5250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6T企业级存储硬盘</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3350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万兆光模块</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60公里千兆光模块</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路口接入交换机</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主要产品</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路口汇聚交换机</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4200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32口交换机</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6800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40口交换机</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8000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车行满屏信号灯</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车行箭头信号灯</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圆盘车行信号灯灯盘</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箭头车行信号灯灯盘</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230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46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人行信号灯</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48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人行信号灯红灯盘</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人行信号灯绿灯盘</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220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520型倒计时</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2300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780型倒计时</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2800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倒计时灯条</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倒计时主板</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倒计时电源</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3公里工业级网桥</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国标RVV3*6电源线</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国标RVV3*4电源线</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国标RVV3*2.5电源线</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线缆RVVSP2*1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信号灯线缆RVV4*1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44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信号灯线缆RVV8*1</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4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智能终端服务器</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6500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云存储设备</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485000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35114加密盒</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7600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电警标志牌</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维护井井盖</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维护井</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75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落地机箱（含基础）</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抱杆机箱</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42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杆件迁移（含基础）</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4500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82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光缆</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none" w:color="000000" w:sz="4" w:space="0"/>
              <w:left w:val="none" w:color="000000" w:sz="4" w:space="0"/>
              <w:bottom w:val="none" w:color="000000" w:sz="4" w:space="0"/>
              <w:right w:val="non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44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PE50穿线管</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86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信号灯检测器</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1300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需根据路口相机选择相应的检测器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多业务光端机</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1250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375"/>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交通标线</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平方米</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货物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品牌国产优质</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252" w:lineRule="auto"/>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黑体" w:hAnsi="黑体" w:eastAsia="黑体" w:cs="黑体"/>
          <w:color w:val="000000" w:themeColor="text1"/>
          <w:sz w:val="24"/>
          <w:szCs w:val="24"/>
          <w:highlight w:val="none"/>
          <w14:textFill>
            <w14:solidFill>
              <w14:schemeClr w14:val="tx1"/>
            </w14:solidFill>
          </w14:textFill>
        </w:rPr>
        <w:t xml:space="preserve">四、拟采购标的需要满足的技术、商务要求</w:t>
      </w:r>
      <w:r/>
    </w:p>
    <w:tbl>
      <w:tblPr>
        <w:tblStyle w:val="713"/>
        <w:tblW w:w="9961" w:type="dxa"/>
        <w:jc w:val="center"/>
        <w:tblLayout w:type="autofit"/>
        <w:tblCellMar>
          <w:left w:w="108" w:type="dxa"/>
          <w:top w:w="0" w:type="dxa"/>
          <w:right w:w="108" w:type="dxa"/>
          <w:bottom w:w="0" w:type="dxa"/>
        </w:tblCellMar>
        <w:tblLook w:val="04A0" w:firstRow="1" w:lastRow="0" w:firstColumn="1" w:lastColumn="0" w:noHBand="0" w:noVBand="1"/>
      </w:tblPr>
      <w:tblGrid>
        <w:gridCol w:w="856"/>
        <w:gridCol w:w="1194"/>
        <w:gridCol w:w="856"/>
        <w:gridCol w:w="662"/>
        <w:gridCol w:w="6393"/>
      </w:tblGrid>
      <w:tr>
        <w:trPr>
          <w:jc w:val="center"/>
          <w:tblHead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Nex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Nex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center"/>
              <w:keepNex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设备参数</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800W全结构摄像机</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▲1、内置双镜头，图像传感器均不小于1/1.8靶面尺寸。（提供具有CMA认证的检验报告）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2、全景监控通道分辨率不低于2560×1440，镜头不大于4mm；细节抓拍通道分辨率不低于3840×2160，镜头范围10—50mm。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3、最低照度彩色不大于0.0002lx，黑白不大于0.0001lx。</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4.支持混合补光。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5、支持人脸、人体、车辆同时检测和抓拍。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6、具有瞳孔亮斑消除功能。</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7、支持GB35114A级安全加密。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8、不低于IP66防护等级。</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9、含电源、支架。</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枪球一体摄像机</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1、全景内置2个镜头，光圈不小于F1.0，具有不小于1/1.8靶面尺寸。</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2、细节内置1个镜头，具备不小于1/1.8靶面尺寸，内置红外补光灯及白光灯。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3、细节通道内置镜头，支持不小于32倍光学变焦，镜头最大焦距不小于188mm。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▲4、全景通道可输出两个镜头无缝拼接的全景图像，拼接偏差像素不大于4个像素，全景画面水平视场角不小于180°，垂直视场角不小于70°。（提供具有CMA认证的检验报告）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5、红外距离不小于240米。</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6、支持水平旋转范围360°连续旋转，垂直旋转范围-20°~90°。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7、全景路视频图像分辨率不小于3632×1632，细节路视频图像分辨率不小于2560x1440。（提供具有CMA认证的检验报告）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8、细节通道可同时对行人、非机动车、机动车进行检测和抓拍。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9、设备全景通道支持区域入侵检测功能，同时联动细节通道进行跟踪、抓拍和结构化信息显示，全景通道区域入侵检测最远距离不小于40m。（提供具有CMA认证的检验报告）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10、支持GB35114A级安全加密。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11、不低于IP66防护等级。</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12、含电源、支架。</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1200万电警</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1、传感器：采用不小于1.1英寸GMOS。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2、最大图像尺寸：≥4112×3072像素；字符叠满足公安需求。</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3、视频帧率：在1～25fps可调。</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4、视频压缩支持H.265、H.264、MJPEG。</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5、防护等级：IP66。</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6、闯红灯事件检测试验，在天气晴朗无雾，车辆无遮挡，白天环境光照度不低于 200lx，夜晚辅助光照度不高于30lx的情况下进行测试；白天捕获率≥99%，晚上捕获率≥99%；白天准确率≥99%，晚上准确率≥99%。（提供具有CMA认证的检验报告）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7、车辆识别性能试验，在天气晴朗无雾，车辆无遮挡，号牌无污损白天环境光照度不低于 200lx，夜晚辅助光照度不高于30lx的情况下进行测试；白天车牌号识别准确率≥99%，晚上车牌号识别准确率≥99%； 白天车身颜色识别准确率≥98%，晚上车身颜色识别准确率≥98%； 白天车辆类型识别准确率≥99%，晚上车辆类型识别准确率≥99%。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8、车牌识别功能检查 ：支持对25×10 像素～1100×3000 像素的机动车车牌进行抓拍并识别号码； 支持抓拍并识别垂直倾斜角度≤45°、水平倾斜角度≤35°、俯仰角度≤40°的机动车车牌号码。（提供具有CMA认证的检验报告）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监控摄像机图像画面信息不应有明显的缺损，图像画面应连贯，物体移动时图像不应有前冲现象、图像边缘不应有明显的锯齿状、拉毛、断裂、拖尾等现象。5级评分应不低于3.5分。（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11、支持GB35114A级安全加密。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12、包含高清一体化嵌入式摄像机、高清镜头、室外防护罩、相机内置网络信号防雷器、电源适配器、万向支架等。</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1400万电警</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1、传感器：靶面尺寸≥1.17英寸；</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 图像分辨率≥4480×3072，视频分辨率≥4480×3072</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 支持实时显示车辆目标的结构化信息，包括车标、车牌号、车牌颜色、车辆类型、车身颜色、速度、车道号等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 支持通过相机控制台进入图像调节工具，并对图像和视频设置逆光亮度补偿及顺光亮度补偿。（提供具有CMA认证的检验报告）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 支持配合外接补光灯控制使用，支持闪光灯和频闪灯同步补光；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 支持场景划线示意，可以通过图像及文字形式辅助相机场景规则线的配置。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 支持车牌识别功能：白天识别准确率≥99%；晚上识别准确率≥99%；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 支持车辆违章变道检测抓拍功能， 白天捕获率≥99%； 晚上捕获率≥99%；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 支持礼让行人及行人闯红灯模式下的自动划线。</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 支持车辆逆行检测抓拍功能， 白天捕获率≥99%； 晚上捕获率≥99%；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 支持通过视频触发进行车辆抓拍，支持车牌识别、车身颜色识别、车型识别，通行车辆信息捕获和违章检测功能；</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 支持对支干车辆合并进入主干车道时不礼让主干车道通行车辆的行为进行抓拍。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13、支持GB35114A级安全加密。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14、包含高清一体化嵌入式摄像机、高清镜头、室外防护罩、相机内置网络信号防雷器、电源适配器、万向支架等。</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500万电警1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1、图像传感器：采用2/3英寸GMOS。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2、最大图像尺寸：≥2448×2048像素。</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3、视频压缩支持H.265、H.264、MJPEG。</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▲4、支持车辆捕获抓拍功能，在天气晴朗无雾，号牌无遮挡、无污损，白天环境光照度不低于200lx，晚上辅助光照度不高于30lx的条件下测试，白天和晚上的捕获率均≥99%。（提供具有CMA认证的检验报告）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5、支持车牌识别功能（含新能源），在白天环境光照度不低于200lx，晚上辅助光照度不高于30lx的条件下测试，白天和晚上的识别率均≥99%。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6、支持闯红灯抓拍功能，在天气晴朗无雾，号牌无遮挡、无污损，白天环境光照度不低于200lx，晚上辅助光照度不高于30lx的条件下测试，白天和晚上闯红灯的捕获率均≥99%。（提供具有CMA认证的检验报告）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7、支持不少于14种车身颜色识别，包括黑、白、灰、红、绿、蓝、黄、粉、紫、棕、青、金、橙、银灰等。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▲8、支持压线（压实线、压单黄线、压双黄线）、逆行、占用应急车道、黄网格违停、加塞等违章检测。（提供具有CMA认证的检验报告）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支持识别车标类型不小于460种；在天气晴朗无雾，车辆无遮挡，白天环境光照度不低于200lx，夜晚辅助光照度不高于30lx的情况下进行测试；白天车标识别准确率≥99%；晚上车标识别准确率≥98%。（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10、防护等级：IP66。</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11、支持GB35114A级安全加密。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12、包含高清一体化嵌入式摄像机、高清镜头、室外防护罩、相机内置网络信号防雷器、电源适配器、万向支架等。</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500万电警2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1、传感器：GS-CMOS，1/1.2英寸，视频分辨率不低于2816×2112。</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2、支持H.265和H.264编码。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3、支持一机并用，集卡口电警数十种违法抓拍业务、交通信息采集、事件检测于一体，适用于多种道路场景。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4、支持配置内置补光灯，并可通过相机进行控制开启/关闭。</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5、支持红外模式下的车牌识别功能，白天识别准确率≥99.9%；晚上识别准确率≥99.9%。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6、支持车牌识别功能，白天准确率≥99.9%，晚上准确率≥99.9%。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7、支持压线抓拍，白天准确率≥99%，晚上准确率≥99%。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8、支持车距违章抓拍功能，当两车距离小于设定值，则抓拍后车。</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9、支持对非机动车道上的有车占道行为进行检测抓拍。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10、支持禁左、禁右、禁止掉头检测抓拍功能，白天捕获率≥99%，晚上捕获率≥99%；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11、支持违章变道抓拍功能，白天准确率≥99%，晚上准确率≥99%。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12、支持GB35114A级安全加密。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13、包含高清一体化嵌入式摄像机、高清镜头、室外防护罩、相机内置网络信号防雷器、电源适配器、万向支架等。</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频闪灯1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1、光源类型：16颗LED灯。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2、发光角度：10°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3、覆盖范围：单车道。</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4、补光范围：16米～25米。</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5、触发方式：4V～6V电平量触发，可选配开关量触发。</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6、与500万电警1同一品牌。</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★7、符合GA/T1202-2022《交通技术监控成像补光装置通用技术条件》要求，提供检验报告证明。</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频闪灯2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1、照射距离：照射距离不小于20米。</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2、支持频闪级联功能。</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3、色温范围3000k~5500k。</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4、频闪频率：20、25、30、50、60、75、90、100、120Hz9档可选。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5、频闪信号输出至LED灯板响应的时间≤45us。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6、可根据环境亮度自动点亮或者熄灭补光灯，环境亮度阈值10档可调。</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7、支持补光灯亮度等级1~255级可调。</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8、与500万电警2同一品牌。</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★9、符合GA/T1202-2022《交通技术监控成像补光装置通用技术条件》要求，提供检验报告证明。</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900万环保卡口</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1、最大图像尺寸：4096×2160像素。</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2、镜头焦距：50mm。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3、视频压缩支持H.265、H.264、MJPEG。</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4、抓拍支持输出三张同时刻目标图片，三张图片抓拍时间为同一时刻，抓拍运动目标，三张图片中目标位置相同无位移。</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车辆捕获抓拍功能，白天测试时的环境光照度不低于200lx，晚上测试时辅助照明光照度不高于30lx。车辆捕获可由线圈（设备配合线圈检测器使用）、雷达（设备配合雷达使用）激光（设备配合激光检测器使用）、视频触发抓拍，抓拍张数可配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6、支持车牌识别功能，在白天环境光照度不低于200lx，晚上辅助照度不高于30lx的条件下测试，白天和晚上的识别率均≥99%。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7、支持主/副驾驶人脸检出和抓拍功能。</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▲8、设备抓拍车牌、车身颜色、车内前排人脸及衣着均清晰可见。（提供具有CMA认证的检验报告）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9、支持识别车标类型≥450种；在天气晴朗无雾，车辆无遮挡，白天环境光照度不低于200lx，夜晚辅助光照度不高于30lx的情况下进行测试；白天车标识别准确率≥99%；晚上车标识别准确率≥99%。</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10、支持GB35114A级安全加密。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11、承诺中标后设备可接入公安现有的视频综合平台。</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12、包含高清一体化嵌入式摄像机、高清镜头、电源适配器、万向支架等。</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环保一体灯</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1、采用24颗优质高亮度LED芯片。</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2、支持LED灯频闪、LED爆闪、白光气体爆闪，红外气体爆闪。</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3、气体光源回电时间小于67ms，支持超速连拍。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4、搭配环保卡口使用，与900万环保卡口相机同一品牌。</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5、符合GA/T1202-2022《交通技术监控成像补光装置通用技术条件》要求，提供检验报告证明。</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气体爆闪灯1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1、灯型：氙气灯，补光装置宜采用LED光源或气体放电光源，也可采用其他光源。</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2、光源：可见光（波长350-780nm）。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3、色温：5800K±200K。</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4、中心光照度：≤4000Lx。</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5、触发方式：开关量。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6、光斑覆盖范围：1车道。</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7、补光距离：16m～26m。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8、回电时间：＜60ms。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9、闪光持续时间：180μs～500μs。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10、闪光灯寿命：≥1000万次。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11、远程故障显示：支持远程显示补光灯故障、正常状态。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12、防眩目处理：支持。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13、功耗：＜65J。</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14、可适配现有海康卡口设备。</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气体爆闪灯2</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1、灯型：氙气灯，补光装置宜采用LED光源或气体放电光源，也可采用其他光源。</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2、光源：可见光（波长350-780nm）。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3、色温：5800K±200K。</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4、中心光照度：≤4000Lx。</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5、触发方式：开关量。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6、光斑覆盖范围：1车道。</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7、补光距离：16m～26m。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8、回电时间：＜60ms。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9、闪光持续时间：180μs～500μs。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10、闪光灯寿命：≥1000万次。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11、远程故障显示：支持远程显示补光灯故障、正常状态。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12、防眩目处理：支持。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13、功耗：＜65J。</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14、可适配现有大华卡口设备。</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400万半球</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1、传感器类型：1/2.7英寸CMOS；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2、像素：400万；</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3、最大分辨率：2688×1520；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4、最低照度：0.002lux（彩色模式）；0.0002lux（黑白模式）；0lux（补光灯开启）；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5、最大补光距离：50m（红外）；20m（暖光）；2m（人脸检测距离）；</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6、补光灯：2颗（红外灯）；1颗（暖光灯）；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7、镜头焦距：6mm；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8、视场角：水平：51°；垂直：28°；对角：60°；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9、人脸检测：支持人脸检测</w:t>
            </w:r>
            <w:r>
              <w:rPr>
                <w:rFonts w:hint="eastAsia" w:ascii="宋体" w:hAnsi="宋体" w:cs="宋体"/>
                <w:color w:val="000000" w:themeColor="text1"/>
                <w:highlight w:val="none"/>
                <w:lang w:bidi="ar"/>
                <w14:textFill>
                  <w14:solidFill>
                    <w14:schemeClr w14:val="tx1"/>
                  </w14:solidFill>
                </w14:textFill>
              </w:rPr>
              <w:br w:type="textWrapping" w:clear="all"/>
            </w:r>
            <w:r>
              <w:rPr>
                <w:rFonts w:ascii="宋体" w:hAnsi="宋体" w:cs="宋体"/>
                <w:color w:val="000000" w:themeColor="text1"/>
                <w:highlight w:val="none"/>
                <w:lang w:bidi="ar"/>
                <w14:textFill>
                  <w14:solidFill>
                    <w14:schemeClr w14:val="tx1"/>
                  </w14:solidFill>
                </w14:textFill>
              </w:rPr>
              <w:t xml:space="preserve">10</w:t>
            </w:r>
            <w:r>
              <w:rPr>
                <w:rFonts w:hint="eastAsia" w:ascii="宋体" w:hAnsi="宋体" w:cs="宋体"/>
                <w:color w:val="000000" w:themeColor="text1"/>
                <w:highlight w:val="none"/>
                <w:lang w:bidi="ar"/>
                <w14:textFill>
                  <w14:solidFill>
                    <w14:schemeClr w14:val="tx1"/>
                  </w14:solidFill>
                </w14:textFill>
              </w:rPr>
              <w:t xml:space="preserve">、AI编码：H.264或H.265：</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、供电方式：DC12V（±30%）；PoE+（802.3at）；</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ascii="宋体" w:hAnsi="宋体" w:cs="宋体"/>
                <w:color w:val="000000" w:themeColor="text1"/>
                <w:highlight w:val="none"/>
                <w:lang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、防护等级：IP67；IK10；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w:t>
            </w:r>
            <w:r>
              <w:rPr>
                <w:rFonts w:ascii="宋体" w:hAnsi="宋体" w:cs="宋体"/>
                <w:color w:val="000000" w:themeColor="text1"/>
                <w:highlight w:val="none"/>
                <w:lang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、可接入分局现有监控平台。</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高性能窄波平板雷达</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1、单车道测速雷达，频率24G。</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2、测速距离：单车道18～28m（可调整）。</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3、测速范围：10km/h～250km/h。</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4、支持RS485协议。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5、工作电压：9-12VDC（含电源）。</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6、可与现有的测速设备匹配。</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8T企业级存储硬盘</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1、容量8TB。</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2、接口类型SATA，3.5英寸。</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3、接口速率6Gb/s。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4、转速7200转/分。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5、缓存256MB。</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6、支持5年有限质保服务</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12T企业级存储硬盘</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lang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、12TB容量，3.5英寸，SATA3.0接口，7200RPM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2、空气盘，CMR传统磁记录</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3、传输速率267MB/s，256MB高速缓存，流畅存储视频有效防止丢帧</w:t>
            </w:r>
            <w:r>
              <w:rPr>
                <w:rFonts w:hint="eastAsia" w:ascii="宋体" w:hAnsi="宋体" w:cs="宋体"/>
                <w:color w:val="000000" w:themeColor="text1"/>
                <w:highlight w:val="none"/>
                <w:lang w:bidi="ar"/>
                <w14:textFill>
                  <w14:solidFill>
                    <w14:schemeClr w14:val="tx1"/>
                  </w14:solidFill>
                </w14:textFill>
              </w:rPr>
              <w:br w:type="textWrapping" w:clear="all"/>
            </w:r>
            <w:r>
              <w:rPr>
                <w:rFonts w:ascii="宋体" w:hAnsi="宋体" w:cs="宋体"/>
                <w:color w:val="000000" w:themeColor="text1"/>
                <w:highlight w:val="none"/>
                <w:lang w:bidi="ar"/>
                <w14:textFill>
                  <w14:solidFill>
                    <w14:schemeClr w14:val="tx1"/>
                  </w14:solidFill>
                </w14:textFill>
              </w:rPr>
              <w:t xml:space="preserve">4</w:t>
            </w:r>
            <w:r>
              <w:rPr>
                <w:rFonts w:hint="eastAsia" w:ascii="宋体" w:hAnsi="宋体" w:cs="宋体"/>
                <w:color w:val="000000" w:themeColor="text1"/>
                <w:highlight w:val="none"/>
                <w:lang w:bidi="ar"/>
                <w14:textFill>
                  <w14:solidFill>
                    <w14:schemeClr w14:val="tx1"/>
                  </w14:solidFill>
                </w14:textFill>
              </w:rPr>
              <w:t xml:space="preserve">、MTBF可达2,000,000小时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5、支持5年有限质保服务</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6T企业级存储硬盘</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1、容量6TB。</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2、接口类型SATA，3.5英寸。</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3、接口速率6Gb/s。</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4、转速7200转/分。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5、缓存256MB。</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6、支持5年有限质保服务</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万兆光模块</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1、工业级。</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2、10KM单模单纤。</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3、LC万兆光模块。</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4、可适配主流交换机。</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60公里千兆光模块</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1、工业级。</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2、60KM单模单纤。</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3、LC千光模块</w:t>
            </w:r>
            <w:r>
              <w:rPr>
                <w:rFonts w:hint="eastAsia" w:ascii="宋体" w:hAnsi="宋体" w:cs="宋体"/>
                <w:color w:val="000000" w:themeColor="text1"/>
                <w:highlight w:val="none"/>
                <w:lang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4、可适配主流交换机。</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路口接入交换机</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1、工业级千兆交换机。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2、2光8电以上。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3、2个千兆SFP插槽，含1对LC千兆单纤单模光模块。</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4、光模块可适配主流交换机。</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路口汇聚交换机</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1、工业级千兆交换机。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2、6光8电以上。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3、8个以上千兆SFP插槽。</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4、带4对LC千兆单纤单模光模块。</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5、光模块可适配主流交换机。</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32口交换机</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1、交换容量≥2.4Tbps，包转发率≥670Mpps，提供官网链接及截图证明（以官网最小值为准）；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2、千兆电口≥24个，10/25GE光口≥8个，提供官网链接及截图证明；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3、CPU（处理器）、转发芯片均为国产自研芯片，提供具有CMA认证的第三方测试报告截图证明；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4、支持4K个VLAN，支持VoiceVLAN，基于端口的VLAN，基于MAC的VLAN，基于协议的VLAN；</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5、支持静态协议、RIP、RIPng、OSPF、OSPFv3路由协议；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6、MAC表项≥330000，ARP表项≥16K，IPv4FIB表项≥256K，IPv6FIB表项≥128K，提供具有CMA认证的第三方测试报告截图证明；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7、支持ID指示灯：用于现场定位，运维人员远程管理ID灯开启和关闭，提供官网链接及截图证明；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8、设备支持复位按钮和清配置按钮（PNP），恢复出厂配置并复位设备，提供官网链接及截图证明；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9、实配：主机及可插拔双电源；</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40口交换机</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1、交换容量≥2.4Tbps，包转发率≥670Mpps，提供官网链接及截图证明（以官网最小值为准）；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2、千兆电口≥24个，1/2.5GE光口≥8个，10/25GE光口≥8个，支持2个扩展插槽，提供官网链接及截图证明；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3、CPU（处理器）、转发芯片均为国产自研芯片，提供具有CMA认证的第三方测试报告截图证明；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4、支持4K个VLAN，支持Voice VLAN，基于端口的VLAN，基于MAC的VLAN，基于协议的VLAN；</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5、支持静态协议、RIP、RIPng、OSPF、OSPFv3路由协议；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6、MAC表项≥330000，ARP表项≥16K，IPv4 FIB表项≥256K，IPv6 FIB表项≥128K，提供具有CMA认证的第三方测试报告截图证明；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7、支持ID指示灯：用于现场定位，运维人员远程管理ID灯开启和关闭，提供官网链接及截图证明；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8、设备支持复位按钮和清配置按钮（PNP），恢复出厂配置并复位设备，提供官网链接及截图证明；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9、实配：主机及可插拔双电源；</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车行满屏信号灯</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1、面罩规格：φ400mm。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2、面罩材质：玻璃。</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3、外壳材质：铝压铸。</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4、表面处理：黑色喷塑哑光。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5、工作温度：-40℃~+80°C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6、LED寿命：≥70000小时。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7、可视距离：＞450m。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8、可视角度：＞30°。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9、满屏信号灯，竖装，包含灯具、帽檐、装饰边、背杆支架。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10、符合GB14887-2011道路交通信号灯。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11、设备前维护。</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12、承诺中标后可接入现有信号机。</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车行箭头信号灯</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1、箭头灯信号灯，竖装，包含灯具、帽檐、装饰边、背杆支架。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2、面罩规格：φ400mm。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3、面罩材质：玻璃。</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4、外壳材质：铝压铸。</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5、表面处理：黑色喷塑哑光。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6、LED寿命：≥70000小时。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7、工作温度：-40℃~+80°C。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8、可视距离：＞450m。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9、可视角度：＞30°。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10、设备前维护。</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11、承诺中标后可接入现有信号机。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12、符合GB14887-2011道路交通信号灯。</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圆盘车行信号灯灯盘</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1、LED寿命：≥70000小时。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2、可视距离：&gt;450m；可视角度：&gt;30°。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3、规格：φ400mm。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4、孔距：307.7mm。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5、承诺中标后可替换现有灯盘。投标时仅报国优。</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箭头车行信号灯灯盘</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1、LED寿命：≥70000小时。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2、可视距离：&gt;450m；可视角度：&gt;30°。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3、规格：φ400mm。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4、孔距：307.7mm。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5、承诺中标后可替换现有灯盘。投标时仅报国优。</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人行信号灯</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1、面罩规格：φ300mm。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2、面罩材质：玻璃。</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3、外壳材质：铝压铸。</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4、表面处理：黑色喷塑哑光。</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5、LED数量：红60，绿56。</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6、LED波长：红：625nm；绿：505nm。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7、LED直径：φ5mm。</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人行信号灯红灯盘</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1、LED寿命：≥70000小时。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2、规格：适配现有行人灯组</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3、LED数量：红60或绿56。</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4、LED直径：φ5mm。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4、承诺中标后可替换现有灯盘（包含红、绿灯盘，根据故障情况选择）。投标时仅报国优。</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人行信号灯绿灯盘</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1、LED寿命：≥70000小时。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2、规格：适配现有行人灯组</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3、LED数量：绿56。</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4、LED直径：φ5mm。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4、承诺中标后可替换现有灯盘（动态绿人）。投标时仅报国优。</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520型倒计时</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1、数字尺寸：大于500×260mm。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2、计时方式：跟随/触发/RS485通信。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3、显示数值：红99~1；绿99~1；黄9~1。</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4、面罩材质：PC。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5、外壳材质：铝、黑色喷塑。</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6、LED寿命：≥70000小时。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7、中心亮度：红≥5000cd/m2；黄≥5000cd/m2；绿≥8000cd/m2。</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8、可视距离：＞500m。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9、可视角度：＞30°。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10、工作温度：-40℃℃~+80℃C。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11、包含：灯具、帽檐、装饰边、横连杆抱箍。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12、符合GB14887-2011、GA/T508-2014，前维护。</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780型倒计时</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1、数字尺寸：大于780×2440mm。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2、计时方式：跟随/触发/RS485通信。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3、显示数值：红99~1；绿99~1；黄9~1。</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4、面罩材质：PC。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5、外壳材质：铝、黑色喷塑。</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6、LED寿命：≥70000小时。</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7、中心亮度：红≥5000cd/m2；黄≥5000cd/m2；绿≥8000cd/m2。</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8、可视距离：＞500m。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9、可视角度：＞30°。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10、工作温度：-40℃℃~+80℃C。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11、包含：灯具、帽檐、装饰边、横连杆抱箍。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12、符合GB14887-2011、GA/T508-2014，前维护。</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倒计时灯条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适配现有倒计时。投标时仅报国优。</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倒计时主板</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适配现有倒计时。投标时仅报国优。</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倒计时电源</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适配现有倒计时。投标时仅报国优。</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3公里工业级网桥</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1、网络接口类型：2个RJ45,10/100Mbps自适应。</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2、无线传输距离：3km。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3、支持20路2MPIPC或10路4MPIPC或6路6MPIPC。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4、水平天线角度：35°±5°。</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5、垂直天线角度：15°±5°。</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6、工作温度：-30℃~70℃。</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国标RVV3*6电源线</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1、产品名称：铜芯聚氯乙烯绝缘聚氯乙烯护套软电线电缆。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2、额定电压：300V/500V。</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3、导体：多股铜导体，符合GB/T3956第5类（等同于IEC60228.5）。</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4、绝缘：聚氯乙烯混合料（PVC）；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5、护套：防水柔性聚氯乙烯混合料（PVC）。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6、测试电压：2000V，5min。绝缘电阻：&gt;200M欧姆×KM。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7、使用温度：-30~+70℃。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8、符合GB/T5023.5-2008;JB/T8734.3-2016；通过国家CCC强制认证。</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国标RVV3*4电源线</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1、产品名称：铜芯聚氯乙烯绝缘聚氯乙烯护套软电线电缆。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2、额定电压：300V/500V。</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3、导体：多股铜导体，符合GB/T3956第5类（等同于IEC60228.5）。</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4、绝缘：聚氯乙烯混合料（PVC）；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5、护套：防水柔性聚氯乙烯混合料（PVC）。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6、测试电压：2000V，5min。绝缘电阻：&gt;200M欧姆×KM。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7、使用温度：-30~+70℃。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8、符合GB/T5023.5-2008;JB/T8734.3-2016；通过国家CCC强制认证。</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国标RVV3*2.5电源线</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1、产品名称：铜芯聚氯乙烯绝缘聚氯乙烯护套软电线电缆。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2、额定电压：300V/500V。</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3、导体：多股铜导体，符合GB/T3956第5类（等同于IEC60228.5）。</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4、绝缘：聚氯乙烯混合料（PVC）；护套：防水柔性聚氯乙烯混合料（PVC）。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5、芯线标识：≤5芯，彩色芯线；黑色芯线白色数字编号，黄绿地线。</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6、芯线数：2—5芯，7—36芯。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7、截面积：0.75—2.5mm&amp;sup2；0.5、2.5—35mm&amp;sup2。</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8、测试电压：2000V，5min。绝缘电阻：&gt;200M欧姆×KM。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9、使用温度：-30~+70℃。</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10、弯曲半径：15×电缆外径。</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11、符合GB/T5023.5-2008;JB/T8734.3-2016；通过国家CCC强制认证</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线缆RVVSP2*1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1、2芯RVV</w:t>
            </w:r>
            <w:r>
              <w:rPr>
                <w:rFonts w:hint="eastAsia" w:ascii="宋体" w:hAnsi="宋体" w:cs="宋体"/>
                <w:color w:val="000000" w:themeColor="text1"/>
                <w:highlight w:val="none"/>
                <w:lang w:val="en-US" w:eastAsia="zh-CN" w:bidi="ar"/>
                <w14:textFill>
                  <w14:solidFill>
                    <w14:schemeClr w14:val="tx1"/>
                  </w14:solidFill>
                </w14:textFill>
              </w:rPr>
              <w:t xml:space="preserve">SP</w:t>
            </w:r>
            <w:r>
              <w:rPr>
                <w:rFonts w:hint="eastAsia" w:ascii="宋体" w:hAnsi="宋体" w:cs="宋体"/>
                <w:color w:val="000000" w:themeColor="text1"/>
                <w:highlight w:val="none"/>
                <w:lang w:bidi="ar"/>
                <w14:textFill>
                  <w14:solidFill>
                    <w14:schemeClr w14:val="tx1"/>
                  </w14:solidFill>
                </w14:textFill>
              </w:rPr>
              <w:t xml:space="preserve">电源线（1mm2）。</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2、无氧铜线芯。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3、环保绝缘、护被。</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4、线芯绝缘颜色鲜艳。</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5、符合RoHS2.0环保认证。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6、符合GB/T5023.5-2008;JB/T8734.3-2016；通过国家CCC强制认证</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信号灯线缆RVV4*1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1、4芯RVV电源线（1mm2）。</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2、无氧铜线芯。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3、环保绝缘、护被。</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4、线芯绝缘颜色鲜艳。</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5、符合RoHS2.0环保认证。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6、符合GB/T5023.5-2008;JB/T8734.3-2016；通过国家CCC强制认证</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信号灯线缆RVV8*1</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1、8芯RVV电源线（1mm2）。</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2、无氧铜线芯。</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3、环保绝缘、护被。</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4、线芯绝缘颜色鲜艳。</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5、符合RoHS2.0环保认证。</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6、符合GB/T5023.5-2008;JB/T8734.3-2016；通过国家CCC强制认证</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智能终端服务器</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1、具有不少于16个10M/100M/1000M自适应RJ45接口。</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2、可接入H.265、H.264、MPEG4、MJPEG、Smart265、Smart264、SVAC视频编码格式的IPC。</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3、具有记录、回放、报警联动、图像检索、权限管理、视频水印、日志功能、支持叠加图像标识信息和时间，支持图像多画面显示。</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4、支持将1张、2张、3张、4张、5张、6张图片合成，支持选择图片形状，修改顺序，支持原始图片去黑边。（提供具有CMA认证的检验报告）</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5、含4T硬盘。</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6、承诺中标后可接入公安现有平台。</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云存储设备</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1、单设备应配置不低于两颗64位多核CPU（</w:t>
            </w:r>
            <w:r>
              <w:rPr>
                <w:rFonts w:hint="eastAsia" w:ascii="宋体" w:hAnsi="宋体" w:cs="宋体"/>
                <w:color w:val="000000" w:themeColor="text1"/>
                <w:highlight w:val="none"/>
                <w:lang w:val="en-US" w:eastAsia="zh-CN" w:bidi="ar"/>
                <w14:textFill>
                  <w14:solidFill>
                    <w14:schemeClr w14:val="tx1"/>
                  </w14:solidFill>
                </w14:textFill>
              </w:rPr>
              <w:t xml:space="preserve">在</w:t>
            </w:r>
            <w:r>
              <w:rPr>
                <w:rFonts w:hint="eastAsia" w:ascii="宋体" w:hAnsi="宋体" w:cs="宋体"/>
                <w:color w:val="000000" w:themeColor="text1"/>
                <w:highlight w:val="none"/>
                <w:lang w:bidi="ar"/>
                <w14:textFill>
                  <w14:solidFill>
                    <w14:schemeClr w14:val="tx1"/>
                  </w14:solidFill>
                </w14:textFill>
              </w:rPr>
              <w:t xml:space="preserve">中国信息安全测评中心的安全可靠测评结果公告目录</w:t>
            </w:r>
            <w:r>
              <w:rPr>
                <w:rFonts w:hint="eastAsia" w:ascii="宋体" w:hAnsi="宋体" w:cs="宋体"/>
                <w:color w:val="000000" w:themeColor="text1"/>
                <w:highlight w:val="none"/>
                <w:lang w:val="en-US" w:eastAsia="zh-CN" w:bidi="ar"/>
                <w14:textFill>
                  <w14:solidFill>
                    <w14:schemeClr w14:val="tx1"/>
                  </w14:solidFill>
                </w14:textFill>
              </w:rPr>
              <w:t xml:space="preserve">内</w:t>
            </w:r>
            <w:r>
              <w:rPr>
                <w:rFonts w:hint="eastAsia" w:ascii="宋体" w:hAnsi="宋体" w:cs="宋体"/>
                <w:color w:val="000000" w:themeColor="text1"/>
                <w:highlight w:val="none"/>
                <w:lang w:bidi="ar"/>
                <w14:textFill>
                  <w14:solidFill>
                    <w14:schemeClr w14:val="tx1"/>
                  </w14:solidFill>
                </w14:textFill>
              </w:rPr>
              <w:t xml:space="preserve">），内存≥32GB，系统盘≥1×960GB SSD。</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2、单设备应标配不低于6个千兆网口，可增扩≥2个万兆口。</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3、应支持FCSAN、IPSAN、NAS存储功能。</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4、具有48块硬盘热插拔插槽；支持硬盘热插拔设备在读写数据时，热插拔设备内的任意块硬盘，设备正常运行不宕机，硬盘不损坏，数据不丢失，业务不中断。</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5、能对视音频、图片智能分析录像的混合直存，无需存储服务器和图片服务器参与。</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6、支持ONVIF、GB/T 28181、RTSP等标准协议。</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7、接入路数不少于450路2Mbps视频图像。</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8、设备内配置48块16T企业级硬盘。</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9、每台包含云存储软件授权扩容：1台云存储设备接入管理和768TB存储虚拟化服务。</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10、承诺中标后可接入六合公安原有云存储系统。</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35114加密盒</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1、网络接口：2个10M/100M/1000Mbps自适应网口。</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2、支持接驳符合GB/T28181协议、ONVIF、RTSP协议的高清IPC并对视频进行35114C级加密。</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3、支持8路200万或4路400万或2路800万分辨率的H.264/H.265格式码流转码成SVAC2.0格式。</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电警标志牌</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1、版面尺寸：600*800*2mm。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2、反光膜等级：高强级。</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3、材质：1100铝质板材。</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4、内容标识：违法抓拍。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5、符合道路交通标志和标线（GB-5768-2022）</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维护井井盖</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1、井圈四周内置4根直径6mm钢筋，2、上沿宽：50mm，厚：100mm。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2、井圈外框尺寸：500mm*500mm*100mm。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3、井盖横纵各内置4根直径6mm钢筋，厚：45mm，井盖四周采用50mm*4mm厚热镀锌钢板包裹，井盖外框尺寸：400mm*400mm*50mm。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4、井圈、井盖混凝土采用C30商品混凝土。</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维护井</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1、维护井盖50cm*50cm。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2、维护井内径40*40cm。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3、深60cm。</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4、管道离上边沿约45cm，井壁用砂浆抹面，井底用砖铺设。</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5、含井盖、井圈。</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落地机箱（含基础）</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1、外形尺寸：W600</w:t>
            </w:r>
            <w:r>
              <w:rPr>
                <w:rFonts w:hint="eastAsia" w:ascii="宋体" w:hAnsi="宋体" w:cs="宋体"/>
                <w:color w:val="000000" w:themeColor="text1"/>
                <w:highlight w:val="none"/>
                <w:lang w:val="en-US" w:eastAsia="zh-CN" w:bidi="ar"/>
                <w14:textFill>
                  <w14:solidFill>
                    <w14:schemeClr w14:val="tx1"/>
                  </w14:solidFill>
                </w14:textFill>
              </w:rPr>
              <w:t xml:space="preserve">mm</w:t>
            </w:r>
            <w:r>
              <w:rPr>
                <w:rFonts w:hint="eastAsia" w:ascii="宋体" w:hAnsi="宋体" w:cs="宋体"/>
                <w:color w:val="000000" w:themeColor="text1"/>
                <w:highlight w:val="none"/>
                <w:lang w:bidi="ar"/>
                <w14:textFill>
                  <w14:solidFill>
                    <w14:schemeClr w14:val="tx1"/>
                  </w14:solidFill>
                </w14:textFill>
              </w:rPr>
              <w:t xml:space="preserve">*H1480</w:t>
            </w:r>
            <w:r>
              <w:rPr>
                <w:rFonts w:hint="eastAsia" w:ascii="宋体" w:hAnsi="宋体" w:cs="宋体"/>
                <w:color w:val="000000" w:themeColor="text1"/>
                <w:highlight w:val="none"/>
                <w:lang w:val="en-US" w:eastAsia="zh-CN" w:bidi="ar"/>
                <w14:textFill>
                  <w14:solidFill>
                    <w14:schemeClr w14:val="tx1"/>
                  </w14:solidFill>
                </w14:textFill>
              </w:rPr>
              <w:t xml:space="preserve">mm</w:t>
            </w:r>
            <w:r>
              <w:rPr>
                <w:rFonts w:hint="eastAsia" w:ascii="宋体" w:hAnsi="宋体" w:cs="宋体"/>
                <w:color w:val="000000" w:themeColor="text1"/>
                <w:highlight w:val="none"/>
                <w:lang w:bidi="ar"/>
                <w14:textFill>
                  <w14:solidFill>
                    <w14:schemeClr w14:val="tx1"/>
                  </w14:solidFill>
                </w14:textFill>
              </w:rPr>
              <w:t xml:space="preserve">*D420</w:t>
            </w:r>
            <w:r>
              <w:rPr>
                <w:rFonts w:hint="eastAsia" w:ascii="宋体" w:hAnsi="宋体" w:cs="宋体"/>
                <w:color w:val="000000" w:themeColor="text1"/>
                <w:highlight w:val="none"/>
                <w:lang w:val="en-US" w:eastAsia="zh-CN" w:bidi="ar"/>
                <w14:textFill>
                  <w14:solidFill>
                    <w14:schemeClr w14:val="tx1"/>
                  </w14:solidFill>
                </w14:textFill>
              </w:rPr>
              <w:t xml:space="preserve">mm</w:t>
            </w:r>
            <w:r>
              <w:rPr>
                <w:rFonts w:hint="eastAsia" w:ascii="宋体" w:hAnsi="宋体" w:cs="宋体"/>
                <w:color w:val="000000" w:themeColor="text1"/>
                <w:highlight w:val="none"/>
                <w:lang w:bidi="ar"/>
                <w14:textFill>
                  <w14:solidFill>
                    <w14:schemeClr w14:val="tx1"/>
                  </w14:solidFill>
                </w14:textFill>
              </w:rPr>
              <w:t xml:space="preserve">，1.2mm不锈钢钢板材质，静电喷塑。</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2、机箱内结构：内分四层，最上层为强电层。</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3、强电层配备：总路32A/2P空开1个、分路16A/1P+N漏电开关4个、五孔插座模块3个、40KA/2P浪涌1只、门控开关及内置LED照明单元。</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4、含基础。</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抱杆机箱</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1、外尺寸：W500</w:t>
            </w:r>
            <w:r>
              <w:rPr>
                <w:rFonts w:hint="eastAsia" w:ascii="宋体" w:hAnsi="宋体" w:cs="宋体"/>
                <w:color w:val="000000" w:themeColor="text1"/>
                <w:highlight w:val="none"/>
                <w:lang w:val="en-US" w:eastAsia="zh-CN" w:bidi="ar"/>
                <w14:textFill>
                  <w14:solidFill>
                    <w14:schemeClr w14:val="tx1"/>
                  </w14:solidFill>
                </w14:textFill>
              </w:rPr>
              <w:t xml:space="preserve">mm</w:t>
            </w:r>
            <w:r>
              <w:rPr>
                <w:rFonts w:hint="eastAsia" w:ascii="宋体" w:hAnsi="宋体" w:cs="宋体"/>
                <w:color w:val="000000" w:themeColor="text1"/>
                <w:highlight w:val="none"/>
                <w:lang w:bidi="ar"/>
                <w14:textFill>
                  <w14:solidFill>
                    <w14:schemeClr w14:val="tx1"/>
                  </w14:solidFill>
                </w14:textFill>
              </w:rPr>
              <w:t xml:space="preserve">*H600</w:t>
            </w:r>
            <w:r>
              <w:rPr>
                <w:rFonts w:hint="eastAsia" w:ascii="宋体" w:hAnsi="宋体" w:cs="宋体"/>
                <w:color w:val="000000" w:themeColor="text1"/>
                <w:highlight w:val="none"/>
                <w:lang w:val="en-US" w:eastAsia="zh-CN" w:bidi="ar"/>
                <w14:textFill>
                  <w14:solidFill>
                    <w14:schemeClr w14:val="tx1"/>
                  </w14:solidFill>
                </w14:textFill>
              </w:rPr>
              <w:t xml:space="preserve">mm</w:t>
            </w:r>
            <w:r>
              <w:rPr>
                <w:rFonts w:hint="eastAsia" w:ascii="宋体" w:hAnsi="宋体" w:cs="宋体"/>
                <w:color w:val="000000" w:themeColor="text1"/>
                <w:highlight w:val="none"/>
                <w:lang w:bidi="ar"/>
                <w14:textFill>
                  <w14:solidFill>
                    <w14:schemeClr w14:val="tx1"/>
                  </w14:solidFill>
                </w14:textFill>
              </w:rPr>
              <w:t xml:space="preserve">*D250mm，</w:t>
            </w:r>
            <w:r>
              <w:rPr>
                <w:rFonts w:hint="eastAsia" w:ascii="宋体" w:hAnsi="宋体" w:cs="宋体"/>
                <w:color w:val="000000" w:themeColor="text1"/>
                <w:highlight w:val="none"/>
                <w:lang w:bidi="ar"/>
                <w14:textFill>
                  <w14:solidFill>
                    <w14:schemeClr w14:val="tx1"/>
                  </w14:solidFill>
                </w14:textFill>
              </w:rPr>
              <w:t xml:space="preserve">1.2mm201不锈钢静电喷塑。</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2、机箱内配备：配备25A2P空开、5A1P空开3个、40KA/2P浪涌1只、14位接线端子、24v供电电源模块、五孔插座模块、温控模块及风扇组件、门控开关及内置LED照明单元。</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3、含换箱后所需的熔纤费等杂费。 </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杆件迁移（含基础）</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1、杆件利旧，六合辖区内现状杆件拆除迁移至新建点位。</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2、基础规格不小于本设计方案中横臂6m杆件基础规格：1.2m*1.0m*1.0mC25混凝土；底层C25混凝土碎石垫层。</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3、满足安全需要。</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光缆</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1、产品类型：中心束管式 铠装。</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2、纤芯类型：单模OS2标准B1.3（9/125μm），芯数：6芯。</w:t>
            </w:r>
            <w:r/>
          </w:p>
          <w:p>
            <w:pPr>
              <w:jc w:val="left"/>
              <w:keepNex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3、金属加强构件、中心束管结构</w:t>
            </w:r>
            <w:r>
              <w:rPr>
                <w:rFonts w:hint="eastAsia" w:ascii="宋体" w:hAnsi="宋体" w:cs="宋体"/>
                <w:color w:val="000000" w:themeColor="text1"/>
                <w:highlight w:val="none"/>
                <w:lang w:eastAsia="zh-CN" w:bidi="ar"/>
                <w14:textFill>
                  <w14:solidFill>
                    <w14:schemeClr w14:val="tx1"/>
                  </w14:solidFill>
                </w14:textFill>
              </w:rPr>
              <w:t xml:space="preserve">。</w:t>
            </w:r>
            <w:r/>
          </w:p>
          <w:p>
            <w:pPr>
              <w:jc w:val="left"/>
              <w:keepNex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4、两根平行圆钢丝加强光缆抗拉强度，使其具有更加优越的机械性能</w:t>
            </w:r>
            <w:r>
              <w:rPr>
                <w:rFonts w:hint="eastAsia" w:ascii="宋体" w:hAnsi="宋体" w:cs="宋体"/>
                <w:color w:val="000000" w:themeColor="text1"/>
                <w:highlight w:val="none"/>
                <w:lang w:eastAsia="zh-CN" w:bidi="ar"/>
                <w14:textFill>
                  <w14:solidFill>
                    <w14:schemeClr w14:val="tx1"/>
                  </w14:solidFill>
                </w14:textFill>
              </w:rPr>
              <w:t xml:space="preserve">。</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4、PE外护套具有良好的抗紫外辐射及防水性能 </w:t>
            </w:r>
            <w:r>
              <w:rPr>
                <w:rFonts w:hint="eastAsia" w:ascii="宋体" w:hAnsi="宋体" w:cs="宋体"/>
                <w:color w:val="000000" w:themeColor="text1"/>
                <w:highlight w:val="none"/>
                <w:lang w:eastAsia="zh-CN" w:bidi="ar"/>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     </w:t>
            </w:r>
            <w:r/>
          </w:p>
          <w:p>
            <w:pPr>
              <w:jc w:val="left"/>
              <w:keepNex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5、松套管内填充特种油膏，对光纤进行关键性保护</w:t>
            </w:r>
            <w:r>
              <w:rPr>
                <w:rFonts w:hint="eastAsia" w:ascii="宋体" w:hAnsi="宋体" w:cs="宋体"/>
                <w:color w:val="000000" w:themeColor="text1"/>
                <w:highlight w:val="none"/>
                <w:lang w:eastAsia="zh-CN" w:bidi="ar"/>
                <w14:textFill>
                  <w14:solidFill>
                    <w14:schemeClr w14:val="tx1"/>
                  </w14:solidFill>
                </w14:textFill>
              </w:rPr>
              <w:t xml:space="preserve">。</w:t>
            </w:r>
            <w:r/>
          </w:p>
          <w:p>
            <w:pPr>
              <w:jc w:val="left"/>
              <w:keepNex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6、磷化钢丝中心加强构件模量高、耐腐蚀</w:t>
            </w:r>
            <w:r>
              <w:rPr>
                <w:rFonts w:hint="eastAsia" w:ascii="宋体" w:hAnsi="宋体" w:cs="宋体"/>
                <w:color w:val="000000" w:themeColor="text1"/>
                <w:highlight w:val="none"/>
                <w:lang w:eastAsia="zh-CN" w:bidi="ar"/>
                <w14:textFill>
                  <w14:solidFill>
                    <w14:schemeClr w14:val="tx1"/>
                  </w14:solidFill>
                </w14:textFill>
              </w:rPr>
              <w:t xml:space="preserve">。</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7、8.0mm光缆外径小、重量轻、结构紧凑严密，弯曲性能优异，适宜施工操作 保证光缆在恶劣的环境下光纤不受到压力。</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8、产品使用寿命30年以上。</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9、敷设方式：架空、管道。</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10、工作温度：-40°至70°。</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11、弯曲半径：静态10倍缆径/动态20倍缆径。</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PE50穿线管</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1、耐化学性：不被污水、废水及化学药品腐蚀，不因土壤中腐烂物质而腐蚀。</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2、抗冲击：管材壁采用“工字型”结构，耐冲击、耐压，地基下沉情况下也不破裂，而且变形后复原性强，对任何地基都有很好的适应性。</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3、耐老化：管材通常为黑色，可承受存放和施工过程中太阳的直晒。</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4、耐寒性：PE管材在-60℃环境中不会被冻裂。</w:t>
            </w:r>
            <w:r>
              <w:rPr>
                <w:rFonts w:hint="eastAsia" w:ascii="宋体" w:hAnsi="宋体" w:cs="宋体"/>
                <w:color w:val="000000" w:themeColor="text1"/>
                <w:highlight w:val="none"/>
                <w:lang w:bidi="ar"/>
                <w14:textFill>
                  <w14:solidFill>
                    <w14:schemeClr w14:val="tx1"/>
                  </w14:solidFill>
                </w14:textFill>
              </w:rPr>
              <w:br w:type="textWrapping" w:clear="all"/>
            </w:r>
            <w:r>
              <w:rPr>
                <w:rFonts w:hint="eastAsia" w:ascii="宋体" w:hAnsi="宋体" w:cs="宋体"/>
                <w:color w:val="000000" w:themeColor="text1"/>
                <w:highlight w:val="none"/>
                <w:lang w:bidi="ar"/>
                <w14:textFill>
                  <w14:solidFill>
                    <w14:schemeClr w14:val="tx1"/>
                  </w14:solidFill>
                </w14:textFill>
              </w:rPr>
              <w:t xml:space="preserve">5、公称外径：DN50mm，公称壁厚：EN3mm。</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信号灯检测器</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1、参数配置：支持不少于16路相机参数和通道参数；</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2、状态检测：支持相机及红/绿灯状态检测；</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3、检测模式切换：支持红/绿灯检测模式切换；</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4、输入异常检测：支持红/绿灯输入信号异常检测；</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5、校时功能：支持NTP校时和同步PC；</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6、网络状态监测：支持；</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7、日志记录：支持日志记录；</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8、升级功能：支持网络升级；</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9、信号输入：不少于16路，AC220V红/绿灯信号；</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10、RS-485接口：不少于1个；</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11、网络接口：1个RJ-45以太网口；</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12、工作温度：-40℃～+65℃；</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13、工作湿度：10%～95%RH；</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多业务光端机</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对</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1、使用硬件完全物理隔离，各通道带宽互不抢占，每个网口线速转发，无交换芯片共享带宽；（提供CNAS检测报告）</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2、光纤数量：单模单纤；</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3、通信距离：20-60KM；</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4、光接口类型：LC光口；</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5、外形尺寸：1U机架式；</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6、速率：支持10/100/1000M自适应；</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7、电源配置：支持双电源冗余供电，支持AC220V/DC‑48V双输入模式，单电源故障设备业务不中断，需提供产品手册；</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8、设备支持SNMP网络管理，具备光功率监测、端口链路告警、整机故障继电器告警输出功能，可实时监测光模块收发功率；</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光接口支持硬件级光口1+1热备份保护功能，设备具备主、备两路独立LC光接口，主用光链路发生光衰过大、光纤断裂、模块故障等异常工况时，可实现无人工干预自动链路倒换，倒换时间≤50ms；倒换过程不影响8路物理隔离以太网业务数据传输，业务报文无丢包、无乱序；</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10、系统误码率：小于等于10E-9</w:t>
            </w:r>
            <w:r/>
          </w:p>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11、工作温度：-30°-70°</w:t>
            </w:r>
            <w:r/>
          </w:p>
        </w:tc>
      </w:tr>
      <w:tr>
        <w:trPr>
          <w:jc w:val="cente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交通标线</w:t>
            </w:r>
            <w:r/>
          </w:p>
        </w:tc>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平方米</w:t>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jc w:val="left"/>
              <w:keepNex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斑马线、停止线、导向箭头等，涂层厚度：≥2.0mm；线型：白色实线，线宽0.3m；施划地面热熔交通标线。</w:t>
            </w:r>
            <w:r/>
          </w:p>
        </w:tc>
      </w:tr>
    </w:tbl>
    <w:p>
      <w:pPr>
        <w:ind w:firstLine="480"/>
        <w:spacing w:line="252" w:lineRule="auto"/>
        <w:rPr>
          <w:rFonts w:hint="eastAsia" w:ascii="宋体" w:hAnsi="宋体" w:cs="宋体"/>
          <w:bCs/>
          <w:color w:val="000000" w:themeColor="text1"/>
          <w:sz w:val="24"/>
          <w:szCs w:val="24"/>
          <w:highlight w:val="none"/>
          <w14:textFill>
            <w14:solidFill>
              <w14:schemeClr w14:val="tx1"/>
            </w14:solidFill>
          </w14:textFill>
        </w:rPr>
        <w:outlineLvl w:val="2"/>
      </w:pPr>
      <w:r>
        <w:rPr>
          <w:rFonts w:hint="eastAsia" w:ascii="宋体" w:hAnsi="宋体" w:cs="宋体"/>
          <w:bCs/>
          <w:color w:val="000000" w:themeColor="text1"/>
          <w:sz w:val="24"/>
          <w:szCs w:val="24"/>
          <w:highlight w:val="none"/>
          <w14:textFill>
            <w14:solidFill>
              <w14:schemeClr w14:val="tx1"/>
            </w14:solidFill>
          </w14:textFill>
        </w:rPr>
        <w:t xml:space="preserve">（一）技术要求</w:t>
      </w:r>
      <w:r/>
    </w:p>
    <w:p>
      <w:pPr>
        <w:pStyle w:val="71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264" w:lineRule="auto"/>
        <w:rPr>
          <w:rFonts w:hint="eastAsia"/>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1.实施要求</w:t>
      </w:r>
      <w:r/>
    </w:p>
    <w:tbl>
      <w:tblPr>
        <w:tblStyle w:val="713"/>
        <w:tblW w:w="49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563"/>
        <w:gridCol w:w="7229"/>
      </w:tblGrid>
      <w:tr>
        <w:trPr>
          <w:cantSplit/>
          <w:jc w:val="center"/>
          <w:tblHeader/>
        </w:trPr>
        <w:tc>
          <w:tcPr>
            <w:tcW w:w="522" w:type="dxa"/>
            <w:vAlign w:val="top"/>
            <w:textDirection w:val="lrTb"/>
            <w:noWrap w:val="false"/>
          </w:tcPr>
          <w:p>
            <w:pPr>
              <w:pStyle w:val="1012"/>
              <w:jc w:val="center"/>
              <w:spacing w:line="320" w:lineRule="exact"/>
              <w:rPr>
                <w:b/>
                <w:bCs/>
                <w:color w:val="000000" w:themeColor="text1"/>
                <w:highlight w:val="none"/>
                <w14:textFill>
                  <w14:solidFill>
                    <w14:schemeClr w14:val="tx1"/>
                  </w14:solidFill>
                </w14:textFill>
              </w:rPr>
            </w:pPr>
            <w:r>
              <w:rPr>
                <w:b/>
                <w:bCs/>
                <w:color w:val="000000" w:themeColor="text1"/>
                <w:spacing w:val="-2"/>
                <w:highlight w:val="none"/>
                <w14:textFill>
                  <w14:solidFill>
                    <w14:schemeClr w14:val="tx1"/>
                  </w14:solidFill>
                </w14:textFill>
              </w:rPr>
              <w:t xml:space="preserve">序号</w:t>
            </w:r>
            <w:r/>
          </w:p>
        </w:tc>
        <w:tc>
          <w:tcPr>
            <w:tcW w:w="796" w:type="dxa"/>
            <w:vAlign w:val="top"/>
            <w:textDirection w:val="lrTb"/>
            <w:noWrap w:val="false"/>
          </w:tcPr>
          <w:p>
            <w:pPr>
              <w:pStyle w:val="1012"/>
              <w:jc w:val="center"/>
              <w:spacing w:line="320" w:lineRule="exact"/>
              <w:rPr>
                <w:b/>
                <w:bCs/>
                <w:color w:val="000000" w:themeColor="text1"/>
                <w:highlight w:val="none"/>
                <w14:textFill>
                  <w14:solidFill>
                    <w14:schemeClr w14:val="tx1"/>
                  </w14:solidFill>
                </w14:textFill>
              </w:rPr>
            </w:pPr>
            <w:r>
              <w:rPr>
                <w:b/>
                <w:bCs/>
                <w:color w:val="000000" w:themeColor="text1"/>
                <w:spacing w:val="-3"/>
                <w:highlight w:val="none"/>
                <w14:textFill>
                  <w14:solidFill>
                    <w14:schemeClr w14:val="tx1"/>
                  </w14:solidFill>
                </w14:textFill>
              </w:rPr>
              <w:t xml:space="preserve">名称</w:t>
            </w:r>
            <w:r/>
          </w:p>
        </w:tc>
        <w:tc>
          <w:tcPr>
            <w:tcW w:w="3681" w:type="dxa"/>
            <w:vAlign w:val="top"/>
            <w:textDirection w:val="lrTb"/>
            <w:noWrap w:val="false"/>
          </w:tcPr>
          <w:p>
            <w:pPr>
              <w:pStyle w:val="1012"/>
              <w:jc w:val="center"/>
              <w:spacing w:line="320" w:lineRule="exact"/>
              <w:rPr>
                <w:b/>
                <w:bCs/>
                <w:color w:val="000000" w:themeColor="text1"/>
                <w:highlight w:val="none"/>
                <w14:textFill>
                  <w14:solidFill>
                    <w14:schemeClr w14:val="tx1"/>
                  </w14:solidFill>
                </w14:textFill>
              </w:rPr>
            </w:pPr>
            <w:r>
              <w:rPr>
                <w:rFonts w:hint="eastAsia"/>
                <w:b/>
                <w:bCs/>
                <w:color w:val="000000" w:themeColor="text1"/>
                <w:spacing w:val="-1"/>
                <w:highlight w:val="none"/>
                <w:lang w:eastAsia="zh-CN"/>
                <w14:textFill>
                  <w14:solidFill>
                    <w14:schemeClr w14:val="tx1"/>
                  </w14:solidFill>
                </w14:textFill>
              </w:rPr>
              <w:t xml:space="preserve">采购</w:t>
            </w:r>
            <w:r>
              <w:rPr>
                <w:b/>
                <w:bCs/>
                <w:color w:val="000000" w:themeColor="text1"/>
                <w:spacing w:val="-1"/>
                <w:highlight w:val="none"/>
                <w14:textFill>
                  <w14:solidFill>
                    <w14:schemeClr w14:val="tx1"/>
                  </w14:solidFill>
                </w14:textFill>
              </w:rPr>
              <w:t xml:space="preserve">要求</w:t>
            </w:r>
            <w:r/>
          </w:p>
        </w:tc>
      </w:tr>
      <w:tr>
        <w:trPr>
          <w:jc w:val="center"/>
          <w:trHeight w:val="4171"/>
        </w:trPr>
        <w:tc>
          <w:tcPr>
            <w:tcW w:w="522" w:type="dxa"/>
            <w:vAlign w:val="center"/>
            <w:textDirection w:val="lrTb"/>
            <w:noWrap w:val="false"/>
          </w:tcPr>
          <w:p>
            <w:pPr>
              <w:pStyle w:val="1012"/>
              <w:spacing w:line="3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96" w:type="dxa"/>
            <w:vAlign w:val="center"/>
            <w:textDirection w:val="lrTb"/>
            <w:noWrap w:val="false"/>
          </w:tcPr>
          <w:p>
            <w:pPr>
              <w:pStyle w:val="1012"/>
              <w:jc w:val="center"/>
              <w:spacing w:line="320" w:lineRule="exact"/>
              <w:rPr>
                <w:color w:val="000000" w:themeColor="text1"/>
                <w:highlight w:val="none"/>
                <w14:textFill>
                  <w14:solidFill>
                    <w14:schemeClr w14:val="tx1"/>
                  </w14:solidFill>
                </w14:textFill>
              </w:rPr>
            </w:pPr>
            <w:r>
              <w:rPr>
                <w:color w:val="000000" w:themeColor="text1"/>
                <w:spacing w:val="-2"/>
                <w:highlight w:val="none"/>
                <w:lang w:eastAsia="zh-CN"/>
                <w14:textFill>
                  <w14:solidFill>
                    <w14:schemeClr w14:val="tx1"/>
                  </w14:solidFill>
                </w14:textFill>
              </w:rPr>
              <w:t xml:space="preserve">系统日常维护及设备保养</w:t>
            </w:r>
            <w:r/>
          </w:p>
        </w:tc>
        <w:tc>
          <w:tcPr>
            <w:tcW w:w="3681" w:type="dxa"/>
            <w:vAlign w:val="top"/>
            <w:textDirection w:val="lrTb"/>
            <w:noWrap w:val="false"/>
          </w:tcPr>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1、系统的日常维护保养系统的日常</w:t>
            </w:r>
            <w:r>
              <w:rPr>
                <w:rFonts w:hint="eastAsia" w:ascii="宋体" w:hAnsi="宋体" w:cs="宋体"/>
                <w:color w:val="000000" w:themeColor="text1"/>
                <w:spacing w:val="-2"/>
                <w:highlight w:val="none"/>
                <w14:textFill>
                  <w14:solidFill>
                    <w14:schemeClr w14:val="tx1"/>
                  </w14:solidFill>
                </w14:textFill>
              </w:rPr>
              <w:t xml:space="preserve">维护应包含所有设备的维修及更换，以满足采购人的维保考核要求。系统维护保养包括所有系统的前端设备、传输线路及后台设备的日常维护，但不限于检查、清洁、调整、测试、优化系统、备份数据、排查隐患、处置问题等工作。检查设备时，应对设备进行物理检查、运行环境检查、电气参数与性能检查等。清洁设备时，应根据设备类型使用吸（吹）尘、刷、擦等方法对设备表面或内部的灰尘、污物等进行清理。调整设备时，应按照标准规范、技术手册和使用管理要求对设备的安装位置、防护范围、电气参数、运行模式等进行设置与校正。测试设备系统时，应按照标准规范</w:t>
            </w:r>
            <w:r>
              <w:rPr>
                <w:rFonts w:hint="eastAsia" w:ascii="宋体" w:hAnsi="宋体" w:cs="宋体"/>
                <w:color w:val="000000" w:themeColor="text1"/>
                <w:spacing w:val="-2"/>
                <w:highlight w:val="none"/>
                <w14:textFill>
                  <w14:solidFill>
                    <w14:schemeClr w14:val="tx1"/>
                  </w14:solidFill>
                </w14:textFill>
              </w:rPr>
              <w:t xml:space="preserve">、技术手册和使用管理要求对设备系统的功能、性能进行测量试验。优化系统时，应按照标准规范和使用管理要求对系统的参数、设置等进行合理配置。备份数据时，应根据使用/管理要求对重要数据进行转存、转录，并确保数据和存储介质的安全。排查隐患时，应对可能造成系统不稳定运行、系统设置、功能、性能等不满足标准规范和使用/管理要求的情况进行详细检查与记录。处置问题时，应根据检查、测试及隐患排查过程中发现的问题，提出处置建议，经建设/使用单位同意后，采取相应的措施进行解决，同时形成相关台账记录。维护保养对象及维护保养内容与要求：</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（1）前端设备</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物理检查：检查前端监控设备是否依图纸标定位置（或系统中标定的位置）存在，对于前端设备的拆改、挪移应及时反应至系统中。检查设备安装部件是否齐全，安装是否牢固，有无明显破损情况，并进行必要处理或处置。</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运行环境检查：检查前端有无影响监控效果，影响设备正常工作的因素。对于发现的异常情况，应及时调整或处置。</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电气参数与性能检查：检查摄像机，及其配套设备，包括电源、风扇、加热、雨刷、辅助照明装置等的工作状态。采用相应的仪器/仪表测量摄像机的相关指标，并做相应调整。</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机械构件维护：对摄像机、防护罩、云台、辅助照明装置的安装支架、立杆等构件进行加固、除锈、防腐等养护，并做必要调整。</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设备清洁：采用专业的方式方法，对摄像机镜头、摄像机防护罩及附属配件进行必要的清洁。</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设备调整：根据视频监控需要调整前端摄像机的焦距、监控范围等。确保设备处于良好的运行状态，发挥其最佳监控作用。</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（2）传输设备</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线缆、路由检查：传输线缆安装应牢固，安装部件应齐全，标识应清晰。检查线缆有无破损、破坏，氧化等情况。检查线管管口封堵情况，接地连接情况，查找有无异常现象。</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传输设备检查：传输设备安装应牢固，安装部件应齐全，标识应清晰，工作状态应正常。使用电池供电的无线发射/接收/中继设备应根据具体要求定期更换电池。</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清洁整理：对传输设备、管线、人井手孔等传输设备、设施或配套装置进行必要的清洁和清理。根据现场情况和需要，调整电缆、光缆等的捆扎方式。</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测试调整：根据检查结果和系统需要调整传输设备的相关参数。调整后，应保证视频信号及控制信号衰减满足规范或原设计要求。</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（3）处理/控制/管理/记录设备</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物理检查：根据系统形成模式和安装方式，制定检查方案，重点检查处理、控制、管理设备安装是否牢固，设备外壳及部件有无异常变化或破损迹象，设备部件和接线是否正常。对发现的问题应在维保过程中及时处理。</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电气参数与性能检查：通过观察设备指示灯、测量设备电压/电流等方式，检查设备运行状态。应确保设备运行指示正常，排查明显故障隐患。设备清洁：采用适当的方式，对设备内外进行必要的清洁和除尘。</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（4）显示设备</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物理检查：检查显示设备安装柜、箱和结构件是否牢固，检查其外表有无异常或破损迹象，检查接地是否完好。检查并调整显示设备，确保显示设备安装牢固，设备外壳及部件应无异常变化或破损迹象，设备部件和接线应正常。除视频显示设备外，显示设备还应包括LED显示屏等字符显示装置。</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设备清洁：对设备、箱、柜及结构件等进行必要的清洁和除尘。显示屏幕清洁，应采用专用试剂。</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（5）系统</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系统优化：根据系统运行情况及使用、管理要求，调整系统的相关设置参数，提高、优化系统性能。系统优化的重点在于提高视频监控系统监控效果、延长视频录像保存时间、提高视频图像回放效果、缩短报警视频联动时间等。</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系统校时：对系统进行校时，系统的主时钟与标准时间偏差应满足相应标准规定或使用管理要求。</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数据备份：对系统信息、设置数据及其它有助于保证系统安全，有助于系统快速恢复的数据资料进行备份。备份文件应存储在专门的介质上，并注明备份时间、打开密码（如有），恢复数据注意事项等信息。维保工作要求的备份内容不包括视频数据信息，采购人特别要求除外。</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隐患排查：通过询问系统管理员、操作员、查阅运行记录等方式，核实系统运行状态，排查系统存在的问题或隐患。汇总维保过程中发现的问题，分析系统目前的健康状态，预测系统可能发生的问题，并前瞻性提出处置意见。</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问题处置：监控图像、记录图像达不到标准规范和使用管理要求或设备破损、污损严重，且已经不能满足视频监控需要时，应提出处置建议，征得建设/使用单位同意后，采取相应的措施进行解决。对于日常运行过程中性能稳定性较差或频繁发生故障的设备，经现场</w:t>
            </w:r>
            <w:r>
              <w:rPr>
                <w:rFonts w:hint="eastAsia" w:ascii="宋体" w:hAnsi="宋体" w:cs="宋体"/>
                <w:color w:val="000000" w:themeColor="text1"/>
                <w:spacing w:val="-2"/>
                <w:highlight w:val="none"/>
                <w14:textFill>
                  <w14:solidFill>
                    <w14:schemeClr w14:val="tx1"/>
                  </w14:solidFill>
                </w14:textFill>
              </w:rPr>
              <w:t xml:space="preserve">调整/调试后仍无法满足要求时，应提出处置建议，在征得建设/使用单位同意后，采取相应的措施进行解决。对于系统可能发生的问题，应及时书面告知建设/使用单位，并同时提出处置意见，在征得建设/使用单位同意后，采取相应的措施予以应对。巡检中发现前端监控设备存在遮挡或污损，应及时清理。还需按标准对重点核心地区视频监控所有点位前端监控二维码标贴进行张贴和日常维护。为配合道路整治及视频监控并杆及线路下地工程，在所涉及的包含重点核心地区视频监控的路段，应配合市公安局和市政部门，按期保质保量地完成视频监控并杆及线路下地的工作。</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2、设备保养内容</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定期对系统所有相关设备等进行保养，并形成保养记录，每次保养记录由采购人签字确认。摄像机保养：摄像机镜头如存在遮挡或污损，应及时清除遮挡监控视线的障碍物。</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机房保养：每季度对机房设备进行检测保养。网络应用终端：系统软件故障排除及恢复、病毒防范及消除、硬盘垃圾清理、外设安装调试、系统安装调试与维护、应急、系统恢复及日常维护等。</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网络服务系统：包括服务器软硬件系统、网络线缆线路、网络交换路由设备、备用电源（UPS）检测、保养、维护及故障排除等。其他保养：对监控立杆和设备箱等设施的损坏和锈蚀应及时进行修复和翻新。对摄像机的位置有迁移必要时进行迁移。</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3、巡检</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前端现场巡检：每个季度开展一轮前端巡检，主要应围绕前端设备运行状况和安全（包括：杆件、落地机箱、抱杆箱、箱体锁、摄像机、镜头、云台、网络传输设备等）和管线情况（包括管线质量、防雷接地情况、屏蔽情况、线路接头质量等）。形成巡检电子台账（主要是带水印的照片），记录发现的问题，以及解决情况；</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后端设备现场巡检：早、中、晚机房（含配电房、UPS间，机房内的编解码器、存储设备、网络交换设备、安全设备、服务器、UPS电源、平台软件等设备）整体现场巡检，发现有无故障报警；每周一次的存储设备巡检，发现存在故障磁盘，并更换，如故障率高，增大巡检频率，避免数据丢失；每季度巡检一次空调外机，并对外机除尘，清洗，保障外机正常工作；</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系统巡检：巡检系统功能、系统的各项技术指标及操作运行情况，且利用系统运维功能，每日对信号灯在线情况、信号灯工作状态、监控在线情况、卡口设备抓拍情况、违章抓拍等情况开展巡检发现问题进行记录，满足考核要求，通知前端维护人员维护。</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重点节点巡检：遇重大活动、重大节假日、恶劣天气和其他紧急情况，采购人要求进行巡检的，需安排巡检。</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巡检发现本项目重要设备或整个系统存在运行问题的，需立即整改，且做好记录。</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b/>
                <w:bCs/>
                <w:color w:val="000000" w:themeColor="text1"/>
                <w:spacing w:val="-2"/>
                <w:highlight w:val="none"/>
                <w14:textFill>
                  <w14:solidFill>
                    <w14:schemeClr w14:val="tx1"/>
                  </w14:solidFill>
                </w14:textFill>
              </w:rPr>
              <w:t xml:space="preserve">注：以上要求请投标人提供承诺书并加盖公章，上传至投标系统。</w:t>
            </w:r>
            <w:r/>
          </w:p>
        </w:tc>
      </w:tr>
    </w:tbl>
    <w:p>
      <w:pPr>
        <w:pStyle w:val="714"/>
        <w:ind w:left="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0"/>
        <w:ind w:left="220" w:firstLine="472"/>
        <w:spacing w:before="29" w:after="18"/>
        <w:tabs>
          <w:tab w:val="left" w:pos="1033" w:leader="none"/>
        </w:tabs>
        <w:rPr>
          <w:b/>
          <w:color w:val="000000" w:themeColor="text1"/>
          <w:sz w:val="31"/>
          <w:highlight w:val="none"/>
          <w14:textFill>
            <w14:solidFill>
              <w14:schemeClr w14:val="tx1"/>
            </w14:solidFill>
          </w14:textFill>
        </w:rPr>
      </w:pPr>
      <w:r>
        <w:rPr>
          <w:color w:val="000000" w:themeColor="text1"/>
          <w:spacing w:val="-2"/>
          <w:highlight w:val="none"/>
          <w:lang w:eastAsia="zh-CN"/>
          <w14:textFill>
            <w14:solidFill>
              <w14:schemeClr w14:val="tx1"/>
            </w14:solidFill>
          </w14:textFill>
        </w:rPr>
        <w:t xml:space="preserve">★2</w:t>
      </w:r>
      <w:r>
        <w:rPr>
          <w:rFonts w:hint="eastAsia" w:ascii="宋体" w:hAnsi="宋体" w:cs="宋体"/>
          <w:b/>
          <w:color w:val="000000" w:themeColor="text1"/>
          <w:highlight w:val="none"/>
          <w:lang w:eastAsia="zh-CN" w:bidi="ar-SA"/>
          <w14:textFill>
            <w14:solidFill>
              <w14:schemeClr w14:val="tx1"/>
            </w14:solidFill>
          </w14:textFill>
        </w:rPr>
        <w:t xml:space="preserve">、服务</w:t>
      </w:r>
      <w:r/>
    </w:p>
    <w:tbl>
      <w:tblPr>
        <w:tblStyle w:val="713"/>
        <w:tblW w:w="9902" w:type="dxa"/>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11"/>
        <w:gridCol w:w="1516"/>
        <w:gridCol w:w="7775"/>
      </w:tblGrid>
      <w:tr>
        <w:trPr>
          <w:trHeight w:val="510"/>
        </w:trPr>
        <w:tc>
          <w:tcPr>
            <w:tcW w:w="611" w:type="dxa"/>
            <w:vAlign w:val="top"/>
            <w:textDirection w:val="lrTb"/>
            <w:noWrap w:val="false"/>
          </w:tcPr>
          <w:p>
            <w:pPr>
              <w:pStyle w:val="1012"/>
              <w:jc w:val="center"/>
              <w:spacing w:line="320" w:lineRule="exact"/>
              <w:rPr>
                <w:b/>
                <w:bCs/>
                <w:color w:val="000000" w:themeColor="text1"/>
                <w:spacing w:val="-3"/>
                <w:highlight w:val="none"/>
                <w14:textFill>
                  <w14:solidFill>
                    <w14:schemeClr w14:val="tx1"/>
                  </w14:solidFill>
                </w14:textFill>
              </w:rPr>
            </w:pPr>
            <w:r>
              <w:rPr>
                <w:rFonts w:hint="eastAsia"/>
                <w:b/>
                <w:bCs/>
                <w:color w:val="000000" w:themeColor="text1"/>
                <w:spacing w:val="-3"/>
                <w:highlight w:val="none"/>
                <w:lang w:eastAsia="zh-CN"/>
                <w14:textFill>
                  <w14:solidFill>
                    <w14:schemeClr w14:val="tx1"/>
                  </w14:solidFill>
                </w14:textFill>
              </w:rPr>
              <w:t xml:space="preserve">序号</w:t>
            </w:r>
            <w:r/>
          </w:p>
        </w:tc>
        <w:tc>
          <w:tcPr>
            <w:tcW w:w="1516" w:type="dxa"/>
            <w:vAlign w:val="top"/>
            <w:textDirection w:val="lrTb"/>
            <w:noWrap w:val="false"/>
          </w:tcPr>
          <w:p>
            <w:pPr>
              <w:pStyle w:val="1012"/>
              <w:jc w:val="center"/>
              <w:spacing w:line="320" w:lineRule="exact"/>
              <w:rPr>
                <w:b/>
                <w:bCs/>
                <w:color w:val="000000" w:themeColor="text1"/>
                <w:spacing w:val="-3"/>
                <w:highlight w:val="none"/>
                <w14:textFill>
                  <w14:solidFill>
                    <w14:schemeClr w14:val="tx1"/>
                  </w14:solidFill>
                </w14:textFill>
              </w:rPr>
            </w:pPr>
            <w:r>
              <w:rPr>
                <w:rFonts w:hint="eastAsia"/>
                <w:b/>
                <w:bCs/>
                <w:color w:val="000000" w:themeColor="text1"/>
                <w:spacing w:val="-3"/>
                <w:highlight w:val="none"/>
                <w:lang w:eastAsia="zh-CN"/>
                <w14:textFill>
                  <w14:solidFill>
                    <w14:schemeClr w14:val="tx1"/>
                  </w14:solidFill>
                </w14:textFill>
              </w:rPr>
              <w:t xml:space="preserve">名称</w:t>
            </w:r>
            <w:r/>
          </w:p>
        </w:tc>
        <w:tc>
          <w:tcPr>
            <w:tcW w:w="7775" w:type="dxa"/>
            <w:vAlign w:val="top"/>
            <w:textDirection w:val="lrTb"/>
            <w:noWrap w:val="false"/>
          </w:tcPr>
          <w:p>
            <w:pPr>
              <w:pStyle w:val="1012"/>
              <w:jc w:val="center"/>
              <w:spacing w:line="320" w:lineRule="exact"/>
              <w:rPr>
                <w:b/>
                <w:bCs/>
                <w:color w:val="000000" w:themeColor="text1"/>
                <w:spacing w:val="-3"/>
                <w:highlight w:val="none"/>
                <w14:textFill>
                  <w14:solidFill>
                    <w14:schemeClr w14:val="tx1"/>
                  </w14:solidFill>
                </w14:textFill>
              </w:rPr>
            </w:pPr>
            <w:r>
              <w:rPr>
                <w:rFonts w:hint="eastAsia"/>
                <w:b/>
                <w:bCs/>
                <w:color w:val="000000" w:themeColor="text1"/>
                <w:spacing w:val="-3"/>
                <w:highlight w:val="none"/>
                <w:lang w:eastAsia="zh-CN"/>
                <w14:textFill>
                  <w14:solidFill>
                    <w14:schemeClr w14:val="tx1"/>
                  </w14:solidFill>
                </w14:textFill>
              </w:rPr>
              <w:t xml:space="preserve">采购要求</w:t>
            </w:r>
            <w:r/>
          </w:p>
        </w:tc>
      </w:tr>
      <w:tr>
        <w:trPr>
          <w:trHeight w:val="797"/>
        </w:trPr>
        <w:tc>
          <w:tcPr>
            <w:tcW w:w="611" w:type="dxa"/>
            <w:vAlign w:val="center"/>
            <w:textDirection w:val="lrTb"/>
            <w:noWrap w:val="false"/>
          </w:tcPr>
          <w:p>
            <w:pPr>
              <w:pStyle w:val="1012"/>
              <w:jc w:val="center"/>
              <w:spacing w:line="320" w:lineRule="exact"/>
              <w:rPr>
                <w:color w:val="000000" w:themeColor="text1"/>
                <w:spacing w:val="-5"/>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2.1</w:t>
            </w:r>
            <w:r/>
          </w:p>
        </w:tc>
        <w:tc>
          <w:tcPr>
            <w:tcW w:w="1516" w:type="dxa"/>
            <w:vAlign w:val="center"/>
            <w:textDirection w:val="lrTb"/>
            <w:noWrap w:val="false"/>
          </w:tcPr>
          <w:p>
            <w:pPr>
              <w:pStyle w:val="1007"/>
              <w:ind w:left="143" w:right="106" w:hanging="1"/>
              <w:jc w:val="center"/>
              <w:spacing w:before="90" w:line="242"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拟投入本项目的人员</w:t>
            </w:r>
            <w:r/>
          </w:p>
        </w:tc>
        <w:tc>
          <w:tcPr>
            <w:tcW w:w="7775" w:type="dxa"/>
            <w:vAlign w:val="top"/>
            <w:textDirection w:val="lrTb"/>
            <w:noWrap w:val="false"/>
          </w:tcPr>
          <w:p>
            <w:pPr>
              <w:jc w:val="left"/>
              <w:widowControl/>
              <w:rPr>
                <w:rFonts w:ascii="宋体" w:hAnsi="宋体" w:cs="宋体"/>
                <w:color w:val="000000" w:themeColor="text1"/>
                <w:spacing w:val="-2"/>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1、</w:t>
            </w:r>
            <w:r>
              <w:rPr>
                <w:color w:val="000000" w:themeColor="text1"/>
                <w:spacing w:val="-2"/>
                <w:highlight w:val="none"/>
                <w14:textFill>
                  <w14:solidFill>
                    <w14:schemeClr w14:val="tx1"/>
                  </w14:solidFill>
                </w14:textFill>
              </w:rPr>
              <w:t xml:space="preserve">项目</w:t>
            </w:r>
            <w:r>
              <w:rPr>
                <w:rFonts w:hint="eastAsia" w:ascii="宋体" w:hAnsi="宋体" w:cs="宋体"/>
                <w:color w:val="000000" w:themeColor="text1"/>
                <w:spacing w:val="-2"/>
                <w:highlight w:val="none"/>
                <w14:textFill>
                  <w14:solidFill>
                    <w14:schemeClr w14:val="tx1"/>
                  </w14:solidFill>
                </w14:textFill>
              </w:rPr>
              <w:t xml:space="preserve">经理1名；</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2、项目组至少有17名维修服务人员（含项目经理），其中4名驻场，其他人员前端维护。</w:t>
            </w:r>
            <w:r/>
          </w:p>
        </w:tc>
      </w:tr>
      <w:tr>
        <w:trPr>
          <w:trHeight w:val="510"/>
        </w:trPr>
        <w:tc>
          <w:tcPr>
            <w:tcW w:w="611" w:type="dxa"/>
            <w:vAlign w:val="center"/>
            <w:textDirection w:val="lrTb"/>
            <w:noWrap w:val="false"/>
          </w:tcPr>
          <w:p>
            <w:pPr>
              <w:pStyle w:val="1012"/>
              <w:jc w:val="center"/>
              <w:spacing w:line="320" w:lineRule="exact"/>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2.2</w:t>
            </w:r>
            <w:r/>
          </w:p>
        </w:tc>
        <w:tc>
          <w:tcPr>
            <w:tcW w:w="1516" w:type="dxa"/>
            <w:vAlign w:val="center"/>
            <w:textDirection w:val="lrTb"/>
            <w:noWrap w:val="false"/>
          </w:tcPr>
          <w:p>
            <w:pPr>
              <w:pStyle w:val="1007"/>
              <w:ind w:left="143" w:right="106" w:hanging="1"/>
              <w:jc w:val="center"/>
              <w:spacing w:before="90" w:line="242" w:lineRule="auto"/>
              <w:rPr>
                <w:color w:val="000000" w:themeColor="text1"/>
                <w:spacing w:val="-2"/>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故障处理要求</w:t>
            </w:r>
            <w:r/>
          </w:p>
          <w:p>
            <w:pPr>
              <w:pStyle w:val="1007"/>
              <w:ind w:left="143" w:right="106" w:hanging="1"/>
              <w:jc w:val="center"/>
              <w:spacing w:before="90" w:line="242"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r>
            <w:r/>
          </w:p>
          <w:p>
            <w:pPr>
              <w:pStyle w:val="1007"/>
              <w:ind w:left="143" w:right="106" w:hanging="1"/>
              <w:jc w:val="center"/>
              <w:spacing w:before="90" w:line="242"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r>
            <w:r/>
          </w:p>
        </w:tc>
        <w:tc>
          <w:tcPr>
            <w:tcW w:w="7775" w:type="dxa"/>
            <w:vAlign w:val="top"/>
            <w:textDirection w:val="lrTb"/>
            <w:noWrap w:val="false"/>
          </w:tcPr>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针对监控产生的故障，制定详细的运行维护服务保障方案，及时受理采购人故障报表、电话报修。故障级别定义及解决时间要求如下：</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（1）故障级别Ⅰ级：属于重特大故障，其具体现象为系统崩溃。技术人员到场时间：接报30分钟以内到现场。提出解决方案：到现场后1小时内提交故障解决方案。</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（2）故障级别Ⅱ级：属于严重问题，其具体现象为部分系统发生故障或小面积瘫痪但不影响系统整体运行。技术人员到场时间：接报60分钟以内到现场。提出解决方案：到现场后1小时内提交故障解决方案。</w:t>
            </w:r>
            <w:r/>
          </w:p>
          <w:p>
            <w:pPr>
              <w:jc w:val="left"/>
              <w:widowControl/>
              <w:rPr>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3）故障级别Ⅲ级：属于普通问题，其具体现象为前端监控点单个摄像机故障、前端监控点传输设备或线路故障。技术人员到场时间：接报4小时内到现场。提出解决方案：即时提交或到现场后1小时内提交解决方案。</w:t>
            </w:r>
            <w:r/>
          </w:p>
        </w:tc>
      </w:tr>
      <w:tr>
        <w:trPr>
          <w:trHeight w:val="510"/>
        </w:trPr>
        <w:tc>
          <w:tcPr>
            <w:tcW w:w="611" w:type="dxa"/>
            <w:vAlign w:val="center"/>
            <w:textDirection w:val="lrTb"/>
            <w:noWrap w:val="false"/>
          </w:tcPr>
          <w:p>
            <w:pPr>
              <w:pStyle w:val="1012"/>
              <w:jc w:val="center"/>
              <w:spacing w:line="320" w:lineRule="exact"/>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2.3</w:t>
            </w:r>
            <w:r/>
          </w:p>
        </w:tc>
        <w:tc>
          <w:tcPr>
            <w:tcW w:w="1516" w:type="dxa"/>
            <w:vAlign w:val="center"/>
            <w:textDirection w:val="lrTb"/>
            <w:noWrap w:val="false"/>
          </w:tcPr>
          <w:p>
            <w:pPr>
              <w:jc w:val="center"/>
              <w:widowControl/>
              <w:rPr>
                <w:color w:val="000000" w:themeColor="text1"/>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考核要求</w:t>
            </w:r>
            <w:r/>
          </w:p>
          <w:p>
            <w:pPr>
              <w:pStyle w:val="1007"/>
              <w:ind w:left="143" w:right="106" w:hanging="1"/>
              <w:jc w:val="center"/>
              <w:spacing w:before="90" w:line="242"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r>
            <w:r/>
          </w:p>
        </w:tc>
        <w:tc>
          <w:tcPr>
            <w:tcW w:w="7775" w:type="dxa"/>
            <w:vAlign w:val="top"/>
            <w:textDirection w:val="lrTb"/>
            <w:noWrap w:val="false"/>
          </w:tcPr>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1、前端摄像机完好率：对系统中前端监控摄像机完好情况进行考核。前端摄像</w:t>
            </w:r>
            <w:r>
              <w:rPr>
                <w:rFonts w:hint="eastAsia" w:ascii="宋体" w:hAnsi="宋体" w:cs="宋体"/>
                <w:color w:val="000000" w:themeColor="text1"/>
                <w:spacing w:val="-2"/>
                <w:highlight w:val="none"/>
                <w14:textFill>
                  <w14:solidFill>
                    <w14:schemeClr w14:val="tx1"/>
                  </w14:solidFill>
                </w14:textFill>
              </w:rPr>
              <w:t xml:space="preserve">机完好的标准：摄像机在平台显示为在线，视频能实时显示无卡顿。前端摄像机完好率=（摄像机完好总数／摄像机维护总数）×100%。所有视频监控、电子警察、卡口、球机、测速等设备完好率连续三天低于98%高于96%或单个摄像头无故3天不在线，扣1000元，每超1日增扣1000元，以此类推；连续三天低于96%或单个摄像头无故4天不在线，扣2000元，每超1日增扣2000元，以此类推；无法达到采购目的的，采购人有权根据需求聘请其他人员开展维护，所产生的维护费从维护费中支付；连续10天完好率低于96%，采购人有权解除合同。</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2、图像画面字符叠加标注：对系统前端监控摄像机字符叠加标注情况进行考核。</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图像画面字符叠加标注标准：符合公安部GAT751-2008标准及省厅、市局相关规范要求，时钟标识准确（与市局授时服务器时钟误差不超过3秒）。字符标注准确率=（符合图像画面字符叠加标注标准的摄像机总数/摄像机入网总数）×100%。（保留到小数点后两位）考核方式：每月考核，每月20日通过平台检查一遍所有入网摄像机的图像画面字符叠加标注情况作为每月的考核依据每月字符标注准确率低于99.5%，扣1000元；低于99%扣2000元。</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3、存储考核</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存储正常标准：视频图像实时在线存储且存储时间不少于30天。图像在线存储率：图像在线存储率=（在线且能正常调取存储录像的摄像机数／摄像机总数）×100%。（保留到小数点后两位）考核方式：每月考核，每月20日通过平台检查一遍所有入网摄像机的在线存储情况作为每月的考核数据。每月图像在线存储率低于98%，扣1000元；低于95%扣2000元。</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4、图像存储时间达标率</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图像存储时间达标率=（图像存储时间不少于30天的摄像机数／入网摄像机总数）×100%。（保留到小数点后两位）考核方式：每月考核，每月20日通过平台检查一遍所有入网摄像机的存储时间是否达标作为考核依据。95%≤每月图像存储时间达标率＜98%，扣1000元；每月图像存储时间达标率＜95%，扣2000元。</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5、电警数据考核：高速公路卡口每天连续无过车数据不超过4小时，其他道路卡口每天连续无过车数据不超过8小时视为当天设备达标；每月内运行稳定天数不低于90%，视为本月该设备达标。卡口传输数据延时在1分钟内的比例不低于90%算当天上传及时，每个月内上传及时天数不低于90%，视为卡口上传及时达标。号牌号码识别准确率，准确率达到90%以上的视为达标。上述考核项每低于达标1%的，扣500元。</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6、系统后台考核：按采购人需求及时完善、配置系统参数、系统管理日志、用户管理数据、视频和报警数据定期备份、恢复和维护，平台软件、硬件设备升级包及时更新。以无法登录系统平台或登录后无法打开和下载视频次数作为故障数来计算系统后台故障并进行考核。系统后台故障及时上报采购人并按时修复的，不作为实质故障；故障一次扣1000元。</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7、运维保障响应考核：每月根据日常及突发情况运维保障响应情况进行考核，主要根据第3.2故障响应要求统计故障维护响应及时情况。每月发生Ⅰ、Ⅱ级故障未按第3.2要求及时响应的，未及时响应1次扣1000元，Ⅰ、Ⅱ级故障响应时间每超2小时加扣2000元。</w:t>
            </w:r>
            <w:r/>
          </w:p>
          <w:p>
            <w:pPr>
              <w:jc w:val="left"/>
              <w:widowControl/>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8、其他情况：采购人各类大型活动、重大案事件保障工作中不能正常调取图像（无图像、云台及镜头不能控制、图像不清晰、无存储等）的，每路图像每次扣500元，每月最多扣2000元。</w:t>
            </w:r>
            <w:r/>
          </w:p>
          <w:p>
            <w:pPr>
              <w:jc w:val="left"/>
              <w:widowControl/>
              <w:rPr>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9</w:t>
            </w:r>
            <w:r>
              <w:rPr>
                <w:rFonts w:hint="eastAsia" w:ascii="宋体" w:hAnsi="宋体" w:cs="宋体"/>
                <w:color w:val="000000" w:themeColor="text1"/>
                <w:spacing w:val="-2"/>
                <w:highlight w:val="none"/>
                <w:lang w:val="en-GB"/>
                <w14:textFill>
                  <w14:solidFill>
                    <w14:schemeClr w14:val="tx1"/>
                  </w14:solidFill>
                </w14:textFill>
              </w:rPr>
              <w:t xml:space="preserve">、</w:t>
            </w:r>
            <w:r>
              <w:rPr>
                <w:rFonts w:hint="eastAsia" w:ascii="宋体" w:hAnsi="宋体" w:cs="宋体"/>
                <w:color w:val="000000" w:themeColor="text1"/>
                <w:spacing w:val="-2"/>
                <w:highlight w:val="none"/>
                <w14:textFill>
                  <w14:solidFill>
                    <w14:schemeClr w14:val="tx1"/>
                  </w14:solidFill>
                </w14:textFill>
              </w:rPr>
              <w:t xml:space="preserve">连续2个月考核被扣10000元的，采购人有权终止合同并拒付当期维护费用，纳入南京市公安局视频图像维护黑名单。</w:t>
            </w:r>
            <w:r/>
          </w:p>
        </w:tc>
      </w:tr>
    </w:tbl>
    <w:p>
      <w:pPr>
        <w:ind w:firstLine="412"/>
        <w:spacing w:line="252" w:lineRule="auto"/>
        <w:rPr>
          <w:rFonts w:ascii="宋体" w:hAnsi="宋体" w:cs="宋体"/>
          <w:b/>
          <w:color w:val="000000" w:themeColor="text1"/>
          <w:sz w:val="24"/>
          <w:szCs w:val="24"/>
          <w:highlight w:val="none"/>
          <w14:textFill>
            <w14:solidFill>
              <w14:schemeClr w14:val="tx1"/>
            </w14:solidFill>
          </w14:textFill>
        </w:rPr>
      </w:pPr>
      <w:r>
        <w:rPr>
          <w:color w:val="000000" w:themeColor="text1"/>
          <w:spacing w:val="-2"/>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3、其他说明</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1）采购人不组织现场踏勘，投标人投标前应对各类设备运行情况及现场进行踏勘，在集中答疑期间，提交保密协议，获取维护的点位信息，勘探机房等。</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2）中标供应商应切实加强安全教育、安全检查、安全管理，对服务期发生的安全事故及造成自身或第三方损失伤亡的，均由中标供应商自行承担。</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期内对损坏无法修复的或无修复价值的相关设备，经采购人同意，可从备品备件中进行更换。对本年度内未使用完的备品备件，采购人可根据需求通知中标供应商对性能不佳、故障频繁的老旧设备进行更换。</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4）服务期内，采购人对涉及所有设备的杆件、电源、交换机、数据传输设备、防雷设备、支架及各类线缆等其他配套、辅助设施的维修、更换（含土建部分）以及各类施工审批均不另行支付费用。</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5）维护服务期内，中标供应商应积极配合采购人，例如违法曝光照片的采集、公示，测速设备的检测、标定等涉及维护范围内设备的其他工作。</w:t>
      </w:r>
      <w:r/>
    </w:p>
    <w:p>
      <w:pPr>
        <w:ind w:firstLine="480"/>
        <w:spacing w:line="252"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中标后，签订合同前需提供所采购设备原厂质保承诺书加盖厂商公章，</w:t>
      </w:r>
      <w:r>
        <w:rPr>
          <w:rFonts w:hint="eastAsia" w:ascii="宋体" w:hAnsi="宋体" w:cs="宋体"/>
          <w:color w:val="000000" w:themeColor="text1"/>
          <w:sz w:val="24"/>
          <w:szCs w:val="24"/>
          <w:highlight w:val="none"/>
          <w14:textFill>
            <w14:solidFill>
              <w14:schemeClr w14:val="tx1"/>
            </w14:solidFill>
          </w14:textFill>
        </w:rPr>
        <w:t xml:space="preserve">招标文件参数中有明确质保期的，以招标参数为准；未明确的，质保3年</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7）采购人根据实际工作需求，对零星点位和设备迁移，迁移所需线缆、穿线管等材料，从备品备件库中领用。</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中标供应商至少保证1辆可正常工作的高空作业车始终在六合辖区（高空作业车检修保养的，需提供替代高空作业车），并配备项目所需的充足高空作业车，在现有高空作业车无法及时支持所有登高服务的，应随时增加高空作业车，满足相应要求。每发现一次无高空作业车可用的扣2000元。</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9）确认设备损坏的，备品备件库中有的，从备品备件库中领用更换；备品备件库中没有该种类的，且采购单价超过1000元的，从其他未列出设备更换费中支付；单价未超1000元的，由中标供应商自行采购更换。</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主线缆（电源线、光缆、光纤）从备品备件库中领用更换。主线缆是指从接电点至落地箱的线缆；没有落地机箱，仅有抱杆箱的，主线缆是指接入抱杆箱的线缆；非主线缆均由中标供应商进行更换，且更换的线缆是国标、不低于原规格。</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11）根据工作需要，临时布设监控点位，所需材料、设备从备品备件库中领用，除维护费的其他费用从其他未列出设备更换费中支付。</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12）其他未列出设备更换费主要用来支付飞线整治、投诉整改、安全隐患整改、上级交办、用于对接的定制程序、漏洞升级及其它未列入事项且备品备件库中没有的配件费。</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13）维护的前端设备（球机、卡口、测速等）费用中包含路口中智能终端设备维护费用，不另行报价。</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14）UPS整机质保维护，在发生故障后，专业维修人员须在</w:t>
      </w: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小时赶到现场开展维护，每个季度开展整机检查，如无法履约单次扣减1</w:t>
      </w:r>
      <w:r>
        <w:rPr>
          <w:rFonts w:ascii="宋体" w:hAnsi="宋体" w:cs="宋体"/>
          <w:color w:val="000000" w:themeColor="text1"/>
          <w:sz w:val="24"/>
          <w:szCs w:val="24"/>
          <w:highlight w:val="none"/>
          <w14:textFill>
            <w14:solidFill>
              <w14:schemeClr w14:val="tx1"/>
            </w14:solidFill>
          </w14:textFill>
        </w:rPr>
        <w:t xml:space="preserve">0000</w:t>
      </w:r>
      <w:r>
        <w:rPr>
          <w:rFonts w:hint="eastAsia" w:ascii="宋体" w:hAnsi="宋体" w:cs="宋体"/>
          <w:color w:val="000000" w:themeColor="text1"/>
          <w:sz w:val="24"/>
          <w:szCs w:val="24"/>
          <w:highlight w:val="none"/>
          <w14:textFill>
            <w14:solidFill>
              <w14:schemeClr w14:val="tx1"/>
            </w14:solidFill>
          </w14:textFill>
        </w:rPr>
        <w:t xml:space="preserve">元。</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15）机房空调维护，每个月开展一次整体检修，在第一年的维护期内需要更换一次滤网和过滤水壶。在发生故障后，专业维修人员须在2小时赶到现场开展维护，如无法履约单次扣减1</w:t>
      </w:r>
      <w:r>
        <w:rPr>
          <w:rFonts w:ascii="宋体" w:hAnsi="宋体" w:cs="宋体"/>
          <w:color w:val="000000" w:themeColor="text1"/>
          <w:sz w:val="24"/>
          <w:szCs w:val="24"/>
          <w:highlight w:val="none"/>
          <w14:textFill>
            <w14:solidFill>
              <w14:schemeClr w14:val="tx1"/>
            </w14:solidFill>
          </w14:textFill>
        </w:rPr>
        <w:t xml:space="preserve">0000</w:t>
      </w:r>
      <w:r>
        <w:rPr>
          <w:rFonts w:hint="eastAsia" w:ascii="宋体" w:hAnsi="宋体" w:cs="宋体"/>
          <w:color w:val="000000" w:themeColor="text1"/>
          <w:sz w:val="24"/>
          <w:szCs w:val="24"/>
          <w:highlight w:val="none"/>
          <w14:textFill>
            <w14:solidFill>
              <w14:schemeClr w14:val="tx1"/>
            </w14:solidFill>
          </w14:textFill>
        </w:rPr>
        <w:t xml:space="preserve">元。</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系统平台维护：包含整理平台数据库，升级平台漏洞，与其他系统平台的对接、现场服务等保证平台正常运转的一切费用。硬件配件故障，采购的硬件配件费用从其他未列出设备更换费中支付。系统平台原厂现场服务不少于1</w:t>
      </w: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次/年。</w:t>
      </w:r>
      <w:r/>
    </w:p>
    <w:p>
      <w:pPr>
        <w:ind w:firstLine="480"/>
        <w:spacing w:line="252" w:lineRule="auto"/>
        <w:rPr>
          <w:rFonts w:hint="eastAsia" w:ascii="宋体" w:hAnsi="宋体" w:cs="宋体"/>
          <w:sz w:val="24"/>
          <w:szCs w:val="24"/>
        </w:rPr>
      </w:pPr>
      <w:r>
        <w:rPr>
          <w:rFonts w:hint="eastAsia" w:ascii="宋体" w:hAnsi="宋体" w:cs="宋体"/>
          <w:color w:val="000000" w:themeColor="text1"/>
          <w:sz w:val="24"/>
          <w:szCs w:val="24"/>
          <w:highlight w:val="none"/>
          <w14:textFill>
            <w14:solidFill>
              <w14:schemeClr w14:val="tx1"/>
            </w14:solidFill>
          </w14:textFill>
        </w:rPr>
        <w:t xml:space="preserve">17</w:t>
      </w:r>
      <w:r>
        <w:rPr>
          <w:rFonts w:hint="eastAsia" w:ascii="宋体" w:hAnsi="宋体" w:cs="宋体"/>
          <w:color w:val="000000" w:themeColor="text1"/>
          <w:sz w:val="24"/>
          <w:szCs w:val="24"/>
          <w:highlight w:val="none"/>
          <w:lang w:val="en-GB"/>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信号机维护：信号机的主控板、灯驱板、转接板、</w:t>
      </w:r>
      <w:r>
        <w:rPr>
          <w:rFonts w:hint="eastAsia" w:ascii="宋体" w:hAnsi="宋体" w:cs="宋体"/>
          <w:sz w:val="24"/>
          <w:szCs w:val="24"/>
        </w:rPr>
        <w:t xml:space="preserve">电源板损坏，返厂维修，报价时考虑邮寄费，其他损坏配件低于1000元的，由中标供应商支付，超过1000元的，从其他未列出设备更换费中支付。</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18）机房配件更换，机房内的所有配件损坏或因工作需要而更换或升级设备，从其他未列出设备更换费中支付。</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19）所投的备品备件，无法更换现有的损坏部件，在不加价格的情况下，更换成不低于同档次的、满足更换要求的备品备件。</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20）线缆更换：需将原有线缆拆除，确认管道无法穿线的，报经采购人同意，按照横平竖直方式架空拉线。</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21）每个点位维护时间以实际维护时间为准。</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22）根据备品备件库存量，按实际需求采购，季度结算。</w:t>
      </w:r>
      <w:r/>
    </w:p>
    <w:p>
      <w:pPr>
        <w:ind w:firstLine="480"/>
        <w:spacing w:line="252" w:lineRule="auto"/>
        <w:rPr>
          <w:rFonts w:ascii="宋体" w:hAnsi="宋体" w:cs="宋体"/>
          <w:sz w:val="24"/>
          <w:szCs w:val="24"/>
        </w:rPr>
      </w:pPr>
      <w:r>
        <w:rPr>
          <w:rFonts w:hint="eastAsia" w:ascii="宋体" w:hAnsi="宋体" w:cs="宋体"/>
          <w:sz w:val="24"/>
          <w:szCs w:val="24"/>
        </w:rPr>
        <w:t xml:space="preserve">23）大屏维护中，损坏的配件低于1000元的，由中标供应商支付，超过1000元的，从其他未列出设备更换费中支付。</w:t>
      </w:r>
      <w:r/>
    </w:p>
    <w:p>
      <w:pPr>
        <w:ind w:firstLine="480"/>
        <w:spacing w:line="252" w:lineRule="auto"/>
        <w:rPr>
          <w:rFonts w:hint="eastAsia" w:ascii="宋体" w:hAnsi="宋体" w:eastAsia="宋体" w:cs="宋体"/>
          <w:sz w:val="24"/>
          <w:szCs w:val="24"/>
        </w:rPr>
      </w:pPr>
      <w:r>
        <w:rPr>
          <w:rFonts w:hint="eastAsia" w:ascii="宋体" w:hAnsi="宋体" w:eastAsia="宋体" w:cs="宋体"/>
          <w:sz w:val="24"/>
          <w:szCs w:val="24"/>
        </w:rPr>
        <w:t xml:space="preserve">24）分项报价表中备注国产优质的，在采购时可根据实际故障部件更换对应的备件。</w:t>
      </w:r>
      <w:r/>
    </w:p>
    <w:p>
      <w:pPr>
        <w:ind w:firstLine="480"/>
        <w:spacing w:line="252" w:lineRule="auto"/>
        <w:rPr>
          <w:rFonts w:hint="eastAsia" w:ascii="宋体" w:hAnsi="宋体" w:eastAsia="宋体" w:cs="宋体"/>
          <w:sz w:val="24"/>
          <w:szCs w:val="24"/>
        </w:rPr>
      </w:pPr>
      <w:r>
        <w:rPr>
          <w:rFonts w:hint="eastAsia" w:ascii="宋体" w:hAnsi="宋体" w:eastAsia="宋体" w:cs="宋体"/>
          <w:sz w:val="24"/>
          <w:szCs w:val="24"/>
        </w:rPr>
        <w:t xml:space="preserve">25）除备品备件分项报价表中备注中标注为国产优质的，投标时其他的必须报品牌。</w:t>
      </w:r>
      <w:r/>
    </w:p>
    <w:p>
      <w:pPr>
        <w:ind w:firstLine="480"/>
        <w:spacing w:line="252"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26）在投标时，各类检测报告</w:t>
      </w:r>
      <w:r>
        <w:rPr>
          <w:rFonts w:hint="eastAsia" w:ascii="宋体" w:hAnsi="宋体" w:eastAsia="宋体" w:cs="宋体"/>
          <w:sz w:val="24"/>
          <w:szCs w:val="24"/>
        </w:rPr>
        <w:t xml:space="preserve">、证书、截图等证明材料</w:t>
      </w:r>
      <w:r>
        <w:rPr>
          <w:rFonts w:hint="eastAsia" w:ascii="宋体" w:hAnsi="宋体" w:eastAsia="宋体" w:cs="宋体"/>
          <w:sz w:val="24"/>
          <w:szCs w:val="24"/>
          <w:lang w:val="en-US"/>
        </w:rPr>
        <w:t xml:space="preserve">可以不加盖原厂公章，但需提供投标人的承诺书，承诺签订合同前提供加盖原厂公章的检测报告</w:t>
      </w:r>
      <w:r>
        <w:rPr>
          <w:rFonts w:hint="eastAsia" w:ascii="宋体" w:hAnsi="宋体" w:eastAsia="宋体" w:cs="宋体"/>
          <w:sz w:val="24"/>
          <w:szCs w:val="24"/>
        </w:rPr>
        <w:t xml:space="preserve">、证书、截图等证明材料</w:t>
      </w:r>
      <w:r>
        <w:rPr>
          <w:rFonts w:hint="eastAsia" w:ascii="宋体" w:hAnsi="宋体" w:eastAsia="宋体" w:cs="宋体"/>
          <w:sz w:val="24"/>
          <w:szCs w:val="24"/>
          <w:lang w:val="en-US"/>
        </w:rPr>
        <w:t xml:space="preserve">。</w:t>
      </w:r>
      <w:r/>
    </w:p>
    <w:p>
      <w:pPr>
        <w:ind w:firstLine="480"/>
        <w:spacing w:line="252" w:lineRule="auto"/>
        <w:rPr>
          <w:rFonts w:hint="eastAsia" w:ascii="宋体" w:hAnsi="宋体" w:eastAsia="宋体" w:cs="宋体"/>
          <w:sz w:val="24"/>
          <w:szCs w:val="24"/>
        </w:rPr>
      </w:pPr>
      <w:r>
        <w:rPr>
          <w:rFonts w:hint="eastAsia" w:ascii="宋体" w:hAnsi="宋体" w:eastAsia="宋体" w:cs="宋体"/>
          <w:sz w:val="24"/>
          <w:szCs w:val="24"/>
        </w:rPr>
        <w:t xml:space="preserve">27）至少提供3台发电机，在信号灯断电时，首选发电机供电，油费分摊在项目中；至少提供3台临时信号灯（信号灯故障，可以放临时信号灯路口），至少提供12个便携式警示灯（信号灯故障时，无法用发电机和临时信号灯，在路边放便携式警示灯）。</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28）提供不少于100平方米的场地，用于临时存放杆件、旧设备等，并将上期的废旧设备托运至新场地保存。</w:t>
      </w:r>
      <w:r/>
    </w:p>
    <w:p>
      <w:pPr>
        <w:ind w:firstLine="480"/>
        <w:spacing w:line="252" w:lineRule="auto"/>
        <w:rPr>
          <w:rFonts w:ascii="宋体" w:hAnsi="宋体" w:cs="宋体"/>
          <w:sz w:val="24"/>
          <w:szCs w:val="24"/>
        </w:rPr>
      </w:pPr>
      <w:r>
        <w:rPr>
          <w:rFonts w:hint="eastAsia" w:ascii="宋体" w:hAnsi="宋体" w:cs="宋体"/>
          <w:sz w:val="24"/>
          <w:szCs w:val="24"/>
        </w:rPr>
        <w:t xml:space="preserve">29）根据采购商的需要，在指定的地点，新增建设监控点位，从备品备件中申领材料，不在备品备件库中的材料，从其他未列出设备更换费中支付。</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30）建筑工程一切险、第三方责任险由中标供应商投保，投保的范围和条件应符合招标文件及国家有关规定，保险费由中标供应商承担并支付，其中第三者责任限额不低于1000万元，单人单次事故不低于150万元。投标文件中提供承诺书并加盖公章，合同签订后且进场前需提供相关投保证明材料。</w:t>
      </w:r>
      <w:r/>
    </w:p>
    <w:p>
      <w:pPr>
        <w:ind w:firstLine="480"/>
        <w:spacing w:line="264" w:lineRule="auto"/>
        <w:rPr>
          <w:rFonts w:ascii="宋体" w:hAnsi="宋体" w:cs="宋体"/>
          <w:b/>
          <w:color w:val="000000"/>
          <w:sz w:val="24"/>
          <w:szCs w:val="24"/>
        </w:rPr>
      </w:pPr>
      <w:r>
        <w:rPr>
          <w:rFonts w:hint="eastAsia" w:ascii="宋体" w:hAnsi="宋体" w:cs="宋体"/>
          <w:b/>
          <w:color w:val="000000"/>
          <w:sz w:val="24"/>
          <w:szCs w:val="24"/>
        </w:rPr>
        <w:t xml:space="preserve">4、</w:t>
      </w:r>
      <w:r>
        <w:rPr>
          <w:rFonts w:ascii="宋体" w:hAnsi="宋体" w:cs="宋体"/>
          <w:b/>
          <w:color w:val="000000"/>
          <w:sz w:val="24"/>
          <w:szCs w:val="24"/>
        </w:rPr>
        <w:t xml:space="preserve">本项目其他附件</w:t>
      </w:r>
      <w:r/>
    </w:p>
    <w:p>
      <w:pPr>
        <w:ind w:firstLine="480"/>
        <w:spacing w:line="264" w:lineRule="auto"/>
        <w:rPr>
          <w:rFonts w:hint="eastAsia" w:ascii="黑体" w:hAnsi="黑体" w:eastAsia="黑体" w:cs="黑体"/>
          <w:sz w:val="24"/>
          <w:szCs w:val="24"/>
        </w:rPr>
      </w:pPr>
      <w:r>
        <w:rPr>
          <w:rFonts w:hint="eastAsia" w:ascii="宋体" w:hAnsi="宋体" w:cs="宋体"/>
          <w:bCs/>
          <w:color w:val="000000"/>
          <w:sz w:val="24"/>
          <w:szCs w:val="24"/>
        </w:rPr>
        <w:t xml:space="preserve">无</w:t>
      </w:r>
      <w:r/>
    </w:p>
    <w:p>
      <w:pPr>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52" w:lineRule="auto"/>
        <w:rPr>
          <w:rFonts w:ascii="宋体" w:hAnsi="宋体"/>
          <w:color w:val="0000ff"/>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报价要求</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w:t>
      </w:r>
      <w:r>
        <w:rPr>
          <w:rFonts w:hint="eastAsia" w:ascii="宋体" w:hAnsi="宋体" w:cs="宋体"/>
          <w:color w:val="000000" w:themeColor="text1"/>
          <w:sz w:val="24"/>
          <w:szCs w:val="24"/>
          <w:highlight w:val="none"/>
          <w14:textFill>
            <w14:solidFill>
              <w14:schemeClr w14:val="tx1"/>
            </w14:solidFill>
          </w14:textFill>
        </w:rPr>
        <w:t xml:space="preserve">金，以及投标人认为需要的其他费用等。</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（2）投标人的任何错漏、优惠、竞争性报价不得作为减轻责任、减少服务、增加收费、降低服务质量的理由。</w:t>
      </w:r>
      <w:r/>
    </w:p>
    <w:p>
      <w:pPr>
        <w:ind w:firstLine="480"/>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（3）投标人报价除包含招标文件中列明的项目外，还应包括保障服务正常运行应当具有的物资和服务，对服务正常运行应当具有的物资和服务理解不一致的以采购人理解为准。</w:t>
      </w:r>
      <w:r/>
    </w:p>
    <w:p>
      <w:pPr>
        <w:ind w:firstLine="480"/>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2.实施要求</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（1）总体要求</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达到维护要求。</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服务要求</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（1）交通信号灯</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①信号灯及其附属设施的安全性日常检查。包括杆件、电源、线缆、检修井（盖）、灯具等全部配套设施检查与更换。</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②新改扩建道路信号灯（含附属设施）的移交接收，以及目前已有维护单位的信号灯（含附属设施）到期后的后续维护。</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③根据需求及流量变化及时调整信号灯配时，以及重大活动、警卫安保等信号保障。</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④因道路建设需要临时拆除信号灯、电子警察及视频监控设施（含附属设施）及道路建设结束后的恢复（拆除期间应视情况设置临时信号灯）。</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⑤因升级改造需要，提供相关设备的更换、调试服务。</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⑥因交通事故等原因造成的损坏，有赔偿方的由采购人委托中标供应商按照交通事故处理程序进行索赔，无赔偿方的由中标供应商自行恢复，相关设施规格、质量、型号及性能不低于原标准。</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⑦对信号灯进行日常巡查，发现设施损坏的，应及时修复，无法修复需更换相关设备的，中标供应商经采购人同意后，从备品备件清单（备品备件种类见备品备件分项报价表）中予以更换。</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⑧日常巡查包括（包括但不限于）：</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信号灯及杆件、信号机柜的内、外部保洁，小广告、蜘蛛网、树木、杂物遮挡的清除；</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对歪斜灯杆、灯具的校正，松动部件的紧固等；</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信号灯故障的排除（应根据交管部门意见设置发电机、临时信号灯、警示灯），对有维护单位的路口信号灯，中标供应商有义务进行日常平台巡查，发现问题的及时通知采购人，由采购人通知原维护单位进行维护。</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⑨线缆坠落、断裂等故障的修复、更换。</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⑩按照采购人要求，对原架空线缆进行下地施工。</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⑪在已有的杆件上零星增补视频监控。</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⑫中标供应商应对日常各项巡查、修复、更换设备等工作统一台账，并每季度报采购人备案。</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GB"/>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电子警察、视频监控等设备</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①相关设备安全性日常检查，包括但不限于杆件、电源、线缆、检修井（盖）、设备紧固件、空挂机箱等全部配备设施检查与更换。</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②其他单位移交的设备及其附属设施做好移交检查及接收。</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③其他建设需要临时拆除及结束后的恢复，包括采购人需求迁移部分零星监控点位的施工。</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④因升级改造需要，提供相关设备的更换、调试服务等。</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⑤因交通事故等原因造成的损坏，有赔偿方的由采购人委托中标供应商按照交通事故处理程序进行索赔，无赔偿方的由中标供应商自行恢复，相关设施规格、质量、型号及性能不低于原标准。</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⑥对各类设备进行日常巡查，包括但不仅限于设备及杆件的清洁、小广告、树木遮挡的清除。发现设备损坏的，应及时修复，无法修复需更换相关设备的，中标供应商经采购人同意后从备品备件中予以更换。</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⑦对部分未到期维护单位的相关设备，中标供应商有义务进行日常系统巡查，发现设备损坏及时通知采购人，由采购人通知原维护单位进行维护。</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⑧线缆坠落、断裂等故障的修复、更换。</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⑨按照采购人要求，对原架空线缆进行下地施工。</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⑩中标供应商应对日常各项巡查、修复、更换设备等工作统一台账，并每季度报采购人备案。</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GB"/>
          <w14:textFill>
            <w14:solidFill>
              <w14:schemeClr w14:val="tx1"/>
            </w14:solidFill>
          </w14:textFill>
        </w:rPr>
        <w:t xml:space="preserve">⑪</w:t>
      </w:r>
      <w:r>
        <w:rPr>
          <w:rFonts w:hint="eastAsia" w:ascii="宋体" w:hAnsi="宋体" w:cs="宋体"/>
          <w:color w:val="000000" w:themeColor="text1"/>
          <w:sz w:val="24"/>
          <w:szCs w:val="24"/>
          <w:highlight w:val="none"/>
          <w14:textFill>
            <w14:solidFill>
              <w14:schemeClr w14:val="tx1"/>
            </w14:solidFill>
          </w14:textFill>
        </w:rPr>
        <w:t xml:space="preserve">对车辆抓拍、人脸抓拍设备，进行调试，满足抓拍需要。</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（3）网络传输</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标供应商应进行日常网络传输情况的巡查，对发现传输故障的，及时与相应网络租赁公司联系，并协助做好网络传输恢复工作。每个接入点采用租用（EPON、带宽不低于100M）或自建光纤方式（接入就近派出所），确保图像传输流畅，线路故障24小时内恢复。</w:t>
      </w:r>
      <w:r/>
    </w:p>
    <w:p>
      <w:pPr>
        <w:ind w:firstLine="480"/>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人员要求</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项目团队至少有17名维护服务人员，其中4名驻场，13名前端巡检维护。</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4名驻场人员，分别为项目经理、安全员、网络平台维护员、材料管理员，其中项目经理全面负责项目管理、运行</w:t>
      </w:r>
      <w:r>
        <w:rPr>
          <w:rFonts w:hint="eastAsia" w:ascii="宋体" w:hAnsi="宋体" w:cs="宋体"/>
          <w:color w:val="000000" w:themeColor="text1"/>
          <w:sz w:val="24"/>
          <w:szCs w:val="24"/>
          <w:highlight w:val="none"/>
          <w14:textFill>
            <w14:solidFill>
              <w14:schemeClr w14:val="tx1"/>
            </w14:solidFill>
          </w14:textFill>
        </w:rPr>
        <w:t xml:space="preserve">，安全员负责日常安全教育、安全监督、视频监控、信号灯、卡口设备的巡检、人体等抓拍巡检，满足上级机关对视频、卡口数据考核要求；网络平台维护员负责后端网络、平台、设备、维护接入等工作；材料管理员负责视频监控、卡口设备的巡检、人体等抓拍巡检，满足上级机关对视频、卡口数据考核要求；材料管理员主要负责资料管理，维护资料整理、移交项目前期实地检查、平台数据质量通报等工作。投标中承诺从事本项目的工作人员，人员调整需经采购人同意。在维护过程中，发现中标供应商提供的维护人员不能胜任相关工作，采购人有权要求中标供应商更换人员。</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13名维护人员，无需驻场，但应满足故障当日响应，当日修复的要求，无法保障及时完成管养维修任务的（包含大面积故障、恶劣天气影响等情况），需临时增配人员参与维护服务，</w:t>
      </w:r>
      <w:r>
        <w:rPr>
          <w:rFonts w:hint="eastAsia" w:ascii="宋体" w:hAnsi="宋体" w:eastAsia="宋体" w:cs="宋体"/>
          <w:color w:val="000000" w:themeColor="text1"/>
          <w:sz w:val="24"/>
          <w:szCs w:val="24"/>
          <w:highlight w:val="none"/>
          <w14:textFill>
            <w14:solidFill>
              <w14:schemeClr w14:val="tx1"/>
            </w14:solidFill>
          </w14:textFill>
        </w:rPr>
        <w:t xml:space="preserve">所有维护人员需持证上岗。</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参与项目维护的人员临时调整或增加的，需签订保密协议，并向采购人报备。</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（4）维保要求</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1）接到报修通知，原主城区、</w:t>
      </w:r>
      <w:r>
        <w:rPr>
          <w:rFonts w:hint="eastAsia" w:ascii="宋体" w:hAnsi="宋体" w:cs="宋体"/>
          <w:color w:val="000000" w:themeColor="text1"/>
          <w:sz w:val="24"/>
          <w:szCs w:val="24"/>
          <w:highlight w:val="none"/>
          <w14:textFill>
            <w14:solidFill>
              <w14:schemeClr w14:val="tx1"/>
            </w14:solidFill>
          </w14:textFill>
        </w:rPr>
        <w:t xml:space="preserve">新城、开发区范围内信号灯故障的，1小时赶到现场；干线公路、各街镇信号灯故障的，2小时赶到现场；未按规定时间到现场处置的，扣除1000元/处。普通故障的，超过8小时未恢复的；复杂故障的，信号灯故障超过24小时未恢复的，扣除2000元/处。连续72小时未恢复的，采购人可聘用临时服务人员进行维护，产生的一切费用均从维护费中扣除。中标供应商未规范履职造成严重后果的，采购人有权解除合同，并因解除合同，产生的一切费用均从维护费中扣除（以上故障因修路等其他人为破坏的除外，故障排除期间，应根据交管部门意见设置临时信号灯）。</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2）中标供应商至少准备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套临</w:t>
      </w:r>
      <w:r>
        <w:rPr>
          <w:rFonts w:hint="eastAsia" w:ascii="宋体" w:hAnsi="宋体" w:cs="宋体"/>
          <w:color w:val="000000" w:themeColor="text1"/>
          <w:sz w:val="24"/>
          <w:szCs w:val="24"/>
          <w:highlight w:val="none"/>
          <w14:textFill>
            <w14:solidFill>
              <w14:schemeClr w14:val="tx1"/>
            </w14:solidFill>
          </w14:textFill>
        </w:rPr>
        <w:t xml:space="preserve">时信号灯，保持可工作状态，并根据交管部门意见摆放，无法按要求提供的，每次扣3000元。</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3）前端维护：每日至少安排1组人值班（含夜间），根据通知进行维护，1组人无法完成维护任务的，根据维护任务情况增加相应的人员，保证有足够人员能及时进行维护。</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4）后端巡检维护：每日至少安排1名工作人员值守至22时，无法完成维护任务的，根据维护任务情况增加相应的人员，保证有足够人员能及时进行维护。</w:t>
      </w:r>
      <w:r/>
    </w:p>
    <w:p>
      <w:pPr>
        <w:ind w:firstLine="480"/>
        <w:spacing w:line="252"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5）根据上级要求，开展相关的数据整改、设备调试等工作。</w:t>
      </w:r>
      <w:r/>
    </w:p>
    <w:p>
      <w:pPr>
        <w:ind w:firstLine="480"/>
        <w:spacing w:line="252"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付款条件</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以第三章合同文本</w:t>
      </w:r>
      <w:r>
        <w:rPr>
          <w:rFonts w:hint="eastAsia" w:ascii="宋体" w:hAnsi="宋体" w:cs="宋体"/>
          <w:color w:val="000000" w:themeColor="text1"/>
          <w:sz w:val="24"/>
          <w:szCs w:val="24"/>
          <w:highlight w:val="none"/>
          <w14:textFill>
            <w14:solidFill>
              <w14:schemeClr w14:val="tx1"/>
            </w14:solidFill>
          </w14:textFill>
        </w:rPr>
        <w:t xml:space="preserve">内容</w:t>
      </w:r>
      <w:r>
        <w:rPr>
          <w:rFonts w:ascii="宋体" w:hAnsi="宋体" w:cs="宋体"/>
          <w:color w:val="000000" w:themeColor="text1"/>
          <w:sz w:val="24"/>
          <w:szCs w:val="24"/>
          <w:highlight w:val="none"/>
          <w14:textFill>
            <w14:solidFill>
              <w14:schemeClr w14:val="tx1"/>
            </w14:solidFill>
          </w14:textFill>
        </w:rPr>
        <w:t xml:space="preserve">为准。</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ascii="宋体" w:hAnsi="宋体" w:cs="宋体"/>
          <w:color w:val="000000" w:themeColor="text1"/>
          <w:sz w:val="24"/>
          <w:szCs w:val="24"/>
          <w:highlight w:val="none"/>
          <w14:textFill>
            <w14:solidFill>
              <w14:schemeClr w14:val="tx1"/>
            </w14:solidFill>
          </w14:textFill>
        </w:rPr>
        <w:t xml:space="preserve">交付时间及地点</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（1）交付时间：</w:t>
      </w:r>
      <w:r>
        <w:rPr>
          <w:rFonts w:hint="eastAsia" w:ascii="宋体" w:hAnsi="宋体" w:cs="宋体"/>
          <w:color w:val="000000" w:themeColor="text1"/>
          <w:sz w:val="24"/>
          <w:szCs w:val="24"/>
          <w:highlight w:val="none"/>
          <w14:textFill>
            <w14:solidFill>
              <w14:schemeClr w14:val="tx1"/>
            </w14:solidFill>
          </w14:textFill>
        </w:rPr>
        <w:t xml:space="preserve">自</w:t>
      </w:r>
      <w:r>
        <w:rPr>
          <w:rFonts w:hint="eastAsia" w:ascii="宋体" w:hAnsi="宋体"/>
          <w:color w:val="000000" w:themeColor="text1"/>
          <w:sz w:val="24"/>
          <w:szCs w:val="24"/>
          <w:highlight w:val="none"/>
          <w14:textFill>
            <w14:solidFill>
              <w14:schemeClr w14:val="tx1"/>
            </w14:solidFill>
          </w14:textFill>
        </w:rPr>
        <w:t xml:space="preserve">进场维护之日起365天</w:t>
      </w:r>
      <w:r/>
    </w:p>
    <w:p>
      <w:pPr>
        <w:ind w:firstLine="480"/>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（2）交付地点：采购人指定地点</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252"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5.履约保证金</w:t>
      </w:r>
      <w:r/>
    </w:p>
    <w:p>
      <w:pPr>
        <w:ind w:firstLine="480"/>
        <w:spacing w:line="252"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以第三章合同文本</w:t>
      </w:r>
      <w:r>
        <w:rPr>
          <w:rFonts w:hint="eastAsia" w:ascii="宋体" w:hAnsi="宋体" w:cs="宋体"/>
          <w:bCs/>
          <w:color w:val="000000" w:themeColor="text1"/>
          <w:sz w:val="24"/>
          <w:szCs w:val="24"/>
          <w:highlight w:val="none"/>
          <w14:textFill>
            <w14:solidFill>
              <w14:schemeClr w14:val="tx1"/>
            </w14:solidFill>
          </w14:textFill>
        </w:rPr>
        <w:t xml:space="preserve">内容</w:t>
      </w:r>
      <w:r>
        <w:rPr>
          <w:rFonts w:ascii="宋体" w:hAnsi="宋体" w:cs="宋体"/>
          <w:bCs/>
          <w:color w:val="000000" w:themeColor="text1"/>
          <w:sz w:val="24"/>
          <w:szCs w:val="24"/>
          <w:highlight w:val="none"/>
          <w14:textFill>
            <w14:solidFill>
              <w14:schemeClr w14:val="tx1"/>
            </w14:solidFill>
          </w14:textFill>
        </w:rPr>
        <w:t xml:space="preserve">为准。</w:t>
      </w:r>
      <w:r/>
    </w:p>
    <w:p>
      <w:pPr>
        <w:ind w:firstLine="480"/>
        <w:spacing w:line="252" w:lineRule="auto"/>
        <w:rPr>
          <w:rFonts w:hint="eastAsia" w:ascii="宋体" w:hAnsi="宋体" w:cs="宋体"/>
          <w:bCs/>
          <w:color w:val="000000" w:themeColor="text1"/>
          <w:sz w:val="24"/>
          <w:szCs w:val="24"/>
          <w:highlight w:val="none"/>
          <w14:textFill>
            <w14:solidFill>
              <w14:schemeClr w14:val="tx1"/>
            </w14:solidFill>
          </w14:textFill>
        </w:rPr>
      </w:pPr>
      <w:r/>
      <w:bookmarkStart w:id="57" w:name="OLE_LINK1"/>
      <w:r>
        <w:rPr>
          <w:rFonts w:hint="eastAsia" w:ascii="宋体" w:hAnsi="宋体" w:cs="宋体"/>
          <w:bCs/>
          <w:color w:val="000000" w:themeColor="text1"/>
          <w:sz w:val="24"/>
          <w:szCs w:val="24"/>
          <w:highlight w:val="none"/>
          <w14:textFill>
            <w14:solidFill>
              <w14:schemeClr w14:val="tx1"/>
            </w14:solidFill>
          </w14:textFill>
        </w:rPr>
        <w:t xml:space="preserve">6.其他要求</w:t>
      </w:r>
      <w:bookmarkEnd w:id="57"/>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招标文件中要求提供证明材料的，签订合同时投标人应按招标文件要求和投标文件响应内容提供相应证明材料原件供采购人核验，否则采购人将取消其中标资格。</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jc w:val="center"/>
        <w:spacing w:line="252" w:lineRule="auto"/>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clear="all"/>
      </w:r>
      <w:bookmarkStart w:id="58" w:name="_Toc120614281"/>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第五章  评标方法与评标标准</w:t>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一、评标方法</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投标人中，按照评审得分由高到低选取</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名</w:t>
      </w:r>
      <w:r>
        <w:rPr>
          <w:rFonts w:hint="eastAsia" w:ascii="宋体" w:hAnsi="宋体" w:cs="宋体"/>
          <w:color w:val="000000" w:themeColor="text1"/>
          <w:sz w:val="24"/>
          <w:szCs w:val="24"/>
          <w:highlight w:val="none"/>
          <w14:textFill>
            <w14:solidFill>
              <w14:schemeClr w14:val="tx1"/>
            </w14:solidFill>
          </w14:textFill>
        </w:rPr>
        <w:t xml:space="preserve">中标候选人。</w:t>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二、本国产品价格扣除</w:t>
      </w:r>
      <w:r/>
    </w:p>
    <w:p>
      <w:pPr>
        <w:ind w:firstLine="42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1.本</w:t>
      </w:r>
      <w:r>
        <w:rPr>
          <w:rFonts w:hint="eastAsia" w:ascii="宋体" w:hAnsi="宋体"/>
          <w:color w:val="000000" w:themeColor="text1"/>
          <w:sz w:val="24"/>
          <w:szCs w:val="24"/>
          <w:highlight w:val="none"/>
          <w14:textFill>
            <w14:solidFill>
              <w14:schemeClr w14:val="tx1"/>
            </w14:solidFill>
          </w14:textFill>
        </w:rPr>
        <w:t xml:space="preserve">项目如</w:t>
      </w:r>
      <w:r>
        <w:rPr>
          <w:rFonts w:hint="eastAsia" w:ascii="宋体" w:hAnsi="宋体"/>
          <w:color w:val="000000" w:themeColor="text1"/>
          <w:sz w:val="24"/>
          <w:szCs w:val="24"/>
          <w:highlight w:val="none"/>
          <w:lang w:val="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color w:val="000000" w:themeColor="text1"/>
          <w:sz w:val="24"/>
          <w:szCs w:val="24"/>
          <w:highlight w:val="none"/>
          <w14:textFill>
            <w14:solidFill>
              <w14:schemeClr w14:val="tx1"/>
            </w14:solidFill>
          </w14:textFill>
        </w:rPr>
        <w:t xml:space="preserve">且投标人在投标文件中对此作出承诺的（按照招标文件要求在《投标分项报价表》中作出承诺），</w:t>
      </w:r>
      <w:r>
        <w:rPr>
          <w:rFonts w:hint="eastAsia" w:ascii="宋体" w:hAnsi="宋体"/>
          <w:color w:val="000000" w:themeColor="text1"/>
          <w:sz w:val="24"/>
          <w:szCs w:val="24"/>
          <w:highlight w:val="none"/>
          <w14:textFill>
            <w14:solidFill>
              <w14:schemeClr w14:val="tx1"/>
            </w14:solidFill>
          </w14:textFill>
        </w:rPr>
        <w:t xml:space="preserve">则依法对该投标人提供的全部产品给予价格评审优惠，即对该投标人提供的全部产品的总报价给予20%的价格扣除，用扣除后的价格参与评审。</w:t>
      </w:r>
      <w:r>
        <w:rPr>
          <w:rFonts w:hint="eastAsia" w:ascii="宋体" w:hAnsi="宋体"/>
          <w:b/>
          <w:bCs/>
          <w:color w:val="000000" w:themeColor="text1"/>
          <w:sz w:val="24"/>
          <w:szCs w:val="24"/>
          <w:highlight w:val="none"/>
          <w14:textFill>
            <w14:solidFill>
              <w14:schemeClr w14:val="tx1"/>
            </w14:solidFill>
          </w14:textFill>
        </w:rPr>
        <w:t xml:space="preserve">全部产品是指货物或服务采购项目或采购包中包含的全部货物、服务产品。</w:t>
      </w:r>
      <w:r/>
    </w:p>
    <w:p>
      <w:pPr>
        <w:ind w:firstLine="42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w:t>
      </w:r>
      <w:r>
        <w:rPr>
          <w:rFonts w:hint="eastAsia" w:ascii="宋体" w:hAnsi="宋体"/>
          <w:b/>
          <w:bCs/>
          <w:color w:val="000000" w:themeColor="text1"/>
          <w:sz w:val="24"/>
          <w:szCs w:val="24"/>
          <w:highlight w:val="none"/>
          <w:lang w:val="zh-CN"/>
          <w14:textFill>
            <w14:solidFill>
              <w14:schemeClr w14:val="tx1"/>
            </w14:solidFill>
          </w14:textFill>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三、小微企业价格扣除</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本项目服务全部由小微企业承接的，</w:t>
      </w:r>
      <w:r>
        <w:rPr>
          <w:rFonts w:hint="eastAsia" w:ascii="宋体" w:hAnsi="宋体" w:cs="宋体"/>
          <w:color w:val="000000" w:themeColor="text1"/>
          <w:sz w:val="24"/>
          <w:szCs w:val="24"/>
          <w:highlight w:val="none"/>
          <w14:textFill>
            <w14:solidFill>
              <w14:schemeClr w14:val="tx1"/>
            </w14:solidFill>
          </w14:textFill>
        </w:rPr>
        <w:t xml:space="preserve">对报价给予</w:t>
      </w:r>
      <w:r>
        <w:rPr>
          <w:rFonts w:hint="eastAsia" w:ascii="宋体" w:hAnsi="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的扣除，用扣除后的价格参与评审。</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2.残疾人福利性单位视同小型、微型企业，给予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的价格扣除，用扣除后的价格参与评审；监狱和戒毒企业视同小型、微型企业，给予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的价格扣除，用扣除后的价格参与评审。残疾人福利性单位、监狱企业属于小型、微型企业的，不重复享受价格扣除。</w:t>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五、评标标准</w:t>
      </w:r>
      <w:r/>
    </w:p>
    <w:tbl>
      <w:tblPr>
        <w:tblStyle w:val="713"/>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W w:w="519" w:type="dxa"/>
            <w:vAlign w:val="top"/>
            <w:textDirection w:val="lrTb"/>
            <w:noWrap w:val="false"/>
          </w:tcPr>
          <w:p>
            <w:pPr>
              <w:jc w:val="center"/>
              <w:spacing w:before="122" w:line="288" w:lineRule="auto"/>
              <w:rPr>
                <w:rFonts w:ascii="宋体" w:hAnsi="宋体" w:cs="宋体"/>
                <w:b/>
                <w:bCs/>
                <w:color w:val="000000" w:themeColor="text1"/>
                <w:spacing w:val="-3"/>
                <w:highlight w:val="none"/>
                <w14:textFill>
                  <w14:solidFill>
                    <w14:schemeClr w14:val="tx1"/>
                  </w14:solidFill>
                </w14:textFill>
              </w:rPr>
            </w:pPr>
            <w:r>
              <w:rPr>
                <w:rFonts w:ascii="宋体" w:hAnsi="宋体" w:cs="宋体"/>
                <w:b/>
                <w:bCs/>
                <w:color w:val="000000" w:themeColor="text1"/>
                <w:spacing w:val="-3"/>
                <w:highlight w:val="none"/>
                <w14:textFill>
                  <w14:solidFill>
                    <w14:schemeClr w14:val="tx1"/>
                  </w14:solidFill>
                </w14:textFill>
              </w:rPr>
              <w:t xml:space="preserve">序号</w:t>
            </w:r>
            <w:r/>
          </w:p>
        </w:tc>
        <w:tc>
          <w:tcPr>
            <w:tcW w:w="1180" w:type="dxa"/>
            <w:vAlign w:val="top"/>
            <w:textDirection w:val="lrTb"/>
            <w:noWrap w:val="false"/>
          </w:tcPr>
          <w:p>
            <w:pPr>
              <w:jc w:val="center"/>
              <w:spacing w:before="122" w:line="288" w:lineRule="auto"/>
              <w:rPr>
                <w:rFonts w:ascii="宋体" w:hAnsi="宋体" w:cs="宋体"/>
                <w:b/>
                <w:bCs/>
                <w:color w:val="000000" w:themeColor="text1"/>
                <w:spacing w:val="-3"/>
                <w:highlight w:val="none"/>
                <w14:textFill>
                  <w14:solidFill>
                    <w14:schemeClr w14:val="tx1"/>
                  </w14:solidFill>
                </w14:textFill>
              </w:rPr>
            </w:pPr>
            <w:r>
              <w:rPr>
                <w:rFonts w:ascii="宋体" w:hAnsi="宋体" w:cs="宋体"/>
                <w:b/>
                <w:bCs/>
                <w:color w:val="000000" w:themeColor="text1"/>
                <w:spacing w:val="-3"/>
                <w:highlight w:val="none"/>
                <w14:textFill>
                  <w14:solidFill>
                    <w14:schemeClr w14:val="tx1"/>
                  </w14:solidFill>
                </w14:textFill>
              </w:rPr>
              <w:t xml:space="preserve">评审因素</w:t>
            </w:r>
            <w:r/>
          </w:p>
        </w:tc>
        <w:tc>
          <w:tcPr>
            <w:tcW w:w="6624" w:type="dxa"/>
            <w:vAlign w:val="top"/>
            <w:textDirection w:val="lrTb"/>
            <w:noWrap w:val="false"/>
          </w:tcPr>
          <w:p>
            <w:pPr>
              <w:jc w:val="center"/>
              <w:spacing w:before="122" w:line="288" w:lineRule="auto"/>
              <w:rPr>
                <w:rFonts w:ascii="宋体" w:hAnsi="宋体" w:cs="宋体"/>
                <w:b/>
                <w:bCs/>
                <w:color w:val="000000" w:themeColor="text1"/>
                <w:spacing w:val="-3"/>
                <w:highlight w:val="none"/>
                <w14:textFill>
                  <w14:solidFill>
                    <w14:schemeClr w14:val="tx1"/>
                  </w14:solidFill>
                </w14:textFill>
              </w:rPr>
            </w:pPr>
            <w:r>
              <w:rPr>
                <w:rFonts w:ascii="宋体" w:hAnsi="宋体" w:cs="宋体"/>
                <w:b/>
                <w:bCs/>
                <w:color w:val="000000" w:themeColor="text1"/>
                <w:spacing w:val="-3"/>
                <w:highlight w:val="none"/>
                <w14:textFill>
                  <w14:solidFill>
                    <w14:schemeClr w14:val="tx1"/>
                  </w14:solidFill>
                </w14:textFill>
              </w:rPr>
              <w:t xml:space="preserve">评审细则</w:t>
            </w:r>
            <w:r/>
          </w:p>
        </w:tc>
        <w:tc>
          <w:tcPr>
            <w:tcW w:w="573" w:type="dxa"/>
            <w:vAlign w:val="top"/>
            <w:textDirection w:val="lrTb"/>
            <w:noWrap w:val="false"/>
          </w:tcPr>
          <w:p>
            <w:pPr>
              <w:jc w:val="center"/>
              <w:spacing w:before="122" w:line="288" w:lineRule="auto"/>
              <w:rPr>
                <w:rFonts w:ascii="宋体" w:hAnsi="宋体" w:cs="宋体"/>
                <w:b/>
                <w:bCs/>
                <w:color w:val="000000" w:themeColor="text1"/>
                <w:spacing w:val="-3"/>
                <w:highlight w:val="none"/>
                <w14:textFill>
                  <w14:solidFill>
                    <w14:schemeClr w14:val="tx1"/>
                  </w14:solidFill>
                </w14:textFill>
              </w:rPr>
            </w:pPr>
            <w:r>
              <w:rPr>
                <w:rFonts w:ascii="宋体" w:hAnsi="宋体" w:cs="宋体"/>
                <w:b/>
                <w:bCs/>
                <w:color w:val="000000" w:themeColor="text1"/>
                <w:spacing w:val="-3"/>
                <w:highlight w:val="none"/>
                <w14:textFill>
                  <w14:solidFill>
                    <w14:schemeClr w14:val="tx1"/>
                  </w14:solidFill>
                </w14:textFill>
              </w:rPr>
              <w:t xml:space="preserve">分值</w:t>
            </w:r>
            <w:r/>
          </w:p>
        </w:tc>
        <w:tc>
          <w:tcPr>
            <w:tcW w:w="861" w:type="dxa"/>
            <w:vAlign w:val="top"/>
            <w:textDirection w:val="lrTb"/>
            <w:noWrap w:val="false"/>
          </w:tcPr>
          <w:p>
            <w:pPr>
              <w:jc w:val="center"/>
              <w:spacing w:before="122" w:line="288" w:lineRule="auto"/>
              <w:rPr>
                <w:rFonts w:ascii="宋体" w:hAnsi="宋体" w:cs="宋体"/>
                <w:b/>
                <w:bCs/>
                <w:color w:val="000000" w:themeColor="text1"/>
                <w:spacing w:val="-3"/>
                <w:highlight w:val="none"/>
                <w14:textFill>
                  <w14:solidFill>
                    <w14:schemeClr w14:val="tx1"/>
                  </w14:solidFill>
                </w14:textFill>
              </w:rPr>
            </w:pPr>
            <w:r>
              <w:rPr>
                <w:rFonts w:ascii="宋体" w:hAnsi="宋体" w:cs="宋体"/>
                <w:b/>
                <w:bCs/>
                <w:color w:val="000000" w:themeColor="text1"/>
                <w:spacing w:val="-3"/>
                <w:highlight w:val="none"/>
                <w14:textFill>
                  <w14:solidFill>
                    <w14:schemeClr w14:val="tx1"/>
                  </w14:solidFill>
                </w14:textFill>
              </w:rPr>
              <w:t xml:space="preserve">类型</w:t>
            </w:r>
            <w:r/>
          </w:p>
        </w:tc>
      </w:tr>
      <w:tr>
        <w:trPr>
          <w:jc w:val="center"/>
          <w:trHeight w:val="465"/>
        </w:trPr>
        <w:tc>
          <w:tcPr>
            <w:gridSpan w:val="5"/>
            <w:tcW w:w="9757" w:type="dxa"/>
            <w:vAlign w:val="top"/>
            <w:textDirection w:val="lrTb"/>
            <w:noWrap w:val="false"/>
          </w:tcPr>
          <w:p>
            <w:pPr>
              <w:ind w:left="114"/>
              <w:spacing w:before="122" w:line="264"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pacing w:val="-3"/>
                <w:highlight w:val="none"/>
                <w14:textFill>
                  <w14:solidFill>
                    <w14:schemeClr w14:val="tx1"/>
                  </w14:solidFill>
                </w14:textFill>
              </w:rPr>
              <w:t xml:space="preserve">1.</w:t>
            </w:r>
            <w:r>
              <w:rPr>
                <w:rFonts w:ascii="宋体" w:hAnsi="宋体" w:cs="宋体"/>
                <w:b/>
                <w:bCs/>
                <w:color w:val="000000" w:themeColor="text1"/>
                <w:spacing w:val="-3"/>
                <w:highlight w:val="none"/>
                <w14:textFill>
                  <w14:solidFill>
                    <w14:schemeClr w14:val="tx1"/>
                  </w14:solidFill>
                </w14:textFill>
              </w:rPr>
              <w:t xml:space="preserve">价</w:t>
            </w:r>
            <w:r>
              <w:rPr>
                <w:rFonts w:ascii="宋体" w:hAnsi="宋体" w:cs="宋体"/>
                <w:b/>
                <w:bCs/>
                <w:color w:val="000000" w:themeColor="text1"/>
                <w:spacing w:val="-2"/>
                <w:highlight w:val="none"/>
                <w14:textFill>
                  <w14:solidFill>
                    <w14:schemeClr w14:val="tx1"/>
                  </w14:solidFill>
                </w14:textFill>
              </w:rPr>
              <w:t xml:space="preserve">格</w:t>
            </w:r>
            <w:r/>
          </w:p>
        </w:tc>
      </w:tr>
      <w:tr>
        <w:trPr>
          <w:jc w:val="center"/>
          <w:trHeight w:val="1202"/>
        </w:trPr>
        <w:tc>
          <w:tcPr>
            <w:tcW w:w="519"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spacing w:val="-6"/>
                <w:highlight w:val="none"/>
                <w14:textFill>
                  <w14:solidFill>
                    <w14:schemeClr w14:val="tx1"/>
                  </w14:solidFill>
                </w14:textFill>
              </w:rPr>
              <w:t xml:space="preserve">1</w:t>
            </w:r>
            <w:r>
              <w:rPr>
                <w:rFonts w:ascii="宋体" w:hAnsi="宋体" w:cs="宋体"/>
                <w:color w:val="000000" w:themeColor="text1"/>
                <w:spacing w:val="-5"/>
                <w:highlight w:val="none"/>
                <w14:textFill>
                  <w14:solidFill>
                    <w14:schemeClr w14:val="tx1"/>
                  </w14:solidFill>
                </w14:textFill>
              </w:rPr>
              <w:t xml:space="preserve">.1</w:t>
            </w:r>
            <w:r/>
          </w:p>
        </w:tc>
        <w:tc>
          <w:tcPr>
            <w:tcW w:w="1180" w:type="dxa"/>
            <w:vAlign w:val="center"/>
            <w:textDirection w:val="lrTb"/>
            <w:noWrap w:val="false"/>
          </w:tcPr>
          <w:p>
            <w:pPr>
              <w:jc w:val="left"/>
              <w:spacing w:before="68" w:line="264"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spacing w:val="-2"/>
                <w:highlight w:val="none"/>
                <w14:textFill>
                  <w14:solidFill>
                    <w14:schemeClr w14:val="tx1"/>
                  </w14:solidFill>
                </w14:textFill>
              </w:rPr>
              <w:t xml:space="preserve">价格分</w:t>
            </w:r>
            <w:r/>
          </w:p>
        </w:tc>
        <w:tc>
          <w:tcPr>
            <w:tcW w:w="6624" w:type="dxa"/>
            <w:vAlign w:val="center"/>
            <w:textDirection w:val="lrTb"/>
            <w:noWrap w:val="false"/>
          </w:tcPr>
          <w:p>
            <w:pPr>
              <w:jc w:val="left"/>
              <w:spacing w:line="264"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t xml:space="preserve">采用低价优先</w:t>
            </w:r>
            <w:r>
              <w:rPr>
                <w:rFonts w:hint="eastAsia" w:ascii="宋体" w:hAnsi="宋体" w:cs="宋体"/>
                <w:color w:val="000000" w:themeColor="text1"/>
                <w:highlight w:val="none"/>
                <w14:textFill>
                  <w14:solidFill>
                    <w14:schemeClr w14:val="tx1"/>
                  </w14:solidFill>
                </w14:textFill>
              </w:rPr>
              <w:t xml:space="preserve">法计算，即满足招标文件要求且投标价格最低的投标</w:t>
            </w:r>
            <w:r>
              <w:rPr>
                <w:rFonts w:hint="eastAsia" w:ascii="宋体" w:hAnsi="宋体" w:cs="宋体"/>
                <w:color w:val="000000" w:themeColor="text1"/>
                <w:spacing w:val="1"/>
                <w:highlight w:val="none"/>
                <w14:textFill>
                  <w14:solidFill>
                    <w14:schemeClr w14:val="tx1"/>
                  </w14:solidFill>
                </w14:textFill>
              </w:rPr>
              <w:t xml:space="preserve">报价为评标基准</w:t>
            </w:r>
            <w:r>
              <w:rPr>
                <w:rFonts w:hint="eastAsia" w:ascii="宋体" w:hAnsi="宋体" w:cs="宋体"/>
                <w:color w:val="000000" w:themeColor="text1"/>
                <w:highlight w:val="none"/>
                <w14:textFill>
                  <w14:solidFill>
                    <w14:schemeClr w14:val="tx1"/>
                  </w14:solidFill>
                </w14:textFill>
              </w:rPr>
              <w:t xml:space="preserve">价，其价格分为满分。其他投标人的价格分统一按</w:t>
            </w:r>
            <w:r>
              <w:rPr>
                <w:rFonts w:hint="eastAsia" w:ascii="宋体" w:hAnsi="宋体" w:cs="宋体"/>
                <w:color w:val="000000" w:themeColor="text1"/>
                <w:spacing w:val="-1"/>
                <w:highlight w:val="none"/>
                <w14:textFill>
                  <w14:solidFill>
                    <w14:schemeClr w14:val="tx1"/>
                  </w14:solidFill>
                </w14:textFill>
              </w:rPr>
              <w:t xml:space="preserve">照下列公</w:t>
            </w:r>
            <w:r>
              <w:rPr>
                <w:rFonts w:hint="eastAsia" w:ascii="宋体" w:hAnsi="宋体" w:cs="宋体"/>
                <w:color w:val="000000" w:themeColor="text1"/>
                <w:highlight w:val="none"/>
                <w14:textFill>
                  <w14:solidFill>
                    <w14:schemeClr w14:val="tx1"/>
                  </w14:solidFill>
                </w14:textFill>
              </w:rPr>
              <w:t xml:space="preserve">式计算：投标报价得分=（评标基准价/投标报价）×价格分值（小数点保留两位）</w:t>
            </w:r>
            <w:r/>
          </w:p>
          <w:p>
            <w:pPr>
              <w:jc w:val="left"/>
              <w:spacing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因落实政府采购政策进行价格调整的，以调整后的价格计算评标基准价和投标报价。</w:t>
            </w:r>
            <w:r/>
          </w:p>
        </w:tc>
        <w:tc>
          <w:tcPr>
            <w:tcW w:w="573" w:type="dxa"/>
            <w:vAlign w:val="center"/>
            <w:textDirection w:val="lrTb"/>
            <w:noWrap w:val="false"/>
          </w:tcPr>
          <w:p>
            <w:pPr>
              <w:jc w:val="center"/>
              <w:spacing w:before="68" w:line="264" w:lineRule="auto"/>
              <w:rPr>
                <w:rFonts w:ascii="宋体" w:hAnsi="宋体" w:cs="宋体"/>
                <w:color w:val="000000" w:themeColor="text1"/>
                <w:spacing w:val="-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w:t>
            </w:r>
            <w:r/>
          </w:p>
        </w:tc>
        <w:tc>
          <w:tcPr>
            <w:tcW w:w="861" w:type="dxa"/>
            <w:vAlign w:val="center"/>
            <w:textDirection w:val="lrTb"/>
            <w:noWrap w:val="false"/>
          </w:tcPr>
          <w:p>
            <w:pPr>
              <w:jc w:val="center"/>
              <w:spacing w:before="68" w:line="264" w:lineRule="auto"/>
              <w:rPr>
                <w:rFonts w:hint="eastAsia" w:ascii="宋体" w:hAnsi="宋体" w:cs="宋体"/>
                <w:color w:val="000000" w:themeColor="text1"/>
                <w:spacing w:val="-4"/>
                <w:highlight w:val="none"/>
                <w14:textFill>
                  <w14:solidFill>
                    <w14:schemeClr w14:val="tx1"/>
                  </w14:solidFill>
                </w14:textFill>
              </w:rPr>
            </w:pPr>
            <w:r>
              <w:rPr>
                <w:rFonts w:hint="eastAsia" w:ascii="宋体" w:hAnsi="宋体" w:cs="宋体"/>
                <w:color w:val="000000" w:themeColor="text1"/>
                <w:spacing w:val="-4"/>
                <w:highlight w:val="none"/>
                <w14:textFill>
                  <w14:solidFill>
                    <w14:schemeClr w14:val="tx1"/>
                  </w14:solidFill>
                </w14:textFill>
              </w:rPr>
              <w:t xml:space="preserve">价格分</w:t>
            </w:r>
            <w:r/>
          </w:p>
        </w:tc>
      </w:tr>
      <w:tr>
        <w:trPr>
          <w:jc w:val="center"/>
          <w:trHeight w:val="465"/>
        </w:trPr>
        <w:tc>
          <w:tcPr>
            <w:gridSpan w:val="5"/>
            <w:tcW w:w="9757" w:type="dxa"/>
            <w:vAlign w:val="top"/>
            <w:textDirection w:val="lrTb"/>
            <w:noWrap w:val="false"/>
          </w:tcPr>
          <w:p>
            <w:pPr>
              <w:ind w:left="114"/>
              <w:spacing w:before="123" w:line="264"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pacing w:val="-3"/>
                <w:highlight w:val="none"/>
                <w14:textFill>
                  <w14:solidFill>
                    <w14:schemeClr w14:val="tx1"/>
                  </w14:solidFill>
                </w14:textFill>
              </w:rPr>
              <w:t xml:space="preserve">2.服务</w:t>
            </w:r>
            <w:r/>
          </w:p>
        </w:tc>
      </w:tr>
      <w:tr>
        <w:trPr>
          <w:jc w:val="center"/>
          <w:trHeight w:val="895"/>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2.1</w:t>
            </w:r>
            <w:r/>
          </w:p>
        </w:tc>
        <w:tc>
          <w:tcPr>
            <w:tcW w:w="1180" w:type="dxa"/>
            <w:vAlign w:val="center"/>
            <w:textDirection w:val="lrTb"/>
            <w:noWrap w:val="false"/>
          </w:tcPr>
          <w:p>
            <w:pPr>
              <w:jc w:val="left"/>
              <w:spacing w:before="68"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产品技术参数</w:t>
            </w:r>
            <w:r/>
          </w:p>
        </w:tc>
        <w:tc>
          <w:tcPr>
            <w:tcW w:w="6624" w:type="dxa"/>
            <w:vAlign w:val="center"/>
            <w:textDirection w:val="lrTb"/>
            <w:noWrap w:val="false"/>
          </w:tcPr>
          <w:p>
            <w:pPr>
              <w:spacing w:line="264" w:lineRule="auto"/>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产品技术参数全部满足招标文件技术要求的得满分，打★指标为必须满足项，如有负偏离将作为无效投标，打▲指标为重要指标，有1项负偏离扣1分，其余指标有1项负偏离扣0.5分。</w:t>
            </w:r>
            <w:r/>
          </w:p>
        </w:tc>
        <w:tc>
          <w:tcPr>
            <w:tcW w:w="573"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26</w:t>
            </w:r>
            <w:r/>
          </w:p>
        </w:tc>
        <w:tc>
          <w:tcPr>
            <w:tcW w:w="861" w:type="dxa"/>
            <w:vAlign w:val="center"/>
            <w:textDirection w:val="lrTb"/>
            <w:noWrap w:val="false"/>
          </w:tcPr>
          <w:p>
            <w:pPr>
              <w:jc w:val="center"/>
              <w:spacing w:before="68" w:line="264"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 xml:space="preserve">客</w:t>
            </w:r>
            <w:r>
              <w:rPr>
                <w:rFonts w:hint="eastAsia" w:ascii="宋体" w:hAnsi="宋体" w:cs="宋体"/>
                <w:color w:val="000000" w:themeColor="text1"/>
                <w:spacing w:val="-4"/>
                <w:highlight w:val="none"/>
                <w14:textFill>
                  <w14:solidFill>
                    <w14:schemeClr w14:val="tx1"/>
                  </w14:solidFill>
                </w14:textFill>
              </w:rPr>
              <w:t xml:space="preserve">观分</w:t>
            </w:r>
            <w:r/>
          </w:p>
        </w:tc>
      </w:tr>
      <w:tr>
        <w:trPr>
          <w:jc w:val="center"/>
          <w:trHeight w:val="895"/>
        </w:trPr>
        <w:tc>
          <w:tcPr>
            <w:tcW w:w="519" w:type="dxa"/>
            <w:vAlign w:val="center"/>
            <w:textDirection w:val="lrTb"/>
            <w:noWrap w:val="false"/>
          </w:tcPr>
          <w:p>
            <w:pPr>
              <w:jc w:val="center"/>
              <w:spacing w:before="68" w:line="264" w:lineRule="auto"/>
              <w:rPr>
                <w:rFonts w:hint="eastAsia" w:ascii="宋体" w:hAnsi="宋体" w:cs="宋体"/>
                <w:color w:val="000000" w:themeColor="text1"/>
                <w:spacing w:val="-2"/>
                <w:highlight w:val="none"/>
                <w14:textFill>
                  <w14:solidFill>
                    <w14:schemeClr w14:val="tx1"/>
                  </w14:solidFill>
                </w14:textFill>
              </w:rPr>
            </w:pPr>
            <w:r>
              <w:rPr>
                <w:rFonts w:ascii="宋体" w:hAnsi="宋体" w:cs="宋体"/>
                <w:color w:val="000000" w:themeColor="text1"/>
                <w:spacing w:val="-2"/>
                <w:highlight w:val="none"/>
                <w14:textFill>
                  <w14:solidFill>
                    <w14:schemeClr w14:val="tx1"/>
                  </w14:solidFill>
                </w14:textFill>
              </w:rPr>
              <w:t xml:space="preserve">2.</w:t>
            </w:r>
            <w:r>
              <w:rPr>
                <w:rFonts w:hint="eastAsia" w:ascii="宋体" w:hAnsi="宋体" w:cs="宋体"/>
                <w:color w:val="000000" w:themeColor="text1"/>
                <w:spacing w:val="-2"/>
                <w:highlight w:val="none"/>
                <w14:textFill>
                  <w14:solidFill>
                    <w14:schemeClr w14:val="tx1"/>
                  </w14:solidFill>
                </w14:textFill>
              </w:rPr>
              <w:t xml:space="preserve">2</w:t>
            </w:r>
            <w:r/>
          </w:p>
        </w:tc>
        <w:tc>
          <w:tcPr>
            <w:tcW w:w="1180" w:type="dxa"/>
            <w:vAlign w:val="center"/>
            <w:textDirection w:val="lrTb"/>
            <w:noWrap w:val="false"/>
          </w:tcPr>
          <w:p>
            <w:pPr>
              <w:ind w:right="108"/>
              <w:jc w:val="left"/>
              <w:spacing w:before="68" w:line="264" w:lineRule="auto"/>
              <w:rPr>
                <w:rFonts w:hint="eastAsia" w:ascii="宋体" w:hAnsi="宋体" w:cs="宋体"/>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前端设备维</w:t>
            </w:r>
            <w:r>
              <w:rPr>
                <w:color w:val="000000" w:themeColor="text1"/>
                <w:spacing w:val="-4"/>
                <w:highlight w:val="none"/>
                <w14:textFill>
                  <w14:solidFill>
                    <w14:schemeClr w14:val="tx1"/>
                  </w14:solidFill>
                </w14:textFill>
              </w:rPr>
              <w:t xml:space="preserve">护方案</w:t>
            </w:r>
            <w:r/>
          </w:p>
        </w:tc>
        <w:tc>
          <w:tcPr>
            <w:tcW w:w="6624" w:type="dxa"/>
            <w:vAlign w:val="center"/>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本项目采购需求编制前端设备维护方案，内容包含：1.前端设备的维护保养内容和周期；2.前端设备维护保养实施组织方案；3.维护保养备品备件的配置与管理；4.维护保养配置的工具、器材、人员及管理等方面综合评分。</w:t>
            </w:r>
            <w:r/>
          </w:p>
          <w:p>
            <w:pPr>
              <w:rPr>
                <w:rFonts w:hint="eastAsia" w:ascii="宋体" w:hAnsi="宋体" w:cs="宋体"/>
                <w:color w:val="000000" w:themeColor="text1"/>
                <w:spacing w:val="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1.5分；部分符合得1分；不符合或不提供不得分。</w:t>
            </w:r>
            <w:r/>
          </w:p>
        </w:tc>
        <w:tc>
          <w:tcPr>
            <w:tcW w:w="573" w:type="dxa"/>
            <w:vAlign w:val="center"/>
            <w:textDirection w:val="lrTb"/>
            <w:noWrap w:val="false"/>
          </w:tcPr>
          <w:p>
            <w:pPr>
              <w:jc w:val="center"/>
              <w:spacing w:before="68" w:line="264"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861" w:type="dxa"/>
            <w:vAlign w:val="center"/>
            <w:textDirection w:val="lrTb"/>
            <w:noWrap w:val="false"/>
          </w:tcPr>
          <w:p>
            <w:pPr>
              <w:jc w:val="center"/>
              <w:spacing w:before="68" w:line="264"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spacing w:val="-6"/>
                <w:highlight w:val="none"/>
                <w14:textFill>
                  <w14:solidFill>
                    <w14:schemeClr w14:val="tx1"/>
                  </w14:solidFill>
                </w14:textFill>
              </w:rPr>
              <w:t xml:space="preserve">主</w:t>
            </w:r>
            <w:r>
              <w:rPr>
                <w:rFonts w:ascii="宋体" w:hAnsi="宋体" w:cs="宋体"/>
                <w:color w:val="000000" w:themeColor="text1"/>
                <w:spacing w:val="-4"/>
                <w:highlight w:val="none"/>
                <w14:textFill>
                  <w14:solidFill>
                    <w14:schemeClr w14:val="tx1"/>
                  </w14:solidFill>
                </w14:textFill>
              </w:rPr>
              <w:t xml:space="preserve">观</w:t>
            </w:r>
            <w:r>
              <w:rPr>
                <w:rFonts w:hint="eastAsia" w:ascii="宋体" w:hAnsi="宋体" w:cs="宋体"/>
                <w:color w:val="000000" w:themeColor="text1"/>
                <w:spacing w:val="-4"/>
                <w:highlight w:val="none"/>
                <w14:textFill>
                  <w14:solidFill>
                    <w14:schemeClr w14:val="tx1"/>
                  </w14:solidFill>
                </w14:textFill>
              </w:rPr>
              <w:t xml:space="preserve">分</w:t>
            </w:r>
            <w:r/>
          </w:p>
        </w:tc>
      </w:tr>
      <w:tr>
        <w:trPr>
          <w:jc w:val="center"/>
          <w:trHeight w:val="895"/>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2.3</w:t>
            </w:r>
            <w:r/>
          </w:p>
        </w:tc>
        <w:tc>
          <w:tcPr>
            <w:tcW w:w="1180" w:type="dxa"/>
            <w:vAlign w:val="center"/>
            <w:textDirection w:val="lrTb"/>
            <w:noWrap w:val="false"/>
          </w:tcPr>
          <w:p>
            <w:pPr>
              <w:ind w:right="108"/>
              <w:jc w:val="left"/>
              <w:spacing w:before="68" w:line="264" w:lineRule="auto"/>
              <w:rPr>
                <w:rFonts w:hint="eastAsia" w:ascii="宋体" w:hAnsi="宋体" w:cs="宋体"/>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应急抢修保障方案</w:t>
            </w:r>
            <w:r/>
          </w:p>
        </w:tc>
        <w:tc>
          <w:tcPr>
            <w:tcW w:w="6624" w:type="dxa"/>
            <w:vAlign w:val="center"/>
            <w:textDirection w:val="lrTb"/>
            <w:noWrap w:val="false"/>
          </w:tcPr>
          <w:p>
            <w:pPr>
              <w:pStyle w:val="1007"/>
              <w:ind w:right="139"/>
              <w:rPr>
                <w:rFonts w:hint="eastAsia" w:ascii="Calibri" w:hAnsi="Calibri" w:eastAsia="Calibri"/>
                <w:color w:val="000000" w:themeColor="text1"/>
                <w:spacing w:val="-2"/>
                <w:sz w:val="20"/>
                <w:szCs w:val="21"/>
                <w:highlight w:val="none"/>
                <w14:textFill>
                  <w14:solidFill>
                    <w14:schemeClr w14:val="tx1"/>
                  </w14:solidFill>
                </w14:textFill>
              </w:rPr>
            </w:pPr>
            <w:r>
              <w:rPr>
                <w:rFonts w:hint="eastAsia" w:ascii="Calibri" w:hAnsi="Calibri" w:eastAsia="Calibri"/>
                <w:color w:val="000000" w:themeColor="text1"/>
                <w:spacing w:val="-2"/>
                <w:sz w:val="20"/>
                <w:szCs w:val="21"/>
                <w:highlight w:val="none"/>
                <w:lang w:bidi="ar-SA"/>
                <w14:textFill>
                  <w14:solidFill>
                    <w14:schemeClr w14:val="tx1"/>
                  </w14:solidFill>
                </w14:textFill>
              </w:rPr>
              <w:t xml:space="preserve">根据本项目采购需求编制应急抢修保障方案，</w:t>
            </w:r>
            <w:r>
              <w:rPr>
                <w:rFonts w:hint="eastAsia" w:ascii="Calibri" w:hAnsi="Calibri" w:eastAsia="Calibri"/>
                <w:color w:val="000000" w:themeColor="text1"/>
                <w:spacing w:val="-2"/>
                <w:sz w:val="20"/>
                <w:szCs w:val="21"/>
                <w:highlight w:val="none"/>
                <w:lang w:val="en-US" w:bidi="ar-SA"/>
                <w14:textFill>
                  <w14:solidFill>
                    <w14:schemeClr w14:val="tx1"/>
                  </w14:solidFill>
                </w14:textFill>
              </w:rPr>
              <w:t xml:space="preserve">内容包含：1.</w:t>
            </w:r>
            <w:r>
              <w:rPr>
                <w:rFonts w:hint="eastAsia" w:ascii="Calibri" w:hAnsi="Calibri" w:eastAsia="Calibri"/>
                <w:color w:val="000000" w:themeColor="text1"/>
                <w:spacing w:val="-2"/>
                <w:sz w:val="20"/>
                <w:szCs w:val="21"/>
                <w:highlight w:val="none"/>
                <w:lang w:bidi="ar-SA"/>
                <w14:textFill>
                  <w14:solidFill>
                    <w14:schemeClr w14:val="tx1"/>
                  </w14:solidFill>
                </w14:textFill>
              </w:rPr>
              <w:t xml:space="preserve">应急抢修实施组织方案；</w:t>
            </w:r>
            <w:r>
              <w:rPr>
                <w:rFonts w:hint="eastAsia" w:ascii="Calibri" w:hAnsi="Calibri" w:eastAsia="Calibri"/>
                <w:color w:val="000000" w:themeColor="text1"/>
                <w:spacing w:val="-2"/>
                <w:sz w:val="20"/>
                <w:szCs w:val="21"/>
                <w:highlight w:val="none"/>
                <w:lang w:val="en-US" w:bidi="ar-SA"/>
                <w14:textFill>
                  <w14:solidFill>
                    <w14:schemeClr w14:val="tx1"/>
                  </w14:solidFill>
                </w14:textFill>
              </w:rPr>
              <w:t xml:space="preserve">2.</w:t>
            </w:r>
            <w:r>
              <w:rPr>
                <w:rFonts w:hint="eastAsia" w:ascii="Calibri" w:hAnsi="Calibri" w:eastAsia="Calibri"/>
                <w:color w:val="000000" w:themeColor="text1"/>
                <w:spacing w:val="-2"/>
                <w:sz w:val="20"/>
                <w:szCs w:val="21"/>
                <w:highlight w:val="none"/>
                <w:lang w:bidi="ar-SA"/>
                <w14:textFill>
                  <w14:solidFill>
                    <w14:schemeClr w14:val="tx1"/>
                  </w14:solidFill>
                </w14:textFill>
              </w:rPr>
              <w:t xml:space="preserve">应急抢修的备品；</w:t>
            </w:r>
            <w:r>
              <w:rPr>
                <w:rFonts w:hint="eastAsia" w:ascii="Calibri" w:hAnsi="Calibri" w:eastAsia="Calibri"/>
                <w:color w:val="000000" w:themeColor="text1"/>
                <w:spacing w:val="-2"/>
                <w:sz w:val="20"/>
                <w:szCs w:val="21"/>
                <w:highlight w:val="none"/>
                <w:lang w:val="en-US" w:bidi="ar-SA"/>
                <w14:textFill>
                  <w14:solidFill>
                    <w14:schemeClr w14:val="tx1"/>
                  </w14:solidFill>
                </w14:textFill>
              </w:rPr>
              <w:t xml:space="preserve">3.</w:t>
            </w:r>
            <w:r>
              <w:rPr>
                <w:rFonts w:hint="eastAsia" w:ascii="Calibri" w:hAnsi="Calibri" w:eastAsia="Calibri"/>
                <w:color w:val="000000" w:themeColor="text1"/>
                <w:spacing w:val="-2"/>
                <w:sz w:val="20"/>
                <w:szCs w:val="21"/>
                <w:highlight w:val="none"/>
                <w:lang w:bidi="ar-SA"/>
                <w14:textFill>
                  <w14:solidFill>
                    <w14:schemeClr w14:val="tx1"/>
                  </w14:solidFill>
                </w14:textFill>
              </w:rPr>
              <w:t xml:space="preserve">备件配置与管理；</w:t>
            </w:r>
            <w:r>
              <w:rPr>
                <w:rFonts w:hint="eastAsia" w:ascii="Calibri" w:hAnsi="Calibri" w:eastAsia="Calibri"/>
                <w:color w:val="000000" w:themeColor="text1"/>
                <w:spacing w:val="-2"/>
                <w:sz w:val="20"/>
                <w:szCs w:val="21"/>
                <w:highlight w:val="none"/>
                <w:lang w:val="en-US" w:bidi="ar-SA"/>
                <w14:textFill>
                  <w14:solidFill>
                    <w14:schemeClr w14:val="tx1"/>
                  </w14:solidFill>
                </w14:textFill>
              </w:rPr>
              <w:t xml:space="preserve">4.</w:t>
            </w:r>
            <w:r>
              <w:rPr>
                <w:rFonts w:hint="eastAsia" w:ascii="Calibri" w:hAnsi="Calibri" w:eastAsia="Calibri"/>
                <w:color w:val="000000" w:themeColor="text1"/>
                <w:spacing w:val="-2"/>
                <w:sz w:val="20"/>
                <w:szCs w:val="21"/>
                <w:highlight w:val="none"/>
                <w:lang w:bidi="ar-SA"/>
                <w14:textFill>
                  <w14:solidFill>
                    <w14:schemeClr w14:val="tx1"/>
                  </w14:solidFill>
                </w14:textFill>
              </w:rPr>
              <w:t xml:space="preserve">应急抢修配置的工具、器材、人员及管理等方面综合评分。</w:t>
            </w:r>
            <w:r/>
          </w:p>
          <w:p>
            <w:pPr>
              <w:pStyle w:val="714"/>
              <w:ind w:left="0"/>
              <w:rPr>
                <w:rFonts w:hint="eastAsia" w:ascii="宋体" w:hAnsi="宋体" w:eastAsia="宋体"/>
                <w:color w:val="000000" w:themeColor="text1"/>
                <w:sz w:val="21"/>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w:t>
            </w:r>
            <w:r>
              <w:rPr>
                <w:rFonts w:hint="eastAsia"/>
                <w:color w:val="000000" w:themeColor="text1"/>
                <w:spacing w:val="-2"/>
                <w:highlight w:val="none"/>
                <w:lang w:val="en-US"/>
                <w14:textFill>
                  <w14:solidFill>
                    <w14:schemeClr w14:val="tx1"/>
                  </w14:solidFill>
                </w14:textFill>
              </w:rPr>
              <w:t xml:space="preserve">1.5</w:t>
            </w:r>
            <w:r>
              <w:rPr>
                <w:rFonts w:hint="eastAsia"/>
                <w:color w:val="000000" w:themeColor="text1"/>
                <w:spacing w:val="-2"/>
                <w:highlight w:val="none"/>
                <w14:textFill>
                  <w14:solidFill>
                    <w14:schemeClr w14:val="tx1"/>
                  </w14:solidFill>
                </w14:textFill>
              </w:rPr>
              <w:t xml:space="preserve">分；部分符合得1分；不符合或不提供不得分。</w:t>
            </w:r>
            <w:r/>
          </w:p>
        </w:tc>
        <w:tc>
          <w:tcPr>
            <w:tcW w:w="573"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861" w:type="dxa"/>
            <w:vAlign w:val="center"/>
            <w:textDirection w:val="lrTb"/>
            <w:noWrap w:val="false"/>
          </w:tcPr>
          <w:p>
            <w:pPr>
              <w:jc w:val="center"/>
              <w:spacing w:before="68" w:line="264" w:lineRule="auto"/>
              <w:rPr>
                <w:rFonts w:ascii="宋体" w:hAnsi="宋体" w:cs="宋体"/>
                <w:color w:val="000000" w:themeColor="text1"/>
                <w:spacing w:val="-6"/>
                <w:highlight w:val="none"/>
                <w14:textFill>
                  <w14:solidFill>
                    <w14:schemeClr w14:val="tx1"/>
                  </w14:solidFill>
                </w14:textFill>
              </w:rPr>
            </w:pPr>
            <w:r>
              <w:rPr>
                <w:rFonts w:ascii="宋体" w:hAnsi="宋体" w:cs="宋体"/>
                <w:color w:val="000000" w:themeColor="text1"/>
                <w:spacing w:val="-6"/>
                <w:highlight w:val="none"/>
                <w14:textFill>
                  <w14:solidFill>
                    <w14:schemeClr w14:val="tx1"/>
                  </w14:solidFill>
                </w14:textFill>
              </w:rPr>
              <w:t xml:space="preserve">主</w:t>
            </w:r>
            <w:r>
              <w:rPr>
                <w:rFonts w:ascii="宋体" w:hAnsi="宋体" w:cs="宋体"/>
                <w:color w:val="000000" w:themeColor="text1"/>
                <w:spacing w:val="-4"/>
                <w:highlight w:val="none"/>
                <w14:textFill>
                  <w14:solidFill>
                    <w14:schemeClr w14:val="tx1"/>
                  </w14:solidFill>
                </w14:textFill>
              </w:rPr>
              <w:t xml:space="preserve">观</w:t>
            </w:r>
            <w:r>
              <w:rPr>
                <w:rFonts w:hint="eastAsia" w:ascii="宋体" w:hAnsi="宋体" w:cs="宋体"/>
                <w:color w:val="000000" w:themeColor="text1"/>
                <w:spacing w:val="-4"/>
                <w:highlight w:val="none"/>
                <w14:textFill>
                  <w14:solidFill>
                    <w14:schemeClr w14:val="tx1"/>
                  </w14:solidFill>
                </w14:textFill>
              </w:rPr>
              <w:t xml:space="preserve">分</w:t>
            </w:r>
            <w:r/>
          </w:p>
        </w:tc>
      </w:tr>
      <w:tr>
        <w:trPr>
          <w:jc w:val="center"/>
          <w:trHeight w:val="895"/>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2.4</w:t>
            </w:r>
            <w:r/>
          </w:p>
        </w:tc>
        <w:tc>
          <w:tcPr>
            <w:tcW w:w="1180" w:type="dxa"/>
            <w:vAlign w:val="center"/>
            <w:textDirection w:val="lrTb"/>
            <w:noWrap w:val="false"/>
          </w:tcPr>
          <w:p>
            <w:pPr>
              <w:ind w:right="108"/>
              <w:jc w:val="left"/>
              <w:spacing w:before="68" w:line="264" w:lineRule="auto"/>
              <w:rPr>
                <w:rFonts w:hint="eastAsia"/>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现场勘测</w:t>
            </w:r>
            <w:r>
              <w:rPr>
                <w:rFonts w:hint="eastAsia"/>
                <w:color w:val="000000" w:themeColor="text1"/>
                <w:spacing w:val="-2"/>
                <w:highlight w:val="none"/>
                <w14:textFill>
                  <w14:solidFill>
                    <w14:schemeClr w14:val="tx1"/>
                  </w14:solidFill>
                </w14:textFill>
              </w:rPr>
              <w:t xml:space="preserve">方案</w:t>
            </w:r>
            <w:r/>
          </w:p>
        </w:tc>
        <w:tc>
          <w:tcPr>
            <w:tcW w:w="6624" w:type="dxa"/>
            <w:vAlign w:val="center"/>
            <w:textDirection w:val="lrTb"/>
            <w:noWrap w:val="false"/>
          </w:tcPr>
          <w:p>
            <w:pPr>
              <w:pStyle w:val="1007"/>
              <w:ind w:right="108"/>
              <w:spacing w:before="76"/>
              <w:rPr>
                <w:rFonts w:hint="eastAsia"/>
                <w:color w:val="000000" w:themeColor="text1"/>
                <w:spacing w:val="-14"/>
                <w:highlight w:val="none"/>
                <w14:textFill>
                  <w14:solidFill>
                    <w14:schemeClr w14:val="tx1"/>
                  </w14:solidFill>
                </w14:textFill>
              </w:rPr>
            </w:pPr>
            <w:r>
              <w:rPr>
                <w:rFonts w:hint="eastAsia" w:ascii="Calibri" w:hAnsi="Calibri" w:eastAsia="Calibri"/>
                <w:color w:val="000000" w:themeColor="text1"/>
                <w:spacing w:val="-2"/>
                <w:sz w:val="20"/>
                <w:szCs w:val="21"/>
                <w:highlight w:val="none"/>
                <w:lang w:bidi="ar-SA"/>
                <w14:textFill>
                  <w14:solidFill>
                    <w14:schemeClr w14:val="tx1"/>
                  </w14:solidFill>
                </w14:textFill>
              </w:rPr>
              <w:t xml:space="preserve">根据本项目采购需求编制</w:t>
            </w:r>
            <w:r>
              <w:rPr>
                <w:color w:val="000000" w:themeColor="text1"/>
                <w:spacing w:val="-2"/>
                <w:highlight w:val="none"/>
                <w14:textFill>
                  <w14:solidFill>
                    <w14:schemeClr w14:val="tx1"/>
                  </w14:solidFill>
                </w14:textFill>
              </w:rPr>
              <w:t xml:space="preserve">现场勘测</w:t>
            </w:r>
            <w:r>
              <w:rPr>
                <w:rFonts w:hint="eastAsia"/>
                <w:color w:val="000000" w:themeColor="text1"/>
                <w:spacing w:val="-2"/>
                <w:highlight w:val="none"/>
                <w:lang w:val="en-US"/>
                <w14:textFill>
                  <w14:solidFill>
                    <w14:schemeClr w14:val="tx1"/>
                  </w14:solidFill>
                </w14:textFill>
              </w:rPr>
              <w:t xml:space="preserve">方案，</w:t>
            </w:r>
            <w:r>
              <w:rPr>
                <w:rFonts w:hint="eastAsia" w:ascii="Calibri" w:hAnsi="Calibri" w:eastAsia="Calibri"/>
                <w:color w:val="000000" w:themeColor="text1"/>
                <w:spacing w:val="-2"/>
                <w:sz w:val="20"/>
                <w:szCs w:val="21"/>
                <w:highlight w:val="none"/>
                <w:lang w:val="en-US" w:bidi="ar-SA"/>
                <w14:textFill>
                  <w14:solidFill>
                    <w14:schemeClr w14:val="tx1"/>
                  </w14:solidFill>
                </w14:textFill>
              </w:rPr>
              <w:t xml:space="preserve">内容包含：</w:t>
            </w:r>
            <w:r>
              <w:rPr>
                <w:rFonts w:hint="eastAsia"/>
                <w:color w:val="000000" w:themeColor="text1"/>
                <w:spacing w:val="-2"/>
                <w:highlight w:val="none"/>
                <w:lang w:val="en-US"/>
                <w14:textFill>
                  <w14:solidFill>
                    <w14:schemeClr w14:val="tx1"/>
                  </w14:solidFill>
                </w14:textFill>
              </w:rPr>
              <w:t xml:space="preserve">1.</w:t>
            </w:r>
            <w:r>
              <w:rPr>
                <w:color w:val="000000" w:themeColor="text1"/>
                <w:spacing w:val="-2"/>
                <w:highlight w:val="none"/>
                <w14:textFill>
                  <w14:solidFill>
                    <w14:schemeClr w14:val="tx1"/>
                  </w14:solidFill>
                </w14:textFill>
              </w:rPr>
              <w:t xml:space="preserve">监控点位前端摄像机功能及能否正常工作</w:t>
            </w:r>
            <w:r>
              <w:rPr>
                <w:rFonts w:hint="eastAsia"/>
                <w:color w:val="000000" w:themeColor="text1"/>
                <w:spacing w:val="-2"/>
                <w:highlight w:val="none"/>
                <w14:textFill>
                  <w14:solidFill>
                    <w14:schemeClr w14:val="tx1"/>
                  </w14:solidFill>
                </w14:textFill>
              </w:rPr>
              <w:t xml:space="preserve">；</w:t>
            </w:r>
            <w:r>
              <w:rPr>
                <w:rFonts w:hint="eastAsia"/>
                <w:color w:val="000000" w:themeColor="text1"/>
                <w:spacing w:val="-2"/>
                <w:highlight w:val="none"/>
                <w:lang w:val="en-US"/>
                <w14:textFill>
                  <w14:solidFill>
                    <w14:schemeClr w14:val="tx1"/>
                  </w14:solidFill>
                </w14:textFill>
              </w:rPr>
              <w:t xml:space="preserve">2.</w:t>
            </w:r>
            <w:r>
              <w:rPr>
                <w:color w:val="000000" w:themeColor="text1"/>
                <w:spacing w:val="-2"/>
                <w:highlight w:val="none"/>
                <w14:textFill>
                  <w14:solidFill>
                    <w14:schemeClr w14:val="tx1"/>
                  </w14:solidFill>
                </w14:textFill>
              </w:rPr>
              <w:t xml:space="preserve">前端信号线缆走向和汇聚点</w:t>
            </w:r>
            <w:r>
              <w:rPr>
                <w:rFonts w:hint="eastAsia"/>
                <w:color w:val="000000" w:themeColor="text1"/>
                <w:spacing w:val="-2"/>
                <w:highlight w:val="none"/>
                <w14:textFill>
                  <w14:solidFill>
                    <w14:schemeClr w14:val="tx1"/>
                  </w14:solidFill>
                </w14:textFill>
              </w:rPr>
              <w:t xml:space="preserve">；</w:t>
            </w:r>
            <w:r>
              <w:rPr>
                <w:rFonts w:hint="eastAsia"/>
                <w:color w:val="000000" w:themeColor="text1"/>
                <w:spacing w:val="-2"/>
                <w:highlight w:val="none"/>
                <w:lang w:val="en-US"/>
                <w14:textFill>
                  <w14:solidFill>
                    <w14:schemeClr w14:val="tx1"/>
                  </w14:solidFill>
                </w14:textFill>
              </w:rPr>
              <w:t xml:space="preserve">3.</w:t>
            </w:r>
            <w:r>
              <w:rPr>
                <w:color w:val="000000" w:themeColor="text1"/>
                <w:spacing w:val="-2"/>
                <w:highlight w:val="none"/>
                <w14:textFill>
                  <w14:solidFill>
                    <w14:schemeClr w14:val="tx1"/>
                  </w14:solidFill>
                </w14:textFill>
              </w:rPr>
              <w:t xml:space="preserve">前端供电线缆走向和接入方式</w:t>
            </w:r>
            <w:r>
              <w:rPr>
                <w:rFonts w:hint="eastAsia"/>
                <w:color w:val="000000" w:themeColor="text1"/>
                <w:spacing w:val="-2"/>
                <w:highlight w:val="none"/>
                <w14:textFill>
                  <w14:solidFill>
                    <w14:schemeClr w14:val="tx1"/>
                  </w14:solidFill>
                </w14:textFill>
              </w:rPr>
              <w:t xml:space="preserve">；</w:t>
            </w:r>
            <w:r>
              <w:rPr>
                <w:rFonts w:hint="eastAsia"/>
                <w:color w:val="000000" w:themeColor="text1"/>
                <w:spacing w:val="-2"/>
                <w:highlight w:val="none"/>
                <w:lang w:val="en-US"/>
                <w14:textFill>
                  <w14:solidFill>
                    <w14:schemeClr w14:val="tx1"/>
                  </w14:solidFill>
                </w14:textFill>
              </w:rPr>
              <w:t xml:space="preserve">4.</w:t>
            </w:r>
            <w:r>
              <w:rPr>
                <w:color w:val="000000" w:themeColor="text1"/>
                <w:highlight w:val="none"/>
                <w14:textFill>
                  <w14:solidFill>
                    <w14:schemeClr w14:val="tx1"/>
                  </w14:solidFill>
                </w14:textFill>
              </w:rPr>
              <w:t xml:space="preserve">前端机箱式样、安装位置、系统平台现状等要素</w:t>
            </w:r>
            <w:r>
              <w:rPr>
                <w:rFonts w:hint="eastAsia" w:ascii="Calibri" w:hAnsi="Calibri" w:eastAsia="Calibri"/>
                <w:color w:val="000000" w:themeColor="text1"/>
                <w:spacing w:val="-2"/>
                <w:sz w:val="20"/>
                <w:szCs w:val="21"/>
                <w:highlight w:val="none"/>
                <w:lang w:bidi="ar-SA"/>
                <w14:textFill>
                  <w14:solidFill>
                    <w14:schemeClr w14:val="tx1"/>
                  </w14:solidFill>
                </w14:textFill>
              </w:rPr>
              <w:t xml:space="preserve">综合评分</w:t>
            </w:r>
            <w:r>
              <w:rPr>
                <w:rFonts w:hint="eastAsia"/>
                <w:color w:val="000000" w:themeColor="text1"/>
                <w:highlight w:val="none"/>
                <w14:textFill>
                  <w14:solidFill>
                    <w14:schemeClr w14:val="tx1"/>
                  </w14:solidFill>
                </w14:textFill>
              </w:rPr>
              <w:t xml:space="preserve">。</w:t>
            </w:r>
            <w:r/>
          </w:p>
          <w:p>
            <w:pPr>
              <w:pStyle w:val="714"/>
              <w:ind w:left="0"/>
              <w:rPr>
                <w:rFonts w:hint="eastAsia"/>
                <w:color w:val="000000" w:themeColor="text1"/>
                <w:spacing w:val="-2"/>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w:t>
            </w:r>
            <w:r>
              <w:rPr>
                <w:rFonts w:hint="eastAsia"/>
                <w:color w:val="000000" w:themeColor="text1"/>
                <w:spacing w:val="-2"/>
                <w:highlight w:val="none"/>
                <w:lang w:val="en-US"/>
                <w14:textFill>
                  <w14:solidFill>
                    <w14:schemeClr w14:val="tx1"/>
                  </w14:solidFill>
                </w14:textFill>
              </w:rPr>
              <w:t xml:space="preserve">1.5</w:t>
            </w:r>
            <w:r>
              <w:rPr>
                <w:rFonts w:hint="eastAsia"/>
                <w:color w:val="000000" w:themeColor="text1"/>
                <w:spacing w:val="-2"/>
                <w:highlight w:val="none"/>
                <w14:textFill>
                  <w14:solidFill>
                    <w14:schemeClr w14:val="tx1"/>
                  </w14:solidFill>
                </w14:textFill>
              </w:rPr>
              <w:t xml:space="preserve">分；部分符合得1分；不符合或不提供不得分。</w:t>
            </w:r>
            <w:r/>
          </w:p>
          <w:p>
            <w:pPr>
              <w:rPr>
                <w:color w:val="000000" w:themeColor="text1"/>
                <w:spacing w:val="-6"/>
                <w:highlight w:val="none"/>
                <w14:textFill>
                  <w14:solidFill>
                    <w14:schemeClr w14:val="tx1"/>
                  </w14:solidFill>
                </w14:textFill>
              </w:rPr>
            </w:pPr>
            <w:r>
              <w:rPr>
                <w:color w:val="000000" w:themeColor="text1"/>
                <w:spacing w:val="-6"/>
                <w:highlight w:val="none"/>
                <w14:textFill>
                  <w14:solidFill>
                    <w14:schemeClr w14:val="tx1"/>
                  </w14:solidFill>
                </w14:textFill>
              </w:rPr>
            </w:r>
            <w:r/>
          </w:p>
        </w:tc>
        <w:tc>
          <w:tcPr>
            <w:tcW w:w="573"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861" w:type="dxa"/>
            <w:vAlign w:val="center"/>
            <w:textDirection w:val="lrTb"/>
            <w:noWrap w:val="false"/>
          </w:tcPr>
          <w:p>
            <w:pPr>
              <w:jc w:val="center"/>
              <w:spacing w:before="68" w:line="264" w:lineRule="auto"/>
              <w:rPr>
                <w:rFonts w:ascii="宋体" w:hAnsi="宋体" w:cs="宋体"/>
                <w:color w:val="000000" w:themeColor="text1"/>
                <w:spacing w:val="-6"/>
                <w:highlight w:val="none"/>
                <w14:textFill>
                  <w14:solidFill>
                    <w14:schemeClr w14:val="tx1"/>
                  </w14:solidFill>
                </w14:textFill>
              </w:rPr>
            </w:pPr>
            <w:r>
              <w:rPr>
                <w:rFonts w:ascii="宋体" w:hAnsi="宋体" w:cs="宋体"/>
                <w:color w:val="000000" w:themeColor="text1"/>
                <w:spacing w:val="-6"/>
                <w:highlight w:val="none"/>
                <w14:textFill>
                  <w14:solidFill>
                    <w14:schemeClr w14:val="tx1"/>
                  </w14:solidFill>
                </w14:textFill>
              </w:rPr>
              <w:t xml:space="preserve">主</w:t>
            </w:r>
            <w:r>
              <w:rPr>
                <w:rFonts w:ascii="宋体" w:hAnsi="宋体" w:cs="宋体"/>
                <w:color w:val="000000" w:themeColor="text1"/>
                <w:spacing w:val="-4"/>
                <w:highlight w:val="none"/>
                <w14:textFill>
                  <w14:solidFill>
                    <w14:schemeClr w14:val="tx1"/>
                  </w14:solidFill>
                </w14:textFill>
              </w:rPr>
              <w:t xml:space="preserve">观</w:t>
            </w:r>
            <w:r>
              <w:rPr>
                <w:rFonts w:hint="eastAsia" w:ascii="宋体" w:hAnsi="宋体" w:cs="宋体"/>
                <w:color w:val="000000" w:themeColor="text1"/>
                <w:spacing w:val="-4"/>
                <w:highlight w:val="none"/>
                <w14:textFill>
                  <w14:solidFill>
                    <w14:schemeClr w14:val="tx1"/>
                  </w14:solidFill>
                </w14:textFill>
              </w:rPr>
              <w:t xml:space="preserve">分</w:t>
            </w:r>
            <w:r/>
          </w:p>
        </w:tc>
      </w:tr>
      <w:tr>
        <w:trPr>
          <w:jc w:val="center"/>
          <w:trHeight w:val="895"/>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2.5</w:t>
            </w:r>
            <w:r/>
          </w:p>
        </w:tc>
        <w:tc>
          <w:tcPr>
            <w:tcW w:w="1180" w:type="dxa"/>
            <w:vAlign w:val="center"/>
            <w:textDirection w:val="lrTb"/>
            <w:noWrap w:val="false"/>
          </w:tcPr>
          <w:p>
            <w:pPr>
              <w:ind w:right="108"/>
              <w:jc w:val="left"/>
              <w:spacing w:before="68" w:line="264"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传输系统维</w:t>
            </w:r>
            <w:r>
              <w:rPr>
                <w:color w:val="000000" w:themeColor="text1"/>
                <w:spacing w:val="-4"/>
                <w:highlight w:val="none"/>
                <w14:textFill>
                  <w14:solidFill>
                    <w14:schemeClr w14:val="tx1"/>
                  </w14:solidFill>
                </w14:textFill>
              </w:rPr>
              <w:t xml:space="preserve">护方案</w:t>
            </w:r>
            <w:r/>
          </w:p>
        </w:tc>
        <w:tc>
          <w:tcPr>
            <w:tcW w:w="6624" w:type="dxa"/>
            <w:vAlign w:val="center"/>
            <w:textDirection w:val="lrTb"/>
            <w:noWrap w:val="false"/>
          </w:tcPr>
          <w:p>
            <w:pPr>
              <w:pStyle w:val="1007"/>
              <w:ind w:right="110"/>
              <w:spacing w:before="7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根据本项目采购需求编制</w:t>
            </w:r>
            <w:r>
              <w:rPr>
                <w:rFonts w:hint="eastAsia"/>
                <w:color w:val="000000" w:themeColor="text1"/>
                <w:highlight w:val="none"/>
                <w:lang w:val="en-US"/>
                <w14:textFill>
                  <w14:solidFill>
                    <w14:schemeClr w14:val="tx1"/>
                  </w14:solidFill>
                </w14:textFill>
              </w:rPr>
              <w:t xml:space="preserve">传输系统维护方案，内容包含：1.传输系统的维护保养内容和周期；2.传输系统维护保养实施组织方案；3.维护保养备品备件的配置与管理；4.维护保养配置的工具、器材、人员及管理等</w:t>
            </w:r>
            <w:r>
              <w:rPr>
                <w:rFonts w:hint="eastAsia"/>
                <w:color w:val="000000" w:themeColor="text1"/>
                <w:highlight w:val="none"/>
                <w14:textFill>
                  <w14:solidFill>
                    <w14:schemeClr w14:val="tx1"/>
                  </w14:solidFill>
                </w14:textFill>
              </w:rPr>
              <w:t xml:space="preserve">方面综合评分。</w:t>
            </w:r>
            <w:r/>
          </w:p>
          <w:p>
            <w:pPr>
              <w:pStyle w:val="1007"/>
              <w:ind w:right="110"/>
              <w:spacing w:before="76"/>
              <w:rPr>
                <w:color w:val="000000" w:themeColor="text1"/>
                <w:spacing w:val="-7"/>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w:t>
            </w:r>
            <w:r>
              <w:rPr>
                <w:rFonts w:hint="eastAsia"/>
                <w:color w:val="000000" w:themeColor="text1"/>
                <w:highlight w:val="none"/>
                <w:lang w:val="en-US"/>
                <w14:textFill>
                  <w14:solidFill>
                    <w14:schemeClr w14:val="tx1"/>
                  </w14:solidFill>
                </w14:textFill>
              </w:rPr>
              <w:t xml:space="preserve">1.5</w:t>
            </w:r>
            <w:r>
              <w:rPr>
                <w:rFonts w:hint="eastAsia"/>
                <w:color w:val="000000" w:themeColor="text1"/>
                <w:highlight w:val="none"/>
                <w14:textFill>
                  <w14:solidFill>
                    <w14:schemeClr w14:val="tx1"/>
                  </w14:solidFill>
                </w14:textFill>
              </w:rPr>
              <w:t xml:space="preserve">分；部分符合得1分；不符合或不提供不得分。</w:t>
            </w:r>
            <w:r/>
          </w:p>
        </w:tc>
        <w:tc>
          <w:tcPr>
            <w:tcW w:w="573"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861" w:type="dxa"/>
            <w:vAlign w:val="center"/>
            <w:textDirection w:val="lrTb"/>
            <w:noWrap w:val="false"/>
          </w:tcPr>
          <w:p>
            <w:pPr>
              <w:jc w:val="center"/>
              <w:spacing w:before="68" w:line="264" w:lineRule="auto"/>
              <w:rPr>
                <w:rFonts w:ascii="宋体" w:hAnsi="宋体" w:cs="宋体"/>
                <w:color w:val="000000" w:themeColor="text1"/>
                <w:spacing w:val="-6"/>
                <w:highlight w:val="none"/>
                <w14:textFill>
                  <w14:solidFill>
                    <w14:schemeClr w14:val="tx1"/>
                  </w14:solidFill>
                </w14:textFill>
              </w:rPr>
            </w:pPr>
            <w:r>
              <w:rPr>
                <w:rFonts w:ascii="宋体" w:hAnsi="宋体" w:cs="宋体"/>
                <w:color w:val="000000" w:themeColor="text1"/>
                <w:spacing w:val="-6"/>
                <w:highlight w:val="none"/>
                <w14:textFill>
                  <w14:solidFill>
                    <w14:schemeClr w14:val="tx1"/>
                  </w14:solidFill>
                </w14:textFill>
              </w:rPr>
              <w:t xml:space="preserve">主</w:t>
            </w:r>
            <w:r>
              <w:rPr>
                <w:rFonts w:ascii="宋体" w:hAnsi="宋体" w:cs="宋体"/>
                <w:color w:val="000000" w:themeColor="text1"/>
                <w:spacing w:val="-4"/>
                <w:highlight w:val="none"/>
                <w14:textFill>
                  <w14:solidFill>
                    <w14:schemeClr w14:val="tx1"/>
                  </w14:solidFill>
                </w14:textFill>
              </w:rPr>
              <w:t xml:space="preserve">观</w:t>
            </w:r>
            <w:r>
              <w:rPr>
                <w:rFonts w:hint="eastAsia" w:ascii="宋体" w:hAnsi="宋体" w:cs="宋体"/>
                <w:color w:val="000000" w:themeColor="text1"/>
                <w:spacing w:val="-4"/>
                <w:highlight w:val="none"/>
                <w14:textFill>
                  <w14:solidFill>
                    <w14:schemeClr w14:val="tx1"/>
                  </w14:solidFill>
                </w14:textFill>
              </w:rPr>
              <w:t xml:space="preserve">分</w:t>
            </w:r>
            <w:r/>
          </w:p>
        </w:tc>
      </w:tr>
      <w:tr>
        <w:trPr>
          <w:jc w:val="center"/>
          <w:trHeight w:val="895"/>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2.6</w:t>
            </w:r>
            <w:r/>
          </w:p>
        </w:tc>
        <w:tc>
          <w:tcPr>
            <w:tcW w:w="1180" w:type="dxa"/>
            <w:vAlign w:val="center"/>
            <w:textDirection w:val="lrTb"/>
            <w:noWrap w:val="false"/>
          </w:tcPr>
          <w:p>
            <w:pPr>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系统平台</w:t>
            </w:r>
            <w:r/>
          </w:p>
          <w:p>
            <w:pPr>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维护方案</w:t>
            </w:r>
            <w:r/>
          </w:p>
          <w:p>
            <w:pPr>
              <w:ind w:right="108"/>
              <w:jc w:val="left"/>
              <w:spacing w:before="68" w:line="264"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r>
            <w:r/>
          </w:p>
        </w:tc>
        <w:tc>
          <w:tcPr>
            <w:tcW w:w="6624" w:type="dxa"/>
            <w:vAlign w:val="center"/>
            <w:textDirection w:val="lrTb"/>
            <w:noWrap w:val="false"/>
          </w:tcPr>
          <w:p>
            <w:pPr>
              <w:pStyle w:val="1007"/>
              <w:ind w:right="110"/>
              <w:spacing w:before="76"/>
              <w:rPr>
                <w:rFonts w:hint="eastAsia"/>
                <w:color w:val="000000" w:themeColor="text1"/>
                <w:spacing w:val="-1"/>
                <w:highlight w:val="none"/>
                <w14:textFill>
                  <w14:solidFill>
                    <w14:schemeClr w14:val="tx1"/>
                  </w14:solidFill>
                </w14:textFill>
              </w:rPr>
            </w:pPr>
            <w:r>
              <w:rPr>
                <w:rFonts w:hint="eastAsia"/>
                <w:color w:val="000000" w:themeColor="text1"/>
                <w:spacing w:val="-1"/>
                <w:highlight w:val="none"/>
                <w14:textFill>
                  <w14:solidFill>
                    <w14:schemeClr w14:val="tx1"/>
                  </w14:solidFill>
                </w14:textFill>
              </w:rPr>
              <w:t xml:space="preserve">根据本项目采购需求编制</w:t>
            </w:r>
            <w:r>
              <w:rPr>
                <w:color w:val="000000" w:themeColor="text1"/>
                <w:spacing w:val="-1"/>
                <w:highlight w:val="none"/>
                <w14:textFill>
                  <w14:solidFill>
                    <w14:schemeClr w14:val="tx1"/>
                  </w14:solidFill>
                </w14:textFill>
              </w:rPr>
              <w:t xml:space="preserve">系统平台维护方案</w:t>
            </w:r>
            <w:r>
              <w:rPr>
                <w:rFonts w:hint="eastAsia"/>
                <w:color w:val="000000" w:themeColor="text1"/>
                <w:spacing w:val="-1"/>
                <w:highlight w:val="none"/>
                <w:lang w:val="en-US"/>
                <w14:textFill>
                  <w14:solidFill>
                    <w14:schemeClr w14:val="tx1"/>
                  </w14:solidFill>
                </w14:textFill>
              </w:rPr>
              <w:t xml:space="preserve">，内容包含：1.</w:t>
            </w:r>
            <w:r>
              <w:rPr>
                <w:color w:val="000000" w:themeColor="text1"/>
                <w:spacing w:val="-1"/>
                <w:highlight w:val="none"/>
                <w14:textFill>
                  <w14:solidFill>
                    <w14:schemeClr w14:val="tx1"/>
                  </w14:solidFill>
                </w14:textFill>
              </w:rPr>
              <w:t xml:space="preserve">系统平台的维护保养内容和周期</w:t>
            </w:r>
            <w:r>
              <w:rPr>
                <w:rFonts w:hint="eastAsia"/>
                <w:color w:val="000000" w:themeColor="text1"/>
                <w:spacing w:val="-1"/>
                <w:highlight w:val="none"/>
                <w14:textFill>
                  <w14:solidFill>
                    <w14:schemeClr w14:val="tx1"/>
                  </w14:solidFill>
                </w14:textFill>
              </w:rPr>
              <w:t xml:space="preserve">；</w:t>
            </w:r>
            <w:r>
              <w:rPr>
                <w:rFonts w:hint="eastAsia"/>
                <w:color w:val="000000" w:themeColor="text1"/>
                <w:spacing w:val="-1"/>
                <w:highlight w:val="none"/>
                <w:lang w:val="en-US"/>
                <w14:textFill>
                  <w14:solidFill>
                    <w14:schemeClr w14:val="tx1"/>
                  </w14:solidFill>
                </w14:textFill>
              </w:rPr>
              <w:t xml:space="preserve">2.</w:t>
            </w:r>
            <w:r>
              <w:rPr>
                <w:color w:val="000000" w:themeColor="text1"/>
                <w:spacing w:val="-1"/>
                <w:highlight w:val="none"/>
                <w14:textFill>
                  <w14:solidFill>
                    <w14:schemeClr w14:val="tx1"/>
                  </w14:solidFill>
                </w14:textFill>
              </w:rPr>
              <w:t xml:space="preserve">系统平台维护保养实施组织方案</w:t>
            </w:r>
            <w:r>
              <w:rPr>
                <w:rFonts w:hint="eastAsia"/>
                <w:color w:val="000000" w:themeColor="text1"/>
                <w:spacing w:val="-1"/>
                <w:highlight w:val="none"/>
                <w14:textFill>
                  <w14:solidFill>
                    <w14:schemeClr w14:val="tx1"/>
                  </w14:solidFill>
                </w14:textFill>
              </w:rPr>
              <w:t xml:space="preserve">；</w:t>
            </w:r>
            <w:r>
              <w:rPr>
                <w:rFonts w:hint="eastAsia"/>
                <w:color w:val="000000" w:themeColor="text1"/>
                <w:spacing w:val="-1"/>
                <w:highlight w:val="none"/>
                <w:lang w:val="en-US"/>
                <w14:textFill>
                  <w14:solidFill>
                    <w14:schemeClr w14:val="tx1"/>
                  </w14:solidFill>
                </w14:textFill>
              </w:rPr>
              <w:t xml:space="preserve">3.</w:t>
            </w:r>
            <w:r>
              <w:rPr>
                <w:color w:val="000000" w:themeColor="text1"/>
                <w:spacing w:val="-1"/>
                <w:highlight w:val="none"/>
                <w14:textFill>
                  <w14:solidFill>
                    <w14:schemeClr w14:val="tx1"/>
                  </w14:solidFill>
                </w14:textFill>
              </w:rPr>
              <w:t xml:space="preserve">维护保养备品备件的配置与管理</w:t>
            </w:r>
            <w:r>
              <w:rPr>
                <w:rFonts w:hint="eastAsia"/>
                <w:color w:val="000000" w:themeColor="text1"/>
                <w:spacing w:val="-1"/>
                <w:highlight w:val="none"/>
                <w14:textFill>
                  <w14:solidFill>
                    <w14:schemeClr w14:val="tx1"/>
                  </w14:solidFill>
                </w14:textFill>
              </w:rPr>
              <w:t xml:space="preserve">；</w:t>
            </w:r>
            <w:r>
              <w:rPr>
                <w:rFonts w:hint="eastAsia"/>
                <w:color w:val="000000" w:themeColor="text1"/>
                <w:spacing w:val="-1"/>
                <w:highlight w:val="none"/>
                <w:lang w:val="en-US"/>
                <w14:textFill>
                  <w14:solidFill>
                    <w14:schemeClr w14:val="tx1"/>
                  </w14:solidFill>
                </w14:textFill>
              </w:rPr>
              <w:t xml:space="preserve">4.</w:t>
            </w:r>
            <w:r>
              <w:rPr>
                <w:color w:val="000000" w:themeColor="text1"/>
                <w:spacing w:val="-1"/>
                <w:highlight w:val="none"/>
                <w14:textFill>
                  <w14:solidFill>
                    <w14:schemeClr w14:val="tx1"/>
                  </w14:solidFill>
                </w14:textFill>
              </w:rPr>
              <w:t xml:space="preserve">维护保养配置的工具、器材、人员及管理等</w:t>
            </w:r>
            <w:r>
              <w:rPr>
                <w:rFonts w:hint="eastAsia"/>
                <w:color w:val="000000" w:themeColor="text1"/>
                <w:spacing w:val="-1"/>
                <w:highlight w:val="none"/>
                <w14:textFill>
                  <w14:solidFill>
                    <w14:schemeClr w14:val="tx1"/>
                  </w14:solidFill>
                </w14:textFill>
              </w:rPr>
              <w:t xml:space="preserve">方面综合评分。</w:t>
            </w:r>
            <w:r/>
          </w:p>
          <w:p>
            <w:pPr>
              <w:pStyle w:val="1007"/>
              <w:ind w:right="110"/>
              <w:spacing w:before="76"/>
              <w:rPr>
                <w:color w:val="000000" w:themeColor="text1"/>
                <w:spacing w:val="-6"/>
                <w:highlight w:val="none"/>
                <w14:textFill>
                  <w14:solidFill>
                    <w14:schemeClr w14:val="tx1"/>
                  </w14:solidFill>
                </w14:textFill>
              </w:rPr>
            </w:pPr>
            <w:r>
              <w:rPr>
                <w:rFonts w:hint="eastAsia"/>
                <w:color w:val="000000" w:themeColor="text1"/>
                <w:spacing w:val="-1"/>
                <w:highlight w:val="none"/>
                <w14:textFill>
                  <w14:solidFill>
                    <w14:schemeClr w14:val="tx1"/>
                  </w14:solidFill>
                </w14:textFill>
              </w:rPr>
              <w:t xml:space="preserve">以上每项内容逐项评分：方案内容制订全面细致，完整合理，且专门针对本项目，契合采购需求视为符合；方案内容属于通用类，非专门针对本项目，部分契合采购需求视为部分符合；方案内容非专门针对本项目，脱离采购需求视为不符合。上述每项内容符合得</w:t>
            </w:r>
            <w:r>
              <w:rPr>
                <w:rFonts w:hint="eastAsia"/>
                <w:color w:val="000000" w:themeColor="text1"/>
                <w:spacing w:val="-1"/>
                <w:highlight w:val="none"/>
                <w:lang w:val="en-US"/>
                <w14:textFill>
                  <w14:solidFill>
                    <w14:schemeClr w14:val="tx1"/>
                  </w14:solidFill>
                </w14:textFill>
              </w:rPr>
              <w:t xml:space="preserve">1.5</w:t>
            </w:r>
            <w:r>
              <w:rPr>
                <w:rFonts w:hint="eastAsia"/>
                <w:color w:val="000000" w:themeColor="text1"/>
                <w:spacing w:val="-1"/>
                <w:highlight w:val="none"/>
                <w14:textFill>
                  <w14:solidFill>
                    <w14:schemeClr w14:val="tx1"/>
                  </w14:solidFill>
                </w14:textFill>
              </w:rPr>
              <w:t xml:space="preserve">分；部分符合得1分；不符合或不提供不得分。</w:t>
            </w:r>
            <w:r/>
          </w:p>
        </w:tc>
        <w:tc>
          <w:tcPr>
            <w:tcW w:w="573"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861" w:type="dxa"/>
            <w:vAlign w:val="center"/>
            <w:textDirection w:val="lrTb"/>
            <w:noWrap w:val="false"/>
          </w:tcPr>
          <w:p>
            <w:pPr>
              <w:jc w:val="center"/>
              <w:spacing w:before="68" w:line="264" w:lineRule="auto"/>
              <w:rPr>
                <w:rFonts w:ascii="宋体" w:hAnsi="宋体" w:cs="宋体"/>
                <w:color w:val="000000" w:themeColor="text1"/>
                <w:spacing w:val="-6"/>
                <w:highlight w:val="none"/>
                <w14:textFill>
                  <w14:solidFill>
                    <w14:schemeClr w14:val="tx1"/>
                  </w14:solidFill>
                </w14:textFill>
              </w:rPr>
            </w:pPr>
            <w:r>
              <w:rPr>
                <w:rFonts w:ascii="宋体" w:hAnsi="宋体" w:cs="宋体"/>
                <w:color w:val="000000" w:themeColor="text1"/>
                <w:spacing w:val="-6"/>
                <w:highlight w:val="none"/>
                <w14:textFill>
                  <w14:solidFill>
                    <w14:schemeClr w14:val="tx1"/>
                  </w14:solidFill>
                </w14:textFill>
              </w:rPr>
              <w:t xml:space="preserve">主</w:t>
            </w:r>
            <w:r>
              <w:rPr>
                <w:rFonts w:ascii="宋体" w:hAnsi="宋体" w:cs="宋体"/>
                <w:color w:val="000000" w:themeColor="text1"/>
                <w:spacing w:val="-4"/>
                <w:highlight w:val="none"/>
                <w14:textFill>
                  <w14:solidFill>
                    <w14:schemeClr w14:val="tx1"/>
                  </w14:solidFill>
                </w14:textFill>
              </w:rPr>
              <w:t xml:space="preserve">观</w:t>
            </w:r>
            <w:r>
              <w:rPr>
                <w:rFonts w:hint="eastAsia" w:ascii="宋体" w:hAnsi="宋体" w:cs="宋体"/>
                <w:color w:val="000000" w:themeColor="text1"/>
                <w:spacing w:val="-4"/>
                <w:highlight w:val="none"/>
                <w14:textFill>
                  <w14:solidFill>
                    <w14:schemeClr w14:val="tx1"/>
                  </w14:solidFill>
                </w14:textFill>
              </w:rPr>
              <w:t xml:space="preserve">分</w:t>
            </w:r>
            <w:r/>
          </w:p>
        </w:tc>
      </w:tr>
      <w:tr>
        <w:trPr>
          <w:jc w:val="center"/>
          <w:trHeight w:val="460"/>
        </w:trPr>
        <w:tc>
          <w:tcPr>
            <w:gridSpan w:val="5"/>
            <w:tcW w:w="9757" w:type="dxa"/>
            <w:vAlign w:val="center"/>
            <w:textDirection w:val="lrTb"/>
            <w:noWrap w:val="false"/>
          </w:tcPr>
          <w:p>
            <w:pPr>
              <w:spacing w:line="264"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pacing w:val="-3"/>
                <w:highlight w:val="none"/>
                <w14:textFill>
                  <w14:solidFill>
                    <w14:schemeClr w14:val="tx1"/>
                  </w14:solidFill>
                </w14:textFill>
              </w:rPr>
              <w:t xml:space="preserve">3.业绩</w:t>
            </w:r>
            <w:r/>
          </w:p>
        </w:tc>
      </w:tr>
      <w:tr>
        <w:trPr>
          <w:jc w:val="center"/>
          <w:trHeight w:val="1019"/>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ascii="宋体" w:hAnsi="宋体" w:cs="宋体"/>
                <w:color w:val="000000" w:themeColor="text1"/>
                <w:spacing w:val="-2"/>
                <w:highlight w:val="none"/>
                <w14:textFill>
                  <w14:solidFill>
                    <w14:schemeClr w14:val="tx1"/>
                  </w14:solidFill>
                </w14:textFill>
              </w:rPr>
              <w:t xml:space="preserve">3.1</w:t>
            </w:r>
            <w:r/>
          </w:p>
        </w:tc>
        <w:tc>
          <w:tcPr>
            <w:tcW w:w="1180" w:type="dxa"/>
            <w:vAlign w:val="center"/>
            <w:textDirection w:val="lrTb"/>
            <w:noWrap w:val="false"/>
          </w:tcPr>
          <w:p>
            <w:pPr>
              <w:spacing w:before="69"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t xml:space="preserve">投标人业绩</w:t>
            </w:r>
            <w:r/>
          </w:p>
        </w:tc>
        <w:tc>
          <w:tcPr>
            <w:tcW w:w="6624" w:type="dxa"/>
            <w:vAlign w:val="center"/>
            <w:textDirection w:val="lrTb"/>
            <w:noWrap w:val="false"/>
          </w:tcPr>
          <w:p>
            <w:pPr>
              <w:pStyle w:val="714"/>
              <w:ind w:left="0"/>
              <w:rPr>
                <w:color w:val="000000" w:themeColor="text1"/>
                <w:highlight w:val="none"/>
                <w14:textFill>
                  <w14:solidFill>
                    <w14:schemeClr w14:val="tx1"/>
                  </w14:solidFill>
                </w14:textFill>
              </w:rPr>
            </w:pPr>
            <w:r>
              <w:rPr>
                <w:rFonts w:ascii="宋体" w:hAnsi="宋体" w:eastAsia="宋体"/>
                <w:color w:val="000000" w:themeColor="text1"/>
                <w:spacing w:val="-2"/>
                <w:sz w:val="22"/>
                <w:szCs w:val="22"/>
                <w:highlight w:val="none"/>
                <w:lang w:bidi="zh-CN"/>
                <w14:textFill>
                  <w14:solidFill>
                    <w14:schemeClr w14:val="tx1"/>
                  </w14:solidFill>
                </w14:textFill>
              </w:rPr>
              <w:t xml:space="preserve">提供自20</w:t>
            </w:r>
            <w:r>
              <w:rPr>
                <w:rFonts w:ascii="宋体" w:hAnsi="宋体" w:eastAsia="宋体"/>
                <w:color w:val="000000" w:themeColor="text1"/>
                <w:spacing w:val="-2"/>
                <w:sz w:val="22"/>
                <w:szCs w:val="22"/>
                <w:highlight w:val="none"/>
                <w:lang w:val="en-GB" w:bidi="zh-CN"/>
                <w14:textFill>
                  <w14:solidFill>
                    <w14:schemeClr w14:val="tx1"/>
                  </w14:solidFill>
                </w14:textFill>
              </w:rPr>
              <w:t xml:space="preserve">2</w:t>
            </w:r>
            <w:r>
              <w:rPr>
                <w:rFonts w:hint="eastAsia" w:ascii="宋体" w:hAnsi="宋体" w:eastAsia="宋体"/>
                <w:color w:val="000000" w:themeColor="text1"/>
                <w:spacing w:val="-2"/>
                <w:sz w:val="22"/>
                <w:szCs w:val="22"/>
                <w:highlight w:val="none"/>
                <w:lang w:val="en-US" w:bidi="zh-CN"/>
                <w14:textFill>
                  <w14:solidFill>
                    <w14:schemeClr w14:val="tx1"/>
                  </w14:solidFill>
                </w14:textFill>
              </w:rPr>
              <w:t xml:space="preserve">3</w:t>
            </w:r>
            <w:r>
              <w:rPr>
                <w:rFonts w:ascii="宋体" w:hAnsi="宋体" w:eastAsia="宋体"/>
                <w:color w:val="000000" w:themeColor="text1"/>
                <w:spacing w:val="-2"/>
                <w:sz w:val="22"/>
                <w:szCs w:val="22"/>
                <w:highlight w:val="none"/>
                <w:lang w:bidi="zh-CN"/>
                <w14:textFill>
                  <w14:solidFill>
                    <w14:schemeClr w14:val="tx1"/>
                  </w14:solidFill>
                </w14:textFill>
              </w:rPr>
              <w:t xml:space="preserve">年</w:t>
            </w:r>
            <w:r>
              <w:rPr>
                <w:rFonts w:hint="eastAsia" w:ascii="宋体" w:hAnsi="宋体" w:eastAsia="宋体"/>
                <w:color w:val="000000" w:themeColor="text1"/>
                <w:spacing w:val="-2"/>
                <w:sz w:val="22"/>
                <w:szCs w:val="22"/>
                <w:highlight w:val="none"/>
                <w:lang w:val="en-US" w:bidi="zh-CN"/>
                <w14:textFill>
                  <w14:solidFill>
                    <w14:schemeClr w14:val="tx1"/>
                  </w14:solidFill>
                </w14:textFill>
              </w:rPr>
              <w:t xml:space="preserve">9</w:t>
            </w:r>
            <w:r>
              <w:rPr>
                <w:rFonts w:ascii="宋体" w:hAnsi="宋体" w:eastAsia="宋体"/>
                <w:color w:val="000000" w:themeColor="text1"/>
                <w:spacing w:val="-2"/>
                <w:sz w:val="22"/>
                <w:szCs w:val="22"/>
                <w:highlight w:val="none"/>
                <w:lang w:bidi="zh-CN"/>
                <w14:textFill>
                  <w14:solidFill>
                    <w14:schemeClr w14:val="tx1"/>
                  </w14:solidFill>
                </w14:textFill>
              </w:rPr>
              <w:t xml:space="preserve">月1日以来完成过类似</w:t>
            </w:r>
            <w:r>
              <w:rPr>
                <w:rFonts w:hint="eastAsia" w:ascii="宋体" w:hAnsi="宋体" w:eastAsia="宋体"/>
                <w:color w:val="000000" w:themeColor="text1"/>
                <w:spacing w:val="-2"/>
                <w:sz w:val="22"/>
                <w:szCs w:val="22"/>
                <w:highlight w:val="none"/>
                <w:lang w:bidi="zh-CN"/>
                <w14:textFill>
                  <w14:solidFill>
                    <w14:schemeClr w14:val="tx1"/>
                  </w14:solidFill>
                </w14:textFill>
              </w:rPr>
              <w:t xml:space="preserve">项目（至少包含道路</w:t>
            </w:r>
            <w:r>
              <w:rPr>
                <w:rFonts w:ascii="宋体" w:hAnsi="宋体" w:eastAsia="宋体"/>
                <w:color w:val="000000" w:themeColor="text1"/>
                <w:spacing w:val="-2"/>
                <w:sz w:val="22"/>
                <w:szCs w:val="22"/>
                <w:highlight w:val="none"/>
                <w:lang w:bidi="zh-CN"/>
                <w14:textFill>
                  <w14:solidFill>
                    <w14:schemeClr w14:val="tx1"/>
                  </w14:solidFill>
                </w14:textFill>
              </w:rPr>
              <w:t xml:space="preserve">信号灯</w:t>
            </w:r>
            <w:r>
              <w:rPr>
                <w:rFonts w:hint="eastAsia" w:ascii="宋体" w:hAnsi="宋体" w:eastAsia="宋体"/>
                <w:color w:val="000000" w:themeColor="text1"/>
                <w:spacing w:val="-2"/>
                <w:sz w:val="22"/>
                <w:szCs w:val="22"/>
                <w:highlight w:val="none"/>
                <w:lang w:val="en-US" w:bidi="zh-CN"/>
                <w14:textFill>
                  <w14:solidFill>
                    <w14:schemeClr w14:val="tx1"/>
                  </w14:solidFill>
                </w14:textFill>
              </w:rPr>
              <w:t xml:space="preserve">或视频监控</w:t>
            </w:r>
            <w:r>
              <w:rPr>
                <w:rFonts w:hint="eastAsia" w:ascii="宋体" w:hAnsi="宋体" w:eastAsia="宋体"/>
                <w:color w:val="000000" w:themeColor="text1"/>
                <w:spacing w:val="-2"/>
                <w:sz w:val="22"/>
                <w:szCs w:val="22"/>
                <w:highlight w:val="none"/>
                <w:lang w:bidi="zh-CN"/>
                <w14:textFill>
                  <w14:solidFill>
                    <w14:schemeClr w14:val="tx1"/>
                  </w14:solidFill>
                </w14:textFill>
              </w:rPr>
              <w:t xml:space="preserve">类）</w:t>
            </w:r>
            <w:r>
              <w:rPr>
                <w:rFonts w:ascii="宋体" w:hAnsi="宋体" w:eastAsia="宋体"/>
                <w:color w:val="000000" w:themeColor="text1"/>
                <w:spacing w:val="-2"/>
                <w:sz w:val="22"/>
                <w:szCs w:val="22"/>
                <w:highlight w:val="none"/>
                <w:lang w:bidi="zh-CN"/>
                <w14:textFill>
                  <w14:solidFill>
                    <w14:schemeClr w14:val="tx1"/>
                  </w14:solidFill>
                </w14:textFill>
              </w:rPr>
              <w:t xml:space="preserve">的成功案例，每提供</w:t>
            </w:r>
            <w:r>
              <w:rPr>
                <w:rFonts w:hint="eastAsia" w:ascii="宋体" w:hAnsi="宋体" w:eastAsia="宋体"/>
                <w:color w:val="000000" w:themeColor="text1"/>
                <w:spacing w:val="-2"/>
                <w:sz w:val="22"/>
                <w:szCs w:val="22"/>
                <w:highlight w:val="none"/>
                <w:lang w:bidi="zh-CN"/>
                <w14:textFill>
                  <w14:solidFill>
                    <w14:schemeClr w14:val="tx1"/>
                  </w14:solidFill>
                </w14:textFill>
              </w:rPr>
              <w:t xml:space="preserve">1</w:t>
            </w:r>
            <w:r>
              <w:rPr>
                <w:rFonts w:ascii="宋体" w:hAnsi="宋体" w:eastAsia="宋体"/>
                <w:color w:val="000000" w:themeColor="text1"/>
                <w:spacing w:val="-2"/>
                <w:sz w:val="22"/>
                <w:szCs w:val="22"/>
                <w:highlight w:val="none"/>
                <w:lang w:bidi="zh-CN"/>
                <w14:textFill>
                  <w14:solidFill>
                    <w14:schemeClr w14:val="tx1"/>
                  </w14:solidFill>
                </w14:textFill>
              </w:rPr>
              <w:t xml:space="preserve">个得</w:t>
            </w:r>
            <w:r>
              <w:rPr>
                <w:rFonts w:hint="eastAsia" w:ascii="宋体" w:hAnsi="宋体" w:eastAsia="宋体"/>
                <w:color w:val="000000" w:themeColor="text1"/>
                <w:spacing w:val="-2"/>
                <w:sz w:val="22"/>
                <w:szCs w:val="22"/>
                <w:highlight w:val="none"/>
                <w:lang w:bidi="zh-CN"/>
                <w14:textFill>
                  <w14:solidFill>
                    <w14:schemeClr w14:val="tx1"/>
                  </w14:solidFill>
                </w14:textFill>
              </w:rPr>
              <w:t xml:space="preserve">3</w:t>
            </w:r>
            <w:r>
              <w:rPr>
                <w:rFonts w:ascii="宋体" w:hAnsi="宋体" w:eastAsia="宋体"/>
                <w:color w:val="000000" w:themeColor="text1"/>
                <w:spacing w:val="-2"/>
                <w:sz w:val="22"/>
                <w:szCs w:val="22"/>
                <w:highlight w:val="none"/>
                <w:lang w:bidi="zh-CN"/>
                <w14:textFill>
                  <w14:solidFill>
                    <w14:schemeClr w14:val="tx1"/>
                  </w14:solidFill>
                </w14:textFill>
              </w:rPr>
              <w:t xml:space="preserve">分，最多得</w:t>
            </w:r>
            <w:r>
              <w:rPr>
                <w:rFonts w:hint="eastAsia" w:ascii="宋体" w:hAnsi="宋体" w:eastAsia="宋体"/>
                <w:color w:val="000000" w:themeColor="text1"/>
                <w:spacing w:val="-2"/>
                <w:sz w:val="22"/>
                <w:szCs w:val="22"/>
                <w:highlight w:val="none"/>
                <w:lang w:bidi="zh-CN"/>
                <w14:textFill>
                  <w14:solidFill>
                    <w14:schemeClr w14:val="tx1"/>
                  </w14:solidFill>
                </w14:textFill>
              </w:rPr>
              <w:t xml:space="preserve">9</w:t>
            </w:r>
            <w:r>
              <w:rPr>
                <w:rFonts w:ascii="宋体" w:hAnsi="宋体" w:eastAsia="宋体"/>
                <w:color w:val="000000" w:themeColor="text1"/>
                <w:spacing w:val="-2"/>
                <w:sz w:val="22"/>
                <w:szCs w:val="22"/>
                <w:highlight w:val="none"/>
                <w:lang w:bidi="zh-CN"/>
                <w14:textFill>
                  <w14:solidFill>
                    <w14:schemeClr w14:val="tx1"/>
                  </w14:solidFill>
                </w14:textFill>
              </w:rPr>
              <w:t xml:space="preserve">分。（</w:t>
            </w:r>
            <w:r>
              <w:rPr>
                <w:rFonts w:hint="eastAsia" w:ascii="宋体" w:hAnsi="宋体" w:eastAsia="宋体"/>
                <w:color w:val="000000" w:themeColor="text1"/>
                <w:spacing w:val="-2"/>
                <w:sz w:val="22"/>
                <w:szCs w:val="22"/>
                <w:highlight w:val="none"/>
                <w:lang w:bidi="zh-CN"/>
                <w14:textFill>
                  <w14:solidFill>
                    <w14:schemeClr w14:val="tx1"/>
                  </w14:solidFill>
                </w14:textFill>
              </w:rPr>
              <w:t xml:space="preserve">时间以合同签订时间为准，</w:t>
            </w:r>
            <w:r>
              <w:rPr>
                <w:rFonts w:ascii="宋体" w:hAnsi="宋体" w:eastAsia="宋体"/>
                <w:color w:val="000000" w:themeColor="text1"/>
                <w:spacing w:val="-2"/>
                <w:sz w:val="22"/>
                <w:szCs w:val="22"/>
                <w:highlight w:val="none"/>
                <w:lang w:bidi="zh-CN"/>
                <w14:textFill>
                  <w14:solidFill>
                    <w14:schemeClr w14:val="tx1"/>
                  </w14:solidFill>
                </w14:textFill>
              </w:rPr>
              <w:t xml:space="preserve">提供合同</w:t>
            </w:r>
            <w:r>
              <w:rPr>
                <w:rFonts w:hint="eastAsia" w:ascii="宋体" w:hAnsi="宋体" w:eastAsia="宋体"/>
                <w:color w:val="000000" w:themeColor="text1"/>
                <w:spacing w:val="-2"/>
                <w:sz w:val="22"/>
                <w:szCs w:val="22"/>
                <w:highlight w:val="none"/>
                <w:lang w:bidi="zh-CN"/>
                <w14:textFill>
                  <w14:solidFill>
                    <w14:schemeClr w14:val="tx1"/>
                  </w14:solidFill>
                </w14:textFill>
              </w:rPr>
              <w:t xml:space="preserve">及发票</w:t>
            </w:r>
            <w:r>
              <w:rPr>
                <w:rFonts w:ascii="宋体" w:hAnsi="宋体" w:eastAsia="宋体"/>
                <w:color w:val="000000" w:themeColor="text1"/>
                <w:spacing w:val="-2"/>
                <w:sz w:val="22"/>
                <w:szCs w:val="22"/>
                <w:highlight w:val="none"/>
                <w:lang w:bidi="zh-CN"/>
                <w14:textFill>
                  <w14:solidFill>
                    <w14:schemeClr w14:val="tx1"/>
                  </w14:solidFill>
                </w14:textFill>
              </w:rPr>
              <w:t xml:space="preserve">，能反映相关</w:t>
            </w:r>
            <w:r>
              <w:rPr>
                <w:rFonts w:hint="eastAsia" w:ascii="宋体" w:hAnsi="宋体" w:eastAsia="宋体"/>
                <w:color w:val="000000" w:themeColor="text1"/>
                <w:spacing w:val="-2"/>
                <w:sz w:val="22"/>
                <w:szCs w:val="22"/>
                <w:highlight w:val="none"/>
                <w:lang w:bidi="zh-CN"/>
                <w14:textFill>
                  <w14:solidFill>
                    <w14:schemeClr w14:val="tx1"/>
                  </w14:solidFill>
                </w14:textFill>
              </w:rPr>
              <w:t xml:space="preserve">证明</w:t>
            </w:r>
            <w:r>
              <w:rPr>
                <w:rFonts w:ascii="宋体" w:hAnsi="宋体" w:eastAsia="宋体"/>
                <w:color w:val="000000" w:themeColor="text1"/>
                <w:spacing w:val="-2"/>
                <w:sz w:val="22"/>
                <w:szCs w:val="22"/>
                <w:highlight w:val="none"/>
                <w:lang w:bidi="zh-CN"/>
                <w14:textFill>
                  <w14:solidFill>
                    <w14:schemeClr w14:val="tx1"/>
                  </w14:solidFill>
                </w14:textFill>
              </w:rPr>
              <w:t xml:space="preserve">信息，未提供的不得分）。</w:t>
            </w:r>
            <w:r/>
          </w:p>
        </w:tc>
        <w:tc>
          <w:tcPr>
            <w:tcW w:w="573" w:type="dxa"/>
            <w:vAlign w:val="center"/>
            <w:textDirection w:val="lrTb"/>
            <w:noWrap w:val="false"/>
          </w:tcPr>
          <w:p>
            <w:pPr>
              <w:jc w:val="center"/>
              <w:spacing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W w:w="861" w:type="dxa"/>
            <w:vAlign w:val="center"/>
            <w:textDirection w:val="lrTb"/>
            <w:noWrap w:val="false"/>
          </w:tcPr>
          <w:p>
            <w:pPr>
              <w:jc w:val="center"/>
              <w:spacing w:before="68" w:line="264"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 xml:space="preserve">客</w:t>
            </w:r>
            <w:r>
              <w:rPr>
                <w:rFonts w:hint="eastAsia" w:ascii="宋体" w:hAnsi="宋体" w:cs="宋体"/>
                <w:color w:val="000000" w:themeColor="text1"/>
                <w:spacing w:val="-4"/>
                <w:highlight w:val="none"/>
                <w14:textFill>
                  <w14:solidFill>
                    <w14:schemeClr w14:val="tx1"/>
                  </w14:solidFill>
                </w14:textFill>
              </w:rPr>
              <w:t xml:space="preserve">观分</w:t>
            </w:r>
            <w:r/>
          </w:p>
        </w:tc>
      </w:tr>
      <w:tr>
        <w:trPr>
          <w:jc w:val="center"/>
          <w:trHeight w:val="427"/>
        </w:trPr>
        <w:tc>
          <w:tcPr>
            <w:gridSpan w:val="5"/>
            <w:tcW w:w="9757" w:type="dxa"/>
            <w:vAlign w:val="top"/>
            <w:textDirection w:val="lrTb"/>
            <w:noWrap w:val="false"/>
          </w:tcPr>
          <w:p>
            <w:pPr>
              <w:spacing w:before="123" w:line="264"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pacing w:val="-3"/>
                <w:highlight w:val="none"/>
                <w14:textFill>
                  <w14:solidFill>
                    <w14:schemeClr w14:val="tx1"/>
                  </w14:solidFill>
                </w14:textFill>
              </w:rPr>
              <w:t xml:space="preserve">4.履约能力</w:t>
            </w:r>
            <w:r/>
          </w:p>
        </w:tc>
      </w:tr>
      <w:tr>
        <w:trPr>
          <w:jc w:val="center"/>
          <w:trHeight w:val="672"/>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ascii="宋体" w:hAnsi="宋体" w:cs="宋体"/>
                <w:color w:val="000000" w:themeColor="text1"/>
                <w:spacing w:val="-2"/>
                <w:highlight w:val="none"/>
                <w14:textFill>
                  <w14:solidFill>
                    <w14:schemeClr w14:val="tx1"/>
                  </w14:solidFill>
                </w14:textFill>
              </w:rPr>
              <w:t xml:space="preserve">4.1</w:t>
            </w:r>
            <w:r/>
          </w:p>
        </w:tc>
        <w:tc>
          <w:tcPr>
            <w:tcW w:w="1180" w:type="dxa"/>
            <w:vAlign w:val="center"/>
            <w:textDirection w:val="lrTb"/>
            <w:noWrap w:val="false"/>
          </w:tcPr>
          <w:p>
            <w:pPr>
              <w:spacing w:before="69" w:line="264" w:lineRule="auto"/>
              <w:rPr>
                <w:rFonts w:hint="eastAsia" w:ascii="宋体" w:hAnsi="宋体" w:cs="宋体"/>
                <w:color w:val="000000" w:themeColor="text1"/>
                <w:spacing w:val="-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拟投入本项</w:t>
            </w:r>
            <w:r>
              <w:rPr>
                <w:color w:val="000000" w:themeColor="text1"/>
                <w:spacing w:val="-4"/>
                <w:highlight w:val="none"/>
                <w14:textFill>
                  <w14:solidFill>
                    <w14:schemeClr w14:val="tx1"/>
                  </w14:solidFill>
                </w14:textFill>
              </w:rPr>
              <w:t xml:space="preserve">目的人员</w:t>
            </w:r>
            <w:r/>
          </w:p>
        </w:tc>
        <w:tc>
          <w:tcPr>
            <w:tcW w:w="6624" w:type="dxa"/>
            <w:vAlign w:val="center"/>
            <w:textDirection w:val="lrTb"/>
            <w:noWrap w:val="false"/>
          </w:tcPr>
          <w:p>
            <w:pPr>
              <w:pStyle w:val="1007"/>
              <w:numPr>
                <w:ilvl w:val="0"/>
                <w:numId w:val="6"/>
              </w:numPr>
              <w:ind w:right="170"/>
              <w:spacing w:before="90"/>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项目经理同时具有机电工程专业国家注册二级建造师及以上资格证书和安全员B类证书</w:t>
            </w:r>
            <w:r>
              <w:rPr>
                <w:color w:val="000000" w:themeColor="text1"/>
                <w:spacing w:val="-2"/>
                <w:highlight w:val="none"/>
                <w14:textFill>
                  <w14:solidFill>
                    <w14:schemeClr w14:val="tx1"/>
                  </w14:solidFill>
                </w14:textFill>
              </w:rPr>
              <w:t xml:space="preserve">，</w:t>
            </w:r>
            <w:r>
              <w:rPr>
                <w:rFonts w:hint="eastAsia"/>
                <w:color w:val="000000" w:themeColor="text1"/>
                <w:spacing w:val="-2"/>
                <w:highlight w:val="none"/>
                <w14:textFill>
                  <w14:solidFill>
                    <w14:schemeClr w14:val="tx1"/>
                  </w14:solidFill>
                </w14:textFill>
              </w:rPr>
              <w:t xml:space="preserve">须驻场服务，</w:t>
            </w:r>
            <w:r>
              <w:rPr>
                <w:color w:val="000000" w:themeColor="text1"/>
                <w:spacing w:val="-2"/>
                <w:highlight w:val="none"/>
                <w14:textFill>
                  <w14:solidFill>
                    <w14:schemeClr w14:val="tx1"/>
                  </w14:solidFill>
                </w14:textFill>
              </w:rPr>
              <w:t xml:space="preserve">得</w:t>
            </w:r>
            <w:r>
              <w:rPr>
                <w:rFonts w:hint="eastAsia"/>
                <w:color w:val="000000" w:themeColor="text1"/>
                <w:spacing w:val="-2"/>
                <w:highlight w:val="none"/>
                <w14:textFill>
                  <w14:solidFill>
                    <w14:schemeClr w14:val="tx1"/>
                  </w14:solidFill>
                </w14:textFill>
              </w:rPr>
              <w:t xml:space="preserve">3</w:t>
            </w:r>
            <w:r>
              <w:rPr>
                <w:color w:val="000000" w:themeColor="text1"/>
                <w:spacing w:val="-2"/>
                <w:highlight w:val="none"/>
                <w14:textFill>
                  <w14:solidFill>
                    <w14:schemeClr w14:val="tx1"/>
                  </w14:solidFill>
                </w14:textFill>
              </w:rPr>
              <w:t xml:space="preserve">分，缺一不得分</w:t>
            </w:r>
            <w:r>
              <w:rPr>
                <w:rFonts w:hint="eastAsia"/>
                <w:color w:val="000000" w:themeColor="text1"/>
                <w:spacing w:val="-2"/>
                <w:highlight w:val="none"/>
                <w14:textFill>
                  <w14:solidFill>
                    <w14:schemeClr w14:val="tx1"/>
                  </w14:solidFill>
                </w14:textFill>
              </w:rPr>
              <w:t xml:space="preserve">。（</w:t>
            </w:r>
            <w:r>
              <w:rPr>
                <w:color w:val="000000" w:themeColor="text1"/>
                <w:spacing w:val="-2"/>
                <w:highlight w:val="none"/>
                <w14:textFill>
                  <w14:solidFill>
                    <w14:schemeClr w14:val="tx1"/>
                  </w14:solidFill>
                </w14:textFill>
              </w:rPr>
              <w:t xml:space="preserve">提供人员证书及投标人为其缴纳的202</w:t>
            </w:r>
            <w:r>
              <w:rPr>
                <w:rFonts w:hint="eastAsia"/>
                <w:color w:val="000000" w:themeColor="text1"/>
                <w:spacing w:val="-2"/>
                <w:highlight w:val="none"/>
                <w:lang w:val="en-US"/>
                <w14:textFill>
                  <w14:solidFill>
                    <w14:schemeClr w14:val="tx1"/>
                  </w14:solidFill>
                </w14:textFill>
              </w:rPr>
              <w:t xml:space="preserve">6</w:t>
            </w:r>
            <w:r>
              <w:rPr>
                <w:color w:val="000000" w:themeColor="text1"/>
                <w:spacing w:val="-2"/>
                <w:highlight w:val="none"/>
                <w14:textFill>
                  <w14:solidFill>
                    <w14:schemeClr w14:val="tx1"/>
                  </w14:solidFill>
                </w14:textFill>
              </w:rPr>
              <w:t xml:space="preserve">年</w:t>
            </w:r>
            <w:r>
              <w:rPr>
                <w:rFonts w:hint="eastAsia"/>
                <w:color w:val="000000" w:themeColor="text1"/>
                <w:spacing w:val="-2"/>
                <w:highlight w:val="none"/>
                <w14:textFill>
                  <w14:solidFill>
                    <w14:schemeClr w14:val="tx1"/>
                  </w14:solidFill>
                </w14:textFill>
              </w:rPr>
              <w:t xml:space="preserve">1</w:t>
            </w:r>
            <w:r>
              <w:rPr>
                <w:color w:val="000000" w:themeColor="text1"/>
                <w:spacing w:val="-2"/>
                <w:highlight w:val="none"/>
                <w14:textFill>
                  <w14:solidFill>
                    <w14:schemeClr w14:val="tx1"/>
                  </w14:solidFill>
                </w14:textFill>
              </w:rPr>
              <w:t xml:space="preserve">月</w:t>
            </w:r>
            <w:r>
              <w:rPr>
                <w:rFonts w:hint="eastAsia"/>
                <w:color w:val="000000" w:themeColor="text1"/>
                <w:spacing w:val="-2"/>
                <w:highlight w:val="none"/>
                <w14:textFill>
                  <w14:solidFill>
                    <w14:schemeClr w14:val="tx1"/>
                  </w14:solidFill>
                </w14:textFill>
              </w:rPr>
              <w:t xml:space="preserve">以来</w:t>
            </w:r>
            <w:r>
              <w:rPr>
                <w:color w:val="000000" w:themeColor="text1"/>
                <w:spacing w:val="-2"/>
                <w:highlight w:val="none"/>
                <w14:textFill>
                  <w14:solidFill>
                    <w14:schemeClr w14:val="tx1"/>
                  </w14:solidFill>
                </w14:textFill>
              </w:rPr>
              <w:t xml:space="preserve">任意一个月的社保证明，证明材料缺项或未提供的不得分</w:t>
            </w:r>
            <w:r>
              <w:rPr>
                <w:rFonts w:hint="eastAsia"/>
                <w:color w:val="000000" w:themeColor="text1"/>
                <w:spacing w:val="-2"/>
                <w:highlight w:val="none"/>
                <w14:textFill>
                  <w14:solidFill>
                    <w14:schemeClr w14:val="tx1"/>
                  </w14:solidFill>
                </w14:textFill>
              </w:rPr>
              <w:t xml:space="preserve">）</w:t>
            </w:r>
            <w:r>
              <w:rPr>
                <w:color w:val="000000" w:themeColor="text1"/>
                <w:spacing w:val="-2"/>
                <w:highlight w:val="none"/>
                <w14:textFill>
                  <w14:solidFill>
                    <w14:schemeClr w14:val="tx1"/>
                  </w14:solidFill>
                </w14:textFill>
              </w:rPr>
              <w:t xml:space="preserve">。</w:t>
            </w:r>
            <w:r/>
          </w:p>
          <w:p>
            <w:pPr>
              <w:pStyle w:val="1007"/>
              <w:numPr>
                <w:ilvl w:val="0"/>
                <w:numId w:val="6"/>
              </w:numPr>
              <w:ind w:right="170"/>
              <w:spacing w:before="90"/>
              <w:rPr>
                <w:color w:val="000000" w:themeColor="text1"/>
                <w:spacing w:val="-2"/>
                <w:highlight w:val="none"/>
                <w14:textFill>
                  <w14:solidFill>
                    <w14:schemeClr w14:val="tx1"/>
                  </w14:solidFill>
                </w14:textFill>
              </w:rPr>
            </w:pPr>
            <w:r>
              <w:rPr>
                <w:rFonts w:hint="eastAsia"/>
                <w:color w:val="000000" w:themeColor="text1"/>
                <w:spacing w:val="-2"/>
                <w:highlight w:val="none"/>
                <w:lang w:val="en-US"/>
                <w14:textFill>
                  <w14:solidFill>
                    <w14:schemeClr w14:val="tx1"/>
                  </w14:solidFill>
                </w14:textFill>
              </w:rPr>
              <w:t xml:space="preserve">安全员</w:t>
            </w:r>
            <w:r>
              <w:rPr>
                <w:rFonts w:hint="eastAsia"/>
                <w:color w:val="000000" w:themeColor="text1"/>
                <w:spacing w:val="-2"/>
                <w:highlight w:val="none"/>
                <w14:textFill>
                  <w14:solidFill>
                    <w14:schemeClr w14:val="tx1"/>
                  </w14:solidFill>
                </w14:textFill>
              </w:rPr>
              <w:t xml:space="preserve">须具有有效期内安全员C类证</w:t>
            </w:r>
            <w:r>
              <w:rPr>
                <w:rFonts w:hint="eastAsia"/>
                <w:color w:val="000000" w:themeColor="text1"/>
                <w:spacing w:val="-2"/>
                <w:highlight w:val="none"/>
                <w:lang w:val="en-US"/>
                <w14:textFill>
                  <w14:solidFill>
                    <w14:schemeClr w14:val="tx1"/>
                  </w14:solidFill>
                </w14:textFill>
              </w:rPr>
              <w:t xml:space="preserve">书</w:t>
            </w:r>
            <w:r>
              <w:rPr>
                <w:rFonts w:hint="eastAsia"/>
                <w:color w:val="000000" w:themeColor="text1"/>
                <w:spacing w:val="-2"/>
                <w:highlight w:val="none"/>
                <w14:textFill>
                  <w14:solidFill>
                    <w14:schemeClr w14:val="tx1"/>
                  </w14:solidFill>
                </w14:textFill>
              </w:rPr>
              <w:t xml:space="preserve">，须驻场服务，</w:t>
            </w:r>
            <w:r>
              <w:rPr>
                <w:rFonts w:hint="eastAsia"/>
                <w:color w:val="000000" w:themeColor="text1"/>
                <w:spacing w:val="-2"/>
                <w:highlight w:val="none"/>
                <w:lang w:val="en-US"/>
                <w14:textFill>
                  <w14:solidFill>
                    <w14:schemeClr w14:val="tx1"/>
                  </w14:solidFill>
                </w14:textFill>
              </w:rPr>
              <w:t xml:space="preserve">得2分，不提供不得分。</w:t>
            </w:r>
            <w:r>
              <w:rPr>
                <w:rFonts w:hint="eastAsia"/>
                <w:color w:val="000000" w:themeColor="text1"/>
                <w:spacing w:val="-2"/>
                <w:highlight w:val="none"/>
                <w14:textFill>
                  <w14:solidFill>
                    <w14:schemeClr w14:val="tx1"/>
                  </w14:solidFill>
                </w14:textFill>
              </w:rPr>
              <w:t xml:space="preserve">（</w:t>
            </w:r>
            <w:r>
              <w:rPr>
                <w:color w:val="000000" w:themeColor="text1"/>
                <w:spacing w:val="-2"/>
                <w:highlight w:val="none"/>
                <w14:textFill>
                  <w14:solidFill>
                    <w14:schemeClr w14:val="tx1"/>
                  </w14:solidFill>
                </w14:textFill>
              </w:rPr>
              <w:t xml:space="preserve">提供人员证书</w:t>
            </w:r>
            <w:r>
              <w:rPr>
                <w:rFonts w:hint="eastAsia"/>
                <w:color w:val="000000" w:themeColor="text1"/>
                <w:spacing w:val="-2"/>
                <w:highlight w:val="none"/>
                <w14:textFill>
                  <w14:solidFill>
                    <w14:schemeClr w14:val="tx1"/>
                  </w14:solidFill>
                </w14:textFill>
              </w:rPr>
              <w:t xml:space="preserve">及投标人</w:t>
            </w:r>
            <w:r>
              <w:rPr>
                <w:color w:val="000000" w:themeColor="text1"/>
                <w:spacing w:val="-2"/>
                <w:highlight w:val="none"/>
                <w14:textFill>
                  <w14:solidFill>
                    <w14:schemeClr w14:val="tx1"/>
                  </w14:solidFill>
                </w14:textFill>
              </w:rPr>
              <w:t xml:space="preserve">为其缴纳的202</w:t>
            </w:r>
            <w:r>
              <w:rPr>
                <w:rFonts w:hint="eastAsia"/>
                <w:color w:val="000000" w:themeColor="text1"/>
                <w:spacing w:val="-2"/>
                <w:highlight w:val="none"/>
                <w:lang w:val="en-US"/>
                <w14:textFill>
                  <w14:solidFill>
                    <w14:schemeClr w14:val="tx1"/>
                  </w14:solidFill>
                </w14:textFill>
              </w:rPr>
              <w:t xml:space="preserve">6</w:t>
            </w:r>
            <w:r>
              <w:rPr>
                <w:color w:val="000000" w:themeColor="text1"/>
                <w:spacing w:val="-2"/>
                <w:highlight w:val="none"/>
                <w14:textFill>
                  <w14:solidFill>
                    <w14:schemeClr w14:val="tx1"/>
                  </w14:solidFill>
                </w14:textFill>
              </w:rPr>
              <w:t xml:space="preserve">年</w:t>
            </w:r>
            <w:r>
              <w:rPr>
                <w:rFonts w:hint="eastAsia"/>
                <w:color w:val="000000" w:themeColor="text1"/>
                <w:spacing w:val="-2"/>
                <w:highlight w:val="none"/>
                <w14:textFill>
                  <w14:solidFill>
                    <w14:schemeClr w14:val="tx1"/>
                  </w14:solidFill>
                </w14:textFill>
              </w:rPr>
              <w:t xml:space="preserve">1</w:t>
            </w:r>
            <w:r>
              <w:rPr>
                <w:color w:val="000000" w:themeColor="text1"/>
                <w:spacing w:val="-2"/>
                <w:highlight w:val="none"/>
                <w14:textFill>
                  <w14:solidFill>
                    <w14:schemeClr w14:val="tx1"/>
                  </w14:solidFill>
                </w14:textFill>
              </w:rPr>
              <w:t xml:space="preserve">月</w:t>
            </w:r>
            <w:r>
              <w:rPr>
                <w:rFonts w:hint="eastAsia"/>
                <w:color w:val="000000" w:themeColor="text1"/>
                <w:spacing w:val="-2"/>
                <w:highlight w:val="none"/>
                <w14:textFill>
                  <w14:solidFill>
                    <w14:schemeClr w14:val="tx1"/>
                  </w14:solidFill>
                </w14:textFill>
              </w:rPr>
              <w:t xml:space="preserve">以来</w:t>
            </w:r>
            <w:r>
              <w:rPr>
                <w:color w:val="000000" w:themeColor="text1"/>
                <w:spacing w:val="-2"/>
                <w:highlight w:val="none"/>
                <w14:textFill>
                  <w14:solidFill>
                    <w14:schemeClr w14:val="tx1"/>
                  </w14:solidFill>
                </w14:textFill>
              </w:rPr>
              <w:t xml:space="preserve">任意一个月的社保证明，证明材料缺项或未提供的不得分</w:t>
            </w:r>
            <w:r>
              <w:rPr>
                <w:rFonts w:hint="eastAsia"/>
                <w:color w:val="000000" w:themeColor="text1"/>
                <w:spacing w:val="-2"/>
                <w:highlight w:val="none"/>
                <w14:textFill>
                  <w14:solidFill>
                    <w14:schemeClr w14:val="tx1"/>
                  </w14:solidFill>
                </w14:textFill>
              </w:rPr>
              <w:t xml:space="preserve">）</w:t>
            </w:r>
            <w:r>
              <w:rPr>
                <w:color w:val="000000" w:themeColor="text1"/>
                <w:spacing w:val="-2"/>
                <w:highlight w:val="none"/>
                <w14:textFill>
                  <w14:solidFill>
                    <w14:schemeClr w14:val="tx1"/>
                  </w14:solidFill>
                </w14:textFill>
              </w:rPr>
              <w:t xml:space="preserve">。</w:t>
            </w:r>
            <w:r/>
          </w:p>
          <w:p>
            <w:pPr>
              <w:pStyle w:val="1007"/>
              <w:numPr>
                <w:ilvl w:val="0"/>
                <w:numId w:val="6"/>
              </w:numPr>
              <w:ind w:right="170"/>
              <w:spacing w:before="90"/>
              <w:rPr>
                <w:color w:val="000000" w:themeColor="text1"/>
                <w:spacing w:val="-2"/>
                <w:highlight w:val="none"/>
                <w14:textFill>
                  <w14:solidFill>
                    <w14:schemeClr w14:val="tx1"/>
                  </w14:solidFill>
                </w14:textFill>
              </w:rPr>
            </w:pPr>
            <w:r>
              <w:rPr>
                <w:rFonts w:hint="eastAsia"/>
                <w:color w:val="000000" w:themeColor="text1"/>
                <w:spacing w:val="-2"/>
                <w:highlight w:val="none"/>
                <w:lang w:val="en-US"/>
                <w14:textFill>
                  <w14:solidFill>
                    <w14:schemeClr w14:val="tx1"/>
                  </w14:solidFill>
                </w14:textFill>
              </w:rPr>
              <w:t xml:space="preserve">网络平台维护员1名，具有有</w:t>
            </w:r>
            <w:r>
              <w:rPr>
                <w:rFonts w:hint="eastAsia"/>
                <w:color w:val="000000" w:themeColor="text1"/>
                <w:highlight w:val="none"/>
                <w:lang w:val="en-US"/>
                <w14:textFill>
                  <w14:solidFill>
                    <w14:schemeClr w14:val="tx1"/>
                  </w14:solidFill>
                </w14:textFill>
              </w:rPr>
              <w:t xml:space="preserve">效期内的网络安全能力认证或网络工程师或网络技术工程师的</w:t>
            </w:r>
            <w:r>
              <w:rPr>
                <w:rFonts w:hint="eastAsia"/>
                <w:color w:val="000000" w:themeColor="text1"/>
                <w:spacing w:val="-2"/>
                <w:highlight w:val="none"/>
                <w14:textFill>
                  <w14:solidFill>
                    <w14:schemeClr w14:val="tx1"/>
                  </w14:solidFill>
                </w14:textFill>
              </w:rPr>
              <w:t xml:space="preserve">，须驻场服务，得2分。（</w:t>
            </w:r>
            <w:r>
              <w:rPr>
                <w:color w:val="000000" w:themeColor="text1"/>
                <w:spacing w:val="-2"/>
                <w:highlight w:val="none"/>
                <w14:textFill>
                  <w14:solidFill>
                    <w14:schemeClr w14:val="tx1"/>
                  </w14:solidFill>
                </w14:textFill>
              </w:rPr>
              <w:t xml:space="preserve">提供人员证书</w:t>
            </w:r>
            <w:r>
              <w:rPr>
                <w:rFonts w:hint="eastAsia"/>
                <w:color w:val="000000" w:themeColor="text1"/>
                <w:spacing w:val="-2"/>
                <w:highlight w:val="none"/>
                <w14:textFill>
                  <w14:solidFill>
                    <w14:schemeClr w14:val="tx1"/>
                  </w14:solidFill>
                </w14:textFill>
              </w:rPr>
              <w:t xml:space="preserve">及投标人</w:t>
            </w:r>
            <w:r>
              <w:rPr>
                <w:color w:val="000000" w:themeColor="text1"/>
                <w:spacing w:val="-2"/>
                <w:highlight w:val="none"/>
                <w14:textFill>
                  <w14:solidFill>
                    <w14:schemeClr w14:val="tx1"/>
                  </w14:solidFill>
                </w14:textFill>
              </w:rPr>
              <w:t xml:space="preserve">为其缴纳的202</w:t>
            </w:r>
            <w:r>
              <w:rPr>
                <w:rFonts w:hint="eastAsia"/>
                <w:color w:val="000000" w:themeColor="text1"/>
                <w:spacing w:val="-2"/>
                <w:highlight w:val="none"/>
                <w:lang w:val="en-US"/>
                <w14:textFill>
                  <w14:solidFill>
                    <w14:schemeClr w14:val="tx1"/>
                  </w14:solidFill>
                </w14:textFill>
              </w:rPr>
              <w:t xml:space="preserve">6</w:t>
            </w:r>
            <w:r>
              <w:rPr>
                <w:color w:val="000000" w:themeColor="text1"/>
                <w:spacing w:val="-2"/>
                <w:highlight w:val="none"/>
                <w14:textFill>
                  <w14:solidFill>
                    <w14:schemeClr w14:val="tx1"/>
                  </w14:solidFill>
                </w14:textFill>
              </w:rPr>
              <w:t xml:space="preserve">年</w:t>
            </w:r>
            <w:r>
              <w:rPr>
                <w:rFonts w:hint="eastAsia"/>
                <w:color w:val="000000" w:themeColor="text1"/>
                <w:spacing w:val="-2"/>
                <w:highlight w:val="none"/>
                <w14:textFill>
                  <w14:solidFill>
                    <w14:schemeClr w14:val="tx1"/>
                  </w14:solidFill>
                </w14:textFill>
              </w:rPr>
              <w:t xml:space="preserve">1</w:t>
            </w:r>
            <w:r>
              <w:rPr>
                <w:color w:val="000000" w:themeColor="text1"/>
                <w:spacing w:val="-2"/>
                <w:highlight w:val="none"/>
                <w14:textFill>
                  <w14:solidFill>
                    <w14:schemeClr w14:val="tx1"/>
                  </w14:solidFill>
                </w14:textFill>
              </w:rPr>
              <w:t xml:space="preserve">月</w:t>
            </w:r>
            <w:r>
              <w:rPr>
                <w:rFonts w:hint="eastAsia"/>
                <w:color w:val="000000" w:themeColor="text1"/>
                <w:spacing w:val="-2"/>
                <w:highlight w:val="none"/>
                <w14:textFill>
                  <w14:solidFill>
                    <w14:schemeClr w14:val="tx1"/>
                  </w14:solidFill>
                </w14:textFill>
              </w:rPr>
              <w:t xml:space="preserve">以来</w:t>
            </w:r>
            <w:r>
              <w:rPr>
                <w:color w:val="000000" w:themeColor="text1"/>
                <w:spacing w:val="-2"/>
                <w:highlight w:val="none"/>
                <w14:textFill>
                  <w14:solidFill>
                    <w14:schemeClr w14:val="tx1"/>
                  </w14:solidFill>
                </w14:textFill>
              </w:rPr>
              <w:t xml:space="preserve">任意一个月的社保证明，证明材料缺项或未提供的不得分</w:t>
            </w:r>
            <w:r>
              <w:rPr>
                <w:rFonts w:hint="eastAsia"/>
                <w:color w:val="000000" w:themeColor="text1"/>
                <w:spacing w:val="-2"/>
                <w:highlight w:val="none"/>
                <w14:textFill>
                  <w14:solidFill>
                    <w14:schemeClr w14:val="tx1"/>
                  </w14:solidFill>
                </w14:textFill>
              </w:rPr>
              <w:t xml:space="preserve">）</w:t>
            </w:r>
            <w:r>
              <w:rPr>
                <w:color w:val="000000" w:themeColor="text1"/>
                <w:spacing w:val="-2"/>
                <w:highlight w:val="none"/>
                <w14:textFill>
                  <w14:solidFill>
                    <w14:schemeClr w14:val="tx1"/>
                  </w14:solidFill>
                </w14:textFill>
              </w:rPr>
              <w:t xml:space="preserve">。</w:t>
            </w:r>
            <w:r/>
          </w:p>
          <w:p>
            <w:pPr>
              <w:spacing w:line="264" w:lineRule="auto"/>
              <w:rPr>
                <w:rFonts w:hint="eastAsia" w:ascii="宋体" w:hAnsi="宋体" w:cs="宋体"/>
                <w:color w:val="000000" w:themeColor="text1"/>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（4）投入本项目的维护人员（项目经理除外）须具有有效期内电工证、登高作业证各2人，每有一人得1分，最高的得4分。一人多证按一证计算，不重复计分。（</w:t>
            </w:r>
            <w:r>
              <w:rPr>
                <w:color w:val="000000" w:themeColor="text1"/>
                <w:spacing w:val="-2"/>
                <w:highlight w:val="none"/>
                <w14:textFill>
                  <w14:solidFill>
                    <w14:schemeClr w14:val="tx1"/>
                  </w14:solidFill>
                </w14:textFill>
              </w:rPr>
              <w:t xml:space="preserve">提供人员证书</w:t>
            </w:r>
            <w:r>
              <w:rPr>
                <w:rFonts w:hint="eastAsia"/>
                <w:color w:val="000000" w:themeColor="text1"/>
                <w:spacing w:val="-2"/>
                <w:highlight w:val="none"/>
                <w14:textFill>
                  <w14:solidFill>
                    <w14:schemeClr w14:val="tx1"/>
                  </w14:solidFill>
                </w14:textFill>
              </w:rPr>
              <w:t xml:space="preserve">及投标人</w:t>
            </w:r>
            <w:r>
              <w:rPr>
                <w:color w:val="000000" w:themeColor="text1"/>
                <w:spacing w:val="-2"/>
                <w:highlight w:val="none"/>
                <w14:textFill>
                  <w14:solidFill>
                    <w14:schemeClr w14:val="tx1"/>
                  </w14:solidFill>
                </w14:textFill>
              </w:rPr>
              <w:t xml:space="preserve">为其缴纳的202</w:t>
            </w:r>
            <w:r>
              <w:rPr>
                <w:rFonts w:hint="eastAsia"/>
                <w:color w:val="000000" w:themeColor="text1"/>
                <w:spacing w:val="-2"/>
                <w:highlight w:val="none"/>
                <w14:textFill>
                  <w14:solidFill>
                    <w14:schemeClr w14:val="tx1"/>
                  </w14:solidFill>
                </w14:textFill>
              </w:rPr>
              <w:t xml:space="preserve">6</w:t>
            </w:r>
            <w:r>
              <w:rPr>
                <w:color w:val="000000" w:themeColor="text1"/>
                <w:spacing w:val="-2"/>
                <w:highlight w:val="none"/>
                <w14:textFill>
                  <w14:solidFill>
                    <w14:schemeClr w14:val="tx1"/>
                  </w14:solidFill>
                </w14:textFill>
              </w:rPr>
              <w:t xml:space="preserve">年</w:t>
            </w:r>
            <w:r>
              <w:rPr>
                <w:rFonts w:hint="eastAsia"/>
                <w:color w:val="000000" w:themeColor="text1"/>
                <w:spacing w:val="-2"/>
                <w:highlight w:val="none"/>
                <w14:textFill>
                  <w14:solidFill>
                    <w14:schemeClr w14:val="tx1"/>
                  </w14:solidFill>
                </w14:textFill>
              </w:rPr>
              <w:t xml:space="preserve">1</w:t>
            </w:r>
            <w:r>
              <w:rPr>
                <w:color w:val="000000" w:themeColor="text1"/>
                <w:spacing w:val="-2"/>
                <w:highlight w:val="none"/>
                <w14:textFill>
                  <w14:solidFill>
                    <w14:schemeClr w14:val="tx1"/>
                  </w14:solidFill>
                </w14:textFill>
              </w:rPr>
              <w:t xml:space="preserve">月</w:t>
            </w:r>
            <w:r>
              <w:rPr>
                <w:rFonts w:hint="eastAsia"/>
                <w:color w:val="000000" w:themeColor="text1"/>
                <w:spacing w:val="-2"/>
                <w:highlight w:val="none"/>
                <w14:textFill>
                  <w14:solidFill>
                    <w14:schemeClr w14:val="tx1"/>
                  </w14:solidFill>
                </w14:textFill>
              </w:rPr>
              <w:t xml:space="preserve">以来</w:t>
            </w:r>
            <w:r>
              <w:rPr>
                <w:color w:val="000000" w:themeColor="text1"/>
                <w:spacing w:val="-2"/>
                <w:highlight w:val="none"/>
                <w14:textFill>
                  <w14:solidFill>
                    <w14:schemeClr w14:val="tx1"/>
                  </w14:solidFill>
                </w14:textFill>
              </w:rPr>
              <w:t xml:space="preserve">任意一个月的社保证明，证明材料缺项或未提供的不得分</w:t>
            </w:r>
            <w:r>
              <w:rPr>
                <w:rFonts w:hint="eastAsia"/>
                <w:color w:val="000000" w:themeColor="text1"/>
                <w:spacing w:val="-2"/>
                <w:highlight w:val="none"/>
                <w14:textFill>
                  <w14:solidFill>
                    <w14:schemeClr w14:val="tx1"/>
                  </w14:solidFill>
                </w14:textFill>
              </w:rPr>
              <w:t xml:space="preserve">）</w:t>
            </w:r>
            <w:r>
              <w:rPr>
                <w:color w:val="000000" w:themeColor="text1"/>
                <w:spacing w:val="-2"/>
                <w:highlight w:val="none"/>
                <w14:textFill>
                  <w14:solidFill>
                    <w14:schemeClr w14:val="tx1"/>
                  </w14:solidFill>
                </w14:textFill>
              </w:rPr>
              <w:t xml:space="preserve">。</w:t>
            </w:r>
            <w:r/>
          </w:p>
        </w:tc>
        <w:tc>
          <w:tcPr>
            <w:tcW w:w="573"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w:t>
            </w:r>
            <w:r/>
          </w:p>
        </w:tc>
        <w:tc>
          <w:tcPr>
            <w:tcW w:w="861"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 xml:space="preserve">客</w:t>
            </w:r>
            <w:r>
              <w:rPr>
                <w:rFonts w:ascii="宋体" w:hAnsi="宋体" w:cs="宋体"/>
                <w:color w:val="000000" w:themeColor="text1"/>
                <w:spacing w:val="-4"/>
                <w:highlight w:val="none"/>
                <w14:textFill>
                  <w14:solidFill>
                    <w14:schemeClr w14:val="tx1"/>
                  </w14:solidFill>
                </w14:textFill>
              </w:rPr>
              <w:t xml:space="preserve">观</w:t>
            </w:r>
            <w:r>
              <w:rPr>
                <w:rFonts w:hint="eastAsia" w:ascii="宋体" w:hAnsi="宋体" w:cs="宋体"/>
                <w:color w:val="000000" w:themeColor="text1"/>
                <w:spacing w:val="-4"/>
                <w:highlight w:val="none"/>
                <w14:textFill>
                  <w14:solidFill>
                    <w14:schemeClr w14:val="tx1"/>
                  </w14:solidFill>
                </w14:textFill>
              </w:rPr>
              <w:t xml:space="preserve">分</w:t>
            </w:r>
            <w:r/>
          </w:p>
        </w:tc>
      </w:tr>
      <w:tr>
        <w:trPr>
          <w:jc w:val="center"/>
          <w:trHeight w:val="672"/>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4.2</w:t>
            </w:r>
            <w:r/>
          </w:p>
        </w:tc>
        <w:tc>
          <w:tcPr>
            <w:tcW w:w="1180" w:type="dxa"/>
            <w:vAlign w:val="center"/>
            <w:textDirection w:val="lrTb"/>
            <w:noWrap w:val="false"/>
          </w:tcPr>
          <w:p>
            <w:pPr>
              <w:spacing w:before="69" w:line="264"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本地化服务</w:t>
            </w:r>
            <w:r/>
          </w:p>
        </w:tc>
        <w:tc>
          <w:tcPr>
            <w:tcW w:w="6624" w:type="dxa"/>
            <w:vAlign w:val="center"/>
            <w:textDirection w:val="lrTb"/>
            <w:noWrap w:val="false"/>
          </w:tcPr>
          <w:p>
            <w:pPr>
              <w:spacing w:line="264" w:lineRule="auto"/>
              <w:rPr>
                <w:rFonts w:hint="eastAsia"/>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投标人具有本地化服务能力，在南京地区有完整的售后服务体系，</w:t>
            </w:r>
            <w:r>
              <w:rPr>
                <w:color w:val="000000" w:themeColor="text1"/>
                <w:spacing w:val="-3"/>
                <w:highlight w:val="none"/>
                <w14:textFill>
                  <w14:solidFill>
                    <w14:schemeClr w14:val="tx1"/>
                  </w14:solidFill>
                </w14:textFill>
              </w:rPr>
              <w:t xml:space="preserve">能确保及时解决运行维护中的各种问题，得</w:t>
            </w:r>
            <w:r>
              <w:rPr>
                <w:rFonts w:hint="eastAsia"/>
                <w:color w:val="000000" w:themeColor="text1"/>
                <w:highlight w:val="none"/>
                <w14:textFill>
                  <w14:solidFill>
                    <w14:schemeClr w14:val="tx1"/>
                  </w14:solidFill>
                </w14:textFill>
              </w:rPr>
              <w:t xml:space="preserve">2</w:t>
            </w:r>
            <w:r>
              <w:rPr>
                <w:color w:val="000000" w:themeColor="text1"/>
                <w:spacing w:val="-23"/>
                <w:highlight w:val="none"/>
                <w14:textFill>
                  <w14:solidFill>
                    <w14:schemeClr w14:val="tx1"/>
                  </w14:solidFill>
                </w14:textFill>
              </w:rPr>
              <w:t xml:space="preserve">分</w:t>
            </w:r>
            <w:r>
              <w:rPr>
                <w:rFonts w:hint="eastAsia"/>
                <w:color w:val="000000" w:themeColor="text1"/>
                <w:spacing w:val="-2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（提供书面承诺书</w:t>
            </w:r>
            <w:r>
              <w:rPr>
                <w:color w:val="000000" w:themeColor="text1"/>
                <w:spacing w:val="-2"/>
                <w:highlight w:val="none"/>
                <w14:textFill>
                  <w14:solidFill>
                    <w14:schemeClr w14:val="tx1"/>
                  </w14:solidFill>
                </w14:textFill>
              </w:rPr>
              <w:t xml:space="preserve">或有效证明材料）</w:t>
            </w:r>
            <w:r>
              <w:rPr>
                <w:rFonts w:hint="eastAsia"/>
                <w:color w:val="000000" w:themeColor="text1"/>
                <w:spacing w:val="-2"/>
                <w:highlight w:val="none"/>
                <w14:textFill>
                  <w14:solidFill>
                    <w14:schemeClr w14:val="tx1"/>
                  </w14:solidFill>
                </w14:textFill>
              </w:rPr>
              <w:t xml:space="preserve">。</w:t>
            </w:r>
            <w:r/>
          </w:p>
        </w:tc>
        <w:tc>
          <w:tcPr>
            <w:tcW w:w="573" w:type="dxa"/>
            <w:vAlign w:val="center"/>
            <w:textDirection w:val="lrTb"/>
            <w:noWrap w:val="false"/>
          </w:tcPr>
          <w:p>
            <w:pPr>
              <w:jc w:val="center"/>
              <w:spacing w:before="68" w:line="264"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861" w:type="dxa"/>
            <w:vAlign w:val="center"/>
            <w:textDirection w:val="lrTb"/>
            <w:noWrap w:val="false"/>
          </w:tcPr>
          <w:p>
            <w:pPr>
              <w:jc w:val="center"/>
              <w:spacing w:before="68" w:line="264" w:lineRule="auto"/>
              <w:rPr>
                <w:rFonts w:hint="eastAsia" w:ascii="宋体" w:hAnsi="宋体" w:cs="宋体"/>
                <w:color w:val="000000" w:themeColor="text1"/>
                <w:spacing w:val="-6"/>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 xml:space="preserve">客</w:t>
            </w:r>
            <w:r>
              <w:rPr>
                <w:rFonts w:ascii="宋体" w:hAnsi="宋体" w:cs="宋体"/>
                <w:color w:val="000000" w:themeColor="text1"/>
                <w:spacing w:val="-4"/>
                <w:highlight w:val="none"/>
                <w14:textFill>
                  <w14:solidFill>
                    <w14:schemeClr w14:val="tx1"/>
                  </w14:solidFill>
                </w14:textFill>
              </w:rPr>
              <w:t xml:space="preserve">观</w:t>
            </w:r>
            <w:r>
              <w:rPr>
                <w:rFonts w:hint="eastAsia" w:ascii="宋体" w:hAnsi="宋体" w:cs="宋体"/>
                <w:color w:val="000000" w:themeColor="text1"/>
                <w:spacing w:val="-4"/>
                <w:highlight w:val="none"/>
                <w14:textFill>
                  <w14:solidFill>
                    <w14:schemeClr w14:val="tx1"/>
                  </w14:solidFill>
                </w14:textFill>
              </w:rPr>
              <w:t xml:space="preserve">分</w:t>
            </w:r>
            <w:r/>
          </w:p>
        </w:tc>
      </w:tr>
      <w:tr>
        <w:trPr>
          <w:jc w:val="center"/>
          <w:trHeight w:val="672"/>
        </w:trPr>
        <w:tc>
          <w:tcPr>
            <w:tcW w:w="519" w:type="dxa"/>
            <w:vAlign w:val="center"/>
            <w:textDirection w:val="lrTb"/>
            <w:noWrap w:val="false"/>
          </w:tcPr>
          <w:p>
            <w:pPr>
              <w:jc w:val="center"/>
              <w:spacing w:before="68" w:line="264" w:lineRule="auto"/>
              <w:rPr>
                <w:rFonts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4.</w:t>
            </w:r>
            <w:r>
              <w:rPr>
                <w:rFonts w:ascii="宋体" w:hAnsi="宋体" w:cs="宋体"/>
                <w:color w:val="000000" w:themeColor="text1"/>
                <w:spacing w:val="-2"/>
                <w:highlight w:val="none"/>
                <w14:textFill>
                  <w14:solidFill>
                    <w14:schemeClr w14:val="tx1"/>
                  </w14:solidFill>
                </w14:textFill>
              </w:rPr>
              <w:t xml:space="preserve">3</w:t>
            </w:r>
            <w:r/>
          </w:p>
        </w:tc>
        <w:tc>
          <w:tcPr>
            <w:tcW w:w="1180" w:type="dxa"/>
            <w:vAlign w:val="center"/>
            <w:textDirection w:val="lrTb"/>
            <w:noWrap w:val="false"/>
          </w:tcPr>
          <w:p>
            <w:pPr>
              <w:spacing w:before="69" w:line="264" w:lineRule="auto"/>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t xml:space="preserve">履约能力</w:t>
            </w:r>
            <w:r/>
          </w:p>
        </w:tc>
        <w:tc>
          <w:tcPr>
            <w:tcW w:w="6624" w:type="dxa"/>
            <w:vAlign w:val="center"/>
            <w:textDirection w:val="lrTb"/>
            <w:noWrap w:val="false"/>
          </w:tcPr>
          <w:p>
            <w:pPr>
              <w:pStyle w:val="1007"/>
              <w:ind w:right="117"/>
              <w:spacing w:before="90"/>
              <w:rPr>
                <w:rFonts w:hint="eastAsia"/>
                <w:color w:val="000000" w:themeColor="text1"/>
                <w:spacing w:val="-3"/>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 xml:space="preserve">投标人提供投入本项目维护用的高空作业车：</w:t>
            </w:r>
            <w:r>
              <w:rPr>
                <w:rFonts w:hint="eastAsia"/>
                <w:color w:val="000000" w:themeColor="text1"/>
                <w:highlight w:val="none"/>
                <w:lang w:val="en-US"/>
                <w14:textFill>
                  <w14:solidFill>
                    <w14:schemeClr w14:val="tx1"/>
                  </w14:solidFill>
                </w14:textFill>
              </w:rPr>
              <w:t xml:space="preserve">每提供一辆带折叠臂、混合臂或伸缩臂，最大作业高度≥6米，最大作业幅度≥4米，工作斗载荷≥100kg的，得1分，本项最多2分。须提供专项作业车辆行驶证，行驶证所有者名称须和投标人名称一致。</w:t>
            </w:r>
            <w:r/>
          </w:p>
        </w:tc>
        <w:tc>
          <w:tcPr>
            <w:tcW w:w="573" w:type="dxa"/>
            <w:vAlign w:val="center"/>
            <w:textDirection w:val="lrTb"/>
            <w:noWrap w:val="false"/>
          </w:tcPr>
          <w:p>
            <w:pPr>
              <w:jc w:val="center"/>
              <w:spacing w:before="68" w:line="264"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861" w:type="dxa"/>
            <w:vAlign w:val="center"/>
            <w:textDirection w:val="lrTb"/>
            <w:noWrap w:val="false"/>
          </w:tcPr>
          <w:p>
            <w:pPr>
              <w:jc w:val="center"/>
              <w:spacing w:before="68" w:line="264"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 xml:space="preserve">客</w:t>
            </w:r>
            <w:r>
              <w:rPr>
                <w:rFonts w:ascii="宋体" w:hAnsi="宋体" w:cs="宋体"/>
                <w:color w:val="000000" w:themeColor="text1"/>
                <w:spacing w:val="-4"/>
                <w:highlight w:val="none"/>
                <w14:textFill>
                  <w14:solidFill>
                    <w14:schemeClr w14:val="tx1"/>
                  </w14:solidFill>
                </w14:textFill>
              </w:rPr>
              <w:t xml:space="preserve">观</w:t>
            </w:r>
            <w:r>
              <w:rPr>
                <w:rFonts w:hint="eastAsia" w:ascii="宋体" w:hAnsi="宋体" w:cs="宋体"/>
                <w:color w:val="000000" w:themeColor="text1"/>
                <w:spacing w:val="-4"/>
                <w:highlight w:val="none"/>
                <w14:textFill>
                  <w14:solidFill>
                    <w14:schemeClr w14:val="tx1"/>
                  </w14:solidFill>
                </w14:textFill>
              </w:rPr>
              <w:t xml:space="preserve">分</w:t>
            </w:r>
            <w:r/>
          </w:p>
        </w:tc>
      </w:tr>
      <w:tr>
        <w:trPr>
          <w:jc w:val="center"/>
          <w:trHeight w:val="474"/>
        </w:trPr>
        <w:tc>
          <w:tcPr>
            <w:tcW w:w="519" w:type="dxa"/>
            <w:vAlign w:val="center"/>
            <w:textDirection w:val="lrTb"/>
            <w:noWrap w:val="false"/>
          </w:tcPr>
          <w:p>
            <w:pPr>
              <w:jc w:val="center"/>
              <w:spacing w:line="264"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spacing w:val="-3"/>
                <w:highlight w:val="none"/>
                <w14:textFill>
                  <w14:solidFill>
                    <w14:schemeClr w14:val="tx1"/>
                  </w14:solidFill>
                </w14:textFill>
              </w:rPr>
              <w:t xml:space="preserve">合</w:t>
            </w:r>
            <w:r>
              <w:rPr>
                <w:rFonts w:ascii="宋体" w:hAnsi="宋体" w:cs="宋体"/>
                <w:color w:val="000000" w:themeColor="text1"/>
                <w:spacing w:val="-2"/>
                <w:highlight w:val="none"/>
                <w14:textFill>
                  <w14:solidFill>
                    <w14:schemeClr w14:val="tx1"/>
                  </w14:solidFill>
                </w14:textFill>
              </w:rPr>
              <w:t xml:space="preserve">计</w:t>
            </w:r>
            <w:r/>
          </w:p>
        </w:tc>
        <w:tc>
          <w:tcPr>
            <w:gridSpan w:val="2"/>
            <w:tcW w:w="7804" w:type="dxa"/>
            <w:vAlign w:val="center"/>
            <w:textDirection w:val="lrTb"/>
            <w:noWrap w:val="false"/>
          </w:tcPr>
          <w:p>
            <w:pPr>
              <w:ind w:left="172"/>
              <w:jc w:val="center"/>
              <w:spacing w:before="123" w:line="264" w:lineRule="auto"/>
              <w:rPr>
                <w:rFonts w:ascii="宋体" w:hAnsi="宋体" w:cs="宋体"/>
                <w:color w:val="000000" w:themeColor="text1"/>
                <w:spacing w:val="-2"/>
                <w:highlight w:val="none"/>
                <w14:textFill>
                  <w14:solidFill>
                    <w14:schemeClr w14:val="tx1"/>
                  </w14:solidFill>
                </w14:textFill>
              </w:rPr>
            </w:pPr>
            <w:r>
              <w:rPr>
                <w:rFonts w:ascii="宋体" w:hAnsi="宋体" w:cs="宋体"/>
                <w:color w:val="000000" w:themeColor="text1"/>
                <w:spacing w:val="-2"/>
                <w:highlight w:val="none"/>
                <w14:textFill>
                  <w14:solidFill>
                    <w14:schemeClr w14:val="tx1"/>
                  </w14:solidFill>
                </w14:textFill>
              </w:rPr>
            </w:r>
            <w:r/>
          </w:p>
        </w:tc>
        <w:tc>
          <w:tcPr>
            <w:gridSpan w:val="2"/>
            <w:tcW w:w="1434" w:type="dxa"/>
            <w:vAlign w:val="center"/>
            <w:textDirection w:val="lrTb"/>
            <w:noWrap w:val="false"/>
          </w:tcPr>
          <w:p>
            <w:pPr>
              <w:jc w:val="center"/>
              <w:spacing w:line="264" w:lineRule="auto"/>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spacing w:val="-11"/>
                <w:highlight w:val="none"/>
                <w14:textFill>
                  <w14:solidFill>
                    <w14:schemeClr w14:val="tx1"/>
                  </w14:solidFill>
                </w14:textFill>
              </w:rPr>
              <w:t xml:space="preserve">100分</w:t>
            </w:r>
            <w:r/>
          </w:p>
        </w:tc>
      </w:tr>
    </w:tbl>
    <w:p>
      <w:pPr>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5"/>
      <w:r/>
      <w:bookmarkEnd w:id="56"/>
      <w:r/>
      <w:bookmarkEnd w:id="58"/>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sz w:val="72"/>
        </w:rPr>
      </w:pPr>
      <w:r/>
      <w:bookmarkStart w:id="59" w:name="_Hlt26671244"/>
      <w:r/>
      <w:bookmarkEnd w:id="59"/>
      <w:r/>
      <w:bookmarkStart w:id="60" w:name="_Hlt26955039"/>
      <w:r/>
      <w:bookmarkEnd w:id="60"/>
      <w:r/>
      <w:bookmarkStart w:id="61" w:name="_Toc49090576"/>
      <w:r/>
      <w:bookmarkStart w:id="62" w:name="_Toc26554094"/>
      <w:r/>
      <w:bookmarkStart w:id="63"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十二、分包情况说明及分包意向协议（如有）</w:t>
      </w:r>
      <w:r/>
    </w:p>
    <w:p>
      <w:pPr>
        <w:pStyle w:val="961"/>
        <w:rPr>
          <w:rFonts w:hint="eastAsia"/>
        </w:rPr>
      </w:pPr>
      <w:r>
        <w:rPr>
          <w:rFonts w:hint="eastAsia"/>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pStyle w:val="964"/>
        <w:rPr>
          <w:sz w:val="24"/>
        </w:rPr>
      </w:pPr>
      <w:r>
        <w:rPr>
          <w:sz w:val="24"/>
        </w:rPr>
      </w:r>
      <w:r/>
    </w:p>
    <w:p>
      <w:pPr>
        <w:pStyle w:val="964"/>
        <w:rPr>
          <w:sz w:val="24"/>
        </w:rPr>
      </w:pPr>
      <w:r>
        <w:rPr>
          <w:sz w:val="24"/>
        </w:rPr>
      </w:r>
      <w:r/>
    </w:p>
    <w:p>
      <w:pPr>
        <w:pStyle w:val="964"/>
        <w:rPr>
          <w:sz w:val="24"/>
        </w:rPr>
      </w:pPr>
      <w:r>
        <w:rPr>
          <w:sz w:val="24"/>
        </w:rPr>
      </w:r>
      <w:r/>
    </w:p>
    <w:p>
      <w:pPr>
        <w:pStyle w:val="964"/>
        <w:rPr>
          <w:sz w:val="24"/>
        </w:rPr>
      </w:pPr>
      <w:r>
        <w:rPr>
          <w:sz w:val="24"/>
        </w:rPr>
      </w:r>
      <w:r/>
    </w:p>
    <w:p>
      <w:pPr>
        <w:pStyle w:val="964"/>
        <w:rPr>
          <w:sz w:val="24"/>
        </w:rPr>
      </w:pPr>
      <w:r>
        <w:rPr>
          <w:sz w:val="24"/>
        </w:rPr>
      </w:r>
      <w:r/>
    </w:p>
    <w:p>
      <w:pPr>
        <w:ind w:firstLine="480"/>
        <w:spacing w:line="440" w:lineRule="exact"/>
        <w:rPr>
          <w:rFonts w:ascii="宋体" w:hAnsi="宋体"/>
          <w:sz w:val="24"/>
        </w:rPr>
      </w:pPr>
      <w:r>
        <w:rPr>
          <w:rFonts w:ascii="宋体" w:hAnsi="宋体"/>
          <w:sz w:val="24"/>
        </w:rPr>
      </w:r>
      <w:bookmarkEnd w:id="61"/>
      <w:bookmarkEnd w:id="62"/>
      <w:bookmarkEnd w:id="63"/>
      <w:r/>
    </w:p>
    <w:p>
      <w:pPr>
        <w:rPr>
          <w:rFonts w:hint="eastAsia" w:ascii="黑体" w:hAnsi="黑体" w:eastAsia="黑体"/>
          <w:i/>
          <w:sz w:val="32"/>
          <w:szCs w:val="32"/>
          <w:u w:val="single"/>
        </w:rPr>
      </w:pPr>
      <w:r/>
      <w:bookmarkStart w:id="64"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0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973"/>
        <w:ind w:firstLine="480"/>
        <w:spacing w:line="420" w:lineRule="exact"/>
        <w:rPr>
          <w:rFonts w:hint="eastAsia"/>
          <w:sz w:val="24"/>
          <w:szCs w:val="24"/>
        </w:rPr>
      </w:pPr>
      <w:r>
        <w:rPr>
          <w:rFonts w:hint="eastAsia"/>
          <w:sz w:val="24"/>
          <w:szCs w:val="24"/>
        </w:rPr>
      </w:r>
      <w:r/>
    </w:p>
    <w:p>
      <w:pPr>
        <w:pStyle w:val="973"/>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73"/>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73"/>
        <w:ind w:firstLine="480"/>
        <w:spacing w:line="480" w:lineRule="exact"/>
        <w:rPr>
          <w:sz w:val="24"/>
          <w:szCs w:val="24"/>
        </w:rPr>
      </w:pPr>
      <w:r>
        <w:rPr>
          <w:rFonts w:hint="eastAsia"/>
          <w:sz w:val="24"/>
          <w:szCs w:val="24"/>
        </w:rPr>
        <w:t xml:space="preserve">代理人无转委托权。</w:t>
      </w:r>
      <w:r/>
    </w:p>
    <w:p>
      <w:pPr>
        <w:pStyle w:val="973"/>
        <w:ind w:firstLine="480"/>
        <w:spacing w:line="480" w:lineRule="exact"/>
        <w:rPr>
          <w:rFonts w:hint="eastAsia"/>
          <w:sz w:val="24"/>
          <w:szCs w:val="24"/>
        </w:rPr>
      </w:pPr>
      <w:r>
        <w:rPr>
          <w:rFonts w:hint="eastAsia"/>
          <w:sz w:val="24"/>
          <w:szCs w:val="24"/>
        </w:rPr>
        <w:t xml:space="preserve">投标人名称（加盖公章）：________________</w:t>
      </w:r>
      <w:r/>
    </w:p>
    <w:p>
      <w:pPr>
        <w:pStyle w:val="973"/>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73"/>
        <w:ind w:firstLine="480"/>
        <w:spacing w:line="480" w:lineRule="exact"/>
        <w:rPr>
          <w:rFonts w:hint="eastAsia"/>
          <w:sz w:val="24"/>
          <w:szCs w:val="24"/>
        </w:rPr>
      </w:pPr>
      <w:r>
        <w:rPr>
          <w:rFonts w:hint="eastAsia"/>
          <w:sz w:val="24"/>
          <w:szCs w:val="24"/>
        </w:rPr>
        <w:t xml:space="preserve">代理人（签字或签章）：________________ </w:t>
      </w:r>
      <w:r/>
    </w:p>
    <w:p>
      <w:pPr>
        <w:pStyle w:val="973"/>
        <w:ind w:firstLine="480"/>
        <w:spacing w:line="480" w:lineRule="exact"/>
        <w:rPr>
          <w:rFonts w:hint="eastAsia"/>
          <w:sz w:val="24"/>
          <w:szCs w:val="24"/>
        </w:rPr>
      </w:pPr>
      <w:r>
        <w:rPr>
          <w:rFonts w:hint="eastAsia"/>
          <w:sz w:val="24"/>
          <w:szCs w:val="24"/>
        </w:rPr>
        <w:t xml:space="preserve">日期：_____年______月______日</w:t>
      </w:r>
      <w:r/>
    </w:p>
    <w:p>
      <w:pPr>
        <w:pStyle w:val="973"/>
        <w:ind w:firstLine="480"/>
        <w:spacing w:line="480" w:lineRule="exact"/>
        <w:rPr>
          <w:sz w:val="24"/>
          <w:szCs w:val="24"/>
        </w:rPr>
      </w:pPr>
      <w:r>
        <w:rPr>
          <w:rFonts w:hint="eastAsia"/>
          <w:sz w:val="24"/>
          <w:szCs w:val="24"/>
        </w:rPr>
        <w:t xml:space="preserve">附：法定代表人（单位负责人）及代理人有效身份证明文件</w:t>
      </w:r>
      <w:r/>
    </w:p>
    <w:p>
      <w:pPr>
        <w:pStyle w:val="886"/>
        <w:ind w:firstLine="0"/>
        <w:rPr>
          <w:rFonts w:hint="eastAsia"/>
        </w:rPr>
      </w:pPr>
      <w:r>
        <w:rPr>
          <w:rFonts w:hint="eastAsia"/>
        </w:rPr>
      </w:r>
      <w:r/>
    </w:p>
    <w:p>
      <w:pPr>
        <w:pStyle w:val="973"/>
        <w:ind w:firstLine="480"/>
        <w:spacing w:line="480" w:lineRule="exact"/>
        <w:rPr>
          <w:rFonts w:hint="eastAsia"/>
          <w:sz w:val="24"/>
          <w:szCs w:val="24"/>
        </w:rPr>
      </w:pPr>
      <w:r>
        <w:rPr>
          <w:rFonts w:hint="eastAsia"/>
          <w:sz w:val="24"/>
          <w:szCs w:val="24"/>
        </w:rPr>
      </w:r>
      <w:r/>
    </w:p>
    <w:p>
      <w:pPr>
        <w:pStyle w:val="973"/>
        <w:ind w:firstLine="480"/>
        <w:spacing w:line="480" w:lineRule="exact"/>
        <w:rPr>
          <w:rFonts w:hint="eastAsia"/>
          <w:sz w:val="24"/>
          <w:szCs w:val="24"/>
        </w:rPr>
      </w:pPr>
      <w:r>
        <w:rPr>
          <w:rFonts w:hint="eastAsia"/>
          <w:sz w:val="24"/>
          <w:szCs w:val="24"/>
        </w:rPr>
        <w:t xml:space="preserve">说明：</w:t>
      </w:r>
      <w:r/>
    </w:p>
    <w:p>
      <w:pPr>
        <w:pStyle w:val="973"/>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73"/>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73"/>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973"/>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73"/>
        <w:ind w:firstLine="482"/>
        <w:spacing w:line="480" w:lineRule="exact"/>
        <w:rPr>
          <w:rFonts w:hint="eastAsia"/>
          <w:b/>
          <w:bCs/>
          <w:sz w:val="24"/>
          <w:szCs w:val="24"/>
        </w:rPr>
      </w:pPr>
      <w:r>
        <w:rPr>
          <w:rFonts w:hint="eastAsia"/>
          <w:b/>
          <w:bCs/>
          <w:sz w:val="24"/>
          <w:szCs w:val="24"/>
        </w:rPr>
        <w:t xml:space="preserve">5.未按招标文件要求和格式提供《法定代表人授权委托书》的，将作为无效投标处理。</w:t>
      </w:r>
      <w:r/>
    </w:p>
    <w:p>
      <w:pPr>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75"/>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75"/>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75"/>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p>
    <w:p>
      <w:pPr>
        <w:pStyle w:val="97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.一旦我方中标，我方将根据招标文件的规定，严格履行合同的责任和义务，并保证在招标文件规定的时间内完成项目，交付贵方验收、使用。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2"/>
        <w:ind w:firstLine="480"/>
        <w:rPr>
          <w:rFonts w:hint="eastAsia"/>
          <w:sz w:val="24"/>
          <w:szCs w:val="24"/>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sz w:val="24"/>
          <w:szCs w:val="24"/>
        </w:rPr>
        <w:t xml:space="preserve">内打“√”）               </w:t>
      </w:r>
      <w:r/>
    </w:p>
    <w:p>
      <w:pPr>
        <w:pStyle w:val="952"/>
        <w:ind w:firstLine="480"/>
        <w:rPr>
          <w:rFonts w:hint="eastAsia"/>
          <w:sz w:val="24"/>
          <w:szCs w:val="24"/>
        </w:rPr>
      </w:pPr>
      <w:r>
        <w:rPr>
          <w:rFonts w:hint="eastAsia"/>
          <w:sz w:val="24"/>
          <w:szCs w:val="24"/>
        </w:rPr>
        <w:t xml:space="preserve">9.我方与本次投标有关信息</w:t>
      </w:r>
      <w:r/>
    </w:p>
    <w:p>
      <w:pPr>
        <w:pStyle w:val="975"/>
        <w:spacing w:before="0" w:after="0" w:line="420" w:lineRule="exact"/>
        <w:rPr>
          <w:rFonts w:hint="eastAsia" w:ascii="宋体" w:hAnsi="宋体"/>
          <w:szCs w:val="21"/>
        </w:rPr>
      </w:pPr>
      <w:r>
        <w:rPr>
          <w:rFonts w:hint="eastAsia" w:ascii="宋体" w:hAnsi="宋体"/>
          <w:szCs w:val="21"/>
        </w:rPr>
        <w:t xml:space="preserve">地  址：</w:t>
      </w:r>
      <w:r/>
    </w:p>
    <w:p>
      <w:pPr>
        <w:pStyle w:val="975"/>
        <w:spacing w:before="0" w:after="0" w:line="420" w:lineRule="exact"/>
        <w:rPr>
          <w:rFonts w:hint="eastAsia" w:ascii="宋体" w:hAnsi="宋体"/>
          <w:szCs w:val="21"/>
        </w:rPr>
      </w:pPr>
      <w:r>
        <w:rPr>
          <w:rFonts w:hint="eastAsia" w:ascii="宋体" w:hAnsi="宋体"/>
          <w:szCs w:val="21"/>
        </w:rPr>
        <w:t xml:space="preserve">邮  编：</w:t>
      </w:r>
      <w:r/>
    </w:p>
    <w:p>
      <w:pPr>
        <w:pStyle w:val="975"/>
        <w:spacing w:before="0" w:after="0" w:line="420" w:lineRule="exact"/>
        <w:rPr>
          <w:rFonts w:hint="eastAsia" w:ascii="宋体" w:hAnsi="宋体"/>
          <w:szCs w:val="21"/>
          <w:u w:val="single"/>
        </w:rPr>
      </w:pPr>
      <w:r>
        <w:rPr>
          <w:rFonts w:hint="eastAsia" w:ascii="宋体" w:hAnsi="宋体"/>
          <w:szCs w:val="21"/>
        </w:rPr>
        <w:t xml:space="preserve">电  话：</w:t>
      </w:r>
      <w:r/>
    </w:p>
    <w:p>
      <w:pPr>
        <w:pStyle w:val="975"/>
        <w:spacing w:before="0" w:after="0" w:line="420" w:lineRule="exact"/>
        <w:rPr>
          <w:rFonts w:hint="eastAsia" w:ascii="宋体" w:hAnsi="宋体"/>
          <w:szCs w:val="21"/>
          <w:u w:val="single"/>
        </w:rPr>
      </w:pPr>
      <w:r>
        <w:rPr>
          <w:rFonts w:hint="eastAsia" w:ascii="宋体" w:hAnsi="宋体"/>
          <w:szCs w:val="21"/>
        </w:rPr>
        <w:t xml:space="preserve">传  真：</w:t>
      </w:r>
      <w:r/>
    </w:p>
    <w:p>
      <w:pPr>
        <w:pStyle w:val="975"/>
        <w:spacing w:before="0" w:after="0" w:line="420" w:lineRule="exact"/>
        <w:rPr>
          <w:rFonts w:hint="eastAsia" w:ascii="宋体" w:hAnsi="宋体"/>
          <w:szCs w:val="21"/>
          <w:u w:val="single"/>
        </w:rPr>
      </w:pPr>
      <w:r>
        <w:rPr>
          <w:rFonts w:hint="eastAsia" w:ascii="宋体" w:hAnsi="宋体"/>
          <w:szCs w:val="21"/>
        </w:rPr>
        <w:t xml:space="preserve">开户行：</w:t>
      </w:r>
      <w:r/>
    </w:p>
    <w:p>
      <w:pPr>
        <w:pStyle w:val="975"/>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75"/>
        <w:spacing w:before="0" w:after="0" w:line="420" w:lineRule="exact"/>
        <w:rPr>
          <w:rFonts w:hint="eastAsia" w:ascii="宋体" w:hAnsi="宋体"/>
          <w:szCs w:val="21"/>
        </w:rPr>
      </w:pPr>
      <w:r>
        <w:rPr>
          <w:rFonts w:hint="eastAsia" w:ascii="宋体" w:hAnsi="宋体"/>
          <w:szCs w:val="21"/>
        </w:rPr>
        <w:t xml:space="preserve">日  期：</w:t>
      </w:r>
      <w:r/>
    </w:p>
    <w:p>
      <w:pPr>
        <w:pStyle w:val="975"/>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336" w:lineRule="auto"/>
        <w:rPr>
          <w:rFonts w:hint="eastAsia" w:ascii="宋体" w:hAnsi="宋体"/>
          <w:sz w:val="24"/>
          <w:szCs w:val="24"/>
        </w:rPr>
      </w:pPr>
      <w:r>
        <w:rPr>
          <w:rFonts w:hint="eastAsia" w:ascii="宋体" w:hAnsi="宋体"/>
          <w:sz w:val="24"/>
          <w:szCs w:val="24"/>
        </w:rPr>
        <w:t xml:space="preserve">投标人名称：（加盖电子公章）</w:t>
      </w:r>
      <w:r/>
    </w:p>
    <w:p>
      <w:pPr>
        <w:spacing w:line="336" w:lineRule="auto"/>
        <w:rPr>
          <w:sz w:val="24"/>
          <w:szCs w:val="24"/>
        </w:rPr>
      </w:pPr>
      <w:r>
        <w:rPr>
          <w:rFonts w:hint="eastAsia" w:ascii="宋体" w:hAnsi="宋体"/>
          <w:sz w:val="24"/>
          <w:szCs w:val="24"/>
        </w:rPr>
        <w:t xml:space="preserve">项目名称：</w:t>
      </w:r>
      <w:r/>
    </w:p>
    <w:p>
      <w:pPr>
        <w:spacing w:line="336" w:lineRule="auto"/>
        <w:rPr>
          <w:rFonts w:ascii="宋体" w:hAnsi="宋体"/>
          <w:sz w:val="24"/>
          <w:szCs w:val="24"/>
        </w:rPr>
      </w:pPr>
      <w:r>
        <w:rPr>
          <w:rFonts w:hint="eastAsia" w:ascii="宋体" w:hAnsi="宋体"/>
          <w:sz w:val="24"/>
          <w:szCs w:val="24"/>
        </w:rPr>
        <w:t xml:space="preserve">项目编号：                                   采购包号：</w:t>
      </w:r>
      <w:r/>
    </w:p>
    <w:tbl>
      <w:tblPr>
        <w:tblStyle w:val="713"/>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75"/>
              <w:ind w:firstLine="0"/>
              <w:spacing w:before="0" w:after="0" w:line="336" w:lineRule="auto"/>
              <w:rPr>
                <w:rFonts w:hint="eastAsia" w:ascii="宋体" w:hAnsi="宋体"/>
                <w:szCs w:val="21"/>
              </w:rPr>
            </w:pPr>
            <w:r>
              <w:rPr>
                <w:rFonts w:hint="eastAsia" w:ascii="宋体" w:hAnsi="宋体" w:cs="宋体"/>
              </w:rPr>
              <w:t xml:space="preserve">小写（元）：                             </w:t>
            </w:r>
            <w:r/>
          </w:p>
        </w:tc>
      </w:tr>
    </w:tbl>
    <w:p>
      <w:pPr>
        <w:spacing w:line="336" w:lineRule="auto"/>
        <w:rPr>
          <w:rFonts w:ascii="宋体" w:hAnsi="宋体"/>
          <w:sz w:val="24"/>
          <w:szCs w:val="24"/>
        </w:rPr>
      </w:pPr>
      <w:r>
        <w:rPr>
          <w:rFonts w:ascii="宋体" w:hAnsi="宋体"/>
          <w:sz w:val="24"/>
          <w:szCs w:val="24"/>
        </w:rPr>
      </w:r>
      <w:r/>
    </w:p>
    <w:p>
      <w:pPr>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p>
    <w:p>
      <w:pPr>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ascii="黑体" w:hAnsi="黑体" w:eastAsia="黑体"/>
          <w:b/>
          <w:i/>
          <w:sz w:val="32"/>
          <w:szCs w:val="32"/>
          <w:u w:val="single"/>
        </w:rPr>
      </w:pPr>
      <w:r>
        <w:rPr>
          <w:rFonts w:hint="eastAsia" w:ascii="黑体" w:hAnsi="黑体" w:eastAsia="黑体"/>
          <w:b/>
          <w:i/>
          <w:sz w:val="32"/>
          <w:szCs w:val="32"/>
          <w:u w:val="single"/>
        </w:rPr>
      </w:r>
      <w:r/>
    </w:p>
    <w:p>
      <w:pPr>
        <w:pStyle w:val="952"/>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bookmarkStart w:id="65" w:name="OLE_LINK3"/>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65"/>
      <w:r/>
      <w:r/>
    </w:p>
    <w:tbl>
      <w:tblPr>
        <w:tblStyle w:val="713"/>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p>
            <w:pPr>
              <w:spacing w:line="0" w:lineRule="atLeast"/>
              <w:rPr>
                <w:rFonts w:hint="eastAsia" w:ascii="宋体" w:hAnsi="宋体"/>
                <w:sz w:val="24"/>
                <w:szCs w:val="24"/>
              </w:rPr>
            </w:pPr>
            <w:r>
              <w:rPr>
                <w:rFonts w:hint="eastAsia" w:ascii="宋体" w:hAnsi="宋体"/>
                <w:sz w:val="24"/>
                <w:szCs w:val="24"/>
              </w:rPr>
            </w:r>
            <w:r/>
          </w:p>
        </w:tc>
      </w:tr>
    </w:tbl>
    <w:p>
      <w:pPr>
        <w:spacing w:line="360" w:lineRule="auto"/>
        <w:rPr>
          <w:rFonts w:ascii="宋体" w:hAnsi="宋体"/>
          <w:sz w:val="24"/>
        </w:rPr>
      </w:pPr>
      <w:r>
        <w:rPr>
          <w:rFonts w:ascii="宋体" w:hAnsi="宋体"/>
          <w:sz w:val="24"/>
        </w:rPr>
      </w:r>
      <w:r/>
    </w:p>
    <w:p>
      <w:pPr>
        <w:pStyle w:val="946"/>
        <w:ind w:firstLine="480"/>
        <w:jc w:val="both"/>
        <w:spacing w:before="0" w:beforeAutospacing="0" w:after="0" w:afterAutospacing="0" w:line="360" w:lineRule="auto"/>
      </w:pPr>
      <w:r>
        <w:t xml:space="preserve">备注： </w:t>
      </w:r>
      <w:r/>
    </w:p>
    <w:p>
      <w:pPr>
        <w:pStyle w:val="946"/>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4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46"/>
        <w:ind w:firstLine="480"/>
        <w:jc w:val="both"/>
        <w:spacing w:before="0" w:beforeAutospacing="0" w:after="0" w:afterAutospacing="0" w:line="360" w:lineRule="auto"/>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pStyle w:val="946"/>
        <w:ind w:firstLine="480"/>
        <w:jc w:val="both"/>
        <w:spacing w:before="0" w:beforeAutospacing="0" w:after="0" w:afterAutospacing="0" w:line="360" w:lineRule="auto"/>
        <w:rPr>
          <w:rFonts w:hint="eastAsia"/>
          <w:b/>
          <w:bCs/>
          <w:color w:val="000000"/>
        </w:rPr>
      </w:pPr>
      <w:r>
        <w:rPr>
          <w:rFonts w:hint="eastAsia"/>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946"/>
        <w:ind w:firstLine="480"/>
        <w:jc w:val="both"/>
        <w:spacing w:before="0" w:beforeAutospacing="0" w:after="0" w:afterAutospacing="0" w:line="360" w:lineRule="auto"/>
        <w:rPr>
          <w:rFonts w:hint="eastAsia"/>
        </w:rPr>
      </w:pPr>
      <w:r>
        <w:rPr>
          <w:rFonts w:hint="eastAsia"/>
        </w:rPr>
      </w:r>
      <w:r/>
    </w:p>
    <w:p>
      <w:pPr>
        <w:jc w:val="center"/>
        <w:spacing w:line="360" w:lineRule="auto"/>
        <w:rPr>
          <w:rFonts w:hint="eastAsia" w:ascii="黑体" w:eastAsia="黑体"/>
          <w:sz w:val="32"/>
          <w:szCs w:val="32"/>
        </w:rPr>
      </w:pPr>
      <w:r>
        <w:rPr>
          <w:rFonts w:hint="eastAsia" w:ascii="黑体" w:eastAsia="黑体"/>
          <w:sz w:val="32"/>
          <w:szCs w:val="32"/>
        </w:rPr>
      </w:r>
      <w:r/>
    </w:p>
    <w:p>
      <w:pPr>
        <w:pStyle w:val="952"/>
        <w:ind w:firstLine="640"/>
        <w:rPr>
          <w:rFonts w:hint="eastAsia" w:ascii="黑体" w:eastAsia="黑体"/>
          <w:sz w:val="32"/>
          <w:szCs w:val="32"/>
        </w:rPr>
      </w:pPr>
      <w:r>
        <w:rPr>
          <w:rFonts w:hint="eastAsia"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w:t>
      </w:r>
      <w:bookmarkEnd w:id="44"/>
      <w:r/>
      <w:bookmarkEnd w:id="45"/>
      <w:r/>
      <w:bookmarkEnd w:id="64"/>
      <w:r>
        <w:rPr>
          <w:rFonts w:hint="eastAsia" w:ascii="黑体" w:hAnsi="黑体" w:eastAsia="黑体"/>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rPr>
      </w:pPr>
      <w:r>
        <w:rPr>
          <w:rFonts w:hint="eastAsia" w:ascii="宋体" w:hAnsi="宋体"/>
          <w:sz w:val="24"/>
          <w:szCs w:val="24"/>
        </w:rPr>
        <w:t xml:space="preserve">项目编号：                                   采购包号：</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pPr>
            <w:r/>
            <w:r/>
          </w:p>
          <w:p>
            <w:pPr>
              <w:pStyle w:val="952"/>
              <w:rPr>
                <w:rFonts w:hint="eastAsia"/>
              </w:rPr>
            </w:pPr>
            <w:r>
              <w:rPr>
                <w:rFonts w:hint="eastAsia"/>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46"/>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946"/>
        <w:ind w:firstLine="480"/>
        <w:jc w:val="both"/>
        <w:spacing w:before="0" w:beforeAutospacing="0" w:after="0" w:afterAutospacing="0" w:line="360" w:lineRule="auto"/>
      </w:pPr>
      <w:r>
        <w:t xml:space="preserve">备注： </w:t>
      </w:r>
      <w:r/>
    </w:p>
    <w:p>
      <w:pPr>
        <w:pStyle w:val="946"/>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946"/>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946"/>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rPr>
          <w:rFonts w:hint="eastAsia" w:ascii="黑体" w:hAnsi="黑体" w:eastAsia="黑体"/>
          <w:iCs/>
          <w:sz w:val="32"/>
          <w:szCs w:val="32"/>
        </w:rPr>
        <w:t xml:space="preserve">七、商务要求响应及偏离表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rPr>
      </w:pPr>
      <w:r>
        <w:rPr>
          <w:rFonts w:hint="eastAsia" w:ascii="宋体" w:hAnsi="宋体"/>
          <w:sz w:val="24"/>
          <w:szCs w:val="24"/>
        </w:rPr>
        <w:t xml:space="preserve">项目编号：                                   采购包号：</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66" w:name="_Hlt26782999"/>
            <w:r/>
            <w:bookmarkEnd w:id="66"/>
            <w:r/>
            <w:bookmarkStart w:id="67" w:name="_Hlt24879081"/>
            <w:r/>
            <w:bookmarkEnd w:id="67"/>
            <w:r/>
            <w:bookmarkStart w:id="68" w:name="_Hlt26955064"/>
            <w:r/>
            <w:bookmarkEnd w:id="68"/>
            <w:r/>
            <w:bookmarkStart w:id="69" w:name="_Hlt26580838"/>
            <w:r/>
            <w:bookmarkEnd w:id="69"/>
            <w:r/>
            <w:bookmarkStart w:id="70" w:name="_Hlt26671372"/>
            <w:r/>
            <w:bookmarkEnd w:id="70"/>
            <w:r/>
            <w:bookmarkStart w:id="71" w:name="_Hlt26671343"/>
            <w:r/>
            <w:bookmarkEnd w:id="71"/>
            <w:r/>
            <w:bookmarkStart w:id="72" w:name="_Hlt26609391"/>
            <w:r/>
            <w:bookmarkEnd w:id="72"/>
            <w:r/>
            <w:bookmarkStart w:id="73" w:name="_Hlt26955056"/>
            <w:r/>
            <w:bookmarkEnd w:id="73"/>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pPr>
            <w:r/>
            <w:r/>
          </w:p>
          <w:p>
            <w:pPr>
              <w:pStyle w:val="952"/>
              <w:rPr>
                <w:rFonts w:hint="eastAsia"/>
              </w:rPr>
            </w:pPr>
            <w:r>
              <w:rPr>
                <w:rFonts w:hint="eastAsia"/>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46"/>
        <w:ind w:firstLine="480"/>
        <w:jc w:val="both"/>
        <w:spacing w:before="0" w:beforeAutospacing="0" w:after="0" w:afterAutospacing="0" w:line="360" w:lineRule="auto"/>
        <w:rPr>
          <w:rFonts w:hint="eastAsia"/>
        </w:rPr>
      </w:pPr>
      <w:r>
        <w:rPr>
          <w:rFonts w:hint="eastAsia"/>
        </w:rPr>
      </w:r>
      <w:r/>
    </w:p>
    <w:p>
      <w:pPr>
        <w:pStyle w:val="946"/>
        <w:ind w:firstLine="480"/>
        <w:jc w:val="both"/>
        <w:spacing w:before="0" w:beforeAutospacing="0" w:after="0" w:afterAutospacing="0" w:line="360" w:lineRule="auto"/>
        <w:rPr>
          <w:rFonts w:hint="eastAsia"/>
        </w:rPr>
      </w:pPr>
      <w:r>
        <w:rPr>
          <w:rFonts w:hint="eastAsia"/>
        </w:rPr>
        <w:t xml:space="preserve">备注： </w:t>
      </w:r>
      <w:r/>
    </w:p>
    <w:p>
      <w:pPr>
        <w:pStyle w:val="946"/>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946"/>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14"/>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14"/>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color w:val="000000"/>
          <w:sz w:val="24"/>
          <w:szCs w:val="24"/>
        </w:rPr>
        <w:t xml:space="preserve">日    期：</w:t>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b/>
          <w:bCs/>
          <w:sz w:val="28"/>
          <w:szCs w:val="28"/>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w:t>
      </w:r>
      <w:r>
        <w:rPr>
          <w:rFonts w:hint="eastAsia" w:ascii="宋体" w:hAnsi="宋体"/>
          <w:b/>
          <w:bCs/>
          <w:sz w:val="28"/>
          <w:szCs w:val="28"/>
        </w:rPr>
        <w:t xml:space="preserve">招标文件第四章采购需求“</w:t>
      </w:r>
      <w:r>
        <w:rPr>
          <w:rFonts w:ascii="宋体" w:hAnsi="宋体"/>
          <w:b/>
          <w:bCs/>
          <w:sz w:val="28"/>
          <w:szCs w:val="28"/>
        </w:rPr>
        <w:t xml:space="preserve">项目</w:t>
      </w:r>
      <w:r>
        <w:rPr>
          <w:rFonts w:hint="eastAsia" w:ascii="宋体" w:hAnsi="宋体"/>
          <w:b/>
          <w:bCs/>
          <w:sz w:val="28"/>
          <w:szCs w:val="28"/>
        </w:rPr>
        <w:t xml:space="preserve">清单”中的“服务”产品需在此声明函中的“标的名称”中全部列明，并填写承接企业的具体情况。</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14"/>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2"/>
        <w:spacing w:line="360" w:lineRule="auto"/>
        <w:rPr>
          <w:rFonts w:hint="eastAsia" w:ascii="宋体" w:hAnsi="宋体"/>
          <w:b/>
          <w:bCs/>
          <w:sz w:val="24"/>
        </w:rPr>
      </w:pPr>
      <w:r>
        <w:rPr>
          <w:rFonts w:hint="eastAsia" w:ascii="宋体" w:hAnsi="宋体"/>
          <w:b/>
          <w:bCs/>
          <w:sz w:val="24"/>
          <w:szCs w:val="24"/>
        </w:rPr>
        <w:t xml:space="preserve">2.</w:t>
      </w:r>
      <w:r>
        <w:rPr>
          <w:rFonts w:hint="eastAsia" w:ascii="宋体" w:hAnsi="宋体"/>
          <w:b/>
          <w:bCs/>
          <w:sz w:val="24"/>
        </w:rPr>
        <w:t xml:space="preserve">除另有说明外，本招标文件要求加盖电子公章之处，加盖牵头单位的电子公章即可。</w:t>
      </w:r>
      <w:r/>
    </w:p>
    <w:p>
      <w:pPr>
        <w:pStyle w:val="952"/>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14"/>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4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4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8"/>
          <w:rFonts w:hint="eastAsia"/>
          <w:i w:val="0"/>
          <w:u w:val="single"/>
          <w:shd w:val="clear" w:color="auto" w:fill="ffffff"/>
        </w:rPr>
        <w:t xml:space="preserve">（产品名称1）</w:t>
      </w:r>
      <w:r>
        <w:rPr>
          <w:rStyle w:val="95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8"/>
          <w:rFonts w:hint="eastAsia"/>
          <w:i w:val="0"/>
          <w:u w:val="single"/>
          <w:shd w:val="clear" w:color="auto" w:fill="ffffff"/>
        </w:rPr>
        <w:t xml:space="preserve">（厂名）</w:t>
      </w:r>
      <w:r>
        <w:rPr>
          <w:rStyle w:val="958"/>
          <w:rFonts w:hint="eastAsia"/>
          <w:i w:val="0"/>
          <w:shd w:val="clear" w:color="auto" w:fill="ffffff"/>
          <w:vertAlign w:val="superscript"/>
        </w:rPr>
        <w:t xml:space="preserve">2</w:t>
      </w:r>
      <w:r>
        <w:rPr>
          <w:rFonts w:hint="eastAsia"/>
          <w:shd w:val="clear" w:color="auto" w:fill="ffffff"/>
        </w:rPr>
        <w:t xml:space="preserve">，厂址为</w:t>
      </w:r>
      <w:r>
        <w:rPr>
          <w:rStyle w:val="958"/>
          <w:rFonts w:hint="eastAsia"/>
          <w:i w:val="0"/>
          <w:u w:val="single"/>
          <w:shd w:val="clear" w:color="auto" w:fill="ffffff"/>
        </w:rPr>
        <w:t xml:space="preserve">（生产厂址）</w:t>
      </w:r>
      <w:r>
        <w:rPr>
          <w:rFonts w:hint="eastAsia"/>
          <w:shd w:val="clear" w:color="auto" w:fill="ffffff"/>
        </w:rPr>
        <w:t xml:space="preserve">。</w:t>
      </w:r>
      <w:r>
        <w:rPr>
          <w:rStyle w:val="958"/>
          <w:rFonts w:hint="eastAsia"/>
          <w:i w:val="0"/>
          <w:u w:val="single"/>
          <w:shd w:val="clear" w:color="auto" w:fill="ffffff"/>
        </w:rPr>
        <w:t xml:space="preserve">（产品名称1）</w:t>
      </w:r>
      <w:r>
        <w:rPr>
          <w:rFonts w:hint="eastAsia"/>
          <w:shd w:val="clear" w:color="auto" w:fill="ffffff"/>
        </w:rPr>
        <w:t xml:space="preserve">的中国境内生产的组件成本占比≥</w:t>
      </w:r>
      <w:r>
        <w:rPr>
          <w:rStyle w:val="958"/>
          <w:rFonts w:hint="eastAsia"/>
          <w:i w:val="0"/>
          <w:u w:val="single"/>
          <w:shd w:val="clear" w:color="auto" w:fill="ffffff"/>
        </w:rPr>
        <w:t xml:space="preserve">（规定比例）</w:t>
      </w:r>
      <w:r>
        <w:rPr>
          <w:rStyle w:val="958"/>
          <w:rFonts w:hint="eastAsia"/>
          <w:i w:val="0"/>
          <w:shd w:val="clear" w:color="auto" w:fill="ffffff"/>
          <w:vertAlign w:val="superscript"/>
        </w:rPr>
        <w:t xml:space="preserve">3</w:t>
      </w:r>
      <w:r>
        <w:rPr>
          <w:rFonts w:hint="eastAsia"/>
          <w:shd w:val="clear" w:color="auto" w:fill="ffffff"/>
        </w:rPr>
        <w:t xml:space="preserve">。</w:t>
      </w:r>
      <w:r>
        <w:rPr>
          <w:rStyle w:val="958"/>
          <w:rFonts w:hint="eastAsia"/>
          <w:i w:val="0"/>
          <w:u w:val="single"/>
          <w:shd w:val="clear" w:color="auto" w:fill="ffffff"/>
        </w:rPr>
        <w:t xml:space="preserve">（产品名称1）</w:t>
      </w:r>
      <w:r>
        <w:rPr>
          <w:rFonts w:hint="eastAsia"/>
          <w:shd w:val="clear" w:color="auto" w:fill="ffffff"/>
        </w:rPr>
        <w:t xml:space="preserve">的</w:t>
      </w:r>
      <w:r>
        <w:rPr>
          <w:rStyle w:val="958"/>
          <w:rFonts w:hint="eastAsia"/>
          <w:i w:val="0"/>
          <w:u w:val="single"/>
          <w:shd w:val="clear" w:color="auto" w:fill="ffffff"/>
        </w:rPr>
        <w:t xml:space="preserve">（关键组件）</w:t>
      </w:r>
      <w:r>
        <w:rPr>
          <w:rStyle w:val="958"/>
          <w:rFonts w:hint="eastAsia"/>
          <w:i w:val="0"/>
          <w:shd w:val="clear" w:color="auto" w:fill="ffffff"/>
          <w:vertAlign w:val="superscript"/>
        </w:rPr>
        <w:t xml:space="preserve">4</w:t>
      </w:r>
      <w:r>
        <w:rPr>
          <w:rFonts w:hint="eastAsia"/>
          <w:shd w:val="clear" w:color="auto" w:fill="ffffff"/>
        </w:rPr>
        <w:t xml:space="preserve">在中国境内生产。</w:t>
      </w:r>
      <w:r>
        <w:rPr>
          <w:rStyle w:val="958"/>
          <w:rFonts w:hint="eastAsia"/>
          <w:i w:val="0"/>
          <w:u w:val="single"/>
          <w:shd w:val="clear" w:color="auto" w:fill="ffffff"/>
        </w:rPr>
        <w:t xml:space="preserve">（产品名称1）</w:t>
      </w:r>
      <w:r>
        <w:rPr>
          <w:rFonts w:hint="eastAsia"/>
          <w:shd w:val="clear" w:color="auto" w:fill="ffffff"/>
        </w:rPr>
        <w:t xml:space="preserve">的</w:t>
      </w:r>
      <w:r>
        <w:rPr>
          <w:rStyle w:val="958"/>
          <w:rFonts w:hint="eastAsia"/>
          <w:i w:val="0"/>
          <w:u w:val="single"/>
          <w:shd w:val="clear" w:color="auto" w:fill="ffffff"/>
        </w:rPr>
        <w:t xml:space="preserve">（关键工序）</w:t>
      </w:r>
      <w:r>
        <w:rPr>
          <w:rStyle w:val="958"/>
          <w:rFonts w:hint="eastAsia"/>
          <w:i w:val="0"/>
          <w:shd w:val="clear" w:color="auto" w:fill="ffffff"/>
          <w:vertAlign w:val="superscript"/>
        </w:rPr>
        <w:t xml:space="preserve">5</w:t>
      </w:r>
      <w:r>
        <w:rPr>
          <w:rFonts w:hint="eastAsia"/>
          <w:shd w:val="clear" w:color="auto" w:fill="ffffff"/>
        </w:rPr>
        <w:t xml:space="preserve">在中国境内完成。</w:t>
      </w:r>
      <w:r/>
    </w:p>
    <w:p>
      <w:pPr>
        <w:pStyle w:val="94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58"/>
          <w:rFonts w:hint="eastAsia"/>
          <w:i w:val="0"/>
          <w:u w:val="single"/>
          <w:shd w:val="clear" w:color="auto" w:fill="ffffff"/>
        </w:rPr>
        <w:t xml:space="preserve">（产品名称2）</w:t>
      </w:r>
      <w:r>
        <w:rPr>
          <w:rFonts w:hint="eastAsia"/>
          <w:shd w:val="clear" w:color="auto" w:fill="ffffff"/>
        </w:rPr>
        <w:t xml:space="preserve">，生产厂为</w:t>
      </w:r>
      <w:r>
        <w:rPr>
          <w:rStyle w:val="958"/>
          <w:rFonts w:hint="eastAsia"/>
          <w:i w:val="0"/>
          <w:u w:val="single"/>
          <w:shd w:val="clear" w:color="auto" w:fill="ffffff"/>
        </w:rPr>
        <w:t xml:space="preserve">（厂名）</w:t>
      </w:r>
      <w:r>
        <w:rPr>
          <w:rFonts w:hint="eastAsia"/>
          <w:shd w:val="clear" w:color="auto" w:fill="ffffff"/>
        </w:rPr>
        <w:t xml:space="preserve">，厂址为</w:t>
      </w:r>
      <w:r>
        <w:rPr>
          <w:rStyle w:val="958"/>
          <w:rFonts w:hint="eastAsia"/>
          <w:i w:val="0"/>
          <w:u w:val="single"/>
          <w:shd w:val="clear" w:color="auto" w:fill="ffffff"/>
        </w:rPr>
        <w:t xml:space="preserve">（生产厂址）</w:t>
      </w:r>
      <w:r>
        <w:rPr>
          <w:rFonts w:hint="eastAsia"/>
          <w:shd w:val="clear" w:color="auto" w:fill="ffffff"/>
        </w:rPr>
        <w:t xml:space="preserve">。</w:t>
      </w:r>
      <w:r>
        <w:rPr>
          <w:rStyle w:val="958"/>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958"/>
          <w:rFonts w:hint="eastAsia"/>
          <w:i w:val="0"/>
          <w:u w:val="single"/>
          <w:shd w:val="clear" w:color="auto" w:fill="ffffff"/>
        </w:rPr>
        <w:t xml:space="preserve">（规定比例）</w:t>
      </w:r>
      <w:r>
        <w:rPr>
          <w:rFonts w:hint="eastAsia"/>
          <w:shd w:val="clear" w:color="auto" w:fill="ffffff"/>
        </w:rPr>
        <w:t xml:space="preserve">。</w:t>
      </w:r>
      <w:r>
        <w:rPr>
          <w:rStyle w:val="958"/>
          <w:rFonts w:hint="eastAsia"/>
          <w:i w:val="0"/>
          <w:u w:val="single"/>
          <w:shd w:val="clear" w:color="auto" w:fill="ffffff"/>
        </w:rPr>
        <w:t xml:space="preserve">（产品名称2）</w:t>
      </w:r>
      <w:r>
        <w:rPr>
          <w:rFonts w:hint="eastAsia"/>
          <w:shd w:val="clear" w:color="auto" w:fill="ffffff"/>
        </w:rPr>
        <w:t xml:space="preserve">的</w:t>
      </w:r>
      <w:r>
        <w:rPr>
          <w:rStyle w:val="958"/>
          <w:rFonts w:hint="eastAsia"/>
          <w:i w:val="0"/>
          <w:u w:val="single"/>
          <w:shd w:val="clear" w:color="auto" w:fill="ffffff"/>
        </w:rPr>
        <w:t xml:space="preserve">（关键组件）</w:t>
      </w:r>
      <w:r>
        <w:rPr>
          <w:rFonts w:hint="eastAsia"/>
          <w:shd w:val="clear" w:color="auto" w:fill="ffffff"/>
        </w:rPr>
        <w:t xml:space="preserve">在中国境内生产。</w:t>
      </w:r>
      <w:r>
        <w:rPr>
          <w:rStyle w:val="958"/>
          <w:rFonts w:hint="eastAsia"/>
          <w:i w:val="0"/>
          <w:u w:val="single"/>
          <w:shd w:val="clear" w:color="auto" w:fill="ffffff"/>
        </w:rPr>
        <w:t xml:space="preserve">（产品名称2）</w:t>
      </w:r>
      <w:r>
        <w:rPr>
          <w:rFonts w:hint="eastAsia"/>
          <w:shd w:val="clear" w:color="auto" w:fill="ffffff"/>
        </w:rPr>
        <w:t xml:space="preserve">的</w:t>
      </w:r>
      <w:r>
        <w:rPr>
          <w:rStyle w:val="958"/>
          <w:rFonts w:hint="eastAsia"/>
          <w:i w:val="0"/>
          <w:u w:val="single"/>
          <w:shd w:val="clear" w:color="auto" w:fill="ffffff"/>
        </w:rPr>
        <w:t xml:space="preserve">（关键工序）</w:t>
      </w:r>
      <w:r>
        <w:rPr>
          <w:rFonts w:hint="eastAsia"/>
          <w:shd w:val="clear" w:color="auto" w:fill="ffffff"/>
        </w:rPr>
        <w:t xml:space="preserve">在中国境内完成。</w:t>
      </w:r>
      <w:r/>
    </w:p>
    <w:p>
      <w:pPr>
        <w:pStyle w:val="94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46"/>
        <w:spacing w:before="24" w:beforeAutospacing="0" w:after="24" w:afterAutospacing="0" w:line="360" w:lineRule="auto"/>
        <w:shd w:val="clear" w:color="auto" w:fill="ffffff"/>
        <w:rPr>
          <w:rFonts w:hint="eastAsia"/>
          <w:shd w:val="clear" w:color="auto" w:fill="ffffff"/>
        </w:rPr>
      </w:pPr>
      <w:r>
        <w:rPr>
          <w:rFonts w:hint="eastAsia"/>
          <w:shd w:val="clear" w:color="auto" w:fill="ffffff"/>
        </w:rPr>
      </w:r>
      <w:r/>
    </w:p>
    <w:p>
      <w:pPr>
        <w:pStyle w:val="94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94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94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4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94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4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4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94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4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946"/>
        <w:ind w:firstLine="420"/>
        <w:spacing w:before="24" w:beforeAutospacing="0" w:after="24" w:afterAutospacing="0" w:line="360" w:lineRule="auto"/>
        <w:shd w:val="clear" w:color="auto" w:fill="ffffff"/>
      </w:pPr>
      <w:r/>
      <w:r/>
    </w:p>
    <w:p>
      <w:pPr>
        <w:jc w:val="left"/>
        <w:spacing w:line="360" w:lineRule="auto"/>
        <w:widowControl/>
      </w:pPr>
      <w:r>
        <w:rPr>
          <w:rFonts w:hint="eastAsia"/>
          <w:shd w:val="clear" w:color="auto" w:fill="ffffff"/>
        </w:rPr>
        <w:br w:type="page" w:clear="all"/>
      </w:r>
      <w:r>
        <w:rPr>
          <w:rFonts w:hint="eastAsia" w:ascii="黑体" w:hAnsi="黑体" w:eastAsia="黑体"/>
          <w:iCs/>
          <w:sz w:val="32"/>
          <w:szCs w:val="32"/>
        </w:rPr>
        <w:t xml:space="preserve">十二、分包情况说明及分包意向协议</w:t>
      </w:r>
      <w:r/>
    </w:p>
    <w:p>
      <w:pPr>
        <w:jc w:val="center"/>
        <w:widowControl/>
      </w:pPr>
      <w:r>
        <w:rPr>
          <w:rFonts w:ascii="宋体" w:hAnsi="宋体" w:cs="宋体"/>
          <w:b/>
          <w:bCs/>
          <w:color w:val="000000"/>
          <w:sz w:val="36"/>
          <w:szCs w:val="36"/>
          <w:lang w:bidi="ar"/>
        </w:rPr>
        <w:t xml:space="preserve">分包情况说明</w:t>
      </w:r>
      <w:r/>
    </w:p>
    <w:p>
      <w:pPr>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p>
    <w:p>
      <w:pPr>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widowControl/>
              <w:rPr>
                <w:rFonts w:hint="eastAsia"/>
              </w:rPr>
            </w:pPr>
            <w:r>
              <w:rPr>
                <w:rFonts w:hint="eastAsia"/>
              </w:rPr>
              <w:t xml:space="preserve">序号</w:t>
            </w:r>
            <w:r/>
          </w:p>
        </w:tc>
        <w:tc>
          <w:tcPr>
            <w:tcW w:w="1543" w:type="dxa"/>
            <w:vAlign w:val="center"/>
            <w:textDirection w:val="lrTb"/>
            <w:noWrap w:val="false"/>
          </w:tcPr>
          <w:p>
            <w:pPr>
              <w:jc w:val="center"/>
              <w:widowControl/>
            </w:pPr>
            <w:r>
              <w:rPr>
                <w:rFonts w:hint="eastAsia"/>
              </w:rPr>
              <w:t xml:space="preserve">分包承担主体名称</w:t>
            </w:r>
            <w:r/>
          </w:p>
        </w:tc>
        <w:tc>
          <w:tcPr>
            <w:tcW w:w="1543" w:type="dxa"/>
            <w:vAlign w:val="center"/>
            <w:textDirection w:val="lrTb"/>
            <w:noWrap w:val="false"/>
          </w:tcPr>
          <w:p>
            <w:pPr>
              <w:jc w:val="center"/>
              <w:widowControl/>
            </w:pPr>
            <w:r>
              <w:rPr>
                <w:rFonts w:hint="eastAsia"/>
              </w:rPr>
              <w:t xml:space="preserve">分包承担主体类型（大型、中型、小型、微型）</w:t>
            </w:r>
            <w:r/>
          </w:p>
        </w:tc>
        <w:tc>
          <w:tcPr>
            <w:tcW w:w="1596" w:type="dxa"/>
            <w:vAlign w:val="center"/>
            <w:textDirection w:val="lrTb"/>
            <w:noWrap w:val="false"/>
          </w:tcPr>
          <w:p>
            <w:pPr>
              <w:jc w:val="center"/>
              <w:widowControl/>
            </w:pPr>
            <w:r>
              <w:rPr>
                <w:rFonts w:hint="eastAsia"/>
              </w:rPr>
              <w:t xml:space="preserve">分包承担主体资质</w:t>
            </w:r>
            <w:r/>
          </w:p>
        </w:tc>
        <w:tc>
          <w:tcPr>
            <w:tcW w:w="1811" w:type="dxa"/>
            <w:vAlign w:val="center"/>
            <w:textDirection w:val="lrTb"/>
            <w:noWrap w:val="false"/>
          </w:tcPr>
          <w:p>
            <w:pPr>
              <w:jc w:val="center"/>
              <w:widowControl/>
            </w:pPr>
            <w:r>
              <w:rPr>
                <w:rFonts w:hint="eastAsia"/>
              </w:rPr>
              <w:t xml:space="preserve">分包标的内容</w:t>
            </w:r>
            <w:r/>
          </w:p>
        </w:tc>
        <w:tc>
          <w:tcPr>
            <w:tcW w:w="1586" w:type="dxa"/>
            <w:vAlign w:val="center"/>
            <w:textDirection w:val="lrTb"/>
            <w:noWrap w:val="false"/>
          </w:tcPr>
          <w:p>
            <w:pPr>
              <w:jc w:val="center"/>
              <w:widowControl/>
            </w:pPr>
            <w:r>
              <w:rPr>
                <w:rFonts w:hint="eastAsia"/>
              </w:rPr>
              <w:t xml:space="preserve">分包合同金额（元）</w:t>
            </w:r>
            <w:r/>
          </w:p>
        </w:tc>
        <w:tc>
          <w:tcPr>
            <w:tcW w:w="1287" w:type="dxa"/>
            <w:vAlign w:val="center"/>
            <w:textDirection w:val="lrTb"/>
            <w:noWrap w:val="false"/>
          </w:tcPr>
          <w:p>
            <w:pPr>
              <w:jc w:val="center"/>
              <w:widowControl/>
            </w:pPr>
            <w:r>
              <w:rPr>
                <w:rFonts w:hint="eastAsia"/>
              </w:rPr>
              <w:t xml:space="preserve">占合同总额的比例（%）</w:t>
            </w:r>
            <w:r/>
          </w:p>
        </w:tc>
      </w:tr>
      <w:tr>
        <w:trPr>
          <w:trHeight w:val="488"/>
        </w:trPr>
        <w:tc>
          <w:tcPr>
            <w:tcW w:w="596" w:type="dxa"/>
            <w:vAlign w:val="center"/>
            <w:textDirection w:val="lrTb"/>
            <w:noWrap w:val="false"/>
          </w:tcPr>
          <w:p>
            <w:pPr>
              <w:jc w:val="center"/>
              <w:widowControl/>
              <w:rPr>
                <w:rFonts w:hint="eastAsia"/>
              </w:rPr>
            </w:pPr>
            <w:r>
              <w:rPr>
                <w:rFonts w:hint="eastAsia"/>
              </w:rPr>
              <w:t xml:space="preserve">1</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88"/>
        </w:trPr>
        <w:tc>
          <w:tcPr>
            <w:tcW w:w="596" w:type="dxa"/>
            <w:vAlign w:val="center"/>
            <w:textDirection w:val="lrTb"/>
            <w:noWrap w:val="false"/>
          </w:tcPr>
          <w:p>
            <w:pPr>
              <w:jc w:val="center"/>
              <w:widowControl/>
              <w:rPr>
                <w:rFonts w:hint="eastAsia"/>
              </w:rPr>
            </w:pPr>
            <w:r>
              <w:rPr>
                <w:rFonts w:hint="eastAsia"/>
              </w:rPr>
              <w:t xml:space="preserve">2</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56"/>
        </w:trPr>
        <w:tc>
          <w:tcPr>
            <w:tcW w:w="596" w:type="dxa"/>
            <w:vAlign w:val="center"/>
            <w:textDirection w:val="lrTb"/>
            <w:noWrap w:val="false"/>
          </w:tcPr>
          <w:p>
            <w:pPr>
              <w:jc w:val="center"/>
              <w:widowControl/>
            </w:pPr>
            <w:r>
              <w:rPr>
                <w:rFonts w:hint="eastAsia"/>
              </w:rPr>
              <w:t xml:space="preserve">...</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75"/>
        </w:trPr>
        <w:tc>
          <w:tcPr>
            <w:gridSpan w:val="5"/>
            <w:tcW w:w="7089" w:type="dxa"/>
            <w:vAlign w:val="center"/>
            <w:textDirection w:val="lrTb"/>
            <w:noWrap w:val="false"/>
          </w:tcPr>
          <w:p>
            <w:pPr>
              <w:jc w:val="center"/>
              <w:widowControl/>
              <w:rPr>
                <w:rFonts w:hint="eastAsia"/>
              </w:rPr>
            </w:pPr>
            <w:r>
              <w:rPr>
                <w:rFonts w:hint="eastAsia"/>
              </w:rPr>
              <w:t xml:space="preserve">合计</w:t>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bl>
    <w:p>
      <w:pPr>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p>
    <w:p>
      <w:pPr>
        <w:ind w:firstLine="480"/>
        <w:jc w:val="left"/>
        <w:widowControl/>
        <w:rPr>
          <w:rFonts w:hint="eastAsia"/>
        </w:rPr>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p>
    <w:p>
      <w:pPr>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ind w:firstLine="480"/>
        <w:jc w:val="left"/>
        <w:widowControl/>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p>
    <w:p>
      <w:pPr>
        <w:ind w:firstLine="480"/>
        <w:jc w:val="left"/>
        <w:widowControl/>
      </w:pPr>
      <w:r>
        <w:rPr>
          <w:rFonts w:hint="eastAsia" w:ascii="宋体" w:hAnsi="宋体" w:cs="宋体"/>
          <w:color w:val="000000"/>
          <w:sz w:val="24"/>
          <w:szCs w:val="24"/>
          <w:lang w:bidi="ar"/>
        </w:rPr>
        <w:t xml:space="preserve">乙方承诺将在上述情况下与甲方签订分包合同。 </w:t>
      </w:r>
      <w:r/>
    </w:p>
    <w:p>
      <w:pPr>
        <w:ind w:firstLine="480"/>
        <w:jc w:val="left"/>
        <w:widowControl/>
      </w:pPr>
      <w:r>
        <w:rPr>
          <w:rFonts w:hint="eastAsia" w:ascii="宋体" w:hAnsi="宋体" w:cs="宋体"/>
          <w:color w:val="000000"/>
          <w:sz w:val="24"/>
          <w:szCs w:val="24"/>
          <w:lang w:bidi="ar"/>
        </w:rPr>
        <w:t xml:space="preserve">本协议自各方盖章之日起生效，如甲方未在该项目（采购包）中标，本协议自动终止。 </w:t>
      </w:r>
      <w:r/>
    </w:p>
    <w:p>
      <w:pPr>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p>
    <w:p>
      <w:pPr>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 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 </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p>
    <w:p>
      <w:pPr>
        <w:jc w:val="left"/>
        <w:widowControl/>
      </w:pPr>
      <w:r>
        <w:rPr>
          <w:rFonts w:hint="eastAsia" w:ascii="宋体" w:hAnsi="宋体" w:cs="宋体"/>
          <w:color w:val="000000"/>
          <w:sz w:val="24"/>
          <w:szCs w:val="24"/>
          <w:lang w:bidi="ar"/>
        </w:rPr>
        <w:t xml:space="preserve">有关规定，拟享受中小企业政策优惠措施的，仍需提供本协议，否则不予认可； </w:t>
      </w:r>
      <w:r/>
    </w:p>
    <w:p>
      <w:pPr>
        <w:ind w:firstLine="480"/>
        <w:jc w:val="left"/>
        <w:widowControl/>
      </w:pPr>
      <w:r>
        <w:rPr>
          <w:color w:val="000000"/>
          <w:sz w:val="24"/>
          <w:szCs w:val="24"/>
          <w:lang w:bidi="ar"/>
        </w:rPr>
        <w:t xml:space="preserve">3. </w:t>
      </w:r>
      <w:r>
        <w:rPr>
          <w:rFonts w:hint="eastAsia" w:ascii="宋体" w:hAnsi="宋体" w:cs="宋体"/>
          <w:color w:val="000000"/>
          <w:sz w:val="24"/>
          <w:szCs w:val="24"/>
          <w:lang w:bidi="ar"/>
        </w:rPr>
        <w:t xml:space="preserve">投标人须按分包情况说明与所有拟分包承担主体分别签订《分包意向协议》，并在投标文件中提交。</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４０</w:t>
    </w:r>
    <w:r>
      <w:rPr>
        <w:rFonts w:ascii="宋体" w:hAnsi="宋体"/>
      </w:rPr>
      <w:fldChar w:fldCharType="end"/>
    </w:r>
    <w:r/>
  </w:p>
  <w:p>
    <w:pPr>
      <w:pStyle w:val="93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rPr>
                              <w:rFonts w:hint="eastAsia"/>
                            </w:rPr>
                            <w:t xml:space="preserve">０</w:t>
                          </w:r>
                          <w:r>
                            <w:fldChar w:fldCharType="end"/>
                          </w:r>
                          <w:r/>
                        </w:p>
                        <w:p>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rPr>
                        <w:rFonts w:hint="eastAsia"/>
                      </w:rPr>
                      <w:t xml:space="preserve">０</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0"/>
      <w:isLgl w:val="false"/>
      <w:suff w:val="nothing"/>
      <w:lvlText w:val=""/>
      <w:lvlJc w:val="left"/>
      <w:pPr>
        <w:ind w:left="0" w:firstLine="0"/>
      </w:pPr>
      <w:rPr>
        <w:rFonts w:hint="eastAsia"/>
      </w:rPr>
    </w:lvl>
    <w:lvl w:ilvl="6">
      <w:start w:val="1"/>
      <w:numFmt w:val="decimal"/>
      <w:pStyle w:val="891"/>
      <w:isLgl w:val="false"/>
      <w:suff w:val="nothing"/>
      <w:lvlText w:val=""/>
      <w:lvlJc w:val="left"/>
      <w:pPr>
        <w:ind w:left="0" w:firstLine="0"/>
      </w:pPr>
      <w:rPr>
        <w:rFonts w:hint="eastAsia"/>
      </w:rPr>
    </w:lvl>
    <w:lvl w:ilvl="7">
      <w:start w:val="1"/>
      <w:numFmt w:val="decimal"/>
      <w:pStyle w:val="892"/>
      <w:isLgl w:val="false"/>
      <w:suff w:val="nothing"/>
      <w:lvlText w:val=""/>
      <w:lvlJc w:val="left"/>
      <w:pPr>
        <w:ind w:left="0" w:firstLine="0"/>
      </w:pPr>
      <w:rPr>
        <w:rFonts w:hint="eastAsia"/>
      </w:rPr>
    </w:lvl>
    <w:lvl w:ilvl="8">
      <w:start w:val="1"/>
      <w:numFmt w:val="decimal"/>
      <w:pStyle w:val="89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link w:val="101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6"/>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7"/>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8"/>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4"/>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索引 41"/>
    <w:basedOn w:val="702"/>
    <w:next w:val="702"/>
    <w:uiPriority w:val="0"/>
    <w:semiHidden/>
    <w:qFormat/>
    <w:pPr>
      <w:ind w:left="1260"/>
    </w:pPr>
    <w:rPr>
      <w:rFonts w:ascii="Calibri" w:hAnsi="Calibri" w:eastAsia="Calibri" w:cs="宋体"/>
      <w:sz w:val="20"/>
      <w:lang w:val="zh-CN"/>
    </w:rPr>
  </w:style>
  <w:style w:type="paragraph" w:styleId="715">
    <w:name w:val="toc 7"/>
    <w:basedOn w:val="702"/>
    <w:next w:val="702"/>
    <w:uiPriority w:val="39"/>
    <w:unhideWhenUsed/>
    <w:qFormat/>
    <w:pPr>
      <w:ind w:left="1701" w:right="0" w:firstLine="0"/>
      <w:spacing w:after="57"/>
    </w:pPr>
  </w:style>
  <w:style w:type="paragraph" w:styleId="716">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toc 5"/>
    <w:basedOn w:val="702"/>
    <w:next w:val="702"/>
    <w:uiPriority w:val="39"/>
    <w:unhideWhenUsed/>
    <w:qFormat/>
    <w:pPr>
      <w:ind w:left="1134" w:right="0" w:firstLine="0"/>
      <w:spacing w:after="57"/>
    </w:pPr>
  </w:style>
  <w:style w:type="paragraph" w:styleId="718">
    <w:name w:val="toc 3"/>
    <w:basedOn w:val="702"/>
    <w:next w:val="702"/>
    <w:uiPriority w:val="39"/>
    <w:unhideWhenUsed/>
    <w:qFormat/>
    <w:pPr>
      <w:ind w:left="567" w:right="0" w:firstLine="0"/>
      <w:spacing w:after="57"/>
    </w:pPr>
  </w:style>
  <w:style w:type="paragraph" w:styleId="719">
    <w:name w:val="toc 8"/>
    <w:basedOn w:val="702"/>
    <w:next w:val="702"/>
    <w:uiPriority w:val="39"/>
    <w:unhideWhenUsed/>
    <w:qFormat/>
    <w:pPr>
      <w:ind w:left="1984" w:right="0" w:firstLine="0"/>
      <w:spacing w:after="57"/>
    </w:pPr>
  </w:style>
  <w:style w:type="paragraph" w:styleId="720">
    <w:name w:val="endnote text"/>
    <w:basedOn w:val="702"/>
    <w:link w:val="882"/>
    <w:uiPriority w:val="99"/>
    <w:semiHidden/>
    <w:unhideWhenUsed/>
    <w:qFormat/>
    <w:pPr>
      <w:spacing w:after="0" w:line="240" w:lineRule="auto"/>
    </w:pPr>
    <w:rPr>
      <w:sz w:val="20"/>
    </w:rPr>
  </w:style>
  <w:style w:type="paragraph" w:styleId="721">
    <w:name w:val="Footer"/>
    <w:basedOn w:val="702"/>
    <w:link w:val="755"/>
    <w:uiPriority w:val="99"/>
    <w:unhideWhenUsed/>
    <w:qFormat/>
    <w:pPr>
      <w:spacing w:after="0" w:line="240" w:lineRule="auto"/>
      <w:tabs>
        <w:tab w:val="center" w:pos="7143" w:leader="none"/>
        <w:tab w:val="right" w:pos="14287" w:leader="none"/>
      </w:tabs>
    </w:pPr>
  </w:style>
  <w:style w:type="paragraph" w:styleId="722">
    <w:name w:val="Header"/>
    <w:basedOn w:val="702"/>
    <w:link w:val="753"/>
    <w:uiPriority w:val="99"/>
    <w:unhideWhenUsed/>
    <w:qFormat/>
    <w:pPr>
      <w:spacing w:after="0" w:line="240" w:lineRule="auto"/>
      <w:tabs>
        <w:tab w:val="center" w:pos="7143" w:leader="none"/>
        <w:tab w:val="right" w:pos="14287" w:leader="none"/>
      </w:tabs>
    </w:pPr>
  </w:style>
  <w:style w:type="paragraph" w:styleId="723">
    <w:name w:val="toc 1"/>
    <w:basedOn w:val="702"/>
    <w:next w:val="702"/>
    <w:uiPriority w:val="39"/>
    <w:unhideWhenUsed/>
    <w:qFormat/>
    <w:pPr>
      <w:ind w:left="0" w:right="0" w:firstLine="0"/>
      <w:spacing w:after="57"/>
    </w:pPr>
  </w:style>
  <w:style w:type="paragraph" w:styleId="724">
    <w:name w:val="toc 4"/>
    <w:basedOn w:val="702"/>
    <w:next w:val="702"/>
    <w:uiPriority w:val="39"/>
    <w:unhideWhenUsed/>
    <w:qFormat/>
    <w:pPr>
      <w:ind w:left="850" w:right="0" w:firstLine="0"/>
      <w:spacing w:after="57"/>
    </w:pPr>
  </w:style>
  <w:style w:type="paragraph" w:styleId="725">
    <w:name w:val="Subtitle"/>
    <w:basedOn w:val="702"/>
    <w:next w:val="702"/>
    <w:link w:val="748"/>
    <w:uiPriority w:val="11"/>
    <w:qFormat/>
    <w:pPr>
      <w:spacing w:before="200" w:after="200"/>
    </w:pPr>
    <w:rPr>
      <w:sz w:val="24"/>
      <w:szCs w:val="24"/>
    </w:rPr>
  </w:style>
  <w:style w:type="paragraph" w:styleId="726">
    <w:name w:val="footnote text"/>
    <w:basedOn w:val="702"/>
    <w:link w:val="881"/>
    <w:uiPriority w:val="99"/>
    <w:semiHidden/>
    <w:unhideWhenUsed/>
    <w:qFormat/>
    <w:pPr>
      <w:spacing w:after="40" w:line="240" w:lineRule="auto"/>
    </w:pPr>
    <w:rPr>
      <w:sz w:val="18"/>
    </w:rPr>
  </w:style>
  <w:style w:type="paragraph" w:styleId="727">
    <w:name w:val="toc 6"/>
    <w:basedOn w:val="702"/>
    <w:next w:val="702"/>
    <w:uiPriority w:val="39"/>
    <w:unhideWhenUsed/>
    <w:qFormat/>
    <w:pPr>
      <w:ind w:left="1417" w:right="0" w:firstLine="0"/>
      <w:spacing w:after="57"/>
    </w:pPr>
  </w:style>
  <w:style w:type="paragraph" w:styleId="728">
    <w:name w:val="table of figures"/>
    <w:basedOn w:val="702"/>
    <w:next w:val="702"/>
    <w:uiPriority w:val="99"/>
    <w:unhideWhenUsed/>
    <w:qFormat/>
    <w:pPr>
      <w:spacing w:after="0" w:afterAutospacing="0"/>
    </w:pPr>
  </w:style>
  <w:style w:type="paragraph" w:styleId="729">
    <w:name w:val="toc 2"/>
    <w:basedOn w:val="702"/>
    <w:next w:val="702"/>
    <w:uiPriority w:val="39"/>
    <w:unhideWhenUsed/>
    <w:qFormat/>
    <w:pPr>
      <w:ind w:left="283" w:right="0" w:firstLine="0"/>
      <w:spacing w:after="57"/>
    </w:pPr>
  </w:style>
  <w:style w:type="paragraph" w:styleId="730">
    <w:name w:val="toc 9"/>
    <w:basedOn w:val="702"/>
    <w:next w:val="702"/>
    <w:uiPriority w:val="39"/>
    <w:unhideWhenUsed/>
    <w:qFormat/>
    <w:pPr>
      <w:ind w:left="2268" w:right="0" w:firstLine="0"/>
      <w:spacing w:after="57"/>
    </w:pPr>
  </w:style>
  <w:style w:type="paragraph" w:styleId="731">
    <w:name w:val="Title"/>
    <w:basedOn w:val="702"/>
    <w:next w:val="702"/>
    <w:link w:val="747"/>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character" w:styleId="736" w:customStyle="1">
    <w:name w:val="Heading 1 Char"/>
    <w:link w:val="703"/>
    <w:uiPriority w:val="9"/>
    <w:qFormat/>
    <w:rPr>
      <w:rFonts w:ascii="Arial" w:hAnsi="Arial" w:eastAsia="Arial" w:cs="Arial"/>
      <w:sz w:val="40"/>
      <w:szCs w:val="40"/>
    </w:rPr>
  </w:style>
  <w:style w:type="character" w:styleId="737" w:customStyle="1">
    <w:name w:val="Heading 2 Char"/>
    <w:link w:val="704"/>
    <w:uiPriority w:val="9"/>
    <w:qFormat/>
    <w:rPr>
      <w:rFonts w:ascii="Arial" w:hAnsi="Arial" w:eastAsia="Arial" w:cs="Arial"/>
      <w:sz w:val="34"/>
    </w:rPr>
  </w:style>
  <w:style w:type="character" w:styleId="738" w:customStyle="1">
    <w:name w:val="Heading 3 Char"/>
    <w:link w:val="705"/>
    <w:uiPriority w:val="9"/>
    <w:qFormat/>
    <w:rPr>
      <w:rFonts w:ascii="Arial" w:hAnsi="Arial" w:eastAsia="Arial" w:cs="Arial"/>
      <w:sz w:val="30"/>
      <w:szCs w:val="30"/>
    </w:rPr>
  </w:style>
  <w:style w:type="character" w:styleId="739" w:customStyle="1">
    <w:name w:val="Heading 4 Char"/>
    <w:link w:val="706"/>
    <w:uiPriority w:val="9"/>
    <w:qFormat/>
    <w:rPr>
      <w:rFonts w:ascii="Arial" w:hAnsi="Arial" w:eastAsia="Arial" w:cs="Arial"/>
      <w:b/>
      <w:bCs/>
      <w:sz w:val="26"/>
      <w:szCs w:val="26"/>
    </w:rPr>
  </w:style>
  <w:style w:type="character" w:styleId="740" w:customStyle="1">
    <w:name w:val="Heading 5 Char"/>
    <w:link w:val="707"/>
    <w:uiPriority w:val="9"/>
    <w:qFormat/>
    <w:rPr>
      <w:rFonts w:ascii="Arial" w:hAnsi="Arial" w:eastAsia="Arial" w:cs="Arial"/>
      <w:b/>
      <w:bCs/>
      <w:sz w:val="24"/>
      <w:szCs w:val="24"/>
    </w:rPr>
  </w:style>
  <w:style w:type="character" w:styleId="741" w:customStyle="1">
    <w:name w:val="Heading 6 Char"/>
    <w:link w:val="708"/>
    <w:uiPriority w:val="9"/>
    <w:qFormat/>
    <w:rPr>
      <w:rFonts w:ascii="Arial" w:hAnsi="Arial" w:eastAsia="Arial" w:cs="Arial"/>
      <w:b/>
      <w:bCs/>
      <w:sz w:val="22"/>
      <w:szCs w:val="22"/>
    </w:rPr>
  </w:style>
  <w:style w:type="character" w:styleId="742" w:customStyle="1">
    <w:name w:val="Heading 7 Char"/>
    <w:link w:val="709"/>
    <w:uiPriority w:val="9"/>
    <w:qFormat/>
    <w:rPr>
      <w:rFonts w:ascii="Arial" w:hAnsi="Arial" w:eastAsia="Arial" w:cs="Arial"/>
      <w:b/>
      <w:bCs/>
      <w:i/>
      <w:iCs/>
      <w:sz w:val="22"/>
      <w:szCs w:val="22"/>
    </w:rPr>
  </w:style>
  <w:style w:type="character" w:styleId="743" w:customStyle="1">
    <w:name w:val="Heading 8 Char"/>
    <w:link w:val="710"/>
    <w:uiPriority w:val="9"/>
    <w:qFormat/>
    <w:rPr>
      <w:rFonts w:ascii="Arial" w:hAnsi="Arial" w:eastAsia="Arial" w:cs="Arial"/>
      <w:i/>
      <w:iCs/>
      <w:sz w:val="22"/>
      <w:szCs w:val="22"/>
    </w:rPr>
  </w:style>
  <w:style w:type="character" w:styleId="744" w:customStyle="1">
    <w:name w:val="Heading 9 Char"/>
    <w:link w:val="711"/>
    <w:uiPriority w:val="9"/>
    <w:qFormat/>
    <w:rPr>
      <w:rFonts w:ascii="Arial" w:hAnsi="Arial" w:eastAsia="Arial" w:cs="Arial"/>
      <w:i/>
      <w:iCs/>
      <w:sz w:val="21"/>
      <w:szCs w:val="21"/>
    </w:rPr>
  </w:style>
  <w:style w:type="paragraph" w:styleId="745">
    <w:name w:val="List Paragraph"/>
    <w:basedOn w:val="702"/>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1"/>
    <w:uiPriority w:val="10"/>
    <w:qFormat/>
    <w:rPr>
      <w:sz w:val="48"/>
      <w:szCs w:val="48"/>
    </w:rPr>
  </w:style>
  <w:style w:type="character" w:styleId="748" w:customStyle="1">
    <w:name w:val="Subtitle Char"/>
    <w:link w:val="725"/>
    <w:uiPriority w:val="11"/>
    <w:qFormat/>
    <w:rPr>
      <w:sz w:val="24"/>
      <w:szCs w:val="24"/>
    </w:rPr>
  </w:style>
  <w:style w:type="paragraph" w:styleId="749">
    <w:name w:val="Quote"/>
    <w:basedOn w:val="702"/>
    <w:next w:val="702"/>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702"/>
    <w:next w:val="702"/>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2"/>
    <w:uiPriority w:val="99"/>
    <w:qFormat/>
  </w:style>
  <w:style w:type="character" w:styleId="754" w:customStyle="1">
    <w:name w:val="Footer Char"/>
    <w:link w:val="721"/>
    <w:uiPriority w:val="99"/>
    <w:qFormat/>
  </w:style>
  <w:style w:type="character" w:styleId="755" w:customStyle="1">
    <w:name w:val="Caption Char"/>
    <w:link w:val="721"/>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6"/>
    <w:uiPriority w:val="99"/>
    <w:qFormat/>
    <w:rPr>
      <w:sz w:val="18"/>
    </w:rPr>
  </w:style>
  <w:style w:type="character" w:styleId="882" w:customStyle="1">
    <w:name w:val="Endnote Text Char"/>
    <w:link w:val="720"/>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702"/>
    <w:next w:val="702"/>
    <w:link w:val="896"/>
    <w:uiPriority w:val="0"/>
    <w:qFormat/>
    <w:pPr>
      <w:jc w:val="center"/>
      <w:keepNext/>
      <w:outlineLvl w:val="0"/>
    </w:pPr>
    <w:rPr>
      <w:rFonts w:ascii="楷体_GB2312" w:eastAsia="楷体_GB2312"/>
      <w:sz w:val="28"/>
      <w:szCs w:val="28"/>
    </w:rPr>
  </w:style>
  <w:style w:type="paragraph" w:styleId="885" w:customStyle="1">
    <w:name w:val="标题 21"/>
    <w:basedOn w:val="702"/>
    <w:next w:val="886"/>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6" w:customStyle="1">
    <w:name w:val="正文缩进1"/>
    <w:basedOn w:val="702"/>
    <w:link w:val="898"/>
    <w:uiPriority w:val="0"/>
    <w:qFormat/>
    <w:pPr>
      <w:ind w:firstLine="420"/>
    </w:pPr>
  </w:style>
  <w:style w:type="paragraph" w:styleId="887" w:customStyle="1">
    <w:name w:val="标题 31"/>
    <w:basedOn w:val="702"/>
    <w:next w:val="886"/>
    <w:link w:val="899"/>
    <w:uiPriority w:val="0"/>
    <w:qFormat/>
    <w:pPr>
      <w:keepLines/>
      <w:keepNext/>
      <w:spacing w:before="260" w:after="260" w:line="416" w:lineRule="auto"/>
      <w:outlineLvl w:val="2"/>
    </w:pPr>
    <w:rPr>
      <w:b/>
      <w:bCs/>
      <w:sz w:val="32"/>
      <w:szCs w:val="32"/>
    </w:rPr>
  </w:style>
  <w:style w:type="paragraph" w:styleId="888" w:customStyle="1">
    <w:name w:val="标题 41"/>
    <w:basedOn w:val="702"/>
    <w:next w:val="886"/>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89" w:customStyle="1">
    <w:name w:val="标题 51"/>
    <w:basedOn w:val="702"/>
    <w:next w:val="886"/>
    <w:link w:val="901"/>
    <w:uiPriority w:val="0"/>
    <w:qFormat/>
    <w:pPr>
      <w:keepNext/>
      <w:outlineLvl w:val="4"/>
    </w:pPr>
    <w:rPr>
      <w:rFonts w:ascii="宋体"/>
      <w:color w:val="000000"/>
      <w:sz w:val="28"/>
      <w:szCs w:val="28"/>
    </w:rPr>
  </w:style>
  <w:style w:type="paragraph" w:styleId="890" w:customStyle="1">
    <w:name w:val="标题 61"/>
    <w:basedOn w:val="702"/>
    <w:next w:val="702"/>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1" w:customStyle="1">
    <w:name w:val="标题 71"/>
    <w:basedOn w:val="702"/>
    <w:next w:val="702"/>
    <w:link w:val="903"/>
    <w:uiPriority w:val="0"/>
    <w:qFormat/>
    <w:pPr>
      <w:numPr>
        <w:ilvl w:val="6"/>
        <w:numId w:val="1"/>
      </w:numPr>
      <w:keepLines/>
      <w:keepNext/>
      <w:spacing w:before="240" w:after="64" w:line="320" w:lineRule="auto"/>
      <w:outlineLvl w:val="6"/>
    </w:pPr>
    <w:rPr>
      <w:b/>
      <w:bCs/>
      <w:sz w:val="24"/>
      <w:szCs w:val="24"/>
    </w:rPr>
  </w:style>
  <w:style w:type="paragraph" w:styleId="892" w:customStyle="1">
    <w:name w:val="标题 81"/>
    <w:basedOn w:val="702"/>
    <w:next w:val="702"/>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3" w:customStyle="1">
    <w:name w:val="标题 91"/>
    <w:basedOn w:val="702"/>
    <w:next w:val="702"/>
    <w:link w:val="905"/>
    <w:uiPriority w:val="0"/>
    <w:qFormat/>
    <w:pPr>
      <w:numPr>
        <w:ilvl w:val="8"/>
        <w:numId w:val="1"/>
      </w:numPr>
      <w:keepLines/>
      <w:keepNext/>
      <w:spacing w:before="240" w:after="64" w:line="320" w:lineRule="auto"/>
      <w:outlineLvl w:val="8"/>
    </w:pPr>
    <w:rPr>
      <w:rFonts w:ascii="Arial" w:hAnsi="Arial" w:eastAsia="黑体"/>
    </w:rPr>
  </w:style>
  <w:style w:type="character" w:styleId="894" w:customStyle="1">
    <w:name w:val="默认段落字体1"/>
    <w:link w:val="702"/>
    <w:uiPriority w:val="1"/>
    <w:unhideWhenUsed/>
    <w:qFormat/>
  </w:style>
  <w:style w:type="table" w:styleId="895" w:customStyle="1">
    <w:name w:val="普通表格11"/>
    <w:uiPriority w:val="99"/>
    <w:unhideWhenUsed/>
    <w:qFormat/>
    <w:tblPr/>
  </w:style>
  <w:style w:type="character" w:styleId="896" w:customStyle="1">
    <w:name w:val="标题 1 字符"/>
    <w:link w:val="884"/>
    <w:uiPriority w:val="0"/>
    <w:qFormat/>
    <w:rPr>
      <w:rFonts w:ascii="楷体_GB2312" w:hAnsi="Times New Roman" w:eastAsia="楷体_GB2312" w:cs="Times New Roman"/>
      <w:sz w:val="28"/>
      <w:szCs w:val="28"/>
    </w:rPr>
  </w:style>
  <w:style w:type="character" w:styleId="897" w:customStyle="1">
    <w:name w:val="标题 2 字符"/>
    <w:link w:val="885"/>
    <w:uiPriority w:val="0"/>
    <w:qFormat/>
    <w:rPr>
      <w:rFonts w:ascii="Arial" w:hAnsi="Arial" w:eastAsia="幼圆" w:cs="Arial"/>
      <w:b/>
      <w:bCs/>
      <w:sz w:val="44"/>
      <w:szCs w:val="44"/>
    </w:rPr>
  </w:style>
  <w:style w:type="character" w:styleId="898" w:customStyle="1">
    <w:name w:val="正文缩进 字符"/>
    <w:link w:val="886"/>
    <w:uiPriority w:val="0"/>
    <w:qFormat/>
    <w:rPr>
      <w:rFonts w:ascii="Times New Roman" w:hAnsi="Times New Roman" w:eastAsia="宋体" w:cs="Times New Roman"/>
      <w:szCs w:val="21"/>
    </w:rPr>
  </w:style>
  <w:style w:type="character" w:styleId="899" w:customStyle="1">
    <w:name w:val="标题 3 字符"/>
    <w:link w:val="887"/>
    <w:uiPriority w:val="0"/>
    <w:qFormat/>
    <w:rPr>
      <w:rFonts w:ascii="Times New Roman" w:hAnsi="Times New Roman" w:eastAsia="宋体" w:cs="Times New Roman"/>
      <w:b/>
      <w:bCs/>
      <w:sz w:val="32"/>
      <w:szCs w:val="32"/>
    </w:rPr>
  </w:style>
  <w:style w:type="character" w:styleId="900" w:customStyle="1">
    <w:name w:val="标题 4 字符"/>
    <w:link w:val="888"/>
    <w:uiPriority w:val="0"/>
    <w:qFormat/>
    <w:rPr>
      <w:rFonts w:ascii="Arial" w:hAnsi="Arial" w:eastAsia="黑体" w:cs="Arial"/>
      <w:b/>
      <w:bCs/>
      <w:sz w:val="28"/>
      <w:szCs w:val="28"/>
    </w:rPr>
  </w:style>
  <w:style w:type="character" w:styleId="901" w:customStyle="1">
    <w:name w:val="标题 5 字符"/>
    <w:link w:val="889"/>
    <w:uiPriority w:val="0"/>
    <w:qFormat/>
    <w:rPr>
      <w:rFonts w:ascii="宋体" w:hAnsi="Times New Roman" w:eastAsia="宋体" w:cs="Times New Roman"/>
      <w:color w:val="000000"/>
      <w:sz w:val="28"/>
      <w:szCs w:val="28"/>
    </w:rPr>
  </w:style>
  <w:style w:type="character" w:styleId="902" w:customStyle="1">
    <w:name w:val="标题 6 字符"/>
    <w:link w:val="890"/>
    <w:uiPriority w:val="0"/>
    <w:qFormat/>
    <w:rPr>
      <w:rFonts w:ascii="Arial" w:hAnsi="Arial" w:eastAsia="黑体" w:cs="Times New Roman"/>
      <w:b/>
      <w:bCs/>
      <w:sz w:val="24"/>
      <w:szCs w:val="24"/>
    </w:rPr>
  </w:style>
  <w:style w:type="character" w:styleId="903" w:customStyle="1">
    <w:name w:val="标题 7 字符"/>
    <w:link w:val="891"/>
    <w:uiPriority w:val="0"/>
    <w:qFormat/>
    <w:rPr>
      <w:rFonts w:ascii="Times New Roman" w:hAnsi="Times New Roman" w:eastAsia="宋体" w:cs="Times New Roman"/>
      <w:b/>
      <w:bCs/>
      <w:sz w:val="24"/>
      <w:szCs w:val="24"/>
    </w:rPr>
  </w:style>
  <w:style w:type="character" w:styleId="904" w:customStyle="1">
    <w:name w:val="标题 8 字符"/>
    <w:link w:val="892"/>
    <w:uiPriority w:val="0"/>
    <w:qFormat/>
    <w:rPr>
      <w:rFonts w:ascii="Arial" w:hAnsi="Arial" w:eastAsia="黑体" w:cs="Times New Roman"/>
      <w:sz w:val="24"/>
      <w:szCs w:val="24"/>
    </w:rPr>
  </w:style>
  <w:style w:type="character" w:styleId="905" w:customStyle="1">
    <w:name w:val="标题 9 字符"/>
    <w:link w:val="893"/>
    <w:uiPriority w:val="0"/>
    <w:qFormat/>
    <w:rPr>
      <w:rFonts w:ascii="Arial" w:hAnsi="Arial" w:eastAsia="黑体" w:cs="Times New Roman"/>
      <w:szCs w:val="21"/>
    </w:rPr>
  </w:style>
  <w:style w:type="paragraph" w:styleId="906" w:customStyle="1">
    <w:name w:val="列表 31"/>
    <w:basedOn w:val="702"/>
    <w:uiPriority w:val="0"/>
    <w:qFormat/>
    <w:pPr>
      <w:ind w:left="100" w:hanging="200"/>
    </w:pPr>
  </w:style>
  <w:style w:type="paragraph" w:styleId="907" w:customStyle="1">
    <w:name w:val="目录 71"/>
    <w:basedOn w:val="702"/>
    <w:next w:val="702"/>
    <w:uiPriority w:val="0"/>
    <w:semiHidden/>
    <w:qFormat/>
    <w:pPr>
      <w:ind w:left="1260"/>
      <w:jc w:val="left"/>
    </w:pPr>
  </w:style>
  <w:style w:type="paragraph" w:styleId="908" w:customStyle="1">
    <w:name w:val="文档结构图1"/>
    <w:basedOn w:val="702"/>
    <w:link w:val="909"/>
    <w:uiPriority w:val="0"/>
    <w:semiHidden/>
    <w:qFormat/>
    <w:pPr>
      <w:shd w:val="clear" w:color="auto" w:fill="000080"/>
    </w:pPr>
  </w:style>
  <w:style w:type="character" w:styleId="909" w:customStyle="1">
    <w:name w:val="文档结构图 字符"/>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702"/>
    <w:link w:val="911"/>
    <w:uiPriority w:val="0"/>
    <w:semiHidden/>
    <w:qFormat/>
    <w:pPr>
      <w:jc w:val="left"/>
    </w:pPr>
  </w:style>
  <w:style w:type="character" w:styleId="911" w:customStyle="1">
    <w:name w:val="批注文字 字符"/>
    <w:link w:val="910"/>
    <w:uiPriority w:val="0"/>
    <w:semiHidden/>
    <w:qFormat/>
    <w:rPr>
      <w:rFonts w:ascii="Times New Roman" w:hAnsi="Times New Roman" w:eastAsia="宋体" w:cs="Times New Roman"/>
      <w:szCs w:val="21"/>
    </w:rPr>
  </w:style>
  <w:style w:type="paragraph" w:styleId="912" w:customStyle="1">
    <w:name w:val="正文文本 31"/>
    <w:basedOn w:val="702"/>
    <w:link w:val="913"/>
    <w:uiPriority w:val="0"/>
    <w:qFormat/>
    <w:rPr>
      <w:rFonts w:ascii="仿宋_GB2312" w:hAnsi="Arial" w:eastAsia="仿宋_GB2312"/>
      <w:sz w:val="32"/>
      <w:szCs w:val="32"/>
    </w:rPr>
  </w:style>
  <w:style w:type="character" w:styleId="913" w:customStyle="1">
    <w:name w:val="正文文本 3 字符"/>
    <w:link w:val="912"/>
    <w:uiPriority w:val="0"/>
    <w:qFormat/>
    <w:rPr>
      <w:rFonts w:ascii="仿宋_GB2312" w:hAnsi="Arial" w:eastAsia="仿宋_GB2312" w:cs="Times New Roman"/>
      <w:sz w:val="32"/>
      <w:szCs w:val="32"/>
    </w:rPr>
  </w:style>
  <w:style w:type="paragraph" w:styleId="914" w:customStyle="1">
    <w:name w:val="正文文本11"/>
    <w:basedOn w:val="702"/>
    <w:link w:val="915"/>
    <w:uiPriority w:val="0"/>
    <w:qFormat/>
    <w:rPr>
      <w:rFonts w:ascii="楷体_GB2312" w:hAnsi="Arial" w:eastAsia="楷体_GB2312"/>
      <w:sz w:val="28"/>
      <w:szCs w:val="28"/>
    </w:rPr>
  </w:style>
  <w:style w:type="character" w:styleId="915" w:customStyle="1">
    <w:name w:val="正文文本 字符"/>
    <w:link w:val="914"/>
    <w:uiPriority w:val="0"/>
    <w:qFormat/>
    <w:rPr>
      <w:rFonts w:ascii="楷体_GB2312" w:hAnsi="Arial" w:eastAsia="楷体_GB2312" w:cs="Times New Roman"/>
      <w:sz w:val="28"/>
      <w:szCs w:val="28"/>
    </w:rPr>
  </w:style>
  <w:style w:type="paragraph" w:styleId="916" w:customStyle="1">
    <w:name w:val="正文文本缩进11"/>
    <w:basedOn w:val="702"/>
    <w:next w:val="917"/>
    <w:link w:val="918"/>
    <w:uiPriority w:val="0"/>
    <w:qFormat/>
    <w:pPr>
      <w:ind w:firstLine="645"/>
    </w:pPr>
    <w:rPr>
      <w:rFonts w:ascii="楷体_GB2312" w:eastAsia="楷体_GB2312"/>
      <w:sz w:val="32"/>
      <w:szCs w:val="32"/>
    </w:rPr>
  </w:style>
  <w:style w:type="paragraph" w:styleId="917" w:customStyle="1">
    <w:name w:val="寄信人地址1"/>
    <w:basedOn w:val="702"/>
    <w:uiPriority w:val="0"/>
    <w:qFormat/>
    <w:rPr>
      <w:rFonts w:ascii="Arial" w:hAnsi="Arial" w:eastAsia="宋体" w:cs="宋体"/>
    </w:rPr>
  </w:style>
  <w:style w:type="character" w:styleId="918" w:customStyle="1">
    <w:name w:val="正文文本缩进 字符"/>
    <w:link w:val="916"/>
    <w:uiPriority w:val="0"/>
    <w:qFormat/>
    <w:rPr>
      <w:rFonts w:ascii="楷体_GB2312" w:hAnsi="Times New Roman" w:eastAsia="楷体_GB2312" w:cs="Times New Roman"/>
      <w:sz w:val="32"/>
      <w:szCs w:val="32"/>
    </w:rPr>
  </w:style>
  <w:style w:type="paragraph" w:styleId="919" w:customStyle="1">
    <w:name w:val="列表 21"/>
    <w:basedOn w:val="702"/>
    <w:uiPriority w:val="0"/>
    <w:qFormat/>
    <w:pPr>
      <w:ind w:left="100" w:hanging="200"/>
    </w:pPr>
  </w:style>
  <w:style w:type="paragraph" w:styleId="920" w:customStyle="1">
    <w:name w:val="目录 51"/>
    <w:basedOn w:val="702"/>
    <w:next w:val="702"/>
    <w:uiPriority w:val="0"/>
    <w:semiHidden/>
    <w:qFormat/>
    <w:pPr>
      <w:ind w:left="840"/>
      <w:jc w:val="left"/>
    </w:pPr>
  </w:style>
  <w:style w:type="paragraph" w:styleId="921" w:customStyle="1">
    <w:name w:val="目录 31"/>
    <w:basedOn w:val="702"/>
    <w:next w:val="702"/>
    <w:uiPriority w:val="0"/>
    <w:semiHidden/>
    <w:qFormat/>
    <w:pPr>
      <w:ind w:left="420"/>
      <w:jc w:val="left"/>
    </w:pPr>
    <w:rPr>
      <w:i/>
      <w:iCs/>
      <w:szCs w:val="24"/>
    </w:rPr>
  </w:style>
  <w:style w:type="paragraph" w:styleId="922" w:customStyle="1">
    <w:name w:val="纯文本11"/>
    <w:basedOn w:val="702"/>
    <w:link w:val="923"/>
    <w:uiPriority w:val="0"/>
    <w:qFormat/>
    <w:rPr>
      <w:rFonts w:ascii="宋体" w:hAnsi="Courier New" w:cs="Courier New"/>
    </w:rPr>
  </w:style>
  <w:style w:type="character" w:styleId="923" w:customStyle="1">
    <w:name w:val="纯文本 字符"/>
    <w:link w:val="922"/>
    <w:uiPriority w:val="0"/>
    <w:qFormat/>
    <w:rPr>
      <w:rFonts w:ascii="宋体" w:hAnsi="Courier New" w:eastAsia="宋体" w:cs="Courier New"/>
      <w:szCs w:val="21"/>
    </w:rPr>
  </w:style>
  <w:style w:type="paragraph" w:styleId="924" w:customStyle="1">
    <w:name w:val="目录 81"/>
    <w:basedOn w:val="702"/>
    <w:next w:val="702"/>
    <w:uiPriority w:val="0"/>
    <w:semiHidden/>
    <w:qFormat/>
    <w:pPr>
      <w:ind w:left="1470"/>
      <w:jc w:val="left"/>
    </w:pPr>
  </w:style>
  <w:style w:type="paragraph" w:styleId="925" w:customStyle="1">
    <w:name w:val="日期1"/>
    <w:basedOn w:val="702"/>
    <w:next w:val="702"/>
    <w:link w:val="926"/>
    <w:uiPriority w:val="0"/>
    <w:qFormat/>
    <w:rPr>
      <w:sz w:val="24"/>
      <w:szCs w:val="24"/>
    </w:rPr>
  </w:style>
  <w:style w:type="character" w:styleId="926" w:customStyle="1">
    <w:name w:val="日期 字符"/>
    <w:link w:val="925"/>
    <w:uiPriority w:val="0"/>
    <w:qFormat/>
    <w:rPr>
      <w:rFonts w:ascii="Times New Roman" w:hAnsi="Times New Roman" w:eastAsia="宋体" w:cs="Times New Roman"/>
      <w:sz w:val="24"/>
      <w:szCs w:val="24"/>
    </w:rPr>
  </w:style>
  <w:style w:type="paragraph" w:styleId="927" w:customStyle="1">
    <w:name w:val="正文文本缩进 21"/>
    <w:basedOn w:val="702"/>
    <w:link w:val="928"/>
    <w:uiPriority w:val="0"/>
    <w:qFormat/>
    <w:pPr>
      <w:ind w:left="630" w:firstLine="645"/>
    </w:pPr>
    <w:rPr>
      <w:rFonts w:ascii="Arial" w:hAnsi="Arial" w:eastAsia="仿宋_GB2312" w:cs="Arial"/>
      <w:sz w:val="32"/>
      <w:szCs w:val="32"/>
    </w:rPr>
  </w:style>
  <w:style w:type="character" w:styleId="928" w:customStyle="1">
    <w:name w:val="正文文本缩进 2 字符"/>
    <w:link w:val="927"/>
    <w:uiPriority w:val="0"/>
    <w:qFormat/>
    <w:rPr>
      <w:rFonts w:ascii="Arial" w:hAnsi="Arial" w:eastAsia="仿宋_GB2312" w:cs="Arial"/>
      <w:sz w:val="32"/>
      <w:szCs w:val="32"/>
    </w:rPr>
  </w:style>
  <w:style w:type="paragraph" w:styleId="929" w:customStyle="1">
    <w:name w:val="批注框文本1"/>
    <w:basedOn w:val="702"/>
    <w:link w:val="930"/>
    <w:uiPriority w:val="0"/>
    <w:semiHidden/>
    <w:qFormat/>
    <w:rPr>
      <w:sz w:val="18"/>
      <w:szCs w:val="18"/>
    </w:rPr>
  </w:style>
  <w:style w:type="character" w:styleId="930" w:customStyle="1">
    <w:name w:val="批注框文本 字符"/>
    <w:link w:val="929"/>
    <w:uiPriority w:val="0"/>
    <w:semiHidden/>
    <w:qFormat/>
    <w:rPr>
      <w:rFonts w:ascii="Times New Roman" w:hAnsi="Times New Roman" w:eastAsia="宋体" w:cs="Times New Roman"/>
      <w:sz w:val="18"/>
      <w:szCs w:val="18"/>
    </w:rPr>
  </w:style>
  <w:style w:type="paragraph" w:styleId="931" w:customStyle="1">
    <w:name w:val="页脚11"/>
    <w:basedOn w:val="702"/>
    <w:link w:val="932"/>
    <w:uiPriority w:val="0"/>
    <w:qFormat/>
    <w:pPr>
      <w:jc w:val="left"/>
      <w:tabs>
        <w:tab w:val="center" w:pos="4153" w:leader="none"/>
        <w:tab w:val="right" w:pos="8306" w:leader="none"/>
      </w:tabs>
    </w:pPr>
    <w:rPr>
      <w:sz w:val="18"/>
      <w:szCs w:val="18"/>
    </w:rPr>
  </w:style>
  <w:style w:type="character" w:styleId="932" w:customStyle="1">
    <w:name w:val="页脚 字符"/>
    <w:link w:val="931"/>
    <w:uiPriority w:val="0"/>
    <w:qFormat/>
    <w:rPr>
      <w:rFonts w:ascii="Times New Roman" w:hAnsi="Times New Roman" w:eastAsia="宋体" w:cs="Times New Roman"/>
      <w:sz w:val="18"/>
      <w:szCs w:val="18"/>
    </w:rPr>
  </w:style>
  <w:style w:type="paragraph" w:styleId="933" w:customStyle="1">
    <w:name w:val="页眉11"/>
    <w:basedOn w:val="702"/>
    <w:link w:val="934"/>
    <w:uiPriority w:val="0"/>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字符"/>
    <w:link w:val="933"/>
    <w:uiPriority w:val="0"/>
    <w:qFormat/>
    <w:rPr>
      <w:rFonts w:ascii="Times New Roman" w:hAnsi="Times New Roman" w:eastAsia="宋体" w:cs="Times New Roman"/>
      <w:sz w:val="18"/>
      <w:szCs w:val="18"/>
    </w:rPr>
  </w:style>
  <w:style w:type="paragraph" w:styleId="935"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936" w:customStyle="1">
    <w:name w:val="目录 41"/>
    <w:basedOn w:val="702"/>
    <w:next w:val="702"/>
    <w:uiPriority w:val="0"/>
    <w:semiHidden/>
    <w:qFormat/>
    <w:pPr>
      <w:ind w:left="630"/>
      <w:jc w:val="left"/>
    </w:pPr>
  </w:style>
  <w:style w:type="paragraph" w:styleId="937" w:customStyle="1">
    <w:name w:val="列表1"/>
    <w:basedOn w:val="702"/>
    <w:uiPriority w:val="0"/>
    <w:qFormat/>
    <w:pPr>
      <w:ind w:left="200" w:hanging="200"/>
    </w:pPr>
  </w:style>
  <w:style w:type="paragraph" w:styleId="938" w:customStyle="1">
    <w:name w:val="目录 61"/>
    <w:basedOn w:val="702"/>
    <w:next w:val="702"/>
    <w:uiPriority w:val="0"/>
    <w:semiHidden/>
    <w:qFormat/>
    <w:pPr>
      <w:ind w:left="1050"/>
      <w:jc w:val="left"/>
    </w:pPr>
  </w:style>
  <w:style w:type="paragraph" w:styleId="939" w:customStyle="1">
    <w:name w:val="正文文本缩进 31"/>
    <w:basedOn w:val="702"/>
    <w:link w:val="940"/>
    <w:uiPriority w:val="0"/>
    <w:qFormat/>
    <w:pPr>
      <w:ind w:left="645" w:firstLine="645"/>
    </w:pPr>
    <w:rPr>
      <w:rFonts w:ascii="Arial" w:hAnsi="Arial" w:eastAsia="仿宋_GB2312" w:cs="Arial"/>
      <w:color w:val="ffff00"/>
      <w:sz w:val="32"/>
      <w:szCs w:val="32"/>
    </w:rPr>
  </w:style>
  <w:style w:type="character" w:styleId="940" w:customStyle="1">
    <w:name w:val="正文文本缩进 3 字符"/>
    <w:link w:val="939"/>
    <w:uiPriority w:val="0"/>
    <w:qFormat/>
    <w:rPr>
      <w:rFonts w:ascii="Arial" w:hAnsi="Arial" w:eastAsia="仿宋_GB2312" w:cs="Arial"/>
      <w:color w:val="ffff00"/>
      <w:sz w:val="32"/>
      <w:szCs w:val="32"/>
    </w:rPr>
  </w:style>
  <w:style w:type="paragraph" w:styleId="941" w:customStyle="1">
    <w:name w:val="图表目录1"/>
    <w:basedOn w:val="702"/>
    <w:next w:val="702"/>
    <w:uiPriority w:val="0"/>
    <w:semiHidden/>
    <w:qFormat/>
    <w:pPr>
      <w:ind w:left="840" w:hanging="420"/>
    </w:pPr>
  </w:style>
  <w:style w:type="paragraph" w:styleId="942" w:customStyle="1">
    <w:name w:val="目录 21"/>
    <w:basedOn w:val="702"/>
    <w:next w:val="702"/>
    <w:uiPriority w:val="0"/>
    <w:semiHidden/>
    <w:qFormat/>
    <w:pPr>
      <w:ind w:left="210"/>
      <w:jc w:val="left"/>
    </w:pPr>
    <w:rPr>
      <w:smallCaps/>
      <w:szCs w:val="24"/>
    </w:rPr>
  </w:style>
  <w:style w:type="paragraph" w:styleId="943" w:customStyle="1">
    <w:name w:val="目录 91"/>
    <w:basedOn w:val="702"/>
    <w:next w:val="702"/>
    <w:uiPriority w:val="0"/>
    <w:semiHidden/>
    <w:qFormat/>
    <w:pPr>
      <w:ind w:left="1680"/>
      <w:jc w:val="left"/>
    </w:pPr>
  </w:style>
  <w:style w:type="paragraph" w:styleId="944" w:customStyle="1">
    <w:name w:val="正文文本 21"/>
    <w:basedOn w:val="702"/>
    <w:link w:val="945"/>
    <w:uiPriority w:val="0"/>
    <w:qFormat/>
    <w:pPr>
      <w:jc w:val="center"/>
      <w:widowControl/>
    </w:pPr>
    <w:rPr>
      <w:rFonts w:ascii="楷体_GB2312" w:eastAsia="楷体_GB2312"/>
      <w:sz w:val="28"/>
      <w:szCs w:val="28"/>
    </w:rPr>
  </w:style>
  <w:style w:type="character" w:styleId="945" w:customStyle="1">
    <w:name w:val="正文文本 2 字符"/>
    <w:link w:val="944"/>
    <w:uiPriority w:val="0"/>
    <w:qFormat/>
    <w:rPr>
      <w:rFonts w:ascii="楷体_GB2312" w:hAnsi="Times New Roman" w:eastAsia="楷体_GB2312" w:cs="Times New Roman"/>
      <w:sz w:val="28"/>
      <w:szCs w:val="28"/>
    </w:rPr>
  </w:style>
  <w:style w:type="paragraph" w:styleId="946" w:customStyle="1">
    <w:name w:val="普通(网站)1"/>
    <w:basedOn w:val="702"/>
    <w:uiPriority w:val="99"/>
    <w:qFormat/>
    <w:pPr>
      <w:jc w:val="left"/>
      <w:spacing w:before="100" w:beforeAutospacing="1" w:after="100" w:afterAutospacing="1"/>
      <w:widowControl/>
    </w:pPr>
    <w:rPr>
      <w:rFonts w:ascii="宋体" w:hAnsi="宋体" w:cs="宋体"/>
      <w:sz w:val="24"/>
      <w:szCs w:val="24"/>
    </w:rPr>
  </w:style>
  <w:style w:type="paragraph" w:styleId="947" w:customStyle="1">
    <w:name w:val="索引 11"/>
    <w:basedOn w:val="702"/>
    <w:next w:val="702"/>
    <w:uiPriority w:val="0"/>
    <w:semiHidden/>
    <w:qFormat/>
    <w:pPr>
      <w:spacing w:line="240" w:lineRule="atLeast"/>
    </w:pPr>
    <w:rPr>
      <w:b/>
      <w:bCs/>
    </w:rPr>
  </w:style>
  <w:style w:type="paragraph" w:styleId="948" w:customStyle="1">
    <w:name w:val="批注主题1"/>
    <w:basedOn w:val="910"/>
    <w:next w:val="910"/>
    <w:link w:val="949"/>
    <w:uiPriority w:val="0"/>
    <w:semiHidden/>
    <w:qFormat/>
    <w:rPr>
      <w:b/>
      <w:bCs/>
    </w:rPr>
  </w:style>
  <w:style w:type="character" w:styleId="949" w:customStyle="1">
    <w:name w:val="批注主题 字符"/>
    <w:link w:val="948"/>
    <w:uiPriority w:val="0"/>
    <w:semiHidden/>
    <w:qFormat/>
    <w:rPr>
      <w:rFonts w:ascii="Times New Roman" w:hAnsi="Times New Roman" w:eastAsia="宋体" w:cs="Times New Roman"/>
      <w:b/>
      <w:bCs/>
      <w:szCs w:val="21"/>
    </w:rPr>
  </w:style>
  <w:style w:type="paragraph" w:styleId="950" w:customStyle="1">
    <w:name w:val="正文首行缩进1"/>
    <w:basedOn w:val="702"/>
    <w:link w:val="951"/>
    <w:uiPriority w:val="0"/>
    <w:qFormat/>
    <w:pPr>
      <w:ind w:firstLine="200"/>
      <w:spacing w:line="360" w:lineRule="auto"/>
    </w:pPr>
    <w:rPr>
      <w:rFonts w:ascii="仿宋_GB2312" w:eastAsia="仿宋_GB2312"/>
      <w:sz w:val="30"/>
      <w:szCs w:val="30"/>
    </w:rPr>
  </w:style>
  <w:style w:type="character" w:styleId="951" w:customStyle="1">
    <w:name w:val="正文首行缩进 字符"/>
    <w:link w:val="950"/>
    <w:uiPriority w:val="0"/>
    <w:qFormat/>
    <w:rPr>
      <w:rFonts w:ascii="仿宋_GB2312" w:hAnsi="Times New Roman" w:eastAsia="仿宋_GB2312" w:cs="Times New Roman"/>
      <w:sz w:val="30"/>
      <w:szCs w:val="30"/>
    </w:rPr>
  </w:style>
  <w:style w:type="paragraph" w:styleId="952" w:customStyle="1">
    <w:name w:val="正文首行缩进 211"/>
    <w:basedOn w:val="916"/>
    <w:next w:val="702"/>
    <w:link w:val="953"/>
    <w:uiPriority w:val="0"/>
    <w:qFormat/>
    <w:pPr>
      <w:ind w:firstLine="420"/>
      <w:spacing w:line="360" w:lineRule="auto"/>
    </w:pPr>
    <w:rPr>
      <w:rFonts w:ascii="宋体" w:hAnsi="宋体" w:eastAsia="宋体"/>
      <w:sz w:val="21"/>
      <w:szCs w:val="20"/>
    </w:rPr>
  </w:style>
  <w:style w:type="character" w:styleId="953" w:customStyle="1">
    <w:name w:val="正文首行缩进 2 字符"/>
    <w:link w:val="952"/>
    <w:uiPriority w:val="0"/>
    <w:qFormat/>
    <w:rPr>
      <w:rFonts w:ascii="宋体" w:hAnsi="宋体" w:eastAsia="宋体" w:cs="Times New Roman"/>
      <w:sz w:val="32"/>
      <w:szCs w:val="20"/>
    </w:rPr>
  </w:style>
  <w:style w:type="table" w:styleId="954" w:customStyle="1">
    <w:name w:val="网格型11"/>
    <w:basedOn w:val="895"/>
    <w:uiPriority w:val="0"/>
    <w:qFormat/>
    <w:pPr>
      <w:jc w:val="both"/>
      <w:widowControl w:val="off"/>
    </w:pPr>
    <w:rPr>
      <w:rFonts w:ascii="Times New Roman" w:hAnsi="Times New Roman" w:eastAsia="宋体" w:cs="Times New Roman"/>
      <w:sz w:val="20"/>
      <w:szCs w:val="20"/>
    </w:rPr>
    <w:tblPr/>
  </w:style>
  <w:style w:type="character" w:styleId="955" w:customStyle="1">
    <w:name w:val="要点1"/>
    <w:link w:val="702"/>
    <w:uiPriority w:val="0"/>
    <w:qFormat/>
    <w:rPr>
      <w:b/>
      <w:bCs/>
    </w:rPr>
  </w:style>
  <w:style w:type="character" w:styleId="956" w:customStyle="1">
    <w:name w:val="页码1"/>
    <w:link w:val="702"/>
    <w:uiPriority w:val="0"/>
    <w:qFormat/>
  </w:style>
  <w:style w:type="character" w:styleId="957" w:customStyle="1">
    <w:name w:val="已访问的超链接1"/>
    <w:link w:val="702"/>
    <w:uiPriority w:val="0"/>
    <w:qFormat/>
    <w:rPr>
      <w:color w:val="800080"/>
      <w:u w:val="single"/>
    </w:rPr>
  </w:style>
  <w:style w:type="character" w:styleId="958" w:customStyle="1">
    <w:name w:val="强调1"/>
    <w:link w:val="702"/>
    <w:uiPriority w:val="0"/>
    <w:qFormat/>
    <w:rPr>
      <w:i/>
    </w:rPr>
  </w:style>
  <w:style w:type="character" w:styleId="959" w:customStyle="1">
    <w:name w:val="超链接1"/>
    <w:link w:val="702"/>
    <w:uiPriority w:val="0"/>
    <w:qFormat/>
    <w:rPr>
      <w:color w:val="0000ff"/>
      <w:u w:val="single"/>
    </w:rPr>
  </w:style>
  <w:style w:type="character" w:styleId="960" w:customStyle="1">
    <w:name w:val="批注引用11"/>
    <w:link w:val="702"/>
    <w:uiPriority w:val="0"/>
    <w:semiHidden/>
    <w:qFormat/>
    <w:rPr>
      <w:sz w:val="21"/>
      <w:szCs w:val="21"/>
    </w:rPr>
  </w:style>
  <w:style w:type="paragraph" w:styleId="961" w:customStyle="1">
    <w:name w:val="正文1"/>
    <w:basedOn w:val="702"/>
    <w:uiPriority w:val="0"/>
    <w:qFormat/>
    <w:pPr>
      <w:ind w:left="350" w:firstLine="0"/>
    </w:pPr>
    <w:rPr>
      <w:rFonts w:cs="Times New Roman"/>
      <w:sz w:val="20"/>
      <w:szCs w:val="24"/>
    </w:rPr>
  </w:style>
  <w:style w:type="paragraph" w:styleId="962" w:customStyle="1">
    <w:name w:val="正文文本缩进1"/>
    <w:basedOn w:val="702"/>
    <w:next w:val="963"/>
    <w:uiPriority w:val="0"/>
    <w:unhideWhenUsed/>
    <w:qFormat/>
    <w:pPr>
      <w:ind w:left="420"/>
      <w:spacing w:after="120"/>
    </w:pPr>
  </w:style>
  <w:style w:type="paragraph" w:styleId="963" w:customStyle="1">
    <w:name w:val="正文首行缩进 21"/>
    <w:basedOn w:val="962"/>
    <w:uiPriority w:val="0"/>
    <w:qFormat/>
    <w:pPr>
      <w:ind w:left="0" w:firstLine="420"/>
      <w:spacing w:after="0" w:line="360" w:lineRule="auto"/>
    </w:pPr>
    <w:rPr>
      <w:rFonts w:ascii="宋体" w:hAnsi="宋体"/>
      <w:sz w:val="20"/>
      <w:szCs w:val="20"/>
      <w:lang w:val="en-US" w:eastAsia="en-US"/>
    </w:rPr>
  </w:style>
  <w:style w:type="paragraph" w:styleId="964" w:customStyle="1">
    <w:name w:val="正文文本12"/>
    <w:basedOn w:val="702"/>
    <w:uiPriority w:val="1"/>
    <w:qFormat/>
    <w:pPr>
      <w:ind w:left="120"/>
    </w:pPr>
    <w:rPr>
      <w:rFonts w:ascii="宋体" w:hAnsi="宋体" w:eastAsia="宋体" w:cs="宋体"/>
      <w:sz w:val="21"/>
      <w:szCs w:val="21"/>
      <w:lang w:val="zh-CN" w:eastAsia="zh-CN" w:bidi="zh-CN"/>
    </w:rPr>
  </w:style>
  <w:style w:type="character" w:styleId="965" w:customStyle="1">
    <w:name w:val="font5 Char"/>
    <w:link w:val="702"/>
    <w:uiPriority w:val="0"/>
    <w:qFormat/>
    <w:rPr>
      <w:rFonts w:ascii="宋体" w:hAnsi="宋体" w:eastAsia="宋体"/>
      <w:sz w:val="28"/>
      <w:szCs w:val="28"/>
      <w:lang w:val="en-US" w:eastAsia="zh-CN" w:bidi="ar-SA"/>
    </w:rPr>
  </w:style>
  <w:style w:type="character" w:styleId="966" w:customStyle="1">
    <w:name w:val="二级目录 Char"/>
    <w:link w:val="967"/>
    <w:uiPriority w:val="0"/>
    <w:qFormat/>
    <w:rPr>
      <w:b/>
      <w:sz w:val="30"/>
      <w:szCs w:val="28"/>
    </w:rPr>
  </w:style>
  <w:style w:type="paragraph" w:styleId="967" w:customStyle="1">
    <w:name w:val="二级目录"/>
    <w:next w:val="702"/>
    <w:link w:val="96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8" w:customStyle="1">
    <w:name w:val="列出段落 Char"/>
    <w:link w:val="969"/>
    <w:uiPriority w:val="0"/>
    <w:qFormat/>
    <w:rPr>
      <w:rFonts w:ascii="Calibri" w:hAnsi="Calibri"/>
      <w:sz w:val="24"/>
      <w:szCs w:val="24"/>
      <w:lang w:eastAsia="en-US" w:bidi="en-US"/>
    </w:rPr>
  </w:style>
  <w:style w:type="paragraph" w:styleId="969" w:customStyle="1">
    <w:name w:val="列出段落1"/>
    <w:basedOn w:val="702"/>
    <w:link w:val="968"/>
    <w:uiPriority w:val="0"/>
    <w:qFormat/>
    <w:pPr>
      <w:contextualSpacing/>
      <w:ind w:left="720"/>
      <w:jc w:val="left"/>
      <w:widowControl/>
    </w:pPr>
    <w:rPr>
      <w:rFonts w:ascii="Calibri" w:hAnsi="Calibri" w:eastAsia="宋体" w:cs="Times New Roman"/>
      <w:sz w:val="24"/>
      <w:szCs w:val="24"/>
      <w:lang w:eastAsia="en-US" w:bidi="en-US"/>
    </w:rPr>
  </w:style>
  <w:style w:type="paragraph" w:styleId="970" w:customStyle="1">
    <w:name w:val="Body Text(ch)"/>
    <w:basedOn w:val="702"/>
    <w:next w:val="914"/>
    <w:uiPriority w:val="0"/>
    <w:qFormat/>
    <w:pPr>
      <w:spacing w:after="120"/>
    </w:pPr>
    <w:rPr>
      <w:rFonts w:ascii="宋体" w:hAnsi="Arial"/>
      <w:bCs/>
      <w:iCs/>
      <w:szCs w:val="24"/>
    </w:rPr>
  </w:style>
  <w:style w:type="paragraph" w:styleId="971"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customStyle="1">
    <w:name w:val="Char"/>
    <w:basedOn w:val="702"/>
    <w:uiPriority w:val="0"/>
    <w:qFormat/>
    <w:pPr>
      <w:ind w:firstLine="200"/>
      <w:tabs>
        <w:tab w:val="left" w:pos="360" w:leader="none"/>
      </w:tabs>
    </w:pPr>
    <w:rPr>
      <w:sz w:val="28"/>
      <w:szCs w:val="30"/>
    </w:rPr>
  </w:style>
  <w:style w:type="paragraph" w:styleId="974" w:customStyle="1">
    <w:name w:val=" Char"/>
    <w:basedOn w:val="908"/>
    <w:uiPriority w:val="0"/>
    <w:qFormat/>
    <w:rPr>
      <w:rFonts w:ascii="Tahoma" w:hAnsi="Tahoma"/>
      <w:sz w:val="24"/>
      <w:szCs w:val="24"/>
    </w:rPr>
  </w:style>
  <w:style w:type="paragraph" w:styleId="975"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6" w:customStyle="1">
    <w:name w:val="table_lines"/>
    <w:basedOn w:val="702"/>
    <w:uiPriority w:val="0"/>
    <w:qFormat/>
    <w:pPr>
      <w:jc w:val="left"/>
      <w:widowControl/>
    </w:pPr>
    <w:rPr>
      <w:sz w:val="20"/>
      <w:szCs w:val="20"/>
      <w:lang w:val="de-DE" w:eastAsia="de-DE"/>
    </w:rPr>
  </w:style>
  <w:style w:type="paragraph" w:styleId="97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8"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 Char Char Char Char"/>
    <w:basedOn w:val="908"/>
    <w:uiPriority w:val="0"/>
    <w:qFormat/>
    <w:pPr>
      <w:spacing w:line="360" w:lineRule="auto"/>
    </w:pPr>
    <w:rPr>
      <w:rFonts w:ascii="Tahoma" w:hAnsi="Tahoma"/>
      <w:sz w:val="24"/>
      <w:szCs w:val="24"/>
    </w:rPr>
  </w:style>
  <w:style w:type="paragraph" w:styleId="980" w:customStyle="1">
    <w:name w:val="列出段落"/>
    <w:basedOn w:val="702"/>
    <w:uiPriority w:val="0"/>
    <w:qFormat/>
    <w:pPr>
      <w:contextualSpacing/>
      <w:ind w:left="720"/>
      <w:jc w:val="left"/>
      <w:widowControl/>
    </w:pPr>
    <w:rPr>
      <w:rFonts w:ascii="Calibri" w:hAnsi="Calibri"/>
      <w:sz w:val="24"/>
      <w:szCs w:val="24"/>
      <w:lang w:eastAsia="en-US" w:bidi="en-US"/>
    </w:rPr>
  </w:style>
  <w:style w:type="paragraph" w:styleId="981" w:customStyle="1">
    <w:name w:val="4"/>
    <w:basedOn w:val="702"/>
    <w:next w:val="939"/>
    <w:uiPriority w:val="0"/>
    <w:qFormat/>
    <w:pPr>
      <w:ind w:firstLine="420"/>
      <w:spacing w:line="360" w:lineRule="auto"/>
    </w:pPr>
    <w:rPr>
      <w:color w:val="ff0000"/>
      <w:sz w:val="24"/>
      <w:szCs w:val="24"/>
    </w:rPr>
  </w:style>
  <w:style w:type="paragraph" w:styleId="982"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83" w:customStyle="1">
    <w:name w:val=" Char Char Char Char Char Char Char Char Char Char"/>
    <w:basedOn w:val="702"/>
    <w:uiPriority w:val="0"/>
    <w:qFormat/>
    <w:pPr>
      <w:spacing w:line="360" w:lineRule="auto"/>
    </w:pPr>
    <w:rPr>
      <w:sz w:val="24"/>
      <w:szCs w:val="20"/>
    </w:rPr>
  </w:style>
  <w:style w:type="paragraph" w:styleId="984" w:customStyle="1">
    <w:name w:val="样式1"/>
    <w:basedOn w:val="702"/>
    <w:uiPriority w:val="0"/>
    <w:qFormat/>
    <w:pPr>
      <w:numPr>
        <w:ilvl w:val="0"/>
        <w:numId w:val="3"/>
      </w:numPr>
    </w:pPr>
    <w:rPr>
      <w:rFonts w:ascii="宋体" w:hAnsi="宋体"/>
    </w:rPr>
  </w:style>
  <w:style w:type="paragraph" w:styleId="985"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9"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2"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4"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95" w:customStyle="1">
    <w:name w:val="Char Char Char Char"/>
    <w:basedOn w:val="908"/>
    <w:uiPriority w:val="0"/>
    <w:qFormat/>
    <w:pPr>
      <w:spacing w:line="360" w:lineRule="auto"/>
    </w:pPr>
    <w:rPr>
      <w:rFonts w:ascii="Tahoma" w:hAnsi="Tahoma"/>
      <w:sz w:val="24"/>
      <w:szCs w:val="24"/>
    </w:rPr>
  </w:style>
  <w:style w:type="paragraph" w:styleId="996" w:customStyle="1">
    <w:name w:val="table_1stline"/>
    <w:basedOn w:val="702"/>
    <w:uiPriority w:val="0"/>
    <w:qFormat/>
    <w:pPr>
      <w:jc w:val="left"/>
      <w:spacing w:before="120"/>
      <w:widowControl/>
    </w:pPr>
    <w:rPr>
      <w:bCs/>
      <w:sz w:val="20"/>
      <w:szCs w:val="20"/>
      <w:lang w:val="de-DE" w:eastAsia="de-DE"/>
    </w:rPr>
  </w:style>
  <w:style w:type="paragraph" w:styleId="997"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98"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1" w:customStyle="1">
    <w:name w:val="正文文本 211"/>
    <w:basedOn w:val="702"/>
    <w:uiPriority w:val="99"/>
    <w:qFormat/>
    <w:pPr>
      <w:jc w:val="center"/>
    </w:pPr>
    <w:rPr>
      <w:b/>
      <w:bCs/>
      <w:sz w:val="20"/>
      <w:szCs w:val="20"/>
    </w:rPr>
  </w:style>
  <w:style w:type="table" w:styleId="1002" w:customStyle="1">
    <w:name w:val="Table Normal"/>
    <w:uiPriority w:val="0"/>
    <w:qFormat/>
    <w:rPr>
      <w:lang w:val="en-US" w:eastAsia="zh-CN" w:bidi="ar-SA"/>
    </w:rPr>
    <w:tblPr/>
  </w:style>
  <w:style w:type="paragraph" w:styleId="1003" w:customStyle="1">
    <w:name w:val="正文文本1"/>
    <w:basedOn w:val="702"/>
    <w:next w:val="702"/>
    <w:uiPriority w:val="0"/>
    <w:semiHidden/>
    <w:qFormat/>
    <w:rPr>
      <w:rFonts w:ascii="Arial" w:hAnsi="Arial" w:eastAsia="Arial" w:cs="Arial"/>
      <w:sz w:val="21"/>
      <w:szCs w:val="21"/>
      <w:lang w:val="en-US" w:eastAsia="en-US" w:bidi="ar-SA"/>
    </w:rPr>
  </w:style>
  <w:style w:type="paragraph" w:styleId="1004" w:customStyle="1">
    <w:name w:val="纯文本1"/>
    <w:basedOn w:val="702"/>
    <w:uiPriority w:val="0"/>
    <w:qFormat/>
    <w:rPr>
      <w:rFonts w:ascii="宋体" w:hAnsi="Courier New" w:cs="Courier New"/>
    </w:rPr>
  </w:style>
  <w:style w:type="table" w:styleId="1005" w:customStyle="1">
    <w:name w:val="网格型1"/>
    <w:basedOn w:val="1006"/>
    <w:uiPriority w:val="0"/>
    <w:qFormat/>
    <w:pPr>
      <w:jc w:val="both"/>
      <w:widowControl w:val="off"/>
    </w:pPr>
    <w:tblPr/>
  </w:style>
  <w:style w:type="table" w:styleId="1006" w:customStyle="1">
    <w:name w:val="普通表格1"/>
    <w:uiPriority w:val="99"/>
    <w:unhideWhenUsed/>
    <w:qFormat/>
    <w:rPr>
      <w:lang w:val="en-US" w:eastAsia="zh-CN" w:bidi="ar-SA"/>
    </w:rPr>
    <w:tblPr/>
  </w:style>
  <w:style w:type="paragraph" w:styleId="1007" w:customStyle="1">
    <w:name w:val="Table Paragraph"/>
    <w:basedOn w:val="702"/>
    <w:uiPriority w:val="1"/>
    <w:qFormat/>
    <w:pPr>
      <w:jc w:val="left"/>
    </w:pPr>
    <w:rPr>
      <w:rFonts w:ascii="宋体" w:hAnsi="宋体" w:eastAsia="宋体" w:cs="宋体"/>
      <w:sz w:val="22"/>
      <w:szCs w:val="22"/>
      <w:lang w:val="zh-CN" w:bidi="zh-CN"/>
    </w:rPr>
  </w:style>
  <w:style w:type="character" w:styleId="1008" w:customStyle="1">
    <w:name w:val="15"/>
    <w:link w:val="702"/>
    <w:uiPriority w:val="0"/>
    <w:qFormat/>
    <w:rPr>
      <w:rFonts w:ascii="Times New Roman" w:hAnsi="Times New Roman" w:cs="Times New Roman"/>
    </w:rPr>
  </w:style>
  <w:style w:type="paragraph" w:styleId="1009" w:customStyle="1">
    <w:name w:val="纯文本111"/>
    <w:basedOn w:val="702"/>
    <w:uiPriority w:val="0"/>
    <w:qFormat/>
    <w:rPr>
      <w:rFonts w:ascii="宋体" w:hAnsi="Courier New"/>
      <w:sz w:val="20"/>
    </w:rPr>
  </w:style>
  <w:style w:type="character" w:styleId="1010" w:customStyle="1">
    <w:name w:val="批注引用1"/>
    <w:link w:val="702"/>
    <w:uiPriority w:val="0"/>
    <w:semiHidden/>
    <w:qFormat/>
    <w:rPr>
      <w:sz w:val="21"/>
      <w:szCs w:val="21"/>
    </w:rPr>
  </w:style>
  <w:style w:type="paragraph" w:styleId="1011" w:customStyle="1">
    <w:name w:val="页脚1"/>
    <w:basedOn w:val="702"/>
    <w:uiPriority w:val="0"/>
    <w:qFormat/>
    <w:pPr>
      <w:jc w:val="left"/>
      <w:tabs>
        <w:tab w:val="center" w:pos="4153" w:leader="none"/>
        <w:tab w:val="right" w:pos="8306" w:leader="none"/>
      </w:tabs>
    </w:pPr>
    <w:rPr>
      <w:sz w:val="18"/>
      <w:szCs w:val="18"/>
    </w:rPr>
  </w:style>
  <w:style w:type="paragraph" w:styleId="1012" w:customStyle="1">
    <w:name w:val="Table Text"/>
    <w:basedOn w:val="702"/>
    <w:uiPriority w:val="0"/>
    <w:semiHidden/>
    <w:qFormat/>
    <w:rPr>
      <w:rFonts w:ascii="宋体" w:hAnsi="宋体" w:cs="宋体"/>
      <w:lang w:eastAsia="en-US"/>
    </w:rPr>
  </w:style>
  <w:style w:type="paragraph" w:styleId="1013" w:customStyle="1">
    <w:name w:val="页眉1"/>
    <w:basedOn w:val="702"/>
    <w:uiPriority w:val="0"/>
    <w:qFormat/>
    <w:pPr>
      <w:jc w:val="center"/>
      <w:tabs>
        <w:tab w:val="center" w:pos="4153" w:leader="none"/>
        <w:tab w:val="right" w:pos="8306" w:leader="none"/>
      </w:tabs>
      <w:pBdr>
        <w:bottom w:val="single" w:color="000000" w:sz="6" w:space="1"/>
      </w:pBdr>
    </w:pPr>
    <w:rPr>
      <w:sz w:val="18"/>
      <w:szCs w:val="18"/>
    </w:rPr>
  </w:style>
  <w:style w:type="numbering" w:styleId="19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林赵霖</cp:lastModifiedBy>
  <cp:revision>6</cp:revision>
  <dcterms:created xsi:type="dcterms:W3CDTF">2023-03-16T02:16:00Z</dcterms:created>
  <dcterms:modified xsi:type="dcterms:W3CDTF">2026-08-31T06:12:09Z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F8CA033E21544582BC7574D6CDB36974_13</vt:lpwstr>
  </property>
  <property fmtid="{D5CDD505-2E9C-101B-9397-08002B2CF9AE}" pid="4" name="KSOTemplateDocerSaveRecord">
    <vt:lpwstr>eyJoZGlkIjoiMmNmMGEwYTM0NzA2OWNkNDU3YjJjZjhiNmEyOTk4NDMiLCJ1c2VySWQiOiIyNDA4ODkwMTgifQ==</vt:lpwstr>
  </property>
</Properties>
</file>