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0483F6">
      <w:pPr>
        <w:widowControl/>
        <w:jc w:val="center"/>
        <w:rPr>
          <w:rFonts w:eastAsia="黑体"/>
          <w:b/>
          <w:bCs/>
          <w:color w:val="auto"/>
          <w:sz w:val="84"/>
          <w:szCs w:val="84"/>
          <w:highlight w:val="none"/>
        </w:rPr>
      </w:pPr>
    </w:p>
    <w:p w14:paraId="0C07C5CC">
      <w:pPr>
        <w:pStyle w:val="55"/>
        <w:rPr>
          <w:color w:val="auto"/>
          <w:highlight w:val="none"/>
        </w:rPr>
      </w:pPr>
    </w:p>
    <w:p w14:paraId="06920AB5">
      <w:pPr>
        <w:widowControl/>
        <w:jc w:val="center"/>
        <w:rPr>
          <w:rFonts w:ascii="宋体" w:hAnsi="宋体"/>
          <w:color w:val="auto"/>
          <w:sz w:val="72"/>
          <w:szCs w:val="72"/>
          <w:highlight w:val="none"/>
        </w:rPr>
      </w:pPr>
      <w:r>
        <w:rPr>
          <w:rFonts w:hint="eastAsia" w:eastAsia="黑体"/>
          <w:b/>
          <w:bCs/>
          <w:color w:val="auto"/>
          <w:sz w:val="84"/>
          <w:szCs w:val="84"/>
          <w:highlight w:val="none"/>
        </w:rPr>
        <w:t>政府采购招标文件</w:t>
      </w:r>
    </w:p>
    <w:p w14:paraId="630A67FA">
      <w:pPr>
        <w:jc w:val="center"/>
        <w:rPr>
          <w:rFonts w:ascii="宋体" w:hAnsi="宋体"/>
          <w:color w:val="auto"/>
          <w:sz w:val="32"/>
          <w:szCs w:val="32"/>
          <w:highlight w:val="none"/>
        </w:rPr>
      </w:pPr>
    </w:p>
    <w:p w14:paraId="7464D1EB">
      <w:pPr>
        <w:jc w:val="center"/>
        <w:rPr>
          <w:rFonts w:ascii="宋体" w:hAnsi="宋体"/>
          <w:color w:val="auto"/>
          <w:sz w:val="32"/>
          <w:szCs w:val="32"/>
          <w:highlight w:val="none"/>
        </w:rPr>
      </w:pPr>
    </w:p>
    <w:p w14:paraId="7E312E27">
      <w:pPr>
        <w:jc w:val="center"/>
        <w:rPr>
          <w:rFonts w:ascii="宋体" w:hAnsi="宋体"/>
          <w:color w:val="auto"/>
          <w:sz w:val="32"/>
          <w:szCs w:val="32"/>
          <w:highlight w:val="none"/>
        </w:rPr>
      </w:pPr>
    </w:p>
    <w:p w14:paraId="544D8921">
      <w:pPr>
        <w:jc w:val="center"/>
        <w:rPr>
          <w:rFonts w:ascii="宋体" w:hAnsi="宋体"/>
          <w:color w:val="auto"/>
          <w:sz w:val="32"/>
          <w:szCs w:val="32"/>
          <w:highlight w:val="none"/>
        </w:rPr>
      </w:pPr>
    </w:p>
    <w:p w14:paraId="6F69CCDF">
      <w:pPr>
        <w:jc w:val="center"/>
        <w:rPr>
          <w:rFonts w:ascii="宋体" w:hAnsi="宋体"/>
          <w:color w:val="auto"/>
          <w:sz w:val="32"/>
          <w:szCs w:val="32"/>
          <w:highlight w:val="none"/>
        </w:rPr>
      </w:pPr>
    </w:p>
    <w:p w14:paraId="41C28C22">
      <w:pPr>
        <w:tabs>
          <w:tab w:val="left" w:pos="1890"/>
          <w:tab w:val="left" w:pos="2100"/>
        </w:tabs>
        <w:spacing w:line="48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                   采购单位：</w:t>
      </w:r>
      <w:r>
        <w:rPr>
          <w:rFonts w:hint="eastAsia" w:ascii="宋体" w:hAnsi="宋体"/>
          <w:color w:val="auto"/>
          <w:sz w:val="24"/>
          <w:highlight w:val="none"/>
          <w:lang w:eastAsia="zh-CN"/>
        </w:rPr>
        <w:t>太仓港经济技术开发区管理委员会</w:t>
      </w:r>
    </w:p>
    <w:p w14:paraId="77632B32">
      <w:pPr>
        <w:spacing w:line="480" w:lineRule="auto"/>
        <w:ind w:firstLine="2268"/>
        <w:rPr>
          <w:rFonts w:hint="default" w:ascii="宋体" w:hAnsi="宋体" w:eastAsia="宋体"/>
          <w:color w:val="auto"/>
          <w:sz w:val="24"/>
          <w:highlight w:val="none"/>
          <w:lang w:val="en-US" w:eastAsia="zh-CN"/>
        </w:rPr>
      </w:pPr>
      <w:r>
        <w:rPr>
          <w:rFonts w:ascii="宋体" w:hAnsi="宋体"/>
          <w:color w:val="auto"/>
          <w:sz w:val="24"/>
          <w:highlight w:val="none"/>
        </w:rPr>
        <w:t>采购编号：</w:t>
      </w:r>
      <w:r>
        <w:rPr>
          <w:rFonts w:hint="eastAsia" w:ascii="宋体" w:hAnsi="宋体"/>
          <w:color w:val="auto"/>
          <w:sz w:val="24"/>
          <w:highlight w:val="none"/>
          <w:lang w:eastAsia="zh-CN"/>
        </w:rPr>
        <w:t>JSZC-320585-HJSZ-G2026-0002</w:t>
      </w:r>
    </w:p>
    <w:p w14:paraId="4B2461A0">
      <w:pPr>
        <w:spacing w:line="48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                   采购项目：</w:t>
      </w:r>
      <w:r>
        <w:rPr>
          <w:rFonts w:hint="eastAsia" w:ascii="宋体" w:hAnsi="宋体"/>
          <w:color w:val="auto"/>
          <w:sz w:val="24"/>
          <w:highlight w:val="none"/>
          <w:lang w:eastAsia="zh-CN"/>
        </w:rPr>
        <w:t>2026年度化工园区应急指挥中心运维服务</w:t>
      </w:r>
    </w:p>
    <w:p w14:paraId="4259F39A">
      <w:pPr>
        <w:spacing w:line="480" w:lineRule="auto"/>
        <w:rPr>
          <w:rFonts w:ascii="宋体" w:hAnsi="宋体"/>
          <w:color w:val="auto"/>
          <w:sz w:val="24"/>
          <w:highlight w:val="none"/>
        </w:rPr>
      </w:pPr>
      <w:r>
        <w:rPr>
          <w:rFonts w:hint="eastAsia" w:ascii="宋体" w:hAnsi="宋体"/>
          <w:color w:val="auto"/>
          <w:sz w:val="24"/>
          <w:highlight w:val="none"/>
        </w:rPr>
        <w:t xml:space="preserve">                   采购类别：</w:t>
      </w:r>
      <w:r>
        <w:rPr>
          <w:rFonts w:hint="eastAsia" w:ascii="宋体" w:hAnsi="宋体"/>
          <w:color w:val="auto"/>
          <w:sz w:val="24"/>
          <w:highlight w:val="none"/>
          <w:lang w:val="en-US" w:eastAsia="zh-CN"/>
        </w:rPr>
        <w:t>服务</w:t>
      </w:r>
      <w:r>
        <w:rPr>
          <w:rFonts w:hint="eastAsia" w:ascii="宋体" w:hAnsi="宋体"/>
          <w:color w:val="auto"/>
          <w:sz w:val="24"/>
          <w:highlight w:val="none"/>
        </w:rPr>
        <w:t>类</w:t>
      </w:r>
    </w:p>
    <w:p w14:paraId="231B972D">
      <w:pPr>
        <w:tabs>
          <w:tab w:val="left" w:pos="1890"/>
          <w:tab w:val="left" w:pos="2100"/>
        </w:tabs>
        <w:spacing w:line="480" w:lineRule="auto"/>
        <w:ind w:firstLine="2318"/>
        <w:rPr>
          <w:rFonts w:hint="default" w:ascii="宋体" w:hAnsi="宋体" w:eastAsia="宋体"/>
          <w:color w:val="auto"/>
          <w:sz w:val="24"/>
          <w:highlight w:val="none"/>
          <w:lang w:val="en-US" w:eastAsia="zh-CN"/>
        </w:rPr>
      </w:pPr>
      <w:r>
        <w:rPr>
          <w:rFonts w:hint="eastAsia" w:ascii="宋体" w:hAnsi="宋体"/>
          <w:color w:val="auto"/>
          <w:sz w:val="24"/>
          <w:highlight w:val="none"/>
        </w:rPr>
        <w:t>标的所属行业：（</w:t>
      </w:r>
      <w:r>
        <w:rPr>
          <w:rFonts w:hint="eastAsia" w:ascii="宋体" w:hAnsi="宋体"/>
          <w:color w:val="auto"/>
          <w:sz w:val="24"/>
          <w:highlight w:val="none"/>
          <w:lang w:val="en-US" w:eastAsia="zh-CN"/>
        </w:rPr>
        <w:t>十五</w:t>
      </w:r>
      <w:r>
        <w:rPr>
          <w:rFonts w:hint="eastAsia" w:ascii="宋体" w:hAnsi="宋体"/>
          <w:color w:val="auto"/>
          <w:sz w:val="24"/>
          <w:highlight w:val="none"/>
        </w:rPr>
        <w:t>）</w:t>
      </w:r>
      <w:r>
        <w:rPr>
          <w:rFonts w:hint="eastAsia" w:ascii="宋体" w:hAnsi="宋体"/>
          <w:color w:val="auto"/>
          <w:sz w:val="24"/>
          <w:highlight w:val="none"/>
          <w:lang w:val="en-US" w:eastAsia="zh-CN"/>
        </w:rPr>
        <w:t>租赁和商务服务业</w:t>
      </w:r>
    </w:p>
    <w:p w14:paraId="13DD313C">
      <w:pPr>
        <w:pStyle w:val="215"/>
        <w:ind w:right="1313" w:firstLine="420"/>
        <w:rPr>
          <w:color w:val="auto"/>
          <w:highlight w:val="none"/>
        </w:rPr>
      </w:pPr>
    </w:p>
    <w:p w14:paraId="2C7CD1F6">
      <w:pPr>
        <w:spacing w:line="360" w:lineRule="auto"/>
        <w:ind w:firstLine="2400"/>
        <w:rPr>
          <w:rFonts w:ascii="宋体" w:hAnsi="宋体"/>
          <w:color w:val="auto"/>
          <w:sz w:val="30"/>
          <w:szCs w:val="30"/>
          <w:highlight w:val="none"/>
        </w:rPr>
      </w:pPr>
    </w:p>
    <w:p w14:paraId="29CBC1A4">
      <w:pPr>
        <w:spacing w:line="360" w:lineRule="auto"/>
        <w:ind w:firstLine="2400"/>
        <w:rPr>
          <w:rFonts w:ascii="宋体" w:hAnsi="宋体"/>
          <w:color w:val="auto"/>
          <w:sz w:val="30"/>
          <w:szCs w:val="30"/>
          <w:highlight w:val="none"/>
        </w:rPr>
      </w:pPr>
    </w:p>
    <w:p w14:paraId="5BE25F4E">
      <w:pPr>
        <w:pStyle w:val="14"/>
        <w:rPr>
          <w:rFonts w:ascii="宋体" w:hAnsi="宋体"/>
          <w:color w:val="auto"/>
          <w:sz w:val="30"/>
          <w:szCs w:val="30"/>
          <w:highlight w:val="none"/>
        </w:rPr>
      </w:pPr>
    </w:p>
    <w:p w14:paraId="65712809">
      <w:pPr>
        <w:rPr>
          <w:rFonts w:ascii="宋体" w:hAnsi="宋体"/>
          <w:b/>
          <w:color w:val="auto"/>
          <w:highlight w:val="none"/>
        </w:rPr>
      </w:pPr>
    </w:p>
    <w:p w14:paraId="3A6DA12D">
      <w:pPr>
        <w:spacing w:line="480" w:lineRule="auto"/>
        <w:jc w:val="center"/>
        <w:rPr>
          <w:rFonts w:ascii="宋体" w:hAnsi="宋体"/>
          <w:b/>
          <w:color w:val="auto"/>
          <w:sz w:val="32"/>
          <w:highlight w:val="none"/>
        </w:rPr>
      </w:pPr>
    </w:p>
    <w:p w14:paraId="7A27A604">
      <w:pPr>
        <w:spacing w:line="480" w:lineRule="auto"/>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eastAsia="zh-CN"/>
        </w:rPr>
        <w:t>汇建（苏州）项目管理有限公司</w:t>
      </w:r>
    </w:p>
    <w:p w14:paraId="75C9A893">
      <w:pPr>
        <w:jc w:val="center"/>
        <w:rPr>
          <w:rFonts w:hint="eastAsia" w:ascii="宋体" w:hAnsi="宋体"/>
          <w:b/>
          <w:color w:val="auto"/>
          <w:sz w:val="28"/>
          <w:szCs w:val="28"/>
          <w:highlight w:val="none"/>
        </w:rPr>
        <w:sectPr>
          <w:headerReference r:id="rId4" w:type="first"/>
          <w:headerReference r:id="rId3" w:type="default"/>
          <w:footerReference r:id="rId5" w:type="default"/>
          <w:pgSz w:w="11907" w:h="16840"/>
          <w:pgMar w:top="1134" w:right="1134" w:bottom="1134" w:left="1134" w:header="851" w:footer="680" w:gutter="0"/>
          <w:cols w:space="0" w:num="1"/>
          <w:titlePg/>
          <w:docGrid w:linePitch="360" w:charSpace="0"/>
        </w:sectPr>
      </w:pPr>
      <w:r>
        <w:rPr>
          <w:rFonts w:hint="eastAsia" w:ascii="宋体" w:hAnsi="宋体"/>
          <w:b/>
          <w:color w:val="auto"/>
          <w:sz w:val="28"/>
          <w:szCs w:val="28"/>
          <w:highlight w:val="none"/>
        </w:rPr>
        <w:t>二○二</w:t>
      </w:r>
      <w:r>
        <w:rPr>
          <w:rFonts w:hint="eastAsia" w:ascii="宋体" w:hAnsi="宋体"/>
          <w:b/>
          <w:color w:val="auto"/>
          <w:sz w:val="28"/>
          <w:szCs w:val="28"/>
          <w:highlight w:val="none"/>
          <w:lang w:val="en-US" w:eastAsia="zh-CN"/>
        </w:rPr>
        <w:t>六</w:t>
      </w:r>
      <w:r>
        <w:rPr>
          <w:rFonts w:hint="eastAsia" w:ascii="宋体" w:hAnsi="宋体"/>
          <w:b/>
          <w:color w:val="auto"/>
          <w:sz w:val="28"/>
          <w:szCs w:val="28"/>
          <w:highlight w:val="none"/>
        </w:rPr>
        <w:t>年</w:t>
      </w:r>
      <w:r>
        <w:rPr>
          <w:rFonts w:hint="eastAsia" w:ascii="宋体" w:hAnsi="宋体"/>
          <w:b/>
          <w:color w:val="auto"/>
          <w:sz w:val="28"/>
          <w:szCs w:val="28"/>
          <w:highlight w:val="none"/>
          <w:lang w:val="en-US" w:eastAsia="zh-CN"/>
        </w:rPr>
        <w:t>八</w:t>
      </w:r>
      <w:r>
        <w:rPr>
          <w:rFonts w:hint="eastAsia" w:ascii="宋体" w:hAnsi="宋体"/>
          <w:b/>
          <w:color w:val="auto"/>
          <w:sz w:val="28"/>
          <w:szCs w:val="28"/>
          <w:highlight w:val="none"/>
        </w:rPr>
        <w:t>月</w:t>
      </w:r>
    </w:p>
    <w:p w14:paraId="4E5A2F12">
      <w:pPr>
        <w:jc w:val="center"/>
        <w:rPr>
          <w:b/>
          <w:color w:val="auto"/>
          <w:sz w:val="44"/>
          <w:szCs w:val="44"/>
          <w:highlight w:val="none"/>
        </w:rPr>
      </w:pPr>
      <w:r>
        <w:rPr>
          <w:b/>
          <w:color w:val="auto"/>
          <w:sz w:val="44"/>
          <w:szCs w:val="44"/>
          <w:highlight w:val="none"/>
        </w:rPr>
        <w:t>目   录</w:t>
      </w:r>
      <w:bookmarkStart w:id="0" w:name="_Toc158691765"/>
    </w:p>
    <w:p w14:paraId="0BD94DE7">
      <w:pPr>
        <w:spacing w:line="360" w:lineRule="auto"/>
        <w:rPr>
          <w:rFonts w:ascii="宋体"/>
          <w:color w:val="auto"/>
          <w:sz w:val="30"/>
          <w:szCs w:val="30"/>
          <w:highlight w:val="none"/>
        </w:rPr>
      </w:pPr>
    </w:p>
    <w:p w14:paraId="37C1309B">
      <w:pPr>
        <w:spacing w:line="360" w:lineRule="auto"/>
        <w:ind w:firstLine="1059"/>
        <w:rPr>
          <w:rFonts w:ascii="宋体"/>
          <w:color w:val="auto"/>
          <w:sz w:val="30"/>
          <w:szCs w:val="30"/>
          <w:highlight w:val="none"/>
        </w:rPr>
      </w:pPr>
      <w:r>
        <w:rPr>
          <w:rFonts w:hint="eastAsia" w:ascii="宋体"/>
          <w:color w:val="auto"/>
          <w:sz w:val="30"/>
          <w:szCs w:val="30"/>
          <w:highlight w:val="none"/>
        </w:rPr>
        <w:t>第一部分：招标公告</w:t>
      </w:r>
    </w:p>
    <w:p w14:paraId="64EA9DBE">
      <w:pPr>
        <w:spacing w:line="360" w:lineRule="auto"/>
        <w:ind w:firstLine="1059"/>
        <w:rPr>
          <w:rFonts w:ascii="宋体"/>
          <w:color w:val="auto"/>
          <w:sz w:val="30"/>
          <w:szCs w:val="30"/>
          <w:highlight w:val="none"/>
        </w:rPr>
      </w:pPr>
      <w:r>
        <w:rPr>
          <w:rFonts w:hint="eastAsia" w:ascii="宋体"/>
          <w:color w:val="auto"/>
          <w:sz w:val="30"/>
          <w:szCs w:val="30"/>
          <w:highlight w:val="none"/>
        </w:rPr>
        <w:t>第二部分：投标人须知</w:t>
      </w:r>
    </w:p>
    <w:p w14:paraId="351974F0">
      <w:pPr>
        <w:spacing w:line="360" w:lineRule="auto"/>
        <w:ind w:firstLine="1059"/>
        <w:rPr>
          <w:rFonts w:ascii="宋体"/>
          <w:color w:val="auto"/>
          <w:sz w:val="30"/>
          <w:szCs w:val="30"/>
          <w:highlight w:val="none"/>
        </w:rPr>
      </w:pPr>
      <w:r>
        <w:rPr>
          <w:rFonts w:hint="eastAsia" w:ascii="宋体"/>
          <w:color w:val="auto"/>
          <w:sz w:val="30"/>
          <w:szCs w:val="30"/>
          <w:highlight w:val="none"/>
        </w:rPr>
        <w:t>第三部分：项目需求</w:t>
      </w:r>
    </w:p>
    <w:p w14:paraId="3ABCAD26">
      <w:pPr>
        <w:spacing w:line="360" w:lineRule="auto"/>
        <w:ind w:firstLine="1059"/>
        <w:rPr>
          <w:rFonts w:ascii="宋体"/>
          <w:color w:val="auto"/>
          <w:sz w:val="30"/>
          <w:szCs w:val="30"/>
          <w:highlight w:val="none"/>
        </w:rPr>
      </w:pPr>
      <w:r>
        <w:rPr>
          <w:rFonts w:hint="eastAsia" w:ascii="宋体"/>
          <w:color w:val="auto"/>
          <w:sz w:val="30"/>
          <w:szCs w:val="30"/>
          <w:highlight w:val="none"/>
        </w:rPr>
        <w:t>第四部分：投标文件格式</w:t>
      </w:r>
    </w:p>
    <w:p w14:paraId="1E59969E">
      <w:pPr>
        <w:spacing w:line="360" w:lineRule="auto"/>
        <w:ind w:firstLine="1059"/>
        <w:rPr>
          <w:rFonts w:ascii="宋体"/>
          <w:color w:val="auto"/>
          <w:sz w:val="30"/>
          <w:szCs w:val="30"/>
          <w:highlight w:val="none"/>
        </w:rPr>
      </w:pPr>
      <w:r>
        <w:rPr>
          <w:rFonts w:hint="eastAsia" w:ascii="宋体"/>
          <w:color w:val="auto"/>
          <w:sz w:val="30"/>
          <w:szCs w:val="30"/>
          <w:highlight w:val="none"/>
        </w:rPr>
        <w:t>第五部分：评标方法与评标标准</w:t>
      </w:r>
    </w:p>
    <w:p w14:paraId="7418C431">
      <w:pPr>
        <w:ind w:firstLine="1059"/>
        <w:rPr>
          <w:b/>
          <w:color w:val="auto"/>
          <w:sz w:val="36"/>
          <w:szCs w:val="36"/>
          <w:highlight w:val="none"/>
        </w:rPr>
      </w:pPr>
      <w:r>
        <w:rPr>
          <w:rFonts w:hint="eastAsia" w:ascii="宋体"/>
          <w:color w:val="auto"/>
          <w:sz w:val="30"/>
          <w:szCs w:val="30"/>
          <w:highlight w:val="none"/>
        </w:rPr>
        <w:t>第六部分：合同主要条款</w:t>
      </w:r>
    </w:p>
    <w:p w14:paraId="77222AC3">
      <w:pPr>
        <w:pStyle w:val="3"/>
        <w:rPr>
          <w:color w:val="auto"/>
          <w:highlight w:val="none"/>
        </w:rPr>
      </w:pPr>
      <w:bookmarkStart w:id="1" w:name="_Toc315875312"/>
      <w:bookmarkStart w:id="2" w:name="_Toc315868049"/>
      <w:bookmarkStart w:id="3" w:name="_Toc467507028"/>
    </w:p>
    <w:p w14:paraId="2B7E1414">
      <w:pPr>
        <w:pStyle w:val="3"/>
        <w:rPr>
          <w:color w:val="auto"/>
          <w:highlight w:val="none"/>
        </w:rPr>
      </w:pPr>
    </w:p>
    <w:p w14:paraId="70858002">
      <w:pPr>
        <w:pStyle w:val="3"/>
        <w:rPr>
          <w:color w:val="auto"/>
          <w:highlight w:val="none"/>
        </w:rPr>
      </w:pPr>
    </w:p>
    <w:p w14:paraId="34250001">
      <w:pPr>
        <w:pStyle w:val="3"/>
        <w:rPr>
          <w:color w:val="auto"/>
          <w:highlight w:val="none"/>
        </w:rPr>
      </w:pPr>
    </w:p>
    <w:p w14:paraId="731DD9D3">
      <w:pPr>
        <w:pStyle w:val="3"/>
        <w:rPr>
          <w:color w:val="auto"/>
          <w:highlight w:val="none"/>
        </w:rPr>
      </w:pPr>
    </w:p>
    <w:p w14:paraId="7C41D56E">
      <w:pPr>
        <w:pStyle w:val="3"/>
        <w:rPr>
          <w:color w:val="auto"/>
          <w:highlight w:val="none"/>
        </w:rPr>
      </w:pPr>
    </w:p>
    <w:p w14:paraId="097A6241">
      <w:pPr>
        <w:pStyle w:val="3"/>
        <w:rPr>
          <w:color w:val="auto"/>
          <w:highlight w:val="none"/>
        </w:rPr>
      </w:pPr>
    </w:p>
    <w:p w14:paraId="67D1200C">
      <w:pPr>
        <w:pStyle w:val="3"/>
        <w:rPr>
          <w:color w:val="auto"/>
          <w:highlight w:val="none"/>
        </w:rPr>
      </w:pPr>
    </w:p>
    <w:p w14:paraId="25A1F5BB">
      <w:pPr>
        <w:pStyle w:val="3"/>
        <w:rPr>
          <w:color w:val="auto"/>
          <w:highlight w:val="none"/>
        </w:rPr>
      </w:pPr>
    </w:p>
    <w:p w14:paraId="2350E35E">
      <w:pPr>
        <w:pStyle w:val="3"/>
        <w:rPr>
          <w:color w:val="auto"/>
          <w:highlight w:val="none"/>
        </w:rPr>
      </w:pPr>
    </w:p>
    <w:p w14:paraId="3DACB81B">
      <w:pPr>
        <w:pStyle w:val="3"/>
        <w:rPr>
          <w:color w:val="auto"/>
          <w:highlight w:val="none"/>
        </w:rPr>
      </w:pPr>
    </w:p>
    <w:p w14:paraId="3051BAF1">
      <w:pPr>
        <w:pStyle w:val="3"/>
        <w:rPr>
          <w:color w:val="auto"/>
          <w:highlight w:val="none"/>
        </w:rPr>
      </w:pPr>
    </w:p>
    <w:p w14:paraId="13FEF8DE">
      <w:pPr>
        <w:rPr>
          <w:color w:val="auto"/>
          <w:highlight w:val="none"/>
        </w:rPr>
      </w:pPr>
    </w:p>
    <w:p w14:paraId="3CB16721">
      <w:pPr>
        <w:rPr>
          <w:color w:val="auto"/>
          <w:highlight w:val="none"/>
        </w:rPr>
      </w:pPr>
    </w:p>
    <w:p w14:paraId="4A94CEBE">
      <w:pPr>
        <w:rPr>
          <w:color w:val="auto"/>
          <w:highlight w:val="none"/>
        </w:rPr>
      </w:pPr>
    </w:p>
    <w:p w14:paraId="7DB03083">
      <w:pPr>
        <w:rPr>
          <w:color w:val="auto"/>
          <w:highlight w:val="none"/>
        </w:rPr>
      </w:pPr>
    </w:p>
    <w:p w14:paraId="60319503">
      <w:pPr>
        <w:rPr>
          <w:color w:val="auto"/>
          <w:highlight w:val="none"/>
        </w:rPr>
      </w:pPr>
    </w:p>
    <w:p w14:paraId="772EAFC4">
      <w:pPr>
        <w:rPr>
          <w:color w:val="auto"/>
          <w:highlight w:val="none"/>
        </w:rPr>
      </w:pPr>
    </w:p>
    <w:p w14:paraId="3A27B3C9">
      <w:pPr>
        <w:ind w:firstLine="4207"/>
        <w:rPr>
          <w:rFonts w:hint="eastAsia" w:ascii="宋体" w:hAnsi="宋体" w:cs="Arial"/>
          <w:b/>
          <w:bCs/>
          <w:color w:val="auto"/>
          <w:spacing w:val="20"/>
          <w:sz w:val="36"/>
          <w:szCs w:val="36"/>
          <w:highlight w:val="none"/>
        </w:rPr>
        <w:sectPr>
          <w:footerReference r:id="rId7" w:type="first"/>
          <w:footerReference r:id="rId6" w:type="default"/>
          <w:pgSz w:w="11907" w:h="16840"/>
          <w:pgMar w:top="1134" w:right="1134" w:bottom="1134" w:left="1134" w:header="851" w:footer="680" w:gutter="0"/>
          <w:pgNumType w:start="1"/>
          <w:cols w:space="0" w:num="1"/>
          <w:docGrid w:linePitch="360" w:charSpace="0"/>
        </w:sectPr>
      </w:pPr>
    </w:p>
    <w:p w14:paraId="097767D3">
      <w:pPr>
        <w:ind w:firstLine="4207"/>
        <w:rPr>
          <w:rFonts w:ascii="宋体" w:hAnsi="宋体" w:cs="Arial"/>
          <w:b/>
          <w:bCs/>
          <w:color w:val="auto"/>
          <w:spacing w:val="20"/>
          <w:sz w:val="36"/>
          <w:szCs w:val="36"/>
          <w:highlight w:val="none"/>
        </w:rPr>
      </w:pPr>
      <w:r>
        <w:rPr>
          <w:rFonts w:hint="eastAsia" w:ascii="宋体" w:hAnsi="宋体" w:cs="Arial"/>
          <w:b/>
          <w:bCs/>
          <w:color w:val="auto"/>
          <w:spacing w:val="20"/>
          <w:sz w:val="36"/>
          <w:szCs w:val="36"/>
          <w:highlight w:val="none"/>
        </w:rPr>
        <w:t>前 附 表</w:t>
      </w:r>
    </w:p>
    <w:p w14:paraId="22A8AB8D">
      <w:pPr>
        <w:spacing w:line="360" w:lineRule="auto"/>
        <w:ind w:firstLine="420"/>
        <w:rPr>
          <w:rFonts w:ascii="宋体" w:hAnsi="宋体"/>
          <w:color w:val="auto"/>
          <w:highlight w:val="none"/>
        </w:rPr>
      </w:pPr>
      <w:r>
        <w:rPr>
          <w:rFonts w:hint="eastAsia" w:ascii="宋体" w:hAnsi="宋体"/>
          <w:color w:val="auto"/>
          <w:highlight w:val="none"/>
        </w:rPr>
        <w:t>下述关于采购的具体资料是对招标文件第一部分投标人须知的具体补充和修改，如果有矛盾之处，应以本附表为准。</w:t>
      </w:r>
    </w:p>
    <w:tbl>
      <w:tblPr>
        <w:tblStyle w:val="56"/>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73"/>
        <w:gridCol w:w="6876"/>
      </w:tblGrid>
      <w:tr w14:paraId="2D182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00" w:type="dxa"/>
            <w:noWrap w:val="0"/>
            <w:vAlign w:val="center"/>
          </w:tcPr>
          <w:p w14:paraId="7912CF4C">
            <w:pPr>
              <w:pStyle w:val="44"/>
              <w:keepNext w:val="0"/>
              <w:keepLines w:val="0"/>
              <w:suppressLineNumbers w:val="0"/>
              <w:spacing w:before="0" w:beforeAutospacing="0" w:after="0" w:afterAutospacing="0" w:line="48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序号</w:t>
            </w:r>
          </w:p>
        </w:tc>
        <w:tc>
          <w:tcPr>
            <w:tcW w:w="1673" w:type="dxa"/>
            <w:noWrap w:val="0"/>
            <w:vAlign w:val="center"/>
          </w:tcPr>
          <w:p w14:paraId="64C228CF">
            <w:pPr>
              <w:pStyle w:val="44"/>
              <w:keepNext w:val="0"/>
              <w:keepLines w:val="0"/>
              <w:suppressLineNumbers w:val="0"/>
              <w:spacing w:before="0" w:beforeAutospacing="0" w:after="0" w:afterAutospacing="0" w:line="48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项目名称</w:t>
            </w:r>
          </w:p>
        </w:tc>
        <w:tc>
          <w:tcPr>
            <w:tcW w:w="6876" w:type="dxa"/>
            <w:noWrap w:val="0"/>
            <w:vAlign w:val="center"/>
          </w:tcPr>
          <w:p w14:paraId="223950AC">
            <w:pPr>
              <w:pStyle w:val="44"/>
              <w:keepNext w:val="0"/>
              <w:keepLines w:val="0"/>
              <w:suppressLineNumbers w:val="0"/>
              <w:spacing w:before="0" w:beforeAutospacing="0" w:after="0" w:afterAutospacing="0" w:line="48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内               容</w:t>
            </w:r>
          </w:p>
        </w:tc>
      </w:tr>
      <w:tr w14:paraId="355A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900" w:type="dxa"/>
            <w:noWrap w:val="0"/>
            <w:vAlign w:val="center"/>
          </w:tcPr>
          <w:p w14:paraId="417251E9">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w:t>
            </w:r>
          </w:p>
        </w:tc>
        <w:tc>
          <w:tcPr>
            <w:tcW w:w="1673" w:type="dxa"/>
            <w:noWrap w:val="0"/>
            <w:vAlign w:val="center"/>
          </w:tcPr>
          <w:p w14:paraId="4FBD5D10">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招标编号</w:t>
            </w:r>
          </w:p>
        </w:tc>
        <w:tc>
          <w:tcPr>
            <w:tcW w:w="6876" w:type="dxa"/>
            <w:noWrap w:val="0"/>
            <w:vAlign w:val="center"/>
          </w:tcPr>
          <w:p w14:paraId="7943186A">
            <w:pPr>
              <w:pStyle w:val="44"/>
              <w:keepNext w:val="0"/>
              <w:keepLines w:val="0"/>
              <w:suppressLineNumbers w:val="0"/>
              <w:spacing w:before="0" w:beforeAutospacing="0" w:after="0" w:afterAutospacing="0" w:line="360" w:lineRule="auto"/>
              <w:ind w:left="0" w:right="0" w:firstLine="0"/>
              <w:rPr>
                <w:rFonts w:hint="eastAsia" w:hAnsi="宋体" w:eastAsia="宋体"/>
                <w:b w:val="0"/>
                <w:bCs w:val="0"/>
                <w:color w:val="auto"/>
                <w:sz w:val="21"/>
                <w:highlight w:val="none"/>
                <w:u w:val="none"/>
                <w:lang w:eastAsia="zh-CN"/>
              </w:rPr>
            </w:pPr>
            <w:r>
              <w:rPr>
                <w:rFonts w:hint="eastAsia" w:hAnsi="宋体"/>
                <w:b w:val="0"/>
                <w:bCs w:val="0"/>
                <w:color w:val="auto"/>
                <w:sz w:val="21"/>
                <w:highlight w:val="none"/>
                <w:u w:val="none"/>
                <w:lang w:eastAsia="zh-CN"/>
              </w:rPr>
              <w:t>JSZC-320585-HJSZ-G2026-0002</w:t>
            </w:r>
          </w:p>
        </w:tc>
      </w:tr>
      <w:tr w14:paraId="79FB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00" w:type="dxa"/>
            <w:noWrap w:val="0"/>
            <w:vAlign w:val="center"/>
          </w:tcPr>
          <w:p w14:paraId="72E3C5D4">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2</w:t>
            </w:r>
          </w:p>
        </w:tc>
        <w:tc>
          <w:tcPr>
            <w:tcW w:w="1673" w:type="dxa"/>
            <w:noWrap w:val="0"/>
            <w:vAlign w:val="center"/>
          </w:tcPr>
          <w:p w14:paraId="1812F235">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招标内容</w:t>
            </w:r>
          </w:p>
        </w:tc>
        <w:tc>
          <w:tcPr>
            <w:tcW w:w="6876" w:type="dxa"/>
            <w:noWrap w:val="0"/>
            <w:vAlign w:val="center"/>
          </w:tcPr>
          <w:p w14:paraId="3C751E7F">
            <w:pPr>
              <w:pStyle w:val="44"/>
              <w:keepNext w:val="0"/>
              <w:keepLines w:val="0"/>
              <w:suppressLineNumbers w:val="0"/>
              <w:spacing w:before="0" w:beforeAutospacing="0" w:after="0" w:afterAutospacing="0" w:line="360" w:lineRule="auto"/>
              <w:ind w:left="0" w:right="0" w:firstLine="0"/>
              <w:rPr>
                <w:rFonts w:hint="eastAsia" w:hAnsi="宋体" w:eastAsia="宋体"/>
                <w:b w:val="0"/>
                <w:bCs w:val="0"/>
                <w:color w:val="auto"/>
                <w:sz w:val="21"/>
                <w:highlight w:val="none"/>
                <w:u w:val="none"/>
                <w:lang w:eastAsia="zh-CN"/>
              </w:rPr>
            </w:pPr>
            <w:r>
              <w:rPr>
                <w:rFonts w:hint="eastAsia" w:hAnsi="宋体"/>
                <w:b w:val="0"/>
                <w:bCs w:val="0"/>
                <w:color w:val="auto"/>
                <w:sz w:val="21"/>
                <w:highlight w:val="none"/>
                <w:u w:val="none"/>
                <w:lang w:eastAsia="zh-CN"/>
              </w:rPr>
              <w:t>2026年度化工园区应急指挥中心运维服务</w:t>
            </w:r>
          </w:p>
        </w:tc>
      </w:tr>
      <w:tr w14:paraId="2432C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00" w:type="dxa"/>
            <w:noWrap w:val="0"/>
            <w:vAlign w:val="center"/>
          </w:tcPr>
          <w:p w14:paraId="332FADD6">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3</w:t>
            </w:r>
          </w:p>
        </w:tc>
        <w:tc>
          <w:tcPr>
            <w:tcW w:w="1673" w:type="dxa"/>
            <w:noWrap w:val="0"/>
            <w:vAlign w:val="center"/>
          </w:tcPr>
          <w:p w14:paraId="2C5B90A8">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 xml:space="preserve">招标限额  </w:t>
            </w:r>
          </w:p>
        </w:tc>
        <w:tc>
          <w:tcPr>
            <w:tcW w:w="6876" w:type="dxa"/>
            <w:noWrap w:val="0"/>
            <w:vAlign w:val="center"/>
          </w:tcPr>
          <w:p w14:paraId="3F8D9D40">
            <w:pPr>
              <w:pStyle w:val="44"/>
              <w:keepNext w:val="0"/>
              <w:keepLines w:val="0"/>
              <w:suppressLineNumbers w:val="0"/>
              <w:spacing w:before="0" w:beforeAutospacing="0" w:after="0" w:afterAutospacing="0" w:line="360" w:lineRule="auto"/>
              <w:ind w:left="0" w:right="0" w:firstLine="0"/>
              <w:rPr>
                <w:rFonts w:hint="eastAsia" w:hAnsi="宋体" w:eastAsia="宋体"/>
                <w:b w:val="0"/>
                <w:bCs w:val="0"/>
                <w:color w:val="auto"/>
                <w:sz w:val="21"/>
                <w:highlight w:val="none"/>
                <w:u w:val="none"/>
                <w:lang w:eastAsia="zh-CN"/>
              </w:rPr>
            </w:pPr>
            <w:r>
              <w:rPr>
                <w:rFonts w:hint="eastAsia" w:hAnsi="宋体"/>
                <w:b w:val="0"/>
                <w:bCs w:val="0"/>
                <w:color w:val="auto"/>
                <w:sz w:val="21"/>
                <w:highlight w:val="none"/>
                <w:u w:val="none"/>
              </w:rPr>
              <w:t>本项目财政预算：</w:t>
            </w:r>
            <w:r>
              <w:rPr>
                <w:rFonts w:hint="eastAsia" w:hAnsi="宋体"/>
                <w:b w:val="0"/>
                <w:bCs w:val="0"/>
                <w:color w:val="auto"/>
                <w:sz w:val="21"/>
                <w:highlight w:val="none"/>
                <w:u w:val="none"/>
                <w:lang w:val="en-US" w:eastAsia="zh-CN"/>
              </w:rPr>
              <w:t>159</w:t>
            </w:r>
            <w:r>
              <w:rPr>
                <w:rFonts w:hint="eastAsia" w:hAnsi="宋体"/>
                <w:b w:val="0"/>
                <w:bCs w:val="0"/>
                <w:color w:val="auto"/>
                <w:sz w:val="21"/>
                <w:highlight w:val="none"/>
                <w:u w:val="none"/>
              </w:rPr>
              <w:t>万元。本次招标投标报价不高于</w:t>
            </w:r>
            <w:r>
              <w:rPr>
                <w:rFonts w:hint="eastAsia" w:hAnsi="宋体"/>
                <w:b w:val="0"/>
                <w:bCs w:val="0"/>
                <w:color w:val="auto"/>
                <w:sz w:val="21"/>
                <w:highlight w:val="none"/>
                <w:u w:val="none"/>
                <w:lang w:val="en-US" w:eastAsia="zh-CN"/>
              </w:rPr>
              <w:t>采购</w:t>
            </w:r>
            <w:r>
              <w:rPr>
                <w:rFonts w:hint="eastAsia" w:hAnsi="宋体"/>
                <w:b w:val="0"/>
                <w:bCs w:val="0"/>
                <w:color w:val="auto"/>
                <w:sz w:val="21"/>
                <w:highlight w:val="none"/>
                <w:u w:val="none"/>
              </w:rPr>
              <w:t>预算为有效投标报价。超</w:t>
            </w:r>
            <w:r>
              <w:rPr>
                <w:rFonts w:hint="eastAsia" w:hAnsi="宋体"/>
                <w:b w:val="0"/>
                <w:bCs w:val="0"/>
                <w:color w:val="auto"/>
                <w:sz w:val="21"/>
                <w:highlight w:val="none"/>
                <w:u w:val="none"/>
                <w:lang w:val="en-US" w:eastAsia="zh-CN"/>
              </w:rPr>
              <w:t>采购</w:t>
            </w:r>
            <w:r>
              <w:rPr>
                <w:rFonts w:hint="eastAsia" w:hAnsi="宋体"/>
                <w:b w:val="0"/>
                <w:bCs w:val="0"/>
                <w:color w:val="auto"/>
                <w:sz w:val="21"/>
                <w:highlight w:val="none"/>
                <w:u w:val="none"/>
              </w:rPr>
              <w:t>预算的投标报价为无效投标报价。无效投标报价的投标文件不进行评审，也不得标</w:t>
            </w:r>
            <w:r>
              <w:rPr>
                <w:rFonts w:hint="eastAsia" w:hAnsi="宋体"/>
                <w:b w:val="0"/>
                <w:bCs w:val="0"/>
                <w:color w:val="auto"/>
                <w:sz w:val="21"/>
                <w:highlight w:val="none"/>
                <w:u w:val="none"/>
                <w:lang w:eastAsia="zh-CN"/>
              </w:rPr>
              <w:t>。</w:t>
            </w:r>
          </w:p>
        </w:tc>
      </w:tr>
      <w:tr w14:paraId="2BF7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jc w:val="center"/>
        </w:trPr>
        <w:tc>
          <w:tcPr>
            <w:tcW w:w="900" w:type="dxa"/>
            <w:noWrap w:val="0"/>
            <w:vAlign w:val="center"/>
          </w:tcPr>
          <w:p w14:paraId="47D05FCE">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4</w:t>
            </w:r>
          </w:p>
        </w:tc>
        <w:tc>
          <w:tcPr>
            <w:tcW w:w="1673" w:type="dxa"/>
            <w:noWrap w:val="0"/>
            <w:vAlign w:val="center"/>
          </w:tcPr>
          <w:p w14:paraId="377420CE">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招标代理机构</w:t>
            </w:r>
          </w:p>
          <w:p w14:paraId="3BB1040E">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名称及地址</w:t>
            </w:r>
          </w:p>
        </w:tc>
        <w:tc>
          <w:tcPr>
            <w:tcW w:w="6876" w:type="dxa"/>
            <w:noWrap w:val="0"/>
            <w:vAlign w:val="center"/>
          </w:tcPr>
          <w:p w14:paraId="1F9314AB">
            <w:pPr>
              <w:keepNext w:val="0"/>
              <w:keepLines w:val="0"/>
              <w:suppressLineNumbers w:val="0"/>
              <w:spacing w:before="0" w:beforeAutospacing="0" w:after="0" w:afterAutospacing="0" w:line="360" w:lineRule="auto"/>
              <w:ind w:left="0" w:right="0"/>
              <w:rPr>
                <w:rFonts w:hint="default" w:ascii="宋体" w:hAnsi="宋体"/>
                <w:color w:val="auto"/>
                <w:highlight w:val="none"/>
              </w:rPr>
            </w:pPr>
            <w:r>
              <w:rPr>
                <w:rFonts w:hint="eastAsia" w:ascii="宋体" w:hAnsi="宋体"/>
                <w:color w:val="auto"/>
                <w:highlight w:val="none"/>
              </w:rPr>
              <w:t>名 称：</w:t>
            </w:r>
            <w:r>
              <w:rPr>
                <w:rFonts w:hint="eastAsia" w:ascii="宋体" w:hAnsi="宋体"/>
                <w:color w:val="auto"/>
                <w:highlight w:val="none"/>
                <w:lang w:eastAsia="zh-CN"/>
              </w:rPr>
              <w:t>汇建（苏州）项目管理有限公司</w:t>
            </w:r>
            <w:r>
              <w:rPr>
                <w:rFonts w:hint="eastAsia" w:ascii="宋体" w:hAnsi="宋体"/>
                <w:color w:val="auto"/>
                <w:highlight w:val="none"/>
              </w:rPr>
              <w:t xml:space="preserve">    </w:t>
            </w:r>
          </w:p>
          <w:p w14:paraId="304BE4FC">
            <w:pPr>
              <w:keepNext w:val="0"/>
              <w:keepLines w:val="0"/>
              <w:suppressLineNumbers w:val="0"/>
              <w:spacing w:before="0" w:beforeAutospacing="0" w:after="0" w:afterAutospacing="0" w:line="360" w:lineRule="auto"/>
              <w:ind w:left="0" w:right="0"/>
              <w:rPr>
                <w:rFonts w:hint="default" w:ascii="宋体" w:hAnsi="宋体"/>
                <w:color w:val="auto"/>
                <w:highlight w:val="none"/>
              </w:rPr>
            </w:pPr>
            <w:r>
              <w:rPr>
                <w:rFonts w:hint="eastAsia" w:ascii="宋体" w:hAnsi="宋体"/>
                <w:color w:val="auto"/>
                <w:highlight w:val="none"/>
              </w:rPr>
              <w:t>地 址：太仓市朝阳路21号科而雅大厦</w:t>
            </w:r>
            <w:r>
              <w:rPr>
                <w:rFonts w:hint="eastAsia" w:ascii="宋体" w:hAnsi="宋体"/>
                <w:color w:val="auto"/>
                <w:highlight w:val="none"/>
                <w:lang w:val="en-US" w:eastAsia="zh-CN"/>
              </w:rPr>
              <w:t>5</w:t>
            </w:r>
            <w:r>
              <w:rPr>
                <w:rFonts w:hint="eastAsia" w:ascii="宋体" w:hAnsi="宋体"/>
                <w:color w:val="auto"/>
                <w:highlight w:val="none"/>
              </w:rPr>
              <w:t xml:space="preserve">楼                                       </w:t>
            </w:r>
          </w:p>
          <w:p w14:paraId="198C6C0B">
            <w:pPr>
              <w:keepNext w:val="0"/>
              <w:keepLines w:val="0"/>
              <w:suppressLineNumbers w:val="0"/>
              <w:tabs>
                <w:tab w:val="left" w:pos="3600"/>
              </w:tabs>
              <w:spacing w:before="0" w:beforeAutospacing="0" w:after="0" w:afterAutospacing="0" w:line="360" w:lineRule="auto"/>
              <w:ind w:left="0" w:right="0"/>
              <w:rPr>
                <w:rFonts w:hint="default" w:ascii="宋体" w:hAnsi="宋体"/>
                <w:color w:val="auto"/>
                <w:highlight w:val="none"/>
              </w:rPr>
            </w:pPr>
            <w:r>
              <w:rPr>
                <w:rFonts w:hint="eastAsia" w:ascii="宋体" w:hAnsi="宋体"/>
                <w:color w:val="auto"/>
                <w:highlight w:val="none"/>
              </w:rPr>
              <w:t xml:space="preserve">联系人：陈宴           </w:t>
            </w:r>
          </w:p>
          <w:p w14:paraId="3AB0140A">
            <w:pPr>
              <w:keepNext w:val="0"/>
              <w:keepLines w:val="0"/>
              <w:suppressLineNumbers w:val="0"/>
              <w:tabs>
                <w:tab w:val="left" w:pos="3600"/>
              </w:tabs>
              <w:spacing w:before="0" w:beforeAutospacing="0" w:after="0" w:afterAutospacing="0" w:line="360" w:lineRule="auto"/>
              <w:ind w:left="0" w:right="0"/>
              <w:rPr>
                <w:rFonts w:hint="default" w:ascii="宋体" w:hAnsi="宋体"/>
                <w:color w:val="auto"/>
                <w:highlight w:val="none"/>
              </w:rPr>
            </w:pPr>
            <w:r>
              <w:rPr>
                <w:rFonts w:hint="eastAsia" w:ascii="宋体" w:hAnsi="宋体"/>
                <w:color w:val="auto"/>
                <w:highlight w:val="none"/>
              </w:rPr>
              <w:t>电话：0512-53233122</w:t>
            </w:r>
          </w:p>
        </w:tc>
      </w:tr>
      <w:tr w14:paraId="42122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00" w:type="dxa"/>
            <w:noWrap w:val="0"/>
            <w:vAlign w:val="center"/>
          </w:tcPr>
          <w:p w14:paraId="0A853764">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5</w:t>
            </w:r>
          </w:p>
        </w:tc>
        <w:tc>
          <w:tcPr>
            <w:tcW w:w="1673" w:type="dxa"/>
            <w:noWrap w:val="0"/>
            <w:vAlign w:val="center"/>
          </w:tcPr>
          <w:p w14:paraId="1DB3D6D3">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采购单位</w:t>
            </w:r>
          </w:p>
        </w:tc>
        <w:tc>
          <w:tcPr>
            <w:tcW w:w="6876" w:type="dxa"/>
            <w:noWrap w:val="0"/>
            <w:vAlign w:val="center"/>
          </w:tcPr>
          <w:p w14:paraId="06B2D0B3">
            <w:pPr>
              <w:keepNext w:val="0"/>
              <w:keepLines w:val="0"/>
              <w:suppressLineNumbers w:val="0"/>
              <w:spacing w:before="0" w:beforeAutospacing="0" w:after="0" w:afterAutospacing="0" w:line="360" w:lineRule="auto"/>
              <w:ind w:left="0" w:right="0"/>
              <w:rPr>
                <w:rFonts w:hint="eastAsia" w:ascii="宋体" w:hAnsi="宋体" w:eastAsia="宋体"/>
                <w:color w:val="auto"/>
                <w:highlight w:val="none"/>
                <w:lang w:eastAsia="zh-CN"/>
              </w:rPr>
            </w:pPr>
            <w:r>
              <w:rPr>
                <w:rFonts w:hint="eastAsia" w:ascii="宋体" w:hAnsi="宋体"/>
                <w:color w:val="auto"/>
                <w:highlight w:val="none"/>
              </w:rPr>
              <w:t>名 称：</w:t>
            </w:r>
            <w:r>
              <w:rPr>
                <w:rFonts w:hint="eastAsia" w:ascii="宋体" w:hAnsi="宋体"/>
                <w:color w:val="auto"/>
                <w:highlight w:val="none"/>
                <w:lang w:eastAsia="zh-CN"/>
              </w:rPr>
              <w:t>太仓港经济技术开发区管理委员会</w:t>
            </w:r>
          </w:p>
          <w:p w14:paraId="502C063C">
            <w:pPr>
              <w:keepNext w:val="0"/>
              <w:keepLines w:val="0"/>
              <w:suppressLineNumbers w:val="0"/>
              <w:spacing w:before="0" w:beforeAutospacing="0" w:after="0" w:afterAutospacing="0" w:line="360" w:lineRule="auto"/>
              <w:ind w:left="0" w:right="0"/>
              <w:rPr>
                <w:rFonts w:hint="default" w:ascii="宋体" w:hAnsi="宋体" w:eastAsia="宋体"/>
                <w:b/>
                <w:bCs/>
                <w:color w:val="auto"/>
                <w:highlight w:val="none"/>
                <w:lang w:val="en-US" w:eastAsia="zh-CN"/>
              </w:rPr>
            </w:pPr>
            <w:r>
              <w:rPr>
                <w:rFonts w:hint="eastAsia" w:ascii="宋体" w:hAnsi="宋体"/>
                <w:color w:val="auto"/>
                <w:highlight w:val="none"/>
              </w:rPr>
              <w:t>联系人：</w:t>
            </w:r>
            <w:r>
              <w:rPr>
                <w:rFonts w:hint="eastAsia" w:ascii="宋体" w:hAnsi="宋体"/>
                <w:color w:val="auto"/>
                <w:highlight w:val="none"/>
                <w:lang w:val="en-US" w:eastAsia="zh-CN"/>
              </w:rPr>
              <w:t>杨阳</w:t>
            </w:r>
            <w:r>
              <w:rPr>
                <w:rFonts w:hint="eastAsia" w:ascii="宋体" w:hAnsi="宋体"/>
                <w:color w:val="auto"/>
                <w:highlight w:val="none"/>
              </w:rPr>
              <w:t xml:space="preserve">        电话：</w:t>
            </w:r>
            <w:r>
              <w:rPr>
                <w:rFonts w:hint="eastAsia" w:ascii="宋体" w:hAnsi="宋体"/>
                <w:color w:val="auto"/>
                <w:highlight w:val="none"/>
                <w:lang w:val="en-US" w:eastAsia="zh-CN"/>
              </w:rPr>
              <w:t>0512-53187610</w:t>
            </w:r>
          </w:p>
        </w:tc>
      </w:tr>
      <w:tr w14:paraId="10F5B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00" w:type="dxa"/>
            <w:noWrap w:val="0"/>
            <w:vAlign w:val="center"/>
          </w:tcPr>
          <w:p w14:paraId="38863482">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6</w:t>
            </w:r>
          </w:p>
        </w:tc>
        <w:tc>
          <w:tcPr>
            <w:tcW w:w="1673" w:type="dxa"/>
            <w:noWrap w:val="0"/>
            <w:vAlign w:val="center"/>
          </w:tcPr>
          <w:p w14:paraId="6DD1742D">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投标保证金</w:t>
            </w:r>
          </w:p>
        </w:tc>
        <w:tc>
          <w:tcPr>
            <w:tcW w:w="6876" w:type="dxa"/>
            <w:noWrap w:val="0"/>
            <w:vAlign w:val="center"/>
          </w:tcPr>
          <w:p w14:paraId="18CD545E">
            <w:pPr>
              <w:pStyle w:val="44"/>
              <w:keepNext w:val="0"/>
              <w:keepLines w:val="0"/>
              <w:suppressLineNumbers w:val="0"/>
              <w:spacing w:before="0" w:beforeAutospacing="0" w:after="0" w:afterAutospacing="0" w:line="360" w:lineRule="auto"/>
              <w:ind w:left="0" w:right="0" w:firstLine="0"/>
              <w:rPr>
                <w:rFonts w:hint="default" w:hAnsi="宋体"/>
                <w:b w:val="0"/>
                <w:color w:val="auto"/>
                <w:highlight w:val="none"/>
                <w:u w:val="none"/>
              </w:rPr>
            </w:pPr>
            <w:r>
              <w:rPr>
                <w:rFonts w:hint="eastAsia" w:ascii="宋体" w:hAnsi="宋体"/>
                <w:b w:val="0"/>
                <w:bCs w:val="0"/>
                <w:color w:val="auto"/>
                <w:sz w:val="21"/>
                <w:highlight w:val="none"/>
                <w:u w:val="none"/>
              </w:rPr>
              <w:t>本项目不收取投标保证金。</w:t>
            </w:r>
          </w:p>
        </w:tc>
      </w:tr>
      <w:tr w14:paraId="37CBE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00" w:type="dxa"/>
            <w:noWrap w:val="0"/>
            <w:vAlign w:val="center"/>
          </w:tcPr>
          <w:p w14:paraId="6EF5ED34">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7</w:t>
            </w:r>
          </w:p>
        </w:tc>
        <w:tc>
          <w:tcPr>
            <w:tcW w:w="1673" w:type="dxa"/>
            <w:noWrap w:val="0"/>
            <w:vAlign w:val="center"/>
          </w:tcPr>
          <w:p w14:paraId="07B33E09">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投标有效期</w:t>
            </w:r>
          </w:p>
        </w:tc>
        <w:tc>
          <w:tcPr>
            <w:tcW w:w="6876" w:type="dxa"/>
            <w:noWrap w:val="0"/>
            <w:vAlign w:val="center"/>
          </w:tcPr>
          <w:p w14:paraId="729CA94F">
            <w:pPr>
              <w:pStyle w:val="44"/>
              <w:keepNext w:val="0"/>
              <w:keepLines w:val="0"/>
              <w:suppressLineNumbers w:val="0"/>
              <w:spacing w:before="0" w:beforeAutospacing="0" w:after="0" w:afterAutospacing="0" w:line="360" w:lineRule="auto"/>
              <w:ind w:left="0" w:right="0" w:firstLine="0"/>
              <w:rPr>
                <w:rFonts w:hint="default" w:hAnsi="宋体"/>
                <w:b w:val="0"/>
                <w:bCs w:val="0"/>
                <w:color w:val="auto"/>
                <w:sz w:val="21"/>
                <w:highlight w:val="none"/>
                <w:u w:val="none"/>
              </w:rPr>
            </w:pPr>
            <w:r>
              <w:rPr>
                <w:rFonts w:hint="eastAsia" w:hAnsi="宋体"/>
                <w:b w:val="0"/>
                <w:bCs w:val="0"/>
                <w:color w:val="auto"/>
                <w:sz w:val="21"/>
                <w:highlight w:val="none"/>
                <w:u w:val="none"/>
              </w:rPr>
              <w:t>开标后九</w:t>
            </w:r>
            <w:r>
              <w:rPr>
                <w:rFonts w:hint="eastAsia" w:hAnsi="宋体"/>
                <w:b w:val="0"/>
                <w:color w:val="auto"/>
                <w:sz w:val="21"/>
                <w:highlight w:val="none"/>
                <w:u w:val="none"/>
                <w:lang w:val="zh-CN"/>
              </w:rPr>
              <w:t>十天（日历日）</w:t>
            </w:r>
          </w:p>
        </w:tc>
      </w:tr>
      <w:tr w14:paraId="3D280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00" w:type="dxa"/>
            <w:noWrap w:val="0"/>
            <w:vAlign w:val="center"/>
          </w:tcPr>
          <w:p w14:paraId="413A3ECE">
            <w:pPr>
              <w:pStyle w:val="44"/>
              <w:keepNext w:val="0"/>
              <w:keepLines w:val="0"/>
              <w:suppressLineNumbers w:val="0"/>
              <w:spacing w:before="0" w:beforeAutospacing="0" w:after="0" w:afterAutospacing="0" w:line="360" w:lineRule="auto"/>
              <w:ind w:left="0" w:right="0" w:firstLine="252"/>
              <w:rPr>
                <w:rFonts w:hint="default" w:hAnsi="宋体"/>
                <w:bCs w:val="0"/>
                <w:color w:val="auto"/>
                <w:sz w:val="21"/>
                <w:highlight w:val="none"/>
                <w:u w:val="none"/>
              </w:rPr>
            </w:pPr>
            <w:r>
              <w:rPr>
                <w:rFonts w:hint="eastAsia" w:hAnsi="宋体"/>
                <w:b w:val="0"/>
                <w:bCs w:val="0"/>
                <w:color w:val="auto"/>
                <w:sz w:val="21"/>
                <w:highlight w:val="none"/>
                <w:u w:val="none"/>
              </w:rPr>
              <w:t>8</w:t>
            </w:r>
          </w:p>
        </w:tc>
        <w:tc>
          <w:tcPr>
            <w:tcW w:w="1673" w:type="dxa"/>
            <w:noWrap w:val="0"/>
            <w:vAlign w:val="center"/>
          </w:tcPr>
          <w:p w14:paraId="002F24E1">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投标文件份数</w:t>
            </w:r>
          </w:p>
        </w:tc>
        <w:tc>
          <w:tcPr>
            <w:tcW w:w="6876" w:type="dxa"/>
            <w:noWrap w:val="0"/>
            <w:vAlign w:val="center"/>
          </w:tcPr>
          <w:p w14:paraId="26A07B9C">
            <w:pPr>
              <w:pStyle w:val="44"/>
              <w:keepNext w:val="0"/>
              <w:keepLines w:val="0"/>
              <w:suppressLineNumbers w:val="0"/>
              <w:spacing w:before="0" w:beforeAutospacing="0" w:after="0" w:afterAutospacing="0" w:line="360" w:lineRule="auto"/>
              <w:ind w:left="0" w:right="0" w:firstLine="0"/>
              <w:rPr>
                <w:rFonts w:hint="default" w:hAnsi="宋体"/>
                <w:b w:val="0"/>
                <w:bCs w:val="0"/>
                <w:color w:val="auto"/>
                <w:sz w:val="21"/>
                <w:highlight w:val="none"/>
                <w:u w:val="none"/>
              </w:rPr>
            </w:pPr>
            <w:r>
              <w:rPr>
                <w:rFonts w:hint="eastAsia" w:hAnsi="宋体"/>
                <w:b w:val="0"/>
                <w:color w:val="auto"/>
                <w:sz w:val="21"/>
                <w:highlight w:val="none"/>
                <w:u w:val="none"/>
              </w:rPr>
              <w:t>本项目为网上电子投标，中标人</w:t>
            </w:r>
            <w:r>
              <w:rPr>
                <w:rFonts w:hint="eastAsia" w:hAnsi="宋体"/>
                <w:b w:val="0"/>
                <w:color w:val="auto"/>
                <w:sz w:val="21"/>
                <w:highlight w:val="none"/>
                <w:u w:val="none"/>
                <w:lang w:eastAsia="zh-CN"/>
              </w:rPr>
              <w:t>需</w:t>
            </w:r>
            <w:r>
              <w:rPr>
                <w:rFonts w:hint="eastAsia" w:hAnsi="宋体"/>
                <w:b w:val="0"/>
                <w:color w:val="auto"/>
                <w:sz w:val="21"/>
                <w:highlight w:val="none"/>
                <w:u w:val="none"/>
              </w:rPr>
              <w:t>向招标人额外提供与投标所报电子文件一致的纸质投标书3份，分别装订成册后加盖公章。</w:t>
            </w:r>
          </w:p>
        </w:tc>
      </w:tr>
      <w:tr w14:paraId="15443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3306030A">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9</w:t>
            </w:r>
          </w:p>
        </w:tc>
        <w:tc>
          <w:tcPr>
            <w:tcW w:w="1673" w:type="dxa"/>
            <w:noWrap w:val="0"/>
            <w:vAlign w:val="center"/>
          </w:tcPr>
          <w:p w14:paraId="2C9C1EA7">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招标文件的澄清与修改</w:t>
            </w:r>
          </w:p>
        </w:tc>
        <w:tc>
          <w:tcPr>
            <w:tcW w:w="6876" w:type="dxa"/>
            <w:noWrap w:val="0"/>
            <w:vAlign w:val="center"/>
          </w:tcPr>
          <w:p w14:paraId="37099565">
            <w:pPr>
              <w:pStyle w:val="44"/>
              <w:keepNext w:val="0"/>
              <w:keepLines w:val="0"/>
              <w:suppressLineNumbers w:val="0"/>
              <w:spacing w:before="0" w:beforeAutospacing="0" w:after="0" w:afterAutospacing="0" w:line="360" w:lineRule="auto"/>
              <w:ind w:left="0" w:right="0" w:firstLine="0"/>
              <w:rPr>
                <w:rFonts w:hint="default" w:hAnsi="宋体"/>
                <w:b w:val="0"/>
                <w:color w:val="auto"/>
                <w:sz w:val="21"/>
                <w:highlight w:val="none"/>
                <w:u w:val="none"/>
              </w:rPr>
            </w:pPr>
            <w:r>
              <w:rPr>
                <w:rFonts w:hint="eastAsia" w:hAnsi="宋体"/>
                <w:b w:val="0"/>
                <w:color w:val="auto"/>
                <w:sz w:val="21"/>
                <w:highlight w:val="none"/>
                <w:u w:val="none"/>
              </w:rPr>
              <w:t>招标文件的更正（含澄清、修改等）内容将在财政部门指定的政府采购信息发布媒体上发布，请投标人及时查询，更正（含澄清、修改等）内容作为招标文件的组成部分，对投标人起约束作用；招标文件若有最新的答疑文件，投标供应商必须下载并使用该文件制作新的电子投标文件，否则将无法完成电子投标文件的上传及投标。</w:t>
            </w:r>
          </w:p>
        </w:tc>
      </w:tr>
      <w:tr w14:paraId="6106E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00" w:type="dxa"/>
            <w:noWrap w:val="0"/>
            <w:vAlign w:val="center"/>
          </w:tcPr>
          <w:p w14:paraId="4359BEA9">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10</w:t>
            </w:r>
          </w:p>
        </w:tc>
        <w:tc>
          <w:tcPr>
            <w:tcW w:w="1673" w:type="dxa"/>
            <w:noWrap w:val="0"/>
            <w:vAlign w:val="center"/>
          </w:tcPr>
          <w:p w14:paraId="61AEEA30">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招标文件获取</w:t>
            </w:r>
          </w:p>
        </w:tc>
        <w:tc>
          <w:tcPr>
            <w:tcW w:w="6876" w:type="dxa"/>
            <w:noWrap w:val="0"/>
            <w:vAlign w:val="center"/>
          </w:tcPr>
          <w:p w14:paraId="55F468C0">
            <w:pPr>
              <w:pStyle w:val="275"/>
              <w:keepNext w:val="0"/>
              <w:keepLines w:val="0"/>
              <w:suppressLineNumbers w:val="0"/>
              <w:spacing w:before="0" w:beforeAutospacing="0" w:after="0" w:afterAutospacing="0" w:line="360" w:lineRule="auto"/>
              <w:ind w:left="0" w:right="0"/>
              <w:jc w:val="both"/>
              <w:rPr>
                <w:rFonts w:hint="default"/>
                <w:color w:val="auto"/>
                <w:sz w:val="21"/>
                <w:highlight w:val="none"/>
              </w:rPr>
            </w:pPr>
            <w:r>
              <w:rPr>
                <w:rFonts w:cs="宋体"/>
                <w:color w:val="auto"/>
                <w:sz w:val="21"/>
                <w:szCs w:val="21"/>
                <w:highlight w:val="none"/>
                <w:lang w:val="zh-CN"/>
              </w:rPr>
              <w:t>依法获取电子招标文件：</w:t>
            </w:r>
            <w:r>
              <w:rPr>
                <w:color w:val="auto"/>
                <w:sz w:val="21"/>
                <w:szCs w:val="21"/>
                <w:highlight w:val="none"/>
              </w:rPr>
              <w:t>投标人</w:t>
            </w:r>
            <w:r>
              <w:rPr>
                <w:rFonts w:cs="宋体"/>
                <w:color w:val="auto"/>
                <w:sz w:val="21"/>
                <w:szCs w:val="21"/>
                <w:highlight w:val="none"/>
                <w:lang w:val="zh-CN"/>
              </w:rPr>
              <w:t>在有效报名时间</w:t>
            </w:r>
            <w:r>
              <w:rPr>
                <w:rFonts w:hint="eastAsia" w:cs="宋体"/>
                <w:color w:val="auto"/>
                <w:sz w:val="21"/>
                <w:szCs w:val="21"/>
                <w:highlight w:val="none"/>
                <w:lang w:val="zh-CN"/>
              </w:rPr>
              <w:t>2026</w:t>
            </w:r>
            <w:r>
              <w:rPr>
                <w:rFonts w:cs="宋体"/>
                <w:color w:val="auto"/>
                <w:sz w:val="21"/>
                <w:szCs w:val="21"/>
                <w:highlight w:val="none"/>
                <w:lang w:val="zh-CN"/>
              </w:rPr>
              <w:t>年</w:t>
            </w:r>
            <w:r>
              <w:rPr>
                <w:rFonts w:hint="eastAsia" w:cs="宋体"/>
                <w:color w:val="auto"/>
                <w:sz w:val="21"/>
                <w:szCs w:val="21"/>
                <w:highlight w:val="none"/>
                <w:lang w:val="en-US" w:eastAsia="zh-CN"/>
              </w:rPr>
              <w:t>08</w:t>
            </w:r>
            <w:r>
              <w:rPr>
                <w:rFonts w:cs="宋体"/>
                <w:color w:val="auto"/>
                <w:sz w:val="21"/>
                <w:szCs w:val="21"/>
                <w:highlight w:val="none"/>
                <w:lang w:val="zh-CN"/>
              </w:rPr>
              <w:t>月</w:t>
            </w:r>
            <w:r>
              <w:rPr>
                <w:rFonts w:hint="eastAsia" w:cs="宋体"/>
                <w:color w:val="auto"/>
                <w:sz w:val="21"/>
                <w:szCs w:val="21"/>
                <w:highlight w:val="none"/>
                <w:lang w:val="en-US" w:eastAsia="zh-CN"/>
              </w:rPr>
              <w:t>26</w:t>
            </w:r>
            <w:r>
              <w:rPr>
                <w:rFonts w:cs="宋体"/>
                <w:color w:val="auto"/>
                <w:sz w:val="21"/>
                <w:szCs w:val="21"/>
                <w:highlight w:val="none"/>
                <w:lang w:val="zh-CN"/>
              </w:rPr>
              <w:t>日至</w:t>
            </w:r>
            <w:r>
              <w:rPr>
                <w:rFonts w:hint="eastAsia" w:cs="宋体"/>
                <w:color w:val="auto"/>
                <w:sz w:val="21"/>
                <w:szCs w:val="21"/>
                <w:highlight w:val="none"/>
                <w:lang w:val="zh-CN"/>
              </w:rPr>
              <w:t>2026</w:t>
            </w:r>
            <w:r>
              <w:rPr>
                <w:rFonts w:cs="宋体"/>
                <w:color w:val="auto"/>
                <w:sz w:val="21"/>
                <w:szCs w:val="21"/>
                <w:highlight w:val="none"/>
                <w:lang w:val="zh-CN"/>
              </w:rPr>
              <w:t>年</w:t>
            </w:r>
            <w:r>
              <w:rPr>
                <w:rFonts w:hint="eastAsia" w:cs="宋体"/>
                <w:color w:val="auto"/>
                <w:sz w:val="21"/>
                <w:szCs w:val="21"/>
                <w:highlight w:val="none"/>
                <w:lang w:val="en-US" w:eastAsia="zh-CN"/>
              </w:rPr>
              <w:t>09</w:t>
            </w:r>
            <w:r>
              <w:rPr>
                <w:rFonts w:cs="宋体"/>
                <w:color w:val="auto"/>
                <w:sz w:val="21"/>
                <w:szCs w:val="21"/>
                <w:highlight w:val="none"/>
                <w:lang w:val="zh-CN"/>
              </w:rPr>
              <w:t>月</w:t>
            </w:r>
            <w:r>
              <w:rPr>
                <w:rFonts w:hint="eastAsia" w:cs="宋体"/>
                <w:color w:val="auto"/>
                <w:sz w:val="21"/>
                <w:szCs w:val="21"/>
                <w:highlight w:val="none"/>
                <w:lang w:val="en-US" w:eastAsia="zh-CN"/>
              </w:rPr>
              <w:t>03</w:t>
            </w:r>
            <w:r>
              <w:rPr>
                <w:rFonts w:cs="宋体"/>
                <w:color w:val="auto"/>
                <w:sz w:val="21"/>
                <w:szCs w:val="21"/>
                <w:highlight w:val="none"/>
                <w:lang w:val="zh-CN"/>
              </w:rPr>
              <w:t>日</w:t>
            </w:r>
            <w:r>
              <w:rPr>
                <w:rFonts w:hint="eastAsia" w:cs="宋体"/>
                <w:color w:val="auto"/>
                <w:sz w:val="21"/>
                <w:szCs w:val="21"/>
                <w:highlight w:val="none"/>
                <w:lang w:val="en-US" w:eastAsia="zh-CN"/>
              </w:rPr>
              <w:t>24</w:t>
            </w:r>
            <w:r>
              <w:rPr>
                <w:rFonts w:cs="宋体"/>
                <w:color w:val="auto"/>
                <w:sz w:val="21"/>
                <w:szCs w:val="21"/>
                <w:highlight w:val="none"/>
                <w:lang w:val="zh-CN"/>
              </w:rPr>
              <w:t>点</w:t>
            </w:r>
            <w:r>
              <w:rPr>
                <w:rFonts w:cs="宋体"/>
                <w:color w:val="auto"/>
                <w:sz w:val="21"/>
                <w:szCs w:val="21"/>
                <w:highlight w:val="none"/>
              </w:rPr>
              <w:t>0</w:t>
            </w:r>
            <w:r>
              <w:rPr>
                <w:rFonts w:cs="宋体"/>
                <w:color w:val="auto"/>
                <w:sz w:val="21"/>
                <w:szCs w:val="21"/>
                <w:highlight w:val="none"/>
                <w:lang w:val="zh-CN"/>
              </w:rPr>
              <w:t>0分（北京时间）内，</w:t>
            </w:r>
            <w:r>
              <w:rPr>
                <w:rFonts w:hint="eastAsia" w:cs="宋体"/>
                <w:color w:val="auto"/>
                <w:sz w:val="21"/>
                <w:szCs w:val="21"/>
                <w:highlight w:val="none"/>
                <w:lang w:val="zh-CN"/>
              </w:rPr>
              <w:t>登</w:t>
            </w:r>
            <w:r>
              <w:rPr>
                <w:rFonts w:hint="eastAsia" w:cs="宋体"/>
                <w:color w:val="auto"/>
                <w:sz w:val="21"/>
                <w:szCs w:val="21"/>
                <w:highlight w:val="none"/>
                <w:lang w:val="en-US" w:eastAsia="en-US"/>
              </w:rPr>
              <w:t>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cs="宋体"/>
                <w:color w:val="auto"/>
                <w:sz w:val="21"/>
                <w:szCs w:val="21"/>
                <w:highlight w:val="none"/>
                <w:lang w:val="zh-CN"/>
              </w:rPr>
              <w:t>。</w:t>
            </w:r>
          </w:p>
        </w:tc>
      </w:tr>
      <w:tr w14:paraId="2B9D2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 w:type="dxa"/>
            <w:noWrap w:val="0"/>
            <w:vAlign w:val="center"/>
          </w:tcPr>
          <w:p w14:paraId="5765C725">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11</w:t>
            </w:r>
          </w:p>
        </w:tc>
        <w:tc>
          <w:tcPr>
            <w:tcW w:w="1673" w:type="dxa"/>
            <w:noWrap w:val="0"/>
            <w:vAlign w:val="center"/>
          </w:tcPr>
          <w:p w14:paraId="4D789106">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投标文件上传截止时间</w:t>
            </w:r>
          </w:p>
        </w:tc>
        <w:tc>
          <w:tcPr>
            <w:tcW w:w="6876" w:type="dxa"/>
            <w:noWrap w:val="0"/>
            <w:vAlign w:val="center"/>
          </w:tcPr>
          <w:p w14:paraId="28806CF6">
            <w:pPr>
              <w:pStyle w:val="44"/>
              <w:keepNext w:val="0"/>
              <w:keepLines w:val="0"/>
              <w:suppressLineNumbers w:val="0"/>
              <w:spacing w:before="0" w:beforeAutospacing="0" w:after="0" w:afterAutospacing="0" w:line="360" w:lineRule="auto"/>
              <w:ind w:left="0" w:right="0" w:firstLine="0"/>
              <w:jc w:val="left"/>
              <w:rPr>
                <w:rFonts w:hint="default" w:ascii="宋体" w:hAnsi="宋体" w:cs="Times New Roman"/>
                <w:b w:val="0"/>
                <w:bCs w:val="0"/>
                <w:color w:val="auto"/>
                <w:sz w:val="21"/>
                <w:highlight w:val="none"/>
                <w:u w:val="none"/>
              </w:rPr>
            </w:pPr>
            <w:r>
              <w:rPr>
                <w:rFonts w:hint="eastAsia" w:ascii="宋体" w:hAnsi="宋体" w:cs="Times New Roman"/>
                <w:b w:val="0"/>
                <w:bCs w:val="0"/>
                <w:color w:val="auto"/>
                <w:sz w:val="21"/>
                <w:highlight w:val="none"/>
                <w:u w:val="none"/>
                <w:lang w:val="zh-CN"/>
              </w:rPr>
              <w:t>加密的电子投标文件上传截止时间：2026年</w:t>
            </w:r>
            <w:r>
              <w:rPr>
                <w:rFonts w:hint="eastAsia" w:ascii="宋体" w:hAnsi="宋体" w:cs="Times New Roman"/>
                <w:b w:val="0"/>
                <w:bCs w:val="0"/>
                <w:color w:val="auto"/>
                <w:sz w:val="21"/>
                <w:highlight w:val="none"/>
                <w:u w:val="none"/>
                <w:lang w:val="en-US" w:eastAsia="zh-CN"/>
              </w:rPr>
              <w:t>09</w:t>
            </w:r>
            <w:r>
              <w:rPr>
                <w:rFonts w:hint="eastAsia" w:ascii="宋体" w:hAnsi="宋体" w:cs="Times New Roman"/>
                <w:b w:val="0"/>
                <w:bCs w:val="0"/>
                <w:color w:val="auto"/>
                <w:sz w:val="21"/>
                <w:highlight w:val="none"/>
                <w:u w:val="none"/>
                <w:lang w:val="zh-CN"/>
              </w:rPr>
              <w:t>月</w:t>
            </w:r>
            <w:r>
              <w:rPr>
                <w:rFonts w:hint="eastAsia" w:ascii="宋体" w:hAnsi="宋体" w:cs="Times New Roman"/>
                <w:b w:val="0"/>
                <w:bCs w:val="0"/>
                <w:color w:val="auto"/>
                <w:sz w:val="21"/>
                <w:highlight w:val="none"/>
                <w:u w:val="none"/>
                <w:lang w:val="en-US" w:eastAsia="zh-CN"/>
              </w:rPr>
              <w:t>18</w:t>
            </w:r>
            <w:r>
              <w:rPr>
                <w:rFonts w:hint="eastAsia" w:ascii="宋体" w:hAnsi="宋体" w:cs="Times New Roman"/>
                <w:b w:val="0"/>
                <w:bCs w:val="0"/>
                <w:color w:val="auto"/>
                <w:sz w:val="21"/>
                <w:highlight w:val="none"/>
                <w:u w:val="none"/>
                <w:lang w:val="zh-CN"/>
              </w:rPr>
              <w:t>日</w:t>
            </w:r>
            <w:r>
              <w:rPr>
                <w:rFonts w:hint="eastAsia" w:ascii="宋体" w:hAnsi="宋体" w:cs="Times New Roman"/>
                <w:b w:val="0"/>
                <w:bCs w:val="0"/>
                <w:color w:val="auto"/>
                <w:sz w:val="21"/>
                <w:highlight w:val="none"/>
                <w:u w:val="none"/>
                <w:lang w:val="en-US" w:eastAsia="zh-CN"/>
              </w:rPr>
              <w:t>09</w:t>
            </w:r>
            <w:r>
              <w:rPr>
                <w:rFonts w:hint="eastAsia" w:ascii="宋体" w:hAnsi="宋体" w:cs="Times New Roman"/>
                <w:b w:val="0"/>
                <w:bCs w:val="0"/>
                <w:color w:val="auto"/>
                <w:sz w:val="21"/>
                <w:highlight w:val="none"/>
                <w:u w:val="none"/>
                <w:lang w:val="zh-CN"/>
              </w:rPr>
              <w:t>点</w:t>
            </w:r>
            <w:r>
              <w:rPr>
                <w:rFonts w:hint="eastAsia" w:ascii="宋体" w:hAnsi="宋体" w:cs="Times New Roman"/>
                <w:b w:val="0"/>
                <w:bCs w:val="0"/>
                <w:color w:val="auto"/>
                <w:sz w:val="21"/>
                <w:highlight w:val="none"/>
                <w:u w:val="none"/>
                <w:lang w:val="en-US" w:eastAsia="zh-CN"/>
              </w:rPr>
              <w:t>3</w:t>
            </w:r>
            <w:r>
              <w:rPr>
                <w:rFonts w:hint="eastAsia" w:ascii="宋体" w:hAnsi="宋体" w:cs="Times New Roman"/>
                <w:b w:val="0"/>
                <w:bCs w:val="0"/>
                <w:color w:val="auto"/>
                <w:sz w:val="21"/>
                <w:highlight w:val="none"/>
                <w:u w:val="none"/>
                <w:lang w:val="zh-CN"/>
              </w:rPr>
              <w:t>0分（北京时间），</w:t>
            </w:r>
            <w:r>
              <w:rPr>
                <w:rFonts w:hint="eastAsia" w:ascii="宋体" w:hAnsi="宋体" w:cs="Times New Roman"/>
                <w:b w:val="0"/>
                <w:bCs w:val="0"/>
                <w:color w:val="auto"/>
                <w:sz w:val="21"/>
                <w:highlight w:val="none"/>
                <w:u w:val="none"/>
                <w:lang w:val="en-US" w:eastAsia="en-US"/>
              </w:rPr>
              <w:t>投标人登录苏采云政府采购一体化平台，进入“参与详情”页面，上传电子投标文件</w:t>
            </w:r>
            <w:r>
              <w:rPr>
                <w:rFonts w:hint="eastAsia" w:ascii="宋体" w:hAnsi="宋体" w:cs="Times New Roman"/>
                <w:b w:val="0"/>
                <w:bCs w:val="0"/>
                <w:color w:val="auto"/>
                <w:sz w:val="21"/>
                <w:highlight w:val="none"/>
                <w:u w:val="none"/>
                <w:lang w:val="zh-CN"/>
              </w:rPr>
              <w:t>。</w:t>
            </w:r>
          </w:p>
        </w:tc>
      </w:tr>
      <w:tr w14:paraId="74104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0" w:type="dxa"/>
            <w:noWrap w:val="0"/>
            <w:vAlign w:val="center"/>
          </w:tcPr>
          <w:p w14:paraId="09BD5FA2">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12</w:t>
            </w:r>
          </w:p>
        </w:tc>
        <w:tc>
          <w:tcPr>
            <w:tcW w:w="1673" w:type="dxa"/>
            <w:noWrap w:val="0"/>
            <w:vAlign w:val="center"/>
          </w:tcPr>
          <w:p w14:paraId="0B437126">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开标时间：</w:t>
            </w:r>
          </w:p>
          <w:p w14:paraId="19C7988B">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开标地点：</w:t>
            </w:r>
          </w:p>
        </w:tc>
        <w:tc>
          <w:tcPr>
            <w:tcW w:w="6876" w:type="dxa"/>
            <w:noWrap w:val="0"/>
            <w:vAlign w:val="center"/>
          </w:tcPr>
          <w:p w14:paraId="2D9219C5">
            <w:pPr>
              <w:pStyle w:val="44"/>
              <w:keepNext w:val="0"/>
              <w:keepLines w:val="0"/>
              <w:suppressLineNumbers w:val="0"/>
              <w:spacing w:before="0" w:beforeAutospacing="0" w:after="0" w:afterAutospacing="0" w:line="360" w:lineRule="auto"/>
              <w:ind w:left="0" w:right="0" w:firstLine="0"/>
              <w:jc w:val="left"/>
              <w:rPr>
                <w:rFonts w:hint="default" w:ascii="宋体" w:hAnsi="宋体" w:cs="Times New Roman"/>
                <w:b w:val="0"/>
                <w:bCs w:val="0"/>
                <w:color w:val="auto"/>
                <w:sz w:val="21"/>
                <w:highlight w:val="none"/>
                <w:u w:val="none"/>
                <w:lang w:val="zh-CN"/>
              </w:rPr>
            </w:pPr>
            <w:r>
              <w:rPr>
                <w:rFonts w:hint="eastAsia" w:ascii="宋体" w:hAnsi="宋体" w:cs="Times New Roman"/>
                <w:b w:val="0"/>
                <w:bCs w:val="0"/>
                <w:color w:val="auto"/>
                <w:sz w:val="21"/>
                <w:highlight w:val="none"/>
                <w:u w:val="none"/>
                <w:lang w:val="zh-CN"/>
              </w:rPr>
              <w:t>时间：2026年</w:t>
            </w:r>
            <w:r>
              <w:rPr>
                <w:rFonts w:hint="eastAsia" w:ascii="宋体" w:hAnsi="宋体" w:cs="Times New Roman"/>
                <w:b w:val="0"/>
                <w:bCs w:val="0"/>
                <w:color w:val="auto"/>
                <w:sz w:val="21"/>
                <w:highlight w:val="none"/>
                <w:u w:val="none"/>
                <w:lang w:val="en-US" w:eastAsia="zh-CN"/>
              </w:rPr>
              <w:t>09月18</w:t>
            </w:r>
            <w:r>
              <w:rPr>
                <w:rFonts w:hint="eastAsia" w:ascii="宋体" w:hAnsi="宋体" w:cs="Times New Roman"/>
                <w:b w:val="0"/>
                <w:bCs w:val="0"/>
                <w:color w:val="auto"/>
                <w:sz w:val="21"/>
                <w:highlight w:val="none"/>
                <w:u w:val="none"/>
                <w:lang w:val="zh-CN"/>
              </w:rPr>
              <w:t>日</w:t>
            </w:r>
            <w:r>
              <w:rPr>
                <w:rFonts w:hint="eastAsia" w:ascii="宋体" w:hAnsi="宋体" w:cs="Times New Roman"/>
                <w:b w:val="0"/>
                <w:bCs w:val="0"/>
                <w:color w:val="auto"/>
                <w:sz w:val="21"/>
                <w:highlight w:val="none"/>
                <w:u w:val="none"/>
                <w:lang w:val="en-US" w:eastAsia="zh-CN"/>
              </w:rPr>
              <w:t>09</w:t>
            </w:r>
            <w:r>
              <w:rPr>
                <w:rFonts w:hint="eastAsia" w:ascii="宋体" w:hAnsi="宋体" w:cs="Times New Roman"/>
                <w:b w:val="0"/>
                <w:bCs w:val="0"/>
                <w:color w:val="auto"/>
                <w:sz w:val="21"/>
                <w:highlight w:val="none"/>
                <w:u w:val="none"/>
                <w:lang w:val="zh-CN"/>
              </w:rPr>
              <w:t>：</w:t>
            </w:r>
            <w:r>
              <w:rPr>
                <w:rFonts w:hint="eastAsia" w:ascii="宋体" w:hAnsi="宋体" w:cs="Times New Roman"/>
                <w:b w:val="0"/>
                <w:bCs w:val="0"/>
                <w:color w:val="auto"/>
                <w:sz w:val="21"/>
                <w:highlight w:val="none"/>
                <w:u w:val="none"/>
                <w:lang w:val="en-US" w:eastAsia="zh-CN"/>
              </w:rPr>
              <w:t>3</w:t>
            </w:r>
            <w:r>
              <w:rPr>
                <w:rFonts w:hint="eastAsia" w:ascii="宋体" w:hAnsi="宋体" w:cs="Times New Roman"/>
                <w:b w:val="0"/>
                <w:bCs w:val="0"/>
                <w:color w:val="auto"/>
                <w:sz w:val="21"/>
                <w:highlight w:val="none"/>
                <w:u w:val="none"/>
                <w:lang w:val="zh-CN"/>
              </w:rPr>
              <w:t>0（北京时间）</w:t>
            </w:r>
          </w:p>
          <w:p w14:paraId="3C7D0BD7">
            <w:pPr>
              <w:pStyle w:val="44"/>
              <w:keepNext w:val="0"/>
              <w:keepLines w:val="0"/>
              <w:suppressLineNumbers w:val="0"/>
              <w:spacing w:before="0" w:beforeAutospacing="0" w:after="0" w:afterAutospacing="0" w:line="360" w:lineRule="auto"/>
              <w:ind w:left="0" w:right="0" w:firstLine="0"/>
              <w:jc w:val="left"/>
              <w:rPr>
                <w:rFonts w:hint="default" w:ascii="宋体" w:hAnsi="宋体" w:cs="Times New Roman"/>
                <w:b w:val="0"/>
                <w:bCs w:val="0"/>
                <w:color w:val="auto"/>
                <w:sz w:val="21"/>
                <w:highlight w:val="none"/>
                <w:u w:val="none"/>
              </w:rPr>
            </w:pPr>
            <w:r>
              <w:rPr>
                <w:rFonts w:hint="eastAsia" w:ascii="宋体" w:hAnsi="宋体" w:cs="Times New Roman"/>
                <w:b w:val="0"/>
                <w:bCs w:val="0"/>
                <w:color w:val="auto"/>
                <w:sz w:val="21"/>
                <w:highlight w:val="none"/>
                <w:u w:val="none"/>
                <w:lang w:val="zh-CN"/>
              </w:rPr>
              <w:t>地点：苏采云网上不见面开标大厅</w:t>
            </w:r>
          </w:p>
        </w:tc>
      </w:tr>
      <w:tr w14:paraId="2FDCF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00" w:type="dxa"/>
            <w:noWrap w:val="0"/>
            <w:vAlign w:val="center"/>
          </w:tcPr>
          <w:p w14:paraId="592CF025">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13</w:t>
            </w:r>
          </w:p>
        </w:tc>
        <w:tc>
          <w:tcPr>
            <w:tcW w:w="1673" w:type="dxa"/>
            <w:noWrap w:val="0"/>
            <w:vAlign w:val="center"/>
          </w:tcPr>
          <w:p w14:paraId="05AA6035">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投标报价本位币</w:t>
            </w:r>
          </w:p>
        </w:tc>
        <w:tc>
          <w:tcPr>
            <w:tcW w:w="6876" w:type="dxa"/>
            <w:noWrap w:val="0"/>
            <w:vAlign w:val="center"/>
          </w:tcPr>
          <w:p w14:paraId="0A20F934">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 xml:space="preserve">人民币  </w:t>
            </w:r>
          </w:p>
        </w:tc>
      </w:tr>
      <w:tr w14:paraId="0C59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900" w:type="dxa"/>
            <w:noWrap w:val="0"/>
            <w:vAlign w:val="center"/>
          </w:tcPr>
          <w:p w14:paraId="5BDD84F2">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14</w:t>
            </w:r>
          </w:p>
        </w:tc>
        <w:tc>
          <w:tcPr>
            <w:tcW w:w="1673" w:type="dxa"/>
            <w:noWrap w:val="0"/>
            <w:vAlign w:val="center"/>
          </w:tcPr>
          <w:p w14:paraId="65E18D22">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评标方法</w:t>
            </w:r>
          </w:p>
        </w:tc>
        <w:tc>
          <w:tcPr>
            <w:tcW w:w="6876" w:type="dxa"/>
            <w:noWrap w:val="0"/>
            <w:vAlign w:val="center"/>
          </w:tcPr>
          <w:p w14:paraId="137E5CE7">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color w:val="auto"/>
                <w:sz w:val="21"/>
                <w:highlight w:val="none"/>
                <w:u w:val="none"/>
              </w:rPr>
              <w:t>用综合评分法得分高的合格投标人为该标段的预中标人</w:t>
            </w:r>
          </w:p>
        </w:tc>
      </w:tr>
      <w:tr w14:paraId="2A06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00" w:type="dxa"/>
            <w:noWrap w:val="0"/>
            <w:vAlign w:val="center"/>
          </w:tcPr>
          <w:p w14:paraId="60EA0085">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15</w:t>
            </w:r>
          </w:p>
        </w:tc>
        <w:tc>
          <w:tcPr>
            <w:tcW w:w="1673" w:type="dxa"/>
            <w:noWrap w:val="0"/>
            <w:vAlign w:val="center"/>
          </w:tcPr>
          <w:p w14:paraId="5244BC5E">
            <w:pPr>
              <w:pStyle w:val="44"/>
              <w:keepNext w:val="0"/>
              <w:keepLines w:val="0"/>
              <w:suppressLineNumbers w:val="0"/>
              <w:spacing w:before="0" w:beforeAutospacing="0" w:after="0" w:afterAutospacing="0" w:line="360" w:lineRule="auto"/>
              <w:ind w:left="0" w:right="0" w:firstLine="0"/>
              <w:jc w:val="left"/>
              <w:rPr>
                <w:rFonts w:hint="default" w:hAnsi="宋体" w:eastAsia="宋体"/>
                <w:b w:val="0"/>
                <w:bCs w:val="0"/>
                <w:color w:val="auto"/>
                <w:sz w:val="21"/>
                <w:highlight w:val="none"/>
                <w:u w:val="none"/>
                <w:lang w:val="en-US" w:eastAsia="zh-CN"/>
              </w:rPr>
            </w:pPr>
            <w:r>
              <w:rPr>
                <w:rFonts w:hint="eastAsia" w:hAnsi="宋体"/>
                <w:b w:val="0"/>
                <w:bCs w:val="0"/>
                <w:color w:val="auto"/>
                <w:sz w:val="21"/>
                <w:highlight w:val="none"/>
                <w:u w:val="none"/>
                <w:lang w:val="en-US" w:eastAsia="zh-CN"/>
              </w:rPr>
              <w:t>代理服务费</w:t>
            </w:r>
          </w:p>
        </w:tc>
        <w:tc>
          <w:tcPr>
            <w:tcW w:w="6876" w:type="dxa"/>
            <w:noWrap w:val="0"/>
            <w:vAlign w:val="center"/>
          </w:tcPr>
          <w:p w14:paraId="0240FDFB">
            <w:pPr>
              <w:keepNext w:val="0"/>
              <w:keepLines w:val="0"/>
              <w:suppressLineNumbers w:val="0"/>
              <w:tabs>
                <w:tab w:val="left" w:pos="720"/>
              </w:tabs>
              <w:spacing w:before="0" w:beforeAutospacing="0" w:after="0" w:afterAutospacing="0" w:line="360" w:lineRule="auto"/>
              <w:ind w:left="0" w:right="18"/>
              <w:jc w:val="left"/>
              <w:rPr>
                <w:rFonts w:hint="eastAsia" w:eastAsia="宋体"/>
                <w:color w:val="auto"/>
                <w:highlight w:val="none"/>
                <w:lang w:eastAsia="zh-CN"/>
              </w:rPr>
            </w:pPr>
            <w:r>
              <w:rPr>
                <w:rFonts w:hint="eastAsia" w:asciiTheme="minorEastAsia" w:hAnsiTheme="minorEastAsia" w:eastAsiaTheme="minorEastAsia" w:cstheme="minorEastAsia"/>
                <w:b w:val="0"/>
                <w:bCs w:val="0"/>
                <w:color w:val="auto"/>
                <w:highlight w:val="none"/>
                <w:lang w:val="en-US" w:eastAsia="en-US"/>
              </w:rPr>
              <w:t>根据省厅《关于进一步规范政府采购活动相关费用管理的通知》（苏财规〔2026〕1号）相关要求，本次招标项目代理服务费由采购人支付。按</w:t>
            </w:r>
            <w:r>
              <w:rPr>
                <w:rFonts w:hint="eastAsia" w:ascii="宋体" w:hAnsi="宋体"/>
                <w:color w:val="auto"/>
                <w:highlight w:val="none"/>
              </w:rPr>
              <w:t>预算金额100万元以内1.5%、100～500万元1.1%、500～1000万元0.8%、1000~5000万元0.5%按差额定率累进法计算</w:t>
            </w:r>
            <w:r>
              <w:rPr>
                <w:rFonts w:hint="eastAsia" w:ascii="宋体" w:hAnsi="宋体"/>
                <w:color w:val="auto"/>
                <w:highlight w:val="none"/>
                <w:lang w:eastAsia="zh-CN"/>
              </w:rPr>
              <w:t>，</w:t>
            </w:r>
            <w:r>
              <w:rPr>
                <w:rFonts w:hint="eastAsia" w:ascii="Times New Roman" w:eastAsia="宋体"/>
                <w:color w:val="auto"/>
                <w:highlight w:val="none"/>
                <w:lang w:val="en-US" w:eastAsia="zh-CN"/>
              </w:rPr>
              <w:t>最低不低于3000元</w:t>
            </w:r>
            <w:r>
              <w:rPr>
                <w:rFonts w:hint="eastAsia" w:ascii="宋体" w:hAnsi="宋体"/>
                <w:color w:val="auto"/>
                <w:highlight w:val="none"/>
              </w:rPr>
              <w:t>。</w:t>
            </w:r>
            <w:r>
              <w:rPr>
                <w:rFonts w:hint="eastAsia" w:asciiTheme="minorEastAsia" w:hAnsiTheme="minorEastAsia" w:eastAsiaTheme="minorEastAsia" w:cstheme="minorEastAsia"/>
                <w:b w:val="0"/>
                <w:bCs w:val="0"/>
                <w:color w:val="auto"/>
                <w:highlight w:val="none"/>
                <w:lang w:val="en-US" w:eastAsia="en-US"/>
              </w:rPr>
              <w:t>采购人在代理机构交付招标归档资料后</w:t>
            </w:r>
            <w:r>
              <w:rPr>
                <w:rFonts w:hint="eastAsia" w:asciiTheme="minorEastAsia" w:hAnsiTheme="minorEastAsia" w:eastAsiaTheme="minorEastAsia" w:cstheme="minorEastAsia"/>
                <w:b w:val="0"/>
                <w:bCs w:val="0"/>
                <w:color w:val="auto"/>
                <w:highlight w:val="none"/>
                <w:lang w:val="en-US" w:eastAsia="zh-CN"/>
              </w:rPr>
              <w:t>一次性付清，</w:t>
            </w:r>
            <w:r>
              <w:rPr>
                <w:rFonts w:hint="eastAsia" w:ascii="宋体" w:hAnsi="宋体" w:eastAsia="宋体" w:cs="宋体"/>
                <w:color w:val="auto"/>
                <w:highlight w:val="none"/>
              </w:rPr>
              <w:t>本项目代理服务费金额为贰万</w:t>
            </w:r>
            <w:r>
              <w:rPr>
                <w:rFonts w:hint="eastAsia" w:ascii="宋体" w:hAnsi="宋体" w:cs="宋体"/>
                <w:color w:val="auto"/>
                <w:highlight w:val="none"/>
                <w:lang w:val="en-US" w:eastAsia="zh-CN"/>
              </w:rPr>
              <w:t>壹</w:t>
            </w:r>
            <w:r>
              <w:rPr>
                <w:rFonts w:hint="eastAsia" w:ascii="宋体" w:hAnsi="宋体" w:eastAsia="宋体" w:cs="宋体"/>
                <w:color w:val="auto"/>
                <w:highlight w:val="none"/>
              </w:rPr>
              <w:t>仟</w:t>
            </w:r>
            <w:r>
              <w:rPr>
                <w:rFonts w:hint="eastAsia" w:ascii="宋体" w:hAnsi="宋体" w:cs="宋体"/>
                <w:color w:val="auto"/>
                <w:highlight w:val="none"/>
                <w:lang w:val="en-US" w:eastAsia="zh-CN"/>
              </w:rPr>
              <w:t>肆佰玖拾</w:t>
            </w:r>
            <w:r>
              <w:rPr>
                <w:rFonts w:hint="eastAsia" w:ascii="宋体" w:hAnsi="宋体" w:eastAsia="宋体" w:cs="宋体"/>
                <w:color w:val="auto"/>
                <w:highlight w:val="none"/>
              </w:rPr>
              <w:t>元</w:t>
            </w:r>
            <w:r>
              <w:rPr>
                <w:rFonts w:hint="eastAsia" w:ascii="宋体" w:hAnsi="宋体" w:eastAsia="宋体" w:cs="宋体"/>
                <w:color w:val="auto"/>
                <w:highlight w:val="none"/>
                <w:lang w:val="en-US" w:eastAsia="zh-CN"/>
              </w:rPr>
              <w:t>整</w:t>
            </w:r>
            <w:r>
              <w:rPr>
                <w:rFonts w:hint="eastAsia" w:ascii="宋体" w:hAnsi="宋体" w:eastAsia="宋体" w:cs="宋体"/>
                <w:color w:val="auto"/>
                <w:highlight w:val="none"/>
              </w:rPr>
              <w:t>（</w:t>
            </w:r>
            <w:r>
              <w:rPr>
                <w:rFonts w:hint="eastAsia" w:ascii="宋体" w:hAnsi="宋体" w:cs="宋体"/>
                <w:color w:val="auto"/>
                <w:highlight w:val="none"/>
                <w:lang w:val="en-US" w:eastAsia="zh-CN"/>
              </w:rPr>
              <w:t>21490.00</w:t>
            </w:r>
            <w:r>
              <w:rPr>
                <w:rFonts w:hint="eastAsia" w:ascii="宋体" w:hAnsi="宋体" w:eastAsia="宋体" w:cs="宋体"/>
                <w:color w:val="auto"/>
                <w:highlight w:val="none"/>
              </w:rPr>
              <w:t>元）</w:t>
            </w:r>
          </w:p>
        </w:tc>
      </w:tr>
      <w:tr w14:paraId="796EF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00" w:type="dxa"/>
            <w:noWrap w:val="0"/>
            <w:vAlign w:val="center"/>
          </w:tcPr>
          <w:p w14:paraId="4A7E1C93">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16</w:t>
            </w:r>
          </w:p>
        </w:tc>
        <w:tc>
          <w:tcPr>
            <w:tcW w:w="1673" w:type="dxa"/>
            <w:noWrap w:val="0"/>
            <w:vAlign w:val="center"/>
          </w:tcPr>
          <w:p w14:paraId="67846686">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招标代理机构账号信息</w:t>
            </w:r>
          </w:p>
        </w:tc>
        <w:tc>
          <w:tcPr>
            <w:tcW w:w="6876" w:type="dxa"/>
            <w:noWrap w:val="0"/>
            <w:vAlign w:val="center"/>
          </w:tcPr>
          <w:p w14:paraId="44378008">
            <w:pPr>
              <w:keepNext w:val="0"/>
              <w:keepLines w:val="0"/>
              <w:suppressLineNumbers w:val="0"/>
              <w:spacing w:before="0" w:beforeAutospacing="0" w:after="0" w:afterAutospacing="0" w:line="360" w:lineRule="auto"/>
              <w:ind w:left="0" w:right="-77"/>
              <w:rPr>
                <w:rFonts w:hint="eastAsia" w:ascii="宋体" w:hAnsi="宋体" w:eastAsia="宋体"/>
                <w:color w:val="auto"/>
                <w:highlight w:val="none"/>
                <w:lang w:eastAsia="zh-CN"/>
              </w:rPr>
            </w:pPr>
            <w:r>
              <w:rPr>
                <w:rFonts w:hint="eastAsia" w:ascii="宋体" w:hAnsi="宋体"/>
                <w:color w:val="auto"/>
                <w:highlight w:val="none"/>
              </w:rPr>
              <w:t>交  纳  账  户：</w:t>
            </w:r>
            <w:r>
              <w:rPr>
                <w:rFonts w:hint="eastAsia" w:ascii="宋体" w:hAnsi="宋体"/>
                <w:color w:val="auto"/>
                <w:highlight w:val="none"/>
                <w:lang w:eastAsia="zh-CN"/>
              </w:rPr>
              <w:t>汇建（苏州）项目管理有限公司</w:t>
            </w:r>
          </w:p>
          <w:p w14:paraId="6FDB08A6">
            <w:pPr>
              <w:keepNext w:val="0"/>
              <w:keepLines w:val="0"/>
              <w:suppressLineNumbers w:val="0"/>
              <w:spacing w:before="0" w:beforeAutospacing="0" w:after="0" w:afterAutospacing="0" w:line="360" w:lineRule="auto"/>
              <w:ind w:left="0" w:right="-77"/>
              <w:rPr>
                <w:rFonts w:hint="default" w:ascii="宋体" w:hAnsi="宋体"/>
                <w:color w:val="auto"/>
                <w:highlight w:val="none"/>
              </w:rPr>
            </w:pPr>
            <w:r>
              <w:rPr>
                <w:rFonts w:hint="eastAsia" w:ascii="宋体" w:hAnsi="宋体"/>
                <w:color w:val="auto"/>
                <w:highlight w:val="none"/>
              </w:rPr>
              <w:t>账          号：10</w:t>
            </w:r>
            <w:r>
              <w:rPr>
                <w:rFonts w:hint="default" w:ascii="宋体" w:hAnsi="宋体"/>
                <w:color w:val="auto"/>
                <w:highlight w:val="none"/>
              </w:rPr>
              <w:t>534601040023574</w:t>
            </w:r>
          </w:p>
          <w:p w14:paraId="6D0C9AAD">
            <w:pPr>
              <w:keepNext w:val="0"/>
              <w:keepLines w:val="0"/>
              <w:suppressLineNumbers w:val="0"/>
              <w:spacing w:before="0" w:beforeAutospacing="0" w:after="0" w:afterAutospacing="0" w:line="360" w:lineRule="auto"/>
              <w:ind w:left="0" w:right="0"/>
              <w:rPr>
                <w:rFonts w:hint="default" w:ascii="宋体" w:hAnsi="宋体"/>
                <w:color w:val="auto"/>
                <w:highlight w:val="none"/>
              </w:rPr>
            </w:pPr>
            <w:r>
              <w:rPr>
                <w:rFonts w:hint="eastAsia" w:ascii="宋体" w:hAnsi="宋体"/>
                <w:color w:val="auto"/>
                <w:highlight w:val="none"/>
              </w:rPr>
              <w:t>开  户  银  行：中国</w:t>
            </w:r>
            <w:r>
              <w:rPr>
                <w:rFonts w:hint="default" w:ascii="宋体" w:hAnsi="宋体"/>
                <w:color w:val="auto"/>
                <w:highlight w:val="none"/>
              </w:rPr>
              <w:t>农</w:t>
            </w:r>
            <w:r>
              <w:rPr>
                <w:rFonts w:hint="eastAsia" w:ascii="宋体" w:hAnsi="宋体"/>
                <w:color w:val="auto"/>
                <w:highlight w:val="none"/>
              </w:rPr>
              <w:t>业银</w:t>
            </w:r>
            <w:r>
              <w:rPr>
                <w:rFonts w:hint="default" w:ascii="宋体" w:hAnsi="宋体"/>
                <w:color w:val="auto"/>
                <w:highlight w:val="none"/>
              </w:rPr>
              <w:t>行</w:t>
            </w:r>
            <w:r>
              <w:rPr>
                <w:rFonts w:hint="eastAsia" w:ascii="宋体" w:hAnsi="宋体"/>
                <w:color w:val="auto"/>
                <w:highlight w:val="none"/>
              </w:rPr>
              <w:t>股份有限公司太仓分行</w:t>
            </w:r>
          </w:p>
          <w:p w14:paraId="10BE6CBC">
            <w:pPr>
              <w:keepNext w:val="0"/>
              <w:keepLines w:val="0"/>
              <w:suppressLineNumbers w:val="0"/>
              <w:spacing w:before="0" w:beforeAutospacing="0" w:after="0" w:afterAutospacing="0" w:line="360" w:lineRule="auto"/>
              <w:ind w:left="0" w:right="0"/>
              <w:rPr>
                <w:rFonts w:hint="default" w:ascii="宋体" w:hAnsi="宋体"/>
                <w:b/>
                <w:color w:val="auto"/>
                <w:highlight w:val="none"/>
              </w:rPr>
            </w:pPr>
            <w:r>
              <w:rPr>
                <w:rFonts w:hint="eastAsia" w:ascii="宋体" w:hAnsi="宋体"/>
                <w:color w:val="auto"/>
                <w:highlight w:val="none"/>
              </w:rPr>
              <w:t>财务室电话：0512-53232597</w:t>
            </w:r>
          </w:p>
        </w:tc>
      </w:tr>
      <w:tr w14:paraId="5C99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00" w:type="dxa"/>
            <w:noWrap w:val="0"/>
            <w:vAlign w:val="center"/>
          </w:tcPr>
          <w:p w14:paraId="7680D802">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17</w:t>
            </w:r>
          </w:p>
        </w:tc>
        <w:tc>
          <w:tcPr>
            <w:tcW w:w="1673" w:type="dxa"/>
            <w:noWrap w:val="0"/>
            <w:vAlign w:val="center"/>
          </w:tcPr>
          <w:p w14:paraId="395BC07C">
            <w:pPr>
              <w:keepNext w:val="0"/>
              <w:keepLines w:val="0"/>
              <w:suppressLineNumbers w:val="0"/>
              <w:spacing w:before="0" w:beforeAutospacing="0" w:after="0" w:afterAutospacing="0" w:line="360" w:lineRule="auto"/>
              <w:ind w:left="0" w:right="0"/>
              <w:jc w:val="left"/>
              <w:rPr>
                <w:rFonts w:hint="default" w:ascii="宋体" w:hAnsi="宋体"/>
                <w:color w:val="auto"/>
                <w:highlight w:val="none"/>
              </w:rPr>
            </w:pPr>
            <w:r>
              <w:rPr>
                <w:rFonts w:hint="eastAsia" w:ascii="宋体" w:hAnsi="宋体"/>
                <w:color w:val="auto"/>
                <w:highlight w:val="none"/>
              </w:rPr>
              <w:t>履约保证金：</w:t>
            </w:r>
          </w:p>
        </w:tc>
        <w:tc>
          <w:tcPr>
            <w:tcW w:w="6876" w:type="dxa"/>
            <w:noWrap w:val="0"/>
            <w:vAlign w:val="center"/>
          </w:tcPr>
          <w:p w14:paraId="18D90BE3">
            <w:pPr>
              <w:keepNext w:val="0"/>
              <w:keepLines w:val="0"/>
              <w:suppressLineNumbers w:val="0"/>
              <w:spacing w:before="0" w:beforeAutospacing="0" w:after="0" w:afterAutospacing="0" w:line="360" w:lineRule="auto"/>
              <w:ind w:left="0" w:right="0"/>
              <w:rPr>
                <w:rFonts w:hint="default" w:ascii="宋体" w:hAnsi="宋体" w:cs="Arial"/>
                <w:color w:val="auto"/>
                <w:highlight w:val="none"/>
              </w:rPr>
            </w:pPr>
            <w:r>
              <w:rPr>
                <w:rFonts w:hint="eastAsia" w:ascii="宋体" w:hAnsi="宋体" w:cs="Arial"/>
                <w:color w:val="auto"/>
                <w:highlight w:val="none"/>
              </w:rPr>
              <w:t>中标金额的</w:t>
            </w:r>
            <w:r>
              <w:rPr>
                <w:rFonts w:hint="eastAsia" w:ascii="宋体" w:hAnsi="宋体" w:cs="Arial"/>
                <w:color w:val="auto"/>
                <w:highlight w:val="none"/>
                <w:u w:val="single"/>
              </w:rPr>
              <w:t xml:space="preserve">  </w:t>
            </w:r>
            <w:r>
              <w:rPr>
                <w:rFonts w:hint="eastAsia" w:ascii="宋体" w:hAnsi="宋体" w:cs="Arial"/>
                <w:color w:val="auto"/>
                <w:highlight w:val="none"/>
                <w:u w:val="single"/>
                <w:lang w:val="en-US" w:eastAsia="zh-CN"/>
              </w:rPr>
              <w:t>/</w:t>
            </w:r>
            <w:r>
              <w:rPr>
                <w:rFonts w:hint="eastAsia" w:ascii="宋体" w:hAnsi="宋体" w:cs="Arial"/>
                <w:color w:val="auto"/>
                <w:highlight w:val="none"/>
                <w:u w:val="single"/>
              </w:rPr>
              <w:t xml:space="preserve"> </w:t>
            </w:r>
            <w:r>
              <w:rPr>
                <w:rFonts w:hint="eastAsia" w:ascii="宋体" w:hAnsi="宋体" w:cs="Arial"/>
                <w:color w:val="auto"/>
                <w:highlight w:val="none"/>
              </w:rPr>
              <w:t xml:space="preserve"> %（交付采购单位）。</w:t>
            </w:r>
          </w:p>
        </w:tc>
      </w:tr>
      <w:tr w14:paraId="5A452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00" w:type="dxa"/>
            <w:noWrap w:val="0"/>
            <w:vAlign w:val="center"/>
          </w:tcPr>
          <w:p w14:paraId="59220303">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18</w:t>
            </w:r>
          </w:p>
        </w:tc>
        <w:tc>
          <w:tcPr>
            <w:tcW w:w="1673" w:type="dxa"/>
            <w:noWrap w:val="0"/>
            <w:vAlign w:val="center"/>
          </w:tcPr>
          <w:p w14:paraId="3AA27E3E">
            <w:pPr>
              <w:keepNext w:val="0"/>
              <w:keepLines w:val="0"/>
              <w:suppressLineNumbers w:val="0"/>
              <w:spacing w:before="0" w:beforeAutospacing="0" w:after="0" w:afterAutospacing="0" w:line="360" w:lineRule="auto"/>
              <w:ind w:left="0" w:right="0"/>
              <w:rPr>
                <w:rFonts w:hint="default" w:ascii="宋体" w:hAnsi="宋体"/>
                <w:color w:val="auto"/>
                <w:highlight w:val="none"/>
              </w:rPr>
            </w:pPr>
            <w:r>
              <w:rPr>
                <w:rFonts w:hint="eastAsia" w:ascii="宋体" w:hAnsi="宋体"/>
                <w:color w:val="auto"/>
                <w:highlight w:val="none"/>
              </w:rPr>
              <w:t>导致废标因素</w:t>
            </w:r>
          </w:p>
        </w:tc>
        <w:tc>
          <w:tcPr>
            <w:tcW w:w="6876" w:type="dxa"/>
            <w:noWrap w:val="0"/>
            <w:vAlign w:val="center"/>
          </w:tcPr>
          <w:p w14:paraId="11966D7C">
            <w:pPr>
              <w:keepNext w:val="0"/>
              <w:keepLines w:val="0"/>
              <w:suppressLineNumbers w:val="0"/>
              <w:spacing w:before="0" w:beforeAutospacing="0" w:after="0" w:afterAutospacing="0" w:line="360" w:lineRule="auto"/>
              <w:ind w:left="0" w:right="0"/>
              <w:rPr>
                <w:rFonts w:hint="default" w:ascii="宋体" w:hAnsi="宋体" w:cs="Arial"/>
                <w:color w:val="auto"/>
                <w:highlight w:val="none"/>
              </w:rPr>
            </w:pPr>
            <w:r>
              <w:rPr>
                <w:rFonts w:hint="eastAsia" w:ascii="宋体" w:hAnsi="宋体" w:cs="Arial"/>
                <w:color w:val="auto"/>
                <w:highlight w:val="none"/>
              </w:rPr>
              <w:t>出现下列情形之一的，为废标：</w:t>
            </w:r>
          </w:p>
          <w:p w14:paraId="788DC352">
            <w:pPr>
              <w:keepNext w:val="0"/>
              <w:keepLines w:val="0"/>
              <w:suppressLineNumbers w:val="0"/>
              <w:spacing w:before="0" w:beforeAutospacing="0" w:after="0" w:afterAutospacing="0" w:line="360" w:lineRule="auto"/>
              <w:ind w:left="0" w:right="0"/>
              <w:rPr>
                <w:rFonts w:hint="default" w:ascii="宋体" w:hAnsi="宋体" w:cs="Arial"/>
                <w:color w:val="auto"/>
                <w:highlight w:val="none"/>
              </w:rPr>
            </w:pPr>
            <w:r>
              <w:rPr>
                <w:rFonts w:hint="eastAsia" w:ascii="宋体" w:hAnsi="宋体" w:cs="Arial"/>
                <w:color w:val="auto"/>
                <w:highlight w:val="none"/>
              </w:rPr>
              <w:t>（一）符合专业条件的投标人或者对招标文件作实质响应的投标人不足三家的；</w:t>
            </w:r>
          </w:p>
          <w:p w14:paraId="021ACECD">
            <w:pPr>
              <w:keepNext w:val="0"/>
              <w:keepLines w:val="0"/>
              <w:suppressLineNumbers w:val="0"/>
              <w:spacing w:before="0" w:beforeAutospacing="0" w:after="0" w:afterAutospacing="0" w:line="360" w:lineRule="auto"/>
              <w:ind w:left="0" w:right="0"/>
              <w:rPr>
                <w:rFonts w:hint="default" w:ascii="宋体" w:hAnsi="宋体" w:cs="Arial"/>
                <w:color w:val="auto"/>
                <w:highlight w:val="none"/>
              </w:rPr>
            </w:pPr>
            <w:r>
              <w:rPr>
                <w:rFonts w:hint="eastAsia" w:ascii="宋体" w:hAnsi="宋体" w:cs="Arial"/>
                <w:color w:val="auto"/>
                <w:highlight w:val="none"/>
              </w:rPr>
              <w:t>（二）出现影响采购公正的违法、违规行为的；</w:t>
            </w:r>
          </w:p>
          <w:p w14:paraId="3A33D9F3">
            <w:pPr>
              <w:keepNext w:val="0"/>
              <w:keepLines w:val="0"/>
              <w:suppressLineNumbers w:val="0"/>
              <w:spacing w:before="0" w:beforeAutospacing="0" w:after="0" w:afterAutospacing="0" w:line="360" w:lineRule="auto"/>
              <w:ind w:left="0" w:right="0"/>
              <w:rPr>
                <w:rFonts w:hint="default" w:ascii="宋体" w:hAnsi="宋体" w:cs="Arial"/>
                <w:color w:val="auto"/>
                <w:highlight w:val="none"/>
              </w:rPr>
            </w:pPr>
            <w:r>
              <w:rPr>
                <w:rFonts w:hint="eastAsia" w:ascii="宋体" w:hAnsi="宋体" w:cs="Arial"/>
                <w:color w:val="auto"/>
                <w:highlight w:val="none"/>
              </w:rPr>
              <w:t>（三）投标人的报价均超过了采购预算，采购人不能支付的；</w:t>
            </w:r>
          </w:p>
          <w:p w14:paraId="48E27F60">
            <w:pPr>
              <w:keepNext w:val="0"/>
              <w:keepLines w:val="0"/>
              <w:suppressLineNumbers w:val="0"/>
              <w:spacing w:before="0" w:beforeAutospacing="0" w:after="0" w:afterAutospacing="0" w:line="360" w:lineRule="auto"/>
              <w:ind w:left="0" w:right="0"/>
              <w:rPr>
                <w:rFonts w:hint="default" w:ascii="宋体" w:hAnsi="宋体" w:cs="Arial"/>
                <w:color w:val="auto"/>
                <w:highlight w:val="none"/>
              </w:rPr>
            </w:pPr>
            <w:r>
              <w:rPr>
                <w:rFonts w:hint="eastAsia" w:ascii="宋体" w:hAnsi="宋体" w:cs="Arial"/>
                <w:color w:val="auto"/>
                <w:highlight w:val="none"/>
              </w:rPr>
              <w:t>（四）因重大变故，采购任务取消的。</w:t>
            </w:r>
          </w:p>
        </w:tc>
      </w:tr>
      <w:tr w14:paraId="36076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00" w:type="dxa"/>
            <w:noWrap w:val="0"/>
            <w:vAlign w:val="center"/>
          </w:tcPr>
          <w:p w14:paraId="4A602F26">
            <w:pPr>
              <w:pStyle w:val="44"/>
              <w:keepNext w:val="0"/>
              <w:keepLines w:val="0"/>
              <w:suppressLineNumbers w:val="0"/>
              <w:spacing w:before="0" w:beforeAutospacing="0" w:after="0" w:afterAutospacing="0" w:line="360" w:lineRule="auto"/>
              <w:ind w:left="0" w:right="0" w:firstLine="0"/>
              <w:jc w:val="center"/>
              <w:rPr>
                <w:rFonts w:hint="default" w:hAnsi="宋体"/>
                <w:b w:val="0"/>
                <w:bCs w:val="0"/>
                <w:color w:val="auto"/>
                <w:sz w:val="21"/>
                <w:highlight w:val="none"/>
                <w:u w:val="none"/>
              </w:rPr>
            </w:pPr>
            <w:r>
              <w:rPr>
                <w:rFonts w:hint="eastAsia" w:hAnsi="宋体"/>
                <w:b w:val="0"/>
                <w:bCs w:val="0"/>
                <w:color w:val="auto"/>
                <w:sz w:val="21"/>
                <w:highlight w:val="none"/>
                <w:u w:val="none"/>
              </w:rPr>
              <w:t>19</w:t>
            </w:r>
          </w:p>
        </w:tc>
        <w:tc>
          <w:tcPr>
            <w:tcW w:w="1673" w:type="dxa"/>
            <w:noWrap w:val="0"/>
            <w:vAlign w:val="center"/>
          </w:tcPr>
          <w:p w14:paraId="0D5CADB5">
            <w:pPr>
              <w:pStyle w:val="44"/>
              <w:keepNext w:val="0"/>
              <w:keepLines w:val="0"/>
              <w:suppressLineNumbers w:val="0"/>
              <w:spacing w:before="0" w:beforeAutospacing="0" w:after="0" w:afterAutospacing="0" w:line="360" w:lineRule="auto"/>
              <w:ind w:left="0" w:right="0" w:firstLine="0"/>
              <w:jc w:val="left"/>
              <w:rPr>
                <w:rFonts w:hint="default" w:hAnsi="宋体"/>
                <w:b w:val="0"/>
                <w:bCs w:val="0"/>
                <w:color w:val="auto"/>
                <w:sz w:val="21"/>
                <w:highlight w:val="none"/>
                <w:u w:val="none"/>
              </w:rPr>
            </w:pPr>
            <w:r>
              <w:rPr>
                <w:rFonts w:hint="eastAsia" w:hAnsi="宋体"/>
                <w:b w:val="0"/>
                <w:bCs w:val="0"/>
                <w:color w:val="auto"/>
                <w:sz w:val="21"/>
                <w:highlight w:val="none"/>
                <w:u w:val="none"/>
              </w:rPr>
              <w:t>导致无效标因素</w:t>
            </w:r>
          </w:p>
        </w:tc>
        <w:tc>
          <w:tcPr>
            <w:tcW w:w="6876" w:type="dxa"/>
            <w:noWrap w:val="0"/>
            <w:vAlign w:val="center"/>
          </w:tcPr>
          <w:p w14:paraId="35C100C4">
            <w:pPr>
              <w:pStyle w:val="44"/>
              <w:keepNext w:val="0"/>
              <w:keepLines w:val="0"/>
              <w:suppressLineNumbers w:val="0"/>
              <w:spacing w:before="0" w:beforeAutospacing="0" w:after="0" w:afterAutospacing="0" w:line="360" w:lineRule="auto"/>
              <w:ind w:left="0" w:right="0" w:firstLine="0"/>
              <w:rPr>
                <w:rFonts w:hint="default" w:hAnsi="宋体"/>
                <w:b w:val="0"/>
                <w:bCs w:val="0"/>
                <w:color w:val="auto"/>
                <w:sz w:val="21"/>
                <w:highlight w:val="none"/>
                <w:u w:val="none"/>
              </w:rPr>
            </w:pPr>
            <w:r>
              <w:rPr>
                <w:rFonts w:hint="eastAsia" w:hAnsi="宋体"/>
                <w:b w:val="0"/>
                <w:bCs w:val="0"/>
                <w:color w:val="auto"/>
                <w:sz w:val="21"/>
                <w:highlight w:val="none"/>
                <w:u w:val="none"/>
              </w:rPr>
              <w:t>投标文件属下列情况之一的，在资格性、符合性检查时按照无效投标处理：</w:t>
            </w:r>
          </w:p>
          <w:p w14:paraId="4A4826C8">
            <w:pPr>
              <w:pStyle w:val="44"/>
              <w:keepNext w:val="0"/>
              <w:keepLines w:val="0"/>
              <w:numPr>
                <w:ilvl w:val="0"/>
                <w:numId w:val="1"/>
              </w:numPr>
              <w:suppressLineNumbers w:val="0"/>
              <w:tabs>
                <w:tab w:val="left" w:pos="0"/>
              </w:tabs>
              <w:spacing w:before="0" w:beforeAutospacing="0" w:after="0" w:afterAutospacing="0" w:line="360" w:lineRule="auto"/>
              <w:ind w:right="0"/>
              <w:rPr>
                <w:rFonts w:hint="default" w:hAnsi="宋体"/>
                <w:b w:val="0"/>
                <w:bCs w:val="0"/>
                <w:color w:val="auto"/>
                <w:sz w:val="21"/>
                <w:highlight w:val="none"/>
                <w:u w:val="none"/>
              </w:rPr>
            </w:pPr>
            <w:r>
              <w:rPr>
                <w:rFonts w:hint="eastAsia" w:hAnsi="宋体"/>
                <w:b w:val="0"/>
                <w:bCs w:val="0"/>
                <w:color w:val="auto"/>
                <w:sz w:val="21"/>
                <w:highlight w:val="none"/>
                <w:u w:val="none"/>
              </w:rPr>
              <w:t>投标总报价超出本次采购预算的；</w:t>
            </w:r>
          </w:p>
          <w:p w14:paraId="287ECC9C">
            <w:pPr>
              <w:pStyle w:val="44"/>
              <w:keepNext w:val="0"/>
              <w:keepLines w:val="0"/>
              <w:numPr>
                <w:ilvl w:val="0"/>
                <w:numId w:val="1"/>
              </w:numPr>
              <w:suppressLineNumbers w:val="0"/>
              <w:tabs>
                <w:tab w:val="left" w:pos="0"/>
              </w:tabs>
              <w:spacing w:before="0" w:beforeAutospacing="0" w:after="0" w:afterAutospacing="0" w:line="360" w:lineRule="auto"/>
              <w:ind w:right="0"/>
              <w:rPr>
                <w:rFonts w:hint="default" w:hAnsi="宋体"/>
                <w:b w:val="0"/>
                <w:bCs w:val="0"/>
                <w:color w:val="auto"/>
                <w:sz w:val="21"/>
                <w:highlight w:val="none"/>
                <w:u w:val="none"/>
              </w:rPr>
            </w:pPr>
            <w:r>
              <w:rPr>
                <w:rFonts w:hint="eastAsia" w:hAnsi="宋体"/>
                <w:b w:val="0"/>
                <w:bCs w:val="0"/>
                <w:color w:val="auto"/>
                <w:sz w:val="21"/>
                <w:highlight w:val="none"/>
                <w:u w:val="none"/>
              </w:rPr>
              <w:t>未按照招标文件规定要求提交、签署、盖章的；</w:t>
            </w:r>
          </w:p>
          <w:p w14:paraId="58545916">
            <w:pPr>
              <w:pStyle w:val="44"/>
              <w:keepNext w:val="0"/>
              <w:keepLines w:val="0"/>
              <w:numPr>
                <w:ilvl w:val="0"/>
                <w:numId w:val="1"/>
              </w:numPr>
              <w:suppressLineNumbers w:val="0"/>
              <w:tabs>
                <w:tab w:val="left" w:pos="0"/>
              </w:tabs>
              <w:spacing w:before="0" w:beforeAutospacing="0" w:after="0" w:afterAutospacing="0" w:line="360" w:lineRule="auto"/>
              <w:ind w:right="0"/>
              <w:rPr>
                <w:rFonts w:hint="default" w:hAnsi="宋体"/>
                <w:b w:val="0"/>
                <w:bCs w:val="0"/>
                <w:color w:val="auto"/>
                <w:sz w:val="21"/>
                <w:highlight w:val="none"/>
                <w:u w:val="none"/>
              </w:rPr>
            </w:pPr>
            <w:r>
              <w:rPr>
                <w:rFonts w:hint="eastAsia" w:hAnsi="宋体"/>
                <w:b w:val="0"/>
                <w:bCs w:val="0"/>
                <w:color w:val="auto"/>
                <w:sz w:val="21"/>
                <w:highlight w:val="none"/>
                <w:u w:val="none"/>
              </w:rPr>
              <w:t>不具备招标文件中规定资格要求的；</w:t>
            </w:r>
          </w:p>
          <w:p w14:paraId="55D0B9AA">
            <w:pPr>
              <w:pStyle w:val="44"/>
              <w:keepNext w:val="0"/>
              <w:keepLines w:val="0"/>
              <w:numPr>
                <w:ilvl w:val="0"/>
                <w:numId w:val="1"/>
              </w:numPr>
              <w:suppressLineNumbers w:val="0"/>
              <w:tabs>
                <w:tab w:val="left" w:pos="0"/>
              </w:tabs>
              <w:spacing w:before="0" w:beforeAutospacing="0" w:after="0" w:afterAutospacing="0" w:line="360" w:lineRule="auto"/>
              <w:ind w:right="0"/>
              <w:rPr>
                <w:rFonts w:hint="default" w:hAnsi="宋体"/>
                <w:b w:val="0"/>
                <w:bCs w:val="0"/>
                <w:color w:val="auto"/>
                <w:sz w:val="21"/>
                <w:highlight w:val="none"/>
                <w:u w:val="none"/>
              </w:rPr>
            </w:pPr>
            <w:r>
              <w:rPr>
                <w:rFonts w:hint="eastAsia" w:hAnsi="宋体"/>
                <w:b w:val="0"/>
                <w:bCs w:val="0"/>
                <w:color w:val="auto"/>
                <w:sz w:val="21"/>
                <w:highlight w:val="none"/>
                <w:u w:val="none"/>
              </w:rPr>
              <w:t>不符合法律、法规和招标文件中规定的其他实质性要求的；</w:t>
            </w:r>
          </w:p>
          <w:p w14:paraId="19A5445B">
            <w:pPr>
              <w:pStyle w:val="44"/>
              <w:keepNext w:val="0"/>
              <w:keepLines w:val="0"/>
              <w:numPr>
                <w:ilvl w:val="0"/>
                <w:numId w:val="1"/>
              </w:numPr>
              <w:suppressLineNumbers w:val="0"/>
              <w:tabs>
                <w:tab w:val="left" w:pos="0"/>
              </w:tabs>
              <w:spacing w:before="0" w:beforeAutospacing="0" w:after="0" w:afterAutospacing="0" w:line="360" w:lineRule="auto"/>
              <w:ind w:right="0"/>
              <w:rPr>
                <w:rFonts w:hint="default" w:hAnsi="宋体"/>
                <w:b w:val="0"/>
                <w:bCs w:val="0"/>
                <w:color w:val="auto"/>
                <w:sz w:val="21"/>
                <w:highlight w:val="none"/>
                <w:u w:val="none"/>
              </w:rPr>
            </w:pPr>
            <w:r>
              <w:rPr>
                <w:rFonts w:hint="eastAsia" w:hAnsi="宋体"/>
                <w:b w:val="0"/>
                <w:bCs w:val="0"/>
                <w:color w:val="auto"/>
                <w:sz w:val="21"/>
                <w:highlight w:val="none"/>
                <w:u w:val="none"/>
              </w:rPr>
              <w:t>其它在招标文件中已明确为无效标的；</w:t>
            </w:r>
          </w:p>
        </w:tc>
      </w:tr>
    </w:tbl>
    <w:p w14:paraId="5E118FD0">
      <w:pPr>
        <w:pStyle w:val="3"/>
        <w:rPr>
          <w:color w:val="auto"/>
          <w:highlight w:val="none"/>
        </w:rPr>
      </w:pPr>
      <w:r>
        <w:rPr>
          <w:color w:val="auto"/>
          <w:highlight w:val="none"/>
        </w:rPr>
        <w:br w:type="page" w:clear="all"/>
      </w:r>
      <w:r>
        <w:rPr>
          <w:color w:val="auto"/>
          <w:highlight w:val="none"/>
        </w:rPr>
        <w:t>第</w:t>
      </w:r>
      <w:r>
        <w:rPr>
          <w:rFonts w:hint="eastAsia"/>
          <w:color w:val="auto"/>
          <w:highlight w:val="none"/>
        </w:rPr>
        <w:t>一部分</w:t>
      </w:r>
      <w:bookmarkEnd w:id="0"/>
      <w:bookmarkEnd w:id="1"/>
      <w:bookmarkEnd w:id="2"/>
      <w:bookmarkEnd w:id="3"/>
      <w:r>
        <w:rPr>
          <w:rFonts w:hint="eastAsia"/>
          <w:color w:val="auto"/>
          <w:highlight w:val="none"/>
        </w:rPr>
        <w:t xml:space="preserve"> 招标公告</w:t>
      </w:r>
    </w:p>
    <w:p w14:paraId="081ECFF7">
      <w:pPr>
        <w:widowControl/>
        <w:spacing w:line="400" w:lineRule="exact"/>
        <w:jc w:val="left"/>
        <w:rPr>
          <w:rFonts w:ascii="宋体" w:hAnsi="宋体"/>
          <w:b/>
          <w:bCs/>
          <w:color w:val="auto"/>
          <w:highlight w:val="none"/>
        </w:rPr>
      </w:pPr>
      <w:bookmarkStart w:id="4" w:name="OLE_LINK1"/>
      <w:r>
        <w:rPr>
          <w:rFonts w:hint="eastAsia" w:ascii="宋体" w:hAnsi="宋体"/>
          <w:b/>
          <w:bCs/>
          <w:color w:val="auto"/>
          <w:highlight w:val="none"/>
        </w:rPr>
        <w:t>项目概况</w:t>
      </w:r>
    </w:p>
    <w:p w14:paraId="45E31298">
      <w:pPr>
        <w:spacing w:line="360" w:lineRule="auto"/>
        <w:ind w:firstLine="420"/>
        <w:rPr>
          <w:rFonts w:ascii="宋体" w:hAnsi="宋体"/>
          <w:color w:val="auto"/>
          <w:highlight w:val="none"/>
        </w:rPr>
      </w:pPr>
      <w:r>
        <w:rPr>
          <w:rFonts w:hint="eastAsia" w:ascii="宋体" w:hAnsi="宋体"/>
          <w:color w:val="auto"/>
          <w:highlight w:val="none"/>
          <w:lang w:eastAsia="zh-CN"/>
        </w:rPr>
        <w:t> 2026年度化工园区应急指挥中心运维服务</w:t>
      </w:r>
      <w:r>
        <w:rPr>
          <w:rFonts w:hint="eastAsia" w:ascii="宋体" w:hAnsi="宋体"/>
          <w:color w:val="auto"/>
          <w:highlight w:val="none"/>
        </w:rPr>
        <w:t>的潜在投标人应在</w:t>
      </w:r>
      <w:r>
        <w:rPr>
          <w:rFonts w:hint="eastAsia" w:ascii="宋体" w:hAnsi="宋体"/>
          <w:color w:val="auto"/>
          <w:highlight w:val="none"/>
          <w:lang w:eastAsia="zh-CN"/>
        </w:rPr>
        <w:t>“</w:t>
      </w:r>
      <w:r>
        <w:rPr>
          <w:rFonts w:hint="eastAsia" w:ascii="宋体" w:hAnsi="宋体"/>
          <w:color w:val="auto"/>
          <w:highlight w:val="none"/>
          <w:lang w:val="en-US" w:eastAsia="en-US"/>
        </w:rPr>
        <w:t>苏采云政府采购一体化平台”中参与项目并</w:t>
      </w:r>
      <w:r>
        <w:rPr>
          <w:rFonts w:hint="eastAsia" w:ascii="宋体" w:hAnsi="宋体"/>
          <w:color w:val="auto"/>
          <w:highlight w:val="none"/>
        </w:rPr>
        <w:t>下载获取电子招标文件，并于</w:t>
      </w:r>
      <w:r>
        <w:rPr>
          <w:rFonts w:hint="eastAsia" w:ascii="宋体" w:hAnsi="宋体"/>
          <w:color w:val="auto"/>
          <w:highlight w:val="none"/>
          <w:lang w:eastAsia="zh-CN"/>
        </w:rPr>
        <w:t>2026</w:t>
      </w:r>
      <w:r>
        <w:rPr>
          <w:rFonts w:hint="eastAsia" w:ascii="宋体" w:hAnsi="宋体"/>
          <w:color w:val="auto"/>
          <w:highlight w:val="none"/>
        </w:rPr>
        <w:t>年</w:t>
      </w:r>
      <w:r>
        <w:rPr>
          <w:rFonts w:hint="eastAsia" w:ascii="宋体" w:hAnsi="宋体"/>
          <w:color w:val="auto"/>
          <w:highlight w:val="none"/>
          <w:lang w:val="en-US" w:eastAsia="zh-CN"/>
        </w:rPr>
        <w:t>09</w:t>
      </w:r>
      <w:r>
        <w:rPr>
          <w:rFonts w:hint="eastAsia" w:ascii="宋体" w:hAnsi="宋体"/>
          <w:color w:val="auto"/>
          <w:highlight w:val="none"/>
        </w:rPr>
        <w:t>月</w:t>
      </w:r>
      <w:r>
        <w:rPr>
          <w:rFonts w:hint="eastAsia" w:ascii="宋体" w:hAnsi="宋体"/>
          <w:color w:val="auto"/>
          <w:highlight w:val="none"/>
          <w:lang w:val="en-US" w:eastAsia="zh-CN"/>
        </w:rPr>
        <w:t>18</w:t>
      </w:r>
      <w:r>
        <w:rPr>
          <w:rFonts w:hint="eastAsia" w:ascii="宋体" w:hAnsi="宋体"/>
          <w:color w:val="auto"/>
          <w:highlight w:val="none"/>
        </w:rPr>
        <w:t>日</w:t>
      </w:r>
      <w:r>
        <w:rPr>
          <w:rFonts w:hint="eastAsia" w:ascii="宋体" w:hAnsi="宋体"/>
          <w:color w:val="auto"/>
          <w:highlight w:val="none"/>
          <w:lang w:val="en-US" w:eastAsia="zh-CN"/>
        </w:rPr>
        <w:t>09</w:t>
      </w: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0时（北京时间）前上传电子投标文件。</w:t>
      </w:r>
    </w:p>
    <w:p w14:paraId="788C8FB6">
      <w:pPr>
        <w:widowControl/>
        <w:spacing w:line="360" w:lineRule="auto"/>
        <w:jc w:val="left"/>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一、项目基本情况</w:t>
      </w:r>
    </w:p>
    <w:p w14:paraId="345EC8D8">
      <w:pPr>
        <w:widowControl/>
        <w:spacing w:line="360" w:lineRule="auto"/>
        <w:ind w:firstLine="42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1、项目编号：</w:t>
      </w:r>
      <w:r>
        <w:rPr>
          <w:rFonts w:hint="eastAsia" w:asciiTheme="minorEastAsia" w:hAnsiTheme="minorEastAsia" w:eastAsiaTheme="minorEastAsia" w:cstheme="minorEastAsia"/>
          <w:color w:val="auto"/>
          <w:highlight w:val="none"/>
          <w:lang w:eastAsia="zh-CN"/>
        </w:rPr>
        <w:t>JSZC-320585-HJSZ-G2026-0002</w:t>
      </w:r>
    </w:p>
    <w:p w14:paraId="43EFADA7">
      <w:pPr>
        <w:widowControl/>
        <w:spacing w:line="360" w:lineRule="auto"/>
        <w:ind w:firstLine="420"/>
        <w:jc w:val="left"/>
        <w:rPr>
          <w:rFonts w:hint="eastAsia" w:ascii="宋体" w:hAnsi="宋体" w:eastAsiaTheme="minorEastAsia"/>
          <w:color w:val="auto"/>
          <w:highlight w:val="none"/>
          <w:lang w:eastAsia="zh-CN"/>
        </w:rPr>
      </w:pPr>
      <w:r>
        <w:rPr>
          <w:rFonts w:hint="eastAsia" w:asciiTheme="minorEastAsia" w:hAnsiTheme="minorEastAsia" w:eastAsiaTheme="minorEastAsia" w:cstheme="minorEastAsia"/>
          <w:color w:val="auto"/>
          <w:highlight w:val="none"/>
        </w:rPr>
        <w:t>2、项目名称：</w:t>
      </w:r>
      <w:r>
        <w:rPr>
          <w:rFonts w:hint="eastAsia" w:ascii="宋体" w:hAnsi="宋体" w:eastAsiaTheme="minorEastAsia"/>
          <w:color w:val="auto"/>
          <w:highlight w:val="none"/>
          <w:lang w:eastAsia="zh-CN"/>
        </w:rPr>
        <w:t>2026年度化工园区应急指挥中心运维服务</w:t>
      </w:r>
    </w:p>
    <w:p w14:paraId="759CA235">
      <w:pPr>
        <w:widowControl/>
        <w:spacing w:line="360" w:lineRule="auto"/>
        <w:ind w:firstLine="420"/>
        <w:jc w:val="left"/>
        <w:rPr>
          <w:rFonts w:asciiTheme="minorEastAsia" w:hAnsiTheme="minorEastAsia" w:eastAsiaTheme="minorEastAsia" w:cstheme="minorEastAsia"/>
          <w:color w:val="auto"/>
          <w:highlight w:val="none"/>
        </w:rPr>
      </w:pPr>
      <w:r>
        <w:rPr>
          <w:rFonts w:hint="eastAsia" w:ascii="宋体" w:hAnsi="宋体" w:eastAsiaTheme="minorEastAsia"/>
          <w:color w:val="auto"/>
          <w:highlight w:val="none"/>
        </w:rPr>
        <w:t>3、</w:t>
      </w:r>
      <w:r>
        <w:rPr>
          <w:rFonts w:hint="eastAsia" w:asciiTheme="minorEastAsia" w:hAnsiTheme="minorEastAsia" w:eastAsiaTheme="minorEastAsia" w:cstheme="minorEastAsia"/>
          <w:color w:val="auto"/>
          <w:highlight w:val="none"/>
        </w:rPr>
        <w:t>预算金额：</w:t>
      </w:r>
      <w:r>
        <w:rPr>
          <w:rFonts w:hint="eastAsia" w:ascii="宋体" w:hAnsi="宋体" w:cs="宋体"/>
          <w:color w:val="auto"/>
          <w:szCs w:val="24"/>
          <w:highlight w:val="none"/>
          <w:lang w:eastAsia="zh-CN"/>
        </w:rPr>
        <w:t>人民币壹佰</w:t>
      </w:r>
      <w:r>
        <w:rPr>
          <w:rFonts w:hint="eastAsia" w:ascii="宋体" w:hAnsi="宋体" w:cs="宋体"/>
          <w:color w:val="auto"/>
          <w:szCs w:val="24"/>
          <w:highlight w:val="none"/>
          <w:lang w:val="en-US" w:eastAsia="zh-CN"/>
        </w:rPr>
        <w:t>伍</w:t>
      </w:r>
      <w:r>
        <w:rPr>
          <w:rFonts w:hint="eastAsia" w:ascii="宋体" w:hAnsi="宋体" w:cs="宋体"/>
          <w:color w:val="auto"/>
          <w:szCs w:val="24"/>
          <w:highlight w:val="none"/>
          <w:lang w:eastAsia="zh-CN"/>
        </w:rPr>
        <w:t>拾</w:t>
      </w:r>
      <w:r>
        <w:rPr>
          <w:rFonts w:hint="eastAsia" w:ascii="宋体" w:hAnsi="宋体" w:cs="宋体"/>
          <w:color w:val="auto"/>
          <w:szCs w:val="24"/>
          <w:highlight w:val="none"/>
          <w:lang w:val="en-US" w:eastAsia="zh-CN"/>
        </w:rPr>
        <w:t>玖</w:t>
      </w:r>
      <w:r>
        <w:rPr>
          <w:rFonts w:hint="eastAsia" w:ascii="宋体" w:hAnsi="宋体" w:cs="宋体"/>
          <w:color w:val="auto"/>
          <w:szCs w:val="24"/>
          <w:highlight w:val="none"/>
          <w:lang w:eastAsia="zh-CN"/>
        </w:rPr>
        <w:t>万元整（￥1</w:t>
      </w:r>
      <w:r>
        <w:rPr>
          <w:rFonts w:hint="eastAsia" w:ascii="宋体" w:hAnsi="宋体" w:cs="宋体"/>
          <w:color w:val="auto"/>
          <w:szCs w:val="24"/>
          <w:highlight w:val="none"/>
          <w:lang w:val="en-US" w:eastAsia="zh-CN"/>
        </w:rPr>
        <w:t>59</w:t>
      </w:r>
      <w:r>
        <w:rPr>
          <w:rFonts w:hint="eastAsia" w:ascii="宋体" w:hAnsi="宋体" w:cs="宋体"/>
          <w:color w:val="auto"/>
          <w:szCs w:val="24"/>
          <w:highlight w:val="none"/>
          <w:lang w:eastAsia="zh-CN"/>
        </w:rPr>
        <w:t>0000.00元）</w:t>
      </w:r>
    </w:p>
    <w:p w14:paraId="2F293C60">
      <w:pPr>
        <w:widowControl/>
        <w:spacing w:line="360" w:lineRule="auto"/>
        <w:ind w:firstLine="420"/>
        <w:jc w:val="lef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4、最高限价：</w:t>
      </w:r>
      <w:r>
        <w:rPr>
          <w:rFonts w:hint="eastAsia" w:ascii="宋体" w:hAnsi="宋体" w:cs="宋体"/>
          <w:color w:val="auto"/>
          <w:szCs w:val="24"/>
          <w:highlight w:val="none"/>
          <w:lang w:eastAsia="zh-CN"/>
        </w:rPr>
        <w:t>人民币壹佰</w:t>
      </w:r>
      <w:r>
        <w:rPr>
          <w:rFonts w:hint="eastAsia" w:ascii="宋体" w:hAnsi="宋体" w:cs="宋体"/>
          <w:color w:val="auto"/>
          <w:szCs w:val="24"/>
          <w:highlight w:val="none"/>
          <w:lang w:val="en-US" w:eastAsia="zh-CN"/>
        </w:rPr>
        <w:t>伍</w:t>
      </w:r>
      <w:r>
        <w:rPr>
          <w:rFonts w:hint="eastAsia" w:ascii="宋体" w:hAnsi="宋体" w:cs="宋体"/>
          <w:color w:val="auto"/>
          <w:szCs w:val="24"/>
          <w:highlight w:val="none"/>
          <w:lang w:eastAsia="zh-CN"/>
        </w:rPr>
        <w:t>拾</w:t>
      </w:r>
      <w:r>
        <w:rPr>
          <w:rFonts w:hint="eastAsia" w:ascii="宋体" w:hAnsi="宋体" w:cs="宋体"/>
          <w:color w:val="auto"/>
          <w:szCs w:val="24"/>
          <w:highlight w:val="none"/>
          <w:lang w:val="en-US" w:eastAsia="zh-CN"/>
        </w:rPr>
        <w:t>玖</w:t>
      </w:r>
      <w:r>
        <w:rPr>
          <w:rFonts w:hint="eastAsia" w:ascii="宋体" w:hAnsi="宋体" w:cs="宋体"/>
          <w:color w:val="auto"/>
          <w:szCs w:val="24"/>
          <w:highlight w:val="none"/>
          <w:lang w:eastAsia="zh-CN"/>
        </w:rPr>
        <w:t>万元整（￥1</w:t>
      </w:r>
      <w:r>
        <w:rPr>
          <w:rFonts w:hint="eastAsia" w:ascii="宋体" w:hAnsi="宋体" w:cs="宋体"/>
          <w:color w:val="auto"/>
          <w:szCs w:val="24"/>
          <w:highlight w:val="none"/>
          <w:lang w:val="en-US" w:eastAsia="zh-CN"/>
        </w:rPr>
        <w:t>59</w:t>
      </w:r>
      <w:r>
        <w:rPr>
          <w:rFonts w:hint="eastAsia" w:ascii="宋体" w:hAnsi="宋体" w:cs="宋体"/>
          <w:color w:val="auto"/>
          <w:szCs w:val="24"/>
          <w:highlight w:val="none"/>
          <w:lang w:eastAsia="zh-CN"/>
        </w:rPr>
        <w:t>0000.00元）</w:t>
      </w:r>
    </w:p>
    <w:p w14:paraId="49497CFB">
      <w:pPr>
        <w:spacing w:line="360" w:lineRule="auto"/>
        <w:ind w:firstLine="420"/>
        <w:rPr>
          <w:rFonts w:hint="eastAsia" w:ascii="宋体" w:hAnsi="宋体" w:eastAsiaTheme="minorEastAsia"/>
          <w:color w:val="auto"/>
          <w:highlight w:val="none"/>
          <w:lang w:val="en-US" w:eastAsia="zh-CN"/>
        </w:rPr>
      </w:pPr>
      <w:r>
        <w:rPr>
          <w:rFonts w:hint="eastAsia" w:asciiTheme="minorEastAsia" w:hAnsiTheme="minorEastAsia" w:eastAsiaTheme="minorEastAsia" w:cstheme="minorEastAsia"/>
          <w:color w:val="auto"/>
          <w:highlight w:val="none"/>
        </w:rPr>
        <w:t>5、采购需求：</w:t>
      </w:r>
      <w:r>
        <w:rPr>
          <w:rFonts w:hint="eastAsia" w:ascii="宋体" w:hAnsi="宋体" w:eastAsiaTheme="minorEastAsia"/>
          <w:color w:val="auto"/>
          <w:highlight w:val="none"/>
          <w:lang w:eastAsia="zh-CN"/>
        </w:rPr>
        <w:t>2026年度化工园区应急指挥中心运维服务</w:t>
      </w:r>
      <w:r>
        <w:rPr>
          <w:rFonts w:hint="eastAsia" w:ascii="宋体" w:hAnsi="宋体" w:eastAsia="宋体" w:cs="宋体"/>
          <w:color w:val="auto"/>
          <w:sz w:val="21"/>
          <w:szCs w:val="21"/>
          <w:highlight w:val="none"/>
          <w:lang w:val="zh-CN"/>
        </w:rPr>
        <w:t>（详见招标文件）</w:t>
      </w:r>
      <w:r>
        <w:rPr>
          <w:rFonts w:hint="eastAsia" w:ascii="宋体" w:hAnsi="宋体" w:eastAsiaTheme="minorEastAsia"/>
          <w:color w:val="auto"/>
          <w:highlight w:val="none"/>
          <w:lang w:eastAsia="zh-CN"/>
        </w:rPr>
        <w:t>。</w:t>
      </w:r>
    </w:p>
    <w:p w14:paraId="1470B99C">
      <w:pPr>
        <w:spacing w:line="360" w:lineRule="auto"/>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6、合同履行期限：</w:t>
      </w:r>
      <w:r>
        <w:rPr>
          <w:rFonts w:hint="eastAsia" w:asciiTheme="minorEastAsia" w:hAnsiTheme="minorEastAsia" w:eastAsiaTheme="minorEastAsia" w:cstheme="minorEastAsia"/>
          <w:color w:val="auto"/>
          <w:highlight w:val="none"/>
          <w:lang w:val="en-US" w:eastAsia="zh-CN"/>
        </w:rPr>
        <w:t>壹年</w:t>
      </w:r>
      <w:r>
        <w:rPr>
          <w:rFonts w:hint="eastAsia" w:ascii="宋体" w:hAnsi="宋体"/>
          <w:color w:val="auto"/>
          <w:highlight w:val="none"/>
          <w:lang w:val="en-US" w:eastAsia="zh-CN"/>
        </w:rPr>
        <w:t>（2026年10月1日-2027年9月30日）</w:t>
      </w:r>
      <w:r>
        <w:rPr>
          <w:rFonts w:hint="eastAsia" w:ascii="宋体" w:hAnsi="宋体"/>
          <w:color w:val="auto"/>
          <w:highlight w:val="none"/>
        </w:rPr>
        <w:t>。</w:t>
      </w:r>
    </w:p>
    <w:p w14:paraId="1201DA87">
      <w:pPr>
        <w:widowControl/>
        <w:spacing w:line="360" w:lineRule="auto"/>
        <w:ind w:firstLine="420"/>
        <w:jc w:val="left"/>
        <w:rPr>
          <w:rFonts w:hint="eastAsia" w:ascii="宋体" w:hAnsi="宋体"/>
          <w:color w:val="auto"/>
          <w:highlight w:val="none"/>
        </w:rPr>
      </w:pPr>
      <w:r>
        <w:rPr>
          <w:rFonts w:hint="eastAsia" w:asciiTheme="minorEastAsia" w:hAnsiTheme="minorEastAsia" w:eastAsiaTheme="minorEastAsia" w:cstheme="minorEastAsia"/>
          <w:color w:val="auto"/>
          <w:highlight w:val="none"/>
        </w:rPr>
        <w:t>7、</w:t>
      </w:r>
      <w:r>
        <w:rPr>
          <w:rFonts w:hint="eastAsia" w:ascii="宋体" w:hAnsi="宋体"/>
          <w:color w:val="auto"/>
          <w:highlight w:val="none"/>
        </w:rPr>
        <w:t>本项目是否接受联合体投标：否。</w:t>
      </w:r>
    </w:p>
    <w:p w14:paraId="0A94577E">
      <w:pPr>
        <w:widowControl/>
        <w:spacing w:line="360" w:lineRule="auto"/>
        <w:ind w:firstLine="420"/>
        <w:jc w:val="lef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8、本项目不允许分包。</w:t>
      </w:r>
    </w:p>
    <w:p w14:paraId="7D6C7C25">
      <w:pPr>
        <w:widowControl/>
        <w:spacing w:line="360" w:lineRule="auto"/>
        <w:jc w:val="left"/>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二、申请人的资格要求</w:t>
      </w:r>
    </w:p>
    <w:p w14:paraId="3FF9E47B">
      <w:pPr>
        <w:widowControl/>
        <w:spacing w:line="360" w:lineRule="auto"/>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（一）满足《中华人民共和国政府采购法》第二十二条规定</w:t>
      </w:r>
    </w:p>
    <w:p w14:paraId="0272E0E7">
      <w:pPr>
        <w:pStyle w:val="50"/>
        <w:widowControl/>
        <w:shd w:val="clear" w:color="auto" w:fill="FFFFFF"/>
        <w:spacing w:line="360" w:lineRule="auto"/>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1、具有独立承担民事责任的能力（提供法人或者其他组织的营业执照等证明文件，自然人的身份证明）</w:t>
      </w:r>
    </w:p>
    <w:p w14:paraId="5386B70D">
      <w:pPr>
        <w:pStyle w:val="50"/>
        <w:widowControl/>
        <w:shd w:val="clear" w:color="auto" w:fill="FFFFFF"/>
        <w:spacing w:line="360" w:lineRule="auto"/>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2、具有良好的商业信誉和健全的财务会计制度（提供最近一期的财务状况报告，其他组织、自然人提供银行出具的资信证明,）</w:t>
      </w:r>
    </w:p>
    <w:p w14:paraId="79286250">
      <w:pPr>
        <w:pStyle w:val="50"/>
        <w:widowControl/>
        <w:shd w:val="clear" w:color="auto" w:fill="FFFFFF"/>
        <w:spacing w:line="360" w:lineRule="auto"/>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3、具有履行合同所必需的设备和专业技术能力（提供履行合同所必需的设备和专业技术能力的证明材料）；</w:t>
      </w:r>
    </w:p>
    <w:p w14:paraId="0B3F9442">
      <w:pPr>
        <w:pStyle w:val="50"/>
        <w:widowControl/>
        <w:shd w:val="clear" w:color="auto" w:fill="FFFFFF"/>
        <w:spacing w:line="360" w:lineRule="auto"/>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4、有依法缴纳税收和社会保障资金的良好记录（提供参加本次政府采购活动前半年（至少一个月）依法缴纳税收和社会保障资金的证明材料，依法免税或不需要缴纳社会保障资金的，提供相关证明文件）；</w:t>
      </w:r>
    </w:p>
    <w:p w14:paraId="75E3E4A5">
      <w:pPr>
        <w:pStyle w:val="50"/>
        <w:widowControl/>
        <w:shd w:val="clear" w:color="auto" w:fill="FFFFFF"/>
        <w:spacing w:line="360" w:lineRule="auto"/>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5、参加政府采购活动前三年内，在经营活动中没有重大违法记录（提供参加本次政府采购活动前3年内在经营活动中没有重大违法记录的书面声明）（格式附后）；</w:t>
      </w:r>
    </w:p>
    <w:p w14:paraId="413CD705">
      <w:pPr>
        <w:pStyle w:val="50"/>
        <w:widowControl/>
        <w:shd w:val="clear" w:color="auto" w:fill="FFFFFF"/>
        <w:spacing w:line="360" w:lineRule="auto"/>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6、法律、行政法规规定的其他条件；</w:t>
      </w:r>
    </w:p>
    <w:p w14:paraId="0BC3837B">
      <w:pPr>
        <w:widowControl/>
        <w:spacing w:line="420" w:lineRule="exact"/>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（二）落实政府采购政策需满足的资格要求：</w:t>
      </w:r>
      <w:bookmarkStart w:id="5" w:name="_Toc28359013"/>
    </w:p>
    <w:p w14:paraId="7FF1F8DB">
      <w:pPr>
        <w:widowControl/>
        <w:spacing w:line="420" w:lineRule="exact"/>
        <w:ind w:firstLine="420"/>
        <w:jc w:val="left"/>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rPr>
        <w:t>本项目专门面向中小企业采购，</w:t>
      </w:r>
      <w:r>
        <w:rPr>
          <w:rFonts w:hint="eastAsia" w:asciiTheme="minorEastAsia" w:hAnsiTheme="minorEastAsia" w:eastAsiaTheme="minorEastAsia" w:cstheme="minorEastAsia"/>
          <w:b w:val="0"/>
          <w:bCs w:val="0"/>
          <w:color w:val="auto"/>
          <w:highlight w:val="none"/>
          <w:lang w:val="en-US" w:eastAsia="en-US"/>
        </w:rPr>
        <w:t>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Theme="minorEastAsia" w:hAnsiTheme="minorEastAsia" w:eastAsiaTheme="minorEastAsia" w:cstheme="minorEastAsia"/>
          <w:b w:val="0"/>
          <w:bCs w:val="0"/>
          <w:color w:val="auto"/>
          <w:highlight w:val="none"/>
        </w:rPr>
        <w:t>。所属行业为</w:t>
      </w:r>
      <w:r>
        <w:rPr>
          <w:rFonts w:hint="eastAsia" w:asciiTheme="minorEastAsia" w:hAnsiTheme="minorEastAsia" w:eastAsiaTheme="minorEastAsia" w:cstheme="minorEastAsia"/>
          <w:b w:val="0"/>
          <w:bCs w:val="0"/>
          <w:color w:val="auto"/>
          <w:highlight w:val="none"/>
          <w:lang w:val="en-US" w:eastAsia="zh-CN"/>
        </w:rPr>
        <w:t>租赁和商务服务业</w:t>
      </w:r>
      <w:r>
        <w:rPr>
          <w:rFonts w:hint="eastAsia" w:asciiTheme="minorEastAsia" w:hAnsiTheme="minorEastAsia" w:eastAsiaTheme="minorEastAsia" w:cstheme="minorEastAsia"/>
          <w:b w:val="0"/>
          <w:bCs w:val="0"/>
          <w:color w:val="auto"/>
          <w:highlight w:val="none"/>
          <w:lang w:val="en-US" w:eastAsia="en-US"/>
        </w:rPr>
        <w:t>。</w:t>
      </w:r>
      <w:bookmarkEnd w:id="5"/>
    </w:p>
    <w:p w14:paraId="7E7AFF19">
      <w:pPr>
        <w:widowControl/>
        <w:spacing w:line="360" w:lineRule="auto"/>
        <w:jc w:val="left"/>
        <w:rPr>
          <w:rFonts w:hint="eastAsia" w:ascii="宋体" w:hAnsi="宋体" w:cs="宋体"/>
          <w:b/>
          <w:bCs/>
          <w:color w:val="auto"/>
          <w:sz w:val="21"/>
          <w:szCs w:val="21"/>
          <w:highlight w:val="none"/>
          <w:lang w:val="en-US" w:eastAsia="zh-CN" w:bidi="ar-SA"/>
        </w:rPr>
      </w:pPr>
      <w:r>
        <w:rPr>
          <w:rFonts w:hint="eastAsia" w:asciiTheme="minorEastAsia" w:hAnsiTheme="minorEastAsia" w:eastAsiaTheme="minorEastAsia" w:cstheme="minorEastAsia"/>
          <w:color w:val="auto"/>
          <w:highlight w:val="none"/>
        </w:rPr>
        <w:t>（三）本项目的特定资格要求：</w:t>
      </w:r>
      <w:r>
        <w:rPr>
          <w:rFonts w:hint="eastAsia" w:ascii="宋体" w:hAnsi="宋体" w:eastAsia="宋体" w:cs="宋体"/>
          <w:b/>
          <w:bCs/>
          <w:color w:val="auto"/>
          <w:sz w:val="21"/>
          <w:szCs w:val="21"/>
          <w:highlight w:val="none"/>
          <w:lang w:val="en-US" w:eastAsia="zh-CN" w:bidi="ar-SA"/>
        </w:rPr>
        <w:t>须配备一支</w:t>
      </w:r>
      <w:r>
        <w:rPr>
          <w:rFonts w:hint="eastAsia" w:ascii="宋体" w:hAnsi="宋体" w:cs="宋体"/>
          <w:b/>
          <w:bCs/>
          <w:color w:val="auto"/>
          <w:sz w:val="21"/>
          <w:szCs w:val="21"/>
          <w:highlight w:val="none"/>
          <w:lang w:val="en-US" w:eastAsia="zh-CN" w:bidi="ar-SA"/>
        </w:rPr>
        <w:t>不</w:t>
      </w:r>
      <w:r>
        <w:rPr>
          <w:rFonts w:hint="eastAsia" w:ascii="宋体" w:hAnsi="宋体" w:eastAsia="宋体" w:cs="宋体"/>
          <w:b/>
          <w:bCs/>
          <w:color w:val="auto"/>
          <w:sz w:val="21"/>
          <w:szCs w:val="21"/>
          <w:highlight w:val="none"/>
          <w:lang w:val="en-US" w:eastAsia="zh-CN" w:bidi="ar-SA"/>
        </w:rPr>
        <w:t>少</w:t>
      </w:r>
      <w:r>
        <w:rPr>
          <w:rFonts w:hint="eastAsia" w:ascii="宋体" w:hAnsi="宋体" w:cs="宋体"/>
          <w:b/>
          <w:bCs/>
          <w:color w:val="auto"/>
          <w:sz w:val="21"/>
          <w:szCs w:val="21"/>
          <w:highlight w:val="none"/>
          <w:lang w:val="en-US" w:eastAsia="zh-CN" w:bidi="ar-SA"/>
        </w:rPr>
        <w:t>于</w:t>
      </w:r>
      <w:r>
        <w:rPr>
          <w:rFonts w:hint="eastAsia" w:ascii="宋体" w:hAnsi="宋体" w:eastAsia="宋体" w:cs="宋体"/>
          <w:b/>
          <w:bCs/>
          <w:color w:val="auto"/>
          <w:sz w:val="21"/>
          <w:szCs w:val="21"/>
          <w:highlight w:val="none"/>
          <w:lang w:val="en-US" w:eastAsia="zh-CN" w:bidi="ar-SA"/>
        </w:rPr>
        <w:t>16人的专业化服务团队（包含管理人员和运维值班人员）</w:t>
      </w:r>
      <w:r>
        <w:rPr>
          <w:rFonts w:hint="eastAsia" w:ascii="宋体" w:hAnsi="宋体" w:cs="宋体"/>
          <w:b/>
          <w:bCs/>
          <w:color w:val="auto"/>
          <w:sz w:val="21"/>
          <w:szCs w:val="21"/>
          <w:highlight w:val="none"/>
          <w:lang w:val="en-US" w:eastAsia="zh-CN" w:bidi="ar-SA"/>
        </w:rPr>
        <w:t>，拟投项目人员应当与投标人签订《劳动合同》或者承诺中标后聘请与投标人签订《劳动合同》的服务人员，按要求提供劳动合同或承诺，否则视为无效投标。</w:t>
      </w:r>
    </w:p>
    <w:p w14:paraId="299AC9EE">
      <w:pPr>
        <w:pBdr>
          <w:top w:val="none" w:color="000000" w:sz="0" w:space="0"/>
          <w:left w:val="none" w:color="000000" w:sz="0" w:space="0"/>
          <w:bottom w:val="none" w:color="000000" w:sz="0" w:space="0"/>
          <w:right w:val="none" w:color="000000" w:sz="0" w:space="0"/>
        </w:pBdr>
        <w:spacing w:before="0" w:after="0"/>
        <w:ind w:left="0" w:right="0" w:firstLine="0"/>
        <w:jc w:val="both"/>
        <w:rPr>
          <w:color w:val="auto"/>
          <w:sz w:val="21"/>
          <w:szCs w:val="21"/>
          <w:highlight w:val="none"/>
        </w:rPr>
      </w:pPr>
    </w:p>
    <w:p w14:paraId="39BC6E2E">
      <w:pPr>
        <w:pStyle w:val="50"/>
        <w:widowControl/>
        <w:shd w:val="clear" w:color="auto" w:fill="FFFFFF"/>
        <w:spacing w:line="360" w:lineRule="auto"/>
        <w:jc w:val="left"/>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（四）拒绝下述投标人参加本次采购活动：</w:t>
      </w:r>
    </w:p>
    <w:p w14:paraId="2E73D905">
      <w:pPr>
        <w:pStyle w:val="50"/>
        <w:widowControl/>
        <w:shd w:val="clear" w:color="auto" w:fill="FFFFFF"/>
        <w:spacing w:line="360" w:lineRule="auto"/>
        <w:ind w:firstLine="420"/>
        <w:jc w:val="left"/>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1、投标人单位负责人为同一人或者存在直接控股、管理关系的不同供应商，不得参加同一合同项下的政府采购活动。</w:t>
      </w:r>
    </w:p>
    <w:p w14:paraId="59D35030">
      <w:pPr>
        <w:pStyle w:val="50"/>
        <w:widowControl/>
        <w:shd w:val="clear" w:color="auto" w:fill="FFFFFF"/>
        <w:spacing w:line="360" w:lineRule="auto"/>
        <w:ind w:firstLine="420"/>
        <w:jc w:val="left"/>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2、凡为采购项目提供整体设计、规范编制或者项目管理、监理、检测等服务的投标人，不得再参加本项目的采购活动。</w:t>
      </w:r>
    </w:p>
    <w:p w14:paraId="6A4C3FCD">
      <w:pPr>
        <w:pStyle w:val="50"/>
        <w:widowControl/>
        <w:shd w:val="clear" w:color="auto" w:fill="FFFFFF"/>
        <w:spacing w:line="360" w:lineRule="auto"/>
        <w:ind w:firstLine="420"/>
        <w:jc w:val="left"/>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3、法人的分支机构不得参加投标（除银行、保险、石油石化、电力、电信等行业特殊情况外）</w:t>
      </w:r>
    </w:p>
    <w:p w14:paraId="3667481B">
      <w:pPr>
        <w:pStyle w:val="50"/>
        <w:widowControl/>
        <w:shd w:val="clear" w:color="auto" w:fill="FFFFFF"/>
        <w:spacing w:line="360" w:lineRule="auto"/>
        <w:ind w:firstLine="420"/>
        <w:jc w:val="left"/>
        <w:rPr>
          <w:rFonts w:hint="eastAsia" w:asciiTheme="minorEastAsia" w:hAnsiTheme="minorEastAsia" w:eastAsiaTheme="minorEastAsia" w:cstheme="minorEastAsia"/>
          <w:color w:val="auto"/>
          <w:sz w:val="21"/>
          <w:highlight w:val="none"/>
        </w:rPr>
      </w:pPr>
      <w:r>
        <w:rPr>
          <w:rFonts w:hint="eastAsia" w:ascii="宋体" w:hAnsi="宋体" w:eastAsia="宋体" w:cs="宋体"/>
          <w:b w:val="0"/>
          <w:bCs/>
          <w:color w:val="auto"/>
          <w:sz w:val="21"/>
          <w:highlight w:val="none"/>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的规定，</w:t>
      </w:r>
      <w:r>
        <w:rPr>
          <w:rFonts w:hint="eastAsia" w:ascii="宋体" w:hAnsi="宋体" w:eastAsia="宋体" w:cs="宋体"/>
          <w:b w:val="0"/>
          <w:bCs/>
          <w:color w:val="auto"/>
          <w:sz w:val="21"/>
          <w:highlight w:val="none"/>
          <w:lang w:val="en-US" w:eastAsia="en-US"/>
        </w:rPr>
        <w:t>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color w:val="auto"/>
          <w:sz w:val="21"/>
          <w:highlight w:val="none"/>
        </w:rPr>
        <w:t>。</w:t>
      </w:r>
    </w:p>
    <w:p w14:paraId="0B140EDF">
      <w:pPr>
        <w:widowControl/>
        <w:shd w:val="clear" w:color="auto" w:fill="FFFFFF"/>
        <w:spacing w:line="440" w:lineRule="exact"/>
        <w:jc w:val="left"/>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三、获取招标文件</w:t>
      </w:r>
    </w:p>
    <w:p w14:paraId="044509DC">
      <w:pPr>
        <w:pStyle w:val="303"/>
        <w:spacing w:line="360" w:lineRule="auto"/>
        <w:rPr>
          <w:rFonts w:cs="宋体"/>
          <w:color w:val="auto"/>
          <w:sz w:val="21"/>
          <w:highlight w:val="none"/>
        </w:rPr>
      </w:pPr>
      <w:r>
        <w:rPr>
          <w:rFonts w:cs="宋体"/>
          <w:color w:val="auto"/>
          <w:sz w:val="21"/>
          <w:highlight w:val="none"/>
        </w:rPr>
        <w:t>1、时间：</w:t>
      </w:r>
      <w:r>
        <w:rPr>
          <w:rFonts w:hint="eastAsia" w:cs="宋体"/>
          <w:color w:val="auto"/>
          <w:sz w:val="21"/>
          <w:highlight w:val="none"/>
        </w:rPr>
        <w:t>自招标文件公告发布之日起5个工作日</w:t>
      </w:r>
      <w:r>
        <w:rPr>
          <w:rFonts w:hint="eastAsia" w:cs="宋体"/>
          <w:bCs/>
          <w:color w:val="auto"/>
          <w:sz w:val="21"/>
          <w:highlight w:val="none"/>
        </w:rPr>
        <w:t>。</w:t>
      </w:r>
    </w:p>
    <w:p w14:paraId="62621FBA">
      <w:pPr>
        <w:pStyle w:val="303"/>
        <w:spacing w:line="360" w:lineRule="auto"/>
        <w:rPr>
          <w:rFonts w:cs="宋体"/>
          <w:color w:val="auto"/>
          <w:sz w:val="21"/>
          <w:highlight w:val="none"/>
        </w:rPr>
      </w:pPr>
      <w:r>
        <w:rPr>
          <w:rFonts w:hint="eastAsia" w:cs="宋体"/>
          <w:color w:val="auto"/>
          <w:sz w:val="21"/>
          <w:highlight w:val="none"/>
        </w:rPr>
        <w:t>2、</w:t>
      </w:r>
      <w:r>
        <w:rPr>
          <w:rFonts w:cs="宋体"/>
          <w:color w:val="auto"/>
          <w:sz w:val="21"/>
          <w:highlight w:val="none"/>
        </w:rPr>
        <w:t>地点：</w:t>
      </w:r>
      <w:r>
        <w:rPr>
          <w:rFonts w:hint="eastAsia" w:cs="宋体"/>
          <w:color w:val="auto"/>
          <w:sz w:val="21"/>
          <w:highlight w:val="none"/>
        </w:rPr>
        <w:t>苏采云政府采购一体化平台</w:t>
      </w:r>
    </w:p>
    <w:p w14:paraId="70428C34">
      <w:pPr>
        <w:pStyle w:val="303"/>
        <w:spacing w:line="360" w:lineRule="auto"/>
        <w:rPr>
          <w:rFonts w:hint="eastAsia" w:cs="宋体"/>
          <w:color w:val="auto"/>
          <w:sz w:val="21"/>
          <w:highlight w:val="none"/>
        </w:rPr>
      </w:pPr>
      <w:r>
        <w:rPr>
          <w:rFonts w:hint="eastAsia" w:cs="宋体"/>
          <w:color w:val="auto"/>
          <w:sz w:val="21"/>
          <w:highlight w:val="none"/>
        </w:rPr>
        <w:t>3、方式：苏采云政府采购一体化平台</w:t>
      </w:r>
    </w:p>
    <w:p w14:paraId="5C836DDD">
      <w:pPr>
        <w:pStyle w:val="303"/>
        <w:spacing w:line="360" w:lineRule="auto"/>
        <w:rPr>
          <w:rFonts w:cs="宋体"/>
          <w:color w:val="auto"/>
          <w:sz w:val="21"/>
          <w:highlight w:val="none"/>
        </w:rPr>
      </w:pPr>
      <w:r>
        <w:rPr>
          <w:rFonts w:hint="eastAsia" w:cs="宋体"/>
          <w:color w:val="auto"/>
          <w:sz w:val="21"/>
          <w:highlight w:val="none"/>
        </w:rPr>
        <w:t>4、售价：0.00元</w:t>
      </w:r>
    </w:p>
    <w:p w14:paraId="1B195C7D">
      <w:pPr>
        <w:widowControl/>
        <w:spacing w:line="360" w:lineRule="auto"/>
        <w:jc w:val="left"/>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四、提交电子投标文件截止时间、开标时间和地点</w:t>
      </w:r>
    </w:p>
    <w:p w14:paraId="7700D464">
      <w:pPr>
        <w:widowControl/>
        <w:spacing w:line="360" w:lineRule="auto"/>
        <w:ind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2026</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lang w:val="en-US" w:eastAsia="zh-CN"/>
        </w:rPr>
        <w:t>09</w:t>
      </w:r>
      <w:r>
        <w:rPr>
          <w:rFonts w:hint="eastAsia" w:asciiTheme="minorEastAsia" w:hAnsiTheme="minorEastAsia" w:eastAsiaTheme="minorEastAsia" w:cstheme="minorEastAsia"/>
          <w:color w:val="auto"/>
          <w:highlight w:val="none"/>
        </w:rPr>
        <w:t>月</w:t>
      </w:r>
      <w:r>
        <w:rPr>
          <w:rFonts w:hint="eastAsia" w:asciiTheme="minorEastAsia" w:hAnsiTheme="minorEastAsia" w:cstheme="minorEastAsia"/>
          <w:color w:val="auto"/>
          <w:highlight w:val="none"/>
          <w:lang w:val="en-US" w:eastAsia="zh-CN"/>
        </w:rPr>
        <w:t>18</w:t>
      </w:r>
      <w:bookmarkStart w:id="28" w:name="_GoBack"/>
      <w:bookmarkEnd w:id="28"/>
      <w:r>
        <w:rPr>
          <w:rFonts w:hint="eastAsia" w:asciiTheme="minorEastAsia" w:hAnsiTheme="minorEastAsia" w:eastAsiaTheme="minorEastAsia" w:cstheme="minorEastAsia"/>
          <w:color w:val="auto"/>
          <w:highlight w:val="none"/>
        </w:rPr>
        <w:t>日</w:t>
      </w:r>
      <w:r>
        <w:rPr>
          <w:rFonts w:hint="eastAsia" w:asciiTheme="minorEastAsia" w:hAnsiTheme="minorEastAsia" w:eastAsiaTheme="minorEastAsia" w:cstheme="minorEastAsia"/>
          <w:color w:val="auto"/>
          <w:highlight w:val="none"/>
          <w:lang w:val="en-US" w:eastAsia="zh-CN"/>
        </w:rPr>
        <w:t>09</w:t>
      </w:r>
      <w:r>
        <w:rPr>
          <w:rFonts w:hint="eastAsia" w:asciiTheme="minorEastAsia" w:hAnsiTheme="minorEastAsia" w:eastAsiaTheme="minorEastAsia" w:cstheme="minorEastAsia"/>
          <w:color w:val="auto"/>
          <w:highlight w:val="none"/>
        </w:rPr>
        <w:t>点</w:t>
      </w: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0分（北京时间）</w:t>
      </w:r>
    </w:p>
    <w:p w14:paraId="33E0A0CA">
      <w:pPr>
        <w:widowControl/>
        <w:spacing w:line="360" w:lineRule="auto"/>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地点：</w:t>
      </w:r>
      <w:r>
        <w:rPr>
          <w:rFonts w:hint="eastAsia" w:cs="宋体"/>
          <w:color w:val="auto"/>
          <w:sz w:val="21"/>
          <w:highlight w:val="none"/>
        </w:rPr>
        <w:t>苏采云政府采购一体化平台</w:t>
      </w:r>
    </w:p>
    <w:p w14:paraId="3A561D69">
      <w:pPr>
        <w:widowControl/>
        <w:spacing w:line="360" w:lineRule="auto"/>
        <w:jc w:val="left"/>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五、公告期限</w:t>
      </w:r>
    </w:p>
    <w:p w14:paraId="0691699A">
      <w:pPr>
        <w:widowControl/>
        <w:spacing w:line="360" w:lineRule="auto"/>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自本公告发布之日起5个工作日。 </w:t>
      </w:r>
    </w:p>
    <w:p w14:paraId="292BBB4A">
      <w:pPr>
        <w:widowControl/>
        <w:spacing w:line="360" w:lineRule="auto"/>
        <w:jc w:val="left"/>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六、其他补充事宜</w:t>
      </w:r>
    </w:p>
    <w:p w14:paraId="731D8F2A">
      <w:pPr>
        <w:widowControl/>
        <w:numPr>
          <w:ilvl w:val="0"/>
          <w:numId w:val="2"/>
        </w:numPr>
        <w:spacing w:line="360" w:lineRule="auto"/>
        <w:ind w:left="0" w:firstLine="403"/>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本项目需要使用CA数字证书制作、上传电子投标文件件完成电子投标，请供应商在参加投标活动前办理好CA数字证书申领及电子签章等操作。</w:t>
      </w:r>
    </w:p>
    <w:p w14:paraId="75AABB77">
      <w:pPr>
        <w:widowControl/>
        <w:numPr>
          <w:ilvl w:val="0"/>
          <w:numId w:val="2"/>
        </w:numPr>
        <w:spacing w:line="360" w:lineRule="auto"/>
        <w:ind w:left="0" w:firstLine="403"/>
        <w:jc w:val="left"/>
        <w:rPr>
          <w:rFonts w:hint="eastAsia" w:cs="宋体"/>
          <w:color w:val="auto"/>
          <w:sz w:val="21"/>
          <w:highlight w:val="none"/>
        </w:rPr>
      </w:pPr>
      <w:r>
        <w:rPr>
          <w:rFonts w:hint="eastAsia" w:cs="宋体"/>
          <w:color w:val="auto"/>
          <w:sz w:val="21"/>
          <w:highlight w:val="none"/>
        </w:rPr>
        <w:t>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cs="宋体"/>
          <w:color w:val="auto"/>
          <w:sz w:val="21"/>
          <w:highlight w:val="none"/>
          <w:lang w:eastAsia="zh-CN"/>
        </w:rPr>
        <w:t>。</w:t>
      </w:r>
    </w:p>
    <w:p w14:paraId="6FEC64FA">
      <w:pPr>
        <w:widowControl/>
        <w:numPr>
          <w:ilvl w:val="0"/>
          <w:numId w:val="2"/>
        </w:numPr>
        <w:spacing w:line="360" w:lineRule="auto"/>
        <w:ind w:left="0" w:firstLine="403"/>
        <w:jc w:val="left"/>
        <w:rPr>
          <w:rFonts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本项目采用不见面开标，采取网上开标大厅解密电子投标文件，投标人远程解密要求如下：</w:t>
      </w:r>
    </w:p>
    <w:p w14:paraId="7E46676F">
      <w:pPr>
        <w:widowControl/>
        <w:spacing w:line="360" w:lineRule="auto"/>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（1）投标人使用CA数字证书进行远程解密，解密的CA数字证书与生成加密电子投标文件时的CA数字证书需为同一个CA数字证书，否则无法解密，造成的后果由投标人自行负责。</w:t>
      </w:r>
    </w:p>
    <w:p w14:paraId="0D0FD402">
      <w:pPr>
        <w:widowControl/>
        <w:spacing w:line="360" w:lineRule="auto"/>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（2）投标人登录苏</w:t>
      </w:r>
      <w:r>
        <w:rPr>
          <w:rFonts w:hint="eastAsia" w:asciiTheme="minorEastAsia" w:hAnsiTheme="minorEastAsia" w:eastAsiaTheme="minorEastAsia" w:cstheme="minorEastAsia"/>
          <w:color w:val="auto"/>
          <w:highlight w:val="none"/>
          <w:lang w:eastAsia="zh-CN"/>
        </w:rPr>
        <w:t>采云系统</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点击开标大厅，选择开标项目，完成</w:t>
      </w:r>
      <w:r>
        <w:rPr>
          <w:rFonts w:hint="eastAsia" w:asciiTheme="minorEastAsia" w:hAnsiTheme="minorEastAsia" w:eastAsiaTheme="minorEastAsia" w:cstheme="minorEastAsia"/>
          <w:color w:val="auto"/>
          <w:highlight w:val="none"/>
        </w:rPr>
        <w:t>不见面开标流程。</w:t>
      </w:r>
    </w:p>
    <w:p w14:paraId="72AECBED">
      <w:pPr>
        <w:widowControl/>
        <w:spacing w:line="360" w:lineRule="auto"/>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（3）投标截止时间后根据系统提示解密电子投标文件。解密时间为 </w:t>
      </w:r>
      <w:r>
        <w:rPr>
          <w:rFonts w:hint="eastAsia" w:asciiTheme="minorEastAsia" w:hAnsiTheme="minorEastAsia" w:eastAsiaTheme="minorEastAsia" w:cstheme="minorEastAsia"/>
          <w:color w:val="auto"/>
          <w:highlight w:val="none"/>
          <w:lang w:val="en-US" w:eastAsia="zh-CN"/>
        </w:rPr>
        <w:t>15</w:t>
      </w:r>
      <w:r>
        <w:rPr>
          <w:rFonts w:hint="eastAsia" w:asciiTheme="minorEastAsia" w:hAnsiTheme="minorEastAsia" w:eastAsiaTheme="minorEastAsia" w:cstheme="minorEastAsia"/>
          <w:color w:val="auto"/>
          <w:highlight w:val="none"/>
        </w:rPr>
        <w:t xml:space="preserve"> 分钟，未在规定时间内完成解密，其投标文件将被拒绝，不参与后续采购流程。</w:t>
      </w:r>
    </w:p>
    <w:p w14:paraId="634A38FC">
      <w:pPr>
        <w:widowControl/>
        <w:spacing w:line="360" w:lineRule="auto"/>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（4）在开标、评标过程中投标单位代表须在网上不见面开标系统中保持在线状态，以应对可能发生的澄清、说明等回复，由于投标单位代表不在线所造成的一切后果由投标人自行承担。</w:t>
      </w:r>
    </w:p>
    <w:p w14:paraId="6469B86C">
      <w:pPr>
        <w:widowControl/>
        <w:numPr>
          <w:ilvl w:val="0"/>
          <w:numId w:val="2"/>
        </w:numPr>
        <w:spacing w:line="360" w:lineRule="auto"/>
        <w:ind w:left="0" w:firstLine="403"/>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en-US"/>
        </w:rPr>
        <w:t>有关苏采云系统驱动安装，登录苏州政府采购网，点击页面底部苏采云图标，进入苏采云政府采购一体化平台，点击“驱动下载”，下载“政务CA、方正签章控件驱动安装包及安装说明”文件，按要求安装驱动。</w:t>
      </w:r>
    </w:p>
    <w:p w14:paraId="24FF8DC8">
      <w:pPr>
        <w:widowControl/>
        <w:numPr>
          <w:ilvl w:val="0"/>
          <w:numId w:val="2"/>
        </w:numPr>
        <w:spacing w:line="360" w:lineRule="auto"/>
        <w:ind w:left="0" w:firstLine="403"/>
        <w:jc w:val="left"/>
        <w:rPr>
          <w:rFonts w:hint="eastAsia" w:asciiTheme="minorEastAsia" w:hAnsiTheme="minorEastAsia" w:eastAsiaTheme="minorEastAsia" w:cstheme="minorEastAsia"/>
          <w:b w:val="0"/>
          <w:bCs w:val="0"/>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en-US"/>
        </w:rPr>
        <w:t>有关供应商注册、报名、下载电子招标文件、制作上传电子投标文件、不见面开标及其他注意事项登录苏州政府采购网，在“下载中心”栏目下载“苏采云系统供应商操作手册”查阅。</w:t>
      </w:r>
    </w:p>
    <w:p w14:paraId="43A0F3DC">
      <w:pPr>
        <w:widowControl/>
        <w:numPr>
          <w:ilvl w:val="0"/>
          <w:numId w:val="2"/>
        </w:numPr>
        <w:spacing w:line="360" w:lineRule="auto"/>
        <w:ind w:left="0" w:firstLine="403"/>
        <w:jc w:val="left"/>
        <w:rPr>
          <w:rFonts w:hint="eastAsia" w:asciiTheme="minorEastAsia" w:hAnsiTheme="minorEastAsia" w:eastAsiaTheme="minorEastAsia" w:cstheme="minorEastAsia"/>
          <w:b w:val="0"/>
          <w:bCs w:val="0"/>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en-US"/>
        </w:rPr>
        <w:t>有关办理CA数字申领及电子签章事项，登录苏州政府采购网，点击页面底部苏采云图标，进入苏采云政府采购一体化平台，下载“新CA办理指南”文件查阅。</w:t>
      </w:r>
    </w:p>
    <w:p w14:paraId="375BA0AA">
      <w:pPr>
        <w:widowControl/>
        <w:numPr>
          <w:ilvl w:val="0"/>
          <w:numId w:val="2"/>
        </w:numPr>
        <w:spacing w:line="360" w:lineRule="auto"/>
        <w:ind w:left="0" w:firstLine="403"/>
        <w:jc w:val="left"/>
        <w:rPr>
          <w:rFonts w:hint="eastAsia" w:asciiTheme="minorEastAsia" w:hAnsiTheme="minorEastAsia" w:eastAsiaTheme="minorEastAsia" w:cstheme="minorEastAsia"/>
          <w:b w:val="0"/>
          <w:bCs w:val="0"/>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en-US"/>
        </w:rPr>
        <w:t>本项目</w:t>
      </w:r>
      <w:r>
        <w:rPr>
          <w:rFonts w:hint="eastAsia" w:asciiTheme="minorEastAsia" w:hAnsiTheme="minorEastAsia" w:cstheme="minorEastAsia"/>
          <w:b w:val="0"/>
          <w:bCs w:val="0"/>
          <w:color w:val="auto"/>
          <w:highlight w:val="none"/>
          <w:lang w:val="en-US" w:eastAsia="zh-CN"/>
        </w:rPr>
        <w:t>无须缴纳</w:t>
      </w:r>
      <w:r>
        <w:rPr>
          <w:rFonts w:hint="eastAsia" w:asciiTheme="minorEastAsia" w:hAnsiTheme="minorEastAsia" w:eastAsiaTheme="minorEastAsia" w:cstheme="minorEastAsia"/>
          <w:b w:val="0"/>
          <w:bCs w:val="0"/>
          <w:color w:val="auto"/>
          <w:highlight w:val="none"/>
          <w:lang w:val="en-US" w:eastAsia="en-US"/>
        </w:rPr>
        <w:t>投标保证金。</w:t>
      </w:r>
    </w:p>
    <w:p w14:paraId="402ED240">
      <w:pPr>
        <w:widowControl/>
        <w:numPr>
          <w:ilvl w:val="0"/>
          <w:numId w:val="2"/>
        </w:numPr>
        <w:spacing w:line="360" w:lineRule="auto"/>
        <w:ind w:left="0" w:firstLine="403"/>
        <w:jc w:val="left"/>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lang w:val="en-US" w:eastAsia="en-US"/>
        </w:rPr>
        <w:t>政府采购履约资金扶持政策：中标供应商可凭政府采购合同办理融资贷款，详情请见江苏政府采购网‘政采贷’专栏</w:t>
      </w:r>
      <w:r>
        <w:rPr>
          <w:rFonts w:hint="eastAsia" w:asciiTheme="minorEastAsia" w:hAnsiTheme="minorEastAsia" w:eastAsiaTheme="minorEastAsia" w:cstheme="minorEastAsia"/>
          <w:b w:val="0"/>
          <w:bCs w:val="0"/>
          <w:color w:val="auto"/>
          <w:highlight w:val="none"/>
          <w:lang w:val="en-US" w:eastAsia="zh-CN"/>
        </w:rPr>
        <w:t>。</w:t>
      </w:r>
    </w:p>
    <w:p w14:paraId="22B1E06C">
      <w:pPr>
        <w:widowControl/>
        <w:numPr>
          <w:ilvl w:val="0"/>
          <w:numId w:val="2"/>
        </w:numPr>
        <w:spacing w:line="360" w:lineRule="auto"/>
        <w:ind w:left="0" w:firstLine="403"/>
        <w:jc w:val="left"/>
        <w:rPr>
          <w:rFonts w:hint="eastAsia" w:ascii="宋体" w:hAnsi="宋体" w:eastAsia="宋体" w:cs="宋体"/>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zh-CN"/>
        </w:rPr>
        <w:t>代理</w:t>
      </w:r>
      <w:r>
        <w:rPr>
          <w:rFonts w:hint="eastAsia" w:asciiTheme="minorEastAsia" w:hAnsiTheme="minorEastAsia" w:eastAsiaTheme="minorEastAsia" w:cstheme="minorEastAsia"/>
          <w:b w:val="0"/>
          <w:bCs w:val="0"/>
          <w:color w:val="auto"/>
          <w:highlight w:val="none"/>
          <w:lang w:val="en-US" w:eastAsia="en-US"/>
        </w:rPr>
        <w:t>服务费：根据省厅《关于进一步规范政府采购活动相关费用管理的通知》（苏财规〔2026〕1号）相关要求，本次招标项目代理服务费由采购人支付。按</w:t>
      </w:r>
      <w:r>
        <w:rPr>
          <w:rFonts w:hint="eastAsia" w:ascii="宋体" w:hAnsi="宋体"/>
          <w:color w:val="auto"/>
          <w:highlight w:val="none"/>
        </w:rPr>
        <w:t>预算金额100万元以内1.5%、100～500万元1.1%、500～1000万元0.8%、1000~5000万元0.5%按差额定率累进法计算</w:t>
      </w:r>
      <w:r>
        <w:rPr>
          <w:rFonts w:hint="eastAsia" w:ascii="宋体" w:hAnsi="宋体"/>
          <w:color w:val="auto"/>
          <w:highlight w:val="none"/>
          <w:lang w:eastAsia="zh-CN"/>
        </w:rPr>
        <w:t>，</w:t>
      </w:r>
      <w:r>
        <w:rPr>
          <w:rFonts w:hint="eastAsia" w:ascii="Times New Roman" w:eastAsia="宋体"/>
          <w:color w:val="auto"/>
          <w:highlight w:val="none"/>
          <w:lang w:val="en-US" w:eastAsia="zh-CN"/>
        </w:rPr>
        <w:t>最低不低于3000元</w:t>
      </w:r>
      <w:r>
        <w:rPr>
          <w:rFonts w:hint="eastAsia" w:ascii="宋体" w:hAnsi="宋体"/>
          <w:color w:val="auto"/>
          <w:highlight w:val="none"/>
        </w:rPr>
        <w:t>。</w:t>
      </w:r>
      <w:r>
        <w:rPr>
          <w:rFonts w:hint="eastAsia" w:asciiTheme="minorEastAsia" w:hAnsiTheme="minorEastAsia" w:eastAsiaTheme="minorEastAsia" w:cstheme="minorEastAsia"/>
          <w:b w:val="0"/>
          <w:bCs w:val="0"/>
          <w:color w:val="auto"/>
          <w:highlight w:val="none"/>
          <w:lang w:val="en-US" w:eastAsia="en-US"/>
        </w:rPr>
        <w:t>采购人在代理机构交付招标归档资料后</w:t>
      </w:r>
      <w:r>
        <w:rPr>
          <w:rFonts w:hint="eastAsia" w:asciiTheme="minorEastAsia" w:hAnsiTheme="minorEastAsia" w:eastAsiaTheme="minorEastAsia" w:cstheme="minorEastAsia"/>
          <w:b w:val="0"/>
          <w:bCs w:val="0"/>
          <w:color w:val="auto"/>
          <w:highlight w:val="none"/>
          <w:lang w:val="en-US" w:eastAsia="zh-CN"/>
        </w:rPr>
        <w:t>一次性付清，</w:t>
      </w:r>
      <w:r>
        <w:rPr>
          <w:rFonts w:hint="eastAsia" w:ascii="宋体" w:hAnsi="宋体" w:eastAsia="宋体" w:cs="宋体"/>
          <w:color w:val="auto"/>
          <w:highlight w:val="none"/>
        </w:rPr>
        <w:t>本项目代理服务费金额为贰万</w:t>
      </w:r>
      <w:r>
        <w:rPr>
          <w:rFonts w:hint="eastAsia" w:ascii="宋体" w:hAnsi="宋体" w:cs="宋体"/>
          <w:color w:val="auto"/>
          <w:highlight w:val="none"/>
          <w:lang w:val="en-US" w:eastAsia="zh-CN"/>
        </w:rPr>
        <w:t>壹</w:t>
      </w:r>
      <w:r>
        <w:rPr>
          <w:rFonts w:hint="eastAsia" w:ascii="宋体" w:hAnsi="宋体" w:eastAsia="宋体" w:cs="宋体"/>
          <w:color w:val="auto"/>
          <w:highlight w:val="none"/>
        </w:rPr>
        <w:t>仟</w:t>
      </w:r>
      <w:r>
        <w:rPr>
          <w:rFonts w:hint="eastAsia" w:ascii="宋体" w:hAnsi="宋体" w:cs="宋体"/>
          <w:color w:val="auto"/>
          <w:highlight w:val="none"/>
          <w:lang w:val="en-US" w:eastAsia="zh-CN"/>
        </w:rPr>
        <w:t>肆佰玖拾</w:t>
      </w:r>
      <w:r>
        <w:rPr>
          <w:rFonts w:hint="eastAsia" w:ascii="宋体" w:hAnsi="宋体" w:eastAsia="宋体" w:cs="宋体"/>
          <w:color w:val="auto"/>
          <w:highlight w:val="none"/>
        </w:rPr>
        <w:t>元</w:t>
      </w:r>
      <w:r>
        <w:rPr>
          <w:rFonts w:hint="eastAsia" w:ascii="宋体" w:hAnsi="宋体" w:eastAsia="宋体" w:cs="宋体"/>
          <w:color w:val="auto"/>
          <w:highlight w:val="none"/>
          <w:lang w:val="en-US" w:eastAsia="zh-CN"/>
        </w:rPr>
        <w:t>整</w:t>
      </w:r>
      <w:r>
        <w:rPr>
          <w:rFonts w:hint="eastAsia" w:ascii="宋体" w:hAnsi="宋体" w:eastAsia="宋体" w:cs="宋体"/>
          <w:color w:val="auto"/>
          <w:highlight w:val="none"/>
        </w:rPr>
        <w:t>（</w:t>
      </w:r>
      <w:r>
        <w:rPr>
          <w:rFonts w:hint="eastAsia" w:ascii="宋体" w:hAnsi="宋体" w:cs="宋体"/>
          <w:color w:val="auto"/>
          <w:highlight w:val="none"/>
          <w:lang w:val="en-US" w:eastAsia="zh-CN"/>
        </w:rPr>
        <w:t>21490</w:t>
      </w:r>
      <w:r>
        <w:rPr>
          <w:rFonts w:hint="eastAsia" w:ascii="宋体" w:hAnsi="宋体" w:eastAsia="宋体" w:cs="宋体"/>
          <w:color w:val="auto"/>
          <w:highlight w:val="none"/>
        </w:rPr>
        <w:t>元）。</w:t>
      </w:r>
    </w:p>
    <w:p w14:paraId="24C426B9">
      <w:pPr>
        <w:widowControl/>
        <w:spacing w:line="360" w:lineRule="auto"/>
        <w:jc w:val="left"/>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七、对本次招标提出询问，请按以下方式联系</w:t>
      </w:r>
    </w:p>
    <w:p w14:paraId="173BB24E">
      <w:pPr>
        <w:widowControl/>
        <w:spacing w:line="360" w:lineRule="auto"/>
        <w:ind w:firstLine="42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1、采购人信息：</w:t>
      </w:r>
    </w:p>
    <w:p w14:paraId="74D1F06A">
      <w:pPr>
        <w:widowControl/>
        <w:spacing w:line="360" w:lineRule="auto"/>
        <w:ind w:firstLine="48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名称：</w:t>
      </w:r>
      <w:r>
        <w:rPr>
          <w:rFonts w:hint="eastAsia" w:asciiTheme="minorEastAsia" w:hAnsiTheme="minorEastAsia" w:eastAsiaTheme="minorEastAsia" w:cstheme="minorEastAsia"/>
          <w:color w:val="auto"/>
          <w:highlight w:val="none"/>
          <w:lang w:eastAsia="zh-CN"/>
        </w:rPr>
        <w:t>太仓港经济技术开发区管理委员会</w:t>
      </w:r>
    </w:p>
    <w:p w14:paraId="45318E4F">
      <w:pPr>
        <w:widowControl/>
        <w:spacing w:line="360" w:lineRule="auto"/>
        <w:ind w:firstLine="480"/>
        <w:jc w:val="left"/>
        <w:rPr>
          <w:rFonts w:hint="default" w:asciiTheme="minorEastAsia" w:hAnsiTheme="minorEastAsia" w:cstheme="minorEastAsia"/>
          <w:color w:val="auto"/>
          <w:highlight w:val="none"/>
          <w:lang w:val="en-US"/>
        </w:rPr>
      </w:pPr>
      <w:r>
        <w:rPr>
          <w:rFonts w:hint="eastAsia" w:asciiTheme="minorEastAsia" w:hAnsiTheme="minorEastAsia" w:eastAsiaTheme="minorEastAsia" w:cstheme="minorEastAsia"/>
          <w:color w:val="auto"/>
          <w:highlight w:val="none"/>
        </w:rPr>
        <w:t>联系方式：</w:t>
      </w:r>
      <w:r>
        <w:rPr>
          <w:rFonts w:hint="eastAsia" w:asciiTheme="minorEastAsia" w:hAnsiTheme="minorEastAsia" w:eastAsiaTheme="minorEastAsia" w:cstheme="minorEastAsia"/>
          <w:color w:val="auto"/>
          <w:highlight w:val="none"/>
          <w:lang w:val="en-US" w:eastAsia="zh-CN"/>
        </w:rPr>
        <w:t>杨阳</w:t>
      </w:r>
      <w:r>
        <w:rPr>
          <w:rFonts w:hint="eastAsia" w:asciiTheme="minorEastAsia" w:hAnsiTheme="minorEastAsia" w:eastAsiaTheme="minorEastAsia" w:cstheme="minorEastAsia"/>
          <w:color w:val="auto"/>
          <w:highlight w:val="none"/>
        </w:rPr>
        <w:t>，</w:t>
      </w:r>
      <w:r>
        <w:rPr>
          <w:rFonts w:hint="eastAsia" w:ascii="宋体" w:hAnsi="宋体"/>
          <w:color w:val="auto"/>
          <w:highlight w:val="none"/>
          <w:lang w:val="en-US" w:eastAsia="zh-CN"/>
        </w:rPr>
        <w:t xml:space="preserve">0512-53187610 </w:t>
      </w:r>
    </w:p>
    <w:p w14:paraId="0A0B631A">
      <w:pPr>
        <w:widowControl/>
        <w:spacing w:line="360" w:lineRule="auto"/>
        <w:ind w:firstLine="48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2、采购代理机构信息：</w:t>
      </w:r>
    </w:p>
    <w:p w14:paraId="26595F23">
      <w:pPr>
        <w:widowControl/>
        <w:spacing w:line="360" w:lineRule="auto"/>
        <w:ind w:firstLine="48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名称：</w:t>
      </w:r>
      <w:r>
        <w:rPr>
          <w:rFonts w:hint="eastAsia" w:asciiTheme="minorEastAsia" w:hAnsiTheme="minorEastAsia" w:eastAsiaTheme="minorEastAsia" w:cstheme="minorEastAsia"/>
          <w:color w:val="auto"/>
          <w:highlight w:val="none"/>
          <w:lang w:eastAsia="zh-CN"/>
        </w:rPr>
        <w:t>汇建（苏州）项目管理有限公司</w:t>
      </w:r>
    </w:p>
    <w:p w14:paraId="6B2E7D16">
      <w:pPr>
        <w:widowControl/>
        <w:spacing w:line="360" w:lineRule="auto"/>
        <w:ind w:firstLine="48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地址：太仓市朝阳路21号科而雅大厦</w:t>
      </w:r>
      <w:r>
        <w:rPr>
          <w:rFonts w:hint="eastAsia" w:asciiTheme="minorEastAsia" w:hAnsi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楼</w:t>
      </w:r>
    </w:p>
    <w:p w14:paraId="3753E420">
      <w:pPr>
        <w:widowControl/>
        <w:spacing w:line="360" w:lineRule="auto"/>
        <w:ind w:firstLine="48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联系方式：0512-53233122</w:t>
      </w:r>
    </w:p>
    <w:p w14:paraId="0540CE16">
      <w:pPr>
        <w:widowControl/>
        <w:spacing w:line="360" w:lineRule="auto"/>
        <w:ind w:firstLine="48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3、项目联系方式</w:t>
      </w:r>
    </w:p>
    <w:p w14:paraId="380DBBBC">
      <w:pPr>
        <w:widowControl/>
        <w:spacing w:line="360" w:lineRule="auto"/>
        <w:ind w:firstLine="48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项目联系人：陈宴</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电话：</w:t>
      </w:r>
      <w:bookmarkEnd w:id="4"/>
      <w:r>
        <w:rPr>
          <w:rFonts w:hint="eastAsia" w:asciiTheme="minorEastAsia" w:hAnsiTheme="minorEastAsia" w:eastAsiaTheme="minorEastAsia" w:cstheme="minorEastAsia"/>
          <w:color w:val="auto"/>
          <w:highlight w:val="none"/>
        </w:rPr>
        <w:t>0512-53233122</w:t>
      </w:r>
    </w:p>
    <w:p w14:paraId="5053CB08">
      <w:pPr>
        <w:widowControl/>
        <w:spacing w:line="360" w:lineRule="auto"/>
        <w:ind w:firstLine="480"/>
        <w:jc w:val="left"/>
        <w:rPr>
          <w:rFonts w:hint="eastAsia" w:asciiTheme="minorEastAsia" w:hAnsiTheme="minorEastAsia" w:eastAsiaTheme="minorEastAsia" w:cstheme="minorEastAsia"/>
          <w:color w:val="auto"/>
          <w:highlight w:val="none"/>
        </w:rPr>
      </w:pPr>
      <w:bookmarkStart w:id="6" w:name="_Toc467507030"/>
      <w:bookmarkStart w:id="7" w:name="_Toc315868051"/>
      <w:bookmarkStart w:id="8" w:name="_Toc158691767"/>
      <w:bookmarkStart w:id="9" w:name="_Toc315875314"/>
      <w:r>
        <w:rPr>
          <w:rFonts w:hint="eastAsia" w:asciiTheme="minorEastAsia" w:hAnsiTheme="minorEastAsia" w:eastAsiaTheme="minorEastAsia" w:cstheme="minorEastAsia"/>
          <w:color w:val="auto"/>
          <w:highlight w:val="none"/>
        </w:rPr>
        <w:t>4、</w:t>
      </w:r>
      <w:r>
        <w:rPr>
          <w:rFonts w:hint="eastAsia" w:asciiTheme="minorEastAsia" w:hAnsiTheme="minorEastAsia" w:eastAsiaTheme="minorEastAsia" w:cstheme="minorEastAsia"/>
          <w:color w:val="auto"/>
          <w:highlight w:val="none"/>
          <w:lang w:val="en-US" w:eastAsia="en-US"/>
        </w:rPr>
        <w:t>有关电子投标制作技术疑问，请咨询苏采云软件公司客服：18261002950、0512-69820854、0519-86722802</w:t>
      </w:r>
      <w:r>
        <w:rPr>
          <w:rFonts w:hint="eastAsia" w:asciiTheme="minorEastAsia" w:hAnsiTheme="minorEastAsia" w:eastAsiaTheme="minorEastAsia" w:cstheme="minorEastAsia"/>
          <w:color w:val="auto"/>
          <w:highlight w:val="none"/>
        </w:rPr>
        <w:t>。</w:t>
      </w:r>
    </w:p>
    <w:p w14:paraId="15A1C45A">
      <w:pPr>
        <w:widowControl/>
        <w:spacing w:line="360" w:lineRule="auto"/>
        <w:ind w:firstLine="480"/>
        <w:jc w:val="left"/>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color w:val="auto"/>
          <w:highlight w:val="none"/>
          <w:lang w:val="zh-CN"/>
        </w:rPr>
        <w:t>政府采购监督电话：0512-53512539</w:t>
      </w:r>
    </w:p>
    <w:p w14:paraId="67C112B8">
      <w:pPr>
        <w:widowControl/>
        <w:spacing w:line="360" w:lineRule="auto"/>
        <w:ind w:firstLine="48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p>
    <w:p w14:paraId="4E663CB7">
      <w:pPr>
        <w:pStyle w:val="3"/>
        <w:rPr>
          <w:color w:val="auto"/>
          <w:highlight w:val="none"/>
        </w:rPr>
      </w:pPr>
      <w:r>
        <w:rPr>
          <w:color w:val="auto"/>
          <w:highlight w:val="none"/>
        </w:rPr>
        <w:t>第</w:t>
      </w:r>
      <w:r>
        <w:rPr>
          <w:rFonts w:hint="eastAsia"/>
          <w:color w:val="auto"/>
          <w:highlight w:val="none"/>
        </w:rPr>
        <w:t>二部分</w:t>
      </w:r>
      <w:r>
        <w:rPr>
          <w:color w:val="auto"/>
          <w:highlight w:val="none"/>
        </w:rPr>
        <w:t xml:space="preserve">  投标人须知</w:t>
      </w:r>
      <w:bookmarkEnd w:id="6"/>
      <w:bookmarkEnd w:id="7"/>
      <w:bookmarkEnd w:id="8"/>
      <w:bookmarkEnd w:id="9"/>
    </w:p>
    <w:p w14:paraId="523BC447">
      <w:pPr>
        <w:spacing w:line="440" w:lineRule="exact"/>
        <w:rPr>
          <w:rFonts w:ascii="宋体" w:hAnsi="宋体"/>
          <w:color w:val="auto"/>
          <w:highlight w:val="none"/>
        </w:rPr>
      </w:pPr>
      <w:bookmarkStart w:id="10" w:name="_Toc467507043"/>
      <w:bookmarkStart w:id="11" w:name="_Toc315875321"/>
      <w:bookmarkStart w:id="12" w:name="_Toc467507037"/>
      <w:bookmarkStart w:id="13" w:name="_Toc315868058"/>
      <w:bookmarkStart w:id="14" w:name="_Toc158691774"/>
      <w:r>
        <w:rPr>
          <w:rFonts w:hint="eastAsia" w:ascii="宋体" w:hAnsi="宋体"/>
          <w:b/>
          <w:color w:val="auto"/>
          <w:highlight w:val="none"/>
        </w:rPr>
        <w:t>一、说明和释义</w:t>
      </w:r>
    </w:p>
    <w:p w14:paraId="6ACE79F1">
      <w:pPr>
        <w:spacing w:line="440" w:lineRule="exact"/>
        <w:rPr>
          <w:rFonts w:ascii="宋体" w:hAnsi="宋体"/>
          <w:b/>
          <w:color w:val="auto"/>
          <w:highlight w:val="none"/>
        </w:rPr>
      </w:pPr>
      <w:r>
        <w:rPr>
          <w:rFonts w:hint="eastAsia" w:ascii="宋体" w:hAnsi="宋体"/>
          <w:b/>
          <w:color w:val="auto"/>
          <w:highlight w:val="none"/>
        </w:rPr>
        <w:t>1. 说明</w:t>
      </w:r>
    </w:p>
    <w:p w14:paraId="7012F534">
      <w:pPr>
        <w:spacing w:line="440" w:lineRule="exact"/>
        <w:ind w:firstLine="315"/>
        <w:rPr>
          <w:rFonts w:ascii="宋体" w:hAnsi="宋体"/>
          <w:color w:val="auto"/>
          <w:highlight w:val="none"/>
        </w:rPr>
      </w:pPr>
      <w:r>
        <w:rPr>
          <w:rFonts w:hint="eastAsia" w:ascii="宋体" w:hAnsi="宋体"/>
          <w:color w:val="auto"/>
          <w:highlight w:val="none"/>
        </w:rPr>
        <w:t>1.1本招标文件仅适用于</w:t>
      </w:r>
      <w:r>
        <w:rPr>
          <w:rFonts w:hint="eastAsia" w:ascii="宋体" w:hAnsi="宋体"/>
          <w:color w:val="auto"/>
          <w:highlight w:val="none"/>
          <w:lang w:eastAsia="zh-CN"/>
        </w:rPr>
        <w:t>汇建（苏州）项目管理有限公司</w:t>
      </w:r>
      <w:r>
        <w:rPr>
          <w:rFonts w:hint="eastAsia" w:ascii="宋体" w:hAnsi="宋体"/>
          <w:color w:val="auto"/>
          <w:highlight w:val="none"/>
        </w:rPr>
        <w:t>的招标活动。</w:t>
      </w:r>
    </w:p>
    <w:p w14:paraId="0C9E39A1">
      <w:pPr>
        <w:spacing w:line="440" w:lineRule="exact"/>
        <w:ind w:firstLine="315"/>
        <w:rPr>
          <w:rFonts w:ascii="宋体" w:hAnsi="宋体"/>
          <w:color w:val="auto"/>
          <w:highlight w:val="none"/>
        </w:rPr>
      </w:pPr>
      <w:r>
        <w:rPr>
          <w:rFonts w:hint="eastAsia" w:ascii="宋体" w:hAnsi="宋体"/>
          <w:color w:val="auto"/>
          <w:highlight w:val="none"/>
        </w:rPr>
        <w:t>1.2本次招标活动及因本次招标产生的合同受中国法律制约和保护。</w:t>
      </w:r>
    </w:p>
    <w:p w14:paraId="1D03EF90">
      <w:pPr>
        <w:spacing w:line="440" w:lineRule="exact"/>
        <w:ind w:firstLine="315"/>
        <w:rPr>
          <w:rFonts w:ascii="宋体" w:hAnsi="宋体"/>
          <w:color w:val="auto"/>
          <w:highlight w:val="none"/>
        </w:rPr>
      </w:pPr>
      <w:r>
        <w:rPr>
          <w:rFonts w:hint="eastAsia" w:ascii="宋体" w:hAnsi="宋体"/>
          <w:color w:val="auto"/>
          <w:highlight w:val="none"/>
        </w:rPr>
        <w:t>1.3本招标文件的解释权属于</w:t>
      </w:r>
      <w:r>
        <w:rPr>
          <w:rFonts w:hint="eastAsia" w:ascii="宋体" w:hAnsi="宋体"/>
          <w:color w:val="auto"/>
          <w:highlight w:val="none"/>
          <w:lang w:eastAsia="zh-CN"/>
        </w:rPr>
        <w:t>汇建（苏州）项目管理有限公司</w:t>
      </w:r>
      <w:r>
        <w:rPr>
          <w:rFonts w:hint="eastAsia" w:ascii="宋体" w:hAnsi="宋体"/>
          <w:color w:val="auto"/>
          <w:highlight w:val="none"/>
        </w:rPr>
        <w:t>。</w:t>
      </w:r>
    </w:p>
    <w:p w14:paraId="3CC7F74C">
      <w:pPr>
        <w:spacing w:line="440" w:lineRule="exact"/>
        <w:rPr>
          <w:rFonts w:ascii="宋体" w:hAnsi="宋体"/>
          <w:b/>
          <w:color w:val="auto"/>
          <w:highlight w:val="none"/>
        </w:rPr>
      </w:pPr>
      <w:r>
        <w:rPr>
          <w:rFonts w:hint="eastAsia" w:ascii="宋体" w:hAnsi="宋体"/>
          <w:b/>
          <w:color w:val="auto"/>
          <w:highlight w:val="none"/>
        </w:rPr>
        <w:t>2. 词语释义</w:t>
      </w:r>
    </w:p>
    <w:p w14:paraId="1A0A25BE">
      <w:pPr>
        <w:spacing w:line="440" w:lineRule="exact"/>
        <w:ind w:firstLine="315"/>
        <w:rPr>
          <w:rFonts w:ascii="宋体" w:hAnsi="宋体"/>
          <w:color w:val="auto"/>
          <w:highlight w:val="none"/>
        </w:rPr>
      </w:pPr>
      <w:r>
        <w:rPr>
          <w:rFonts w:hint="eastAsia" w:ascii="宋体" w:hAnsi="宋体"/>
          <w:color w:val="auto"/>
          <w:highlight w:val="none"/>
        </w:rPr>
        <w:t>2.1招标代理机构：具体组织实施招标活动的法人。</w:t>
      </w:r>
    </w:p>
    <w:p w14:paraId="3F246DCC">
      <w:pPr>
        <w:spacing w:line="440" w:lineRule="exact"/>
        <w:ind w:firstLine="315"/>
        <w:rPr>
          <w:rFonts w:ascii="宋体" w:hAnsi="宋体"/>
          <w:color w:val="auto"/>
          <w:highlight w:val="none"/>
        </w:rPr>
      </w:pPr>
      <w:r>
        <w:rPr>
          <w:rFonts w:hint="eastAsia" w:ascii="宋体" w:hAnsi="宋体"/>
          <w:color w:val="auto"/>
          <w:highlight w:val="none"/>
        </w:rPr>
        <w:t>2.2投标人：经认定有资格响应招标，参加投标竞争的法人或其他组织和自然人。</w:t>
      </w:r>
    </w:p>
    <w:p w14:paraId="65538BB5">
      <w:pPr>
        <w:spacing w:line="440" w:lineRule="exact"/>
        <w:ind w:firstLine="315"/>
        <w:rPr>
          <w:rFonts w:ascii="宋体" w:hAnsi="宋体"/>
          <w:color w:val="auto"/>
          <w:highlight w:val="none"/>
        </w:rPr>
      </w:pPr>
      <w:r>
        <w:rPr>
          <w:rFonts w:hint="eastAsia" w:ascii="宋体" w:hAnsi="宋体"/>
          <w:color w:val="auto"/>
          <w:highlight w:val="none"/>
        </w:rPr>
        <w:t>2.3响应：投标人根据采购人或采购代理机构发售的招标文件，编制投标文件并按规定投标的行为。</w:t>
      </w:r>
    </w:p>
    <w:p w14:paraId="2B223CC4">
      <w:pPr>
        <w:spacing w:line="440" w:lineRule="exact"/>
        <w:ind w:firstLine="315"/>
        <w:rPr>
          <w:rFonts w:ascii="宋体" w:hAnsi="宋体"/>
          <w:color w:val="auto"/>
          <w:highlight w:val="none"/>
        </w:rPr>
      </w:pPr>
      <w:r>
        <w:rPr>
          <w:rFonts w:hint="eastAsia" w:ascii="宋体" w:hAnsi="宋体"/>
          <w:color w:val="auto"/>
          <w:highlight w:val="none"/>
        </w:rPr>
        <w:t>2.4合同：采供双方根据招标文件和中标的投标文件及中标通知书规定的内容签署的以书面形式所达成的协议，包括所有的附件、附录和构成协议的所有文件。</w:t>
      </w:r>
    </w:p>
    <w:p w14:paraId="58B3C470">
      <w:pPr>
        <w:spacing w:line="440" w:lineRule="exact"/>
        <w:ind w:firstLine="315"/>
        <w:rPr>
          <w:rFonts w:ascii="宋体" w:hAnsi="宋体"/>
          <w:color w:val="auto"/>
          <w:highlight w:val="none"/>
        </w:rPr>
      </w:pPr>
      <w:r>
        <w:rPr>
          <w:rFonts w:hint="eastAsia" w:ascii="宋体" w:hAnsi="宋体"/>
          <w:color w:val="auto"/>
          <w:highlight w:val="none"/>
        </w:rPr>
        <w:t>2.5甲方（采购方）：合同中明确规定的实际购买货物和服务的法人或其他组织和自然人（采购人）</w:t>
      </w:r>
    </w:p>
    <w:p w14:paraId="234E1968">
      <w:pPr>
        <w:spacing w:line="440" w:lineRule="exact"/>
        <w:ind w:firstLine="315"/>
        <w:rPr>
          <w:rFonts w:ascii="宋体" w:hAnsi="宋体"/>
          <w:color w:val="auto"/>
          <w:highlight w:val="none"/>
        </w:rPr>
      </w:pPr>
      <w:r>
        <w:rPr>
          <w:rFonts w:hint="eastAsia" w:ascii="宋体" w:hAnsi="宋体"/>
          <w:color w:val="auto"/>
          <w:highlight w:val="none"/>
        </w:rPr>
        <w:t>2.6乙方（供应商）：合同中规定的向采购方提供货物和服务的法人或其他组织和自然人（中标人）</w:t>
      </w:r>
    </w:p>
    <w:p w14:paraId="3D712CC4">
      <w:pPr>
        <w:spacing w:line="440" w:lineRule="exact"/>
        <w:ind w:firstLine="315"/>
        <w:rPr>
          <w:rFonts w:ascii="宋体" w:hAnsi="宋体"/>
          <w:color w:val="auto"/>
          <w:highlight w:val="none"/>
        </w:rPr>
      </w:pPr>
      <w:r>
        <w:rPr>
          <w:rFonts w:hint="eastAsia" w:ascii="宋体" w:hAnsi="宋体"/>
          <w:color w:val="auto"/>
          <w:highlight w:val="none"/>
        </w:rPr>
        <w:t>2.7货物：系指乙方按招标采购文件规定，应向甲方提供的一切设备、备品、备件、工具、手册及其它有关技术资料和材料。</w:t>
      </w:r>
    </w:p>
    <w:p w14:paraId="7279B22C">
      <w:pPr>
        <w:spacing w:line="440" w:lineRule="exact"/>
        <w:ind w:firstLine="315"/>
        <w:rPr>
          <w:rFonts w:ascii="宋体" w:hAnsi="宋体"/>
          <w:color w:val="auto"/>
          <w:highlight w:val="none"/>
        </w:rPr>
      </w:pPr>
      <w:r>
        <w:rPr>
          <w:rFonts w:hint="eastAsia" w:ascii="宋体" w:hAnsi="宋体"/>
          <w:color w:val="auto"/>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637D0395">
      <w:pPr>
        <w:spacing w:line="440" w:lineRule="exact"/>
        <w:ind w:firstLine="315"/>
        <w:rPr>
          <w:rFonts w:ascii="宋体" w:hAnsi="宋体"/>
          <w:color w:val="auto"/>
          <w:highlight w:val="none"/>
        </w:rPr>
      </w:pPr>
      <w:r>
        <w:rPr>
          <w:rFonts w:hint="eastAsia" w:ascii="宋体" w:hAnsi="宋体"/>
          <w:color w:val="auto"/>
          <w:highlight w:val="none"/>
        </w:rPr>
        <w:t>2.9知识产权：指专利权、商标权、著作权等无形财产专有权的统称。</w:t>
      </w:r>
    </w:p>
    <w:p w14:paraId="2FB395E8">
      <w:pPr>
        <w:spacing w:line="440" w:lineRule="exact"/>
        <w:ind w:firstLine="315"/>
        <w:rPr>
          <w:rFonts w:ascii="宋体" w:hAnsi="宋体"/>
          <w:color w:val="auto"/>
          <w:highlight w:val="none"/>
        </w:rPr>
      </w:pPr>
      <w:r>
        <w:rPr>
          <w:rFonts w:hint="eastAsia" w:ascii="宋体" w:hAnsi="宋体"/>
          <w:color w:val="auto"/>
          <w:highlight w:val="none"/>
        </w:rPr>
        <w:t>2.10天：日历日。</w:t>
      </w:r>
    </w:p>
    <w:p w14:paraId="2DAE0F48">
      <w:pPr>
        <w:spacing w:line="440" w:lineRule="exact"/>
        <w:ind w:firstLine="315"/>
        <w:rPr>
          <w:rFonts w:ascii="宋体" w:hAnsi="宋体"/>
          <w:color w:val="auto"/>
          <w:highlight w:val="none"/>
        </w:rPr>
      </w:pPr>
      <w:r>
        <w:rPr>
          <w:rFonts w:hint="eastAsia" w:ascii="宋体" w:hAnsi="宋体"/>
          <w:color w:val="auto"/>
          <w:highlight w:val="none"/>
        </w:rPr>
        <w:t>2.11服务地点：合同中明确约定的乙方提交的货物和服务最终到达地点。</w:t>
      </w:r>
    </w:p>
    <w:p w14:paraId="409893EC">
      <w:pPr>
        <w:spacing w:line="440" w:lineRule="exact"/>
        <w:ind w:firstLine="315"/>
        <w:rPr>
          <w:rFonts w:ascii="宋体" w:hAnsi="宋体"/>
          <w:color w:val="auto"/>
          <w:highlight w:val="none"/>
        </w:rPr>
      </w:pPr>
      <w:r>
        <w:rPr>
          <w:rFonts w:hint="eastAsia" w:ascii="宋体" w:hAnsi="宋体"/>
          <w:color w:val="auto"/>
          <w:highlight w:val="none"/>
        </w:rPr>
        <w:t>2.12 合同价款：根据合同规定，乙方在正确地履行合同义务后甲方应支付乙方的价款。</w:t>
      </w:r>
    </w:p>
    <w:p w14:paraId="6AAA5566">
      <w:pPr>
        <w:spacing w:line="440" w:lineRule="exact"/>
        <w:ind w:firstLine="315"/>
        <w:rPr>
          <w:rFonts w:ascii="宋体" w:hAnsi="宋体"/>
          <w:color w:val="auto"/>
          <w:highlight w:val="none"/>
        </w:rPr>
      </w:pPr>
      <w:r>
        <w:rPr>
          <w:rFonts w:hint="eastAsia" w:ascii="宋体" w:hAnsi="宋体"/>
          <w:color w:val="auto"/>
          <w:highlight w:val="none"/>
        </w:rPr>
        <w:t>2.13 产地：货物开采、生长、生产、最终制造、加工或提供服务的来源地。</w:t>
      </w:r>
    </w:p>
    <w:p w14:paraId="648C1334">
      <w:pPr>
        <w:spacing w:line="440" w:lineRule="exact"/>
        <w:ind w:firstLine="315"/>
        <w:rPr>
          <w:rFonts w:ascii="宋体" w:hAnsi="宋体"/>
          <w:color w:val="auto"/>
          <w:highlight w:val="none"/>
        </w:rPr>
      </w:pPr>
      <w:r>
        <w:rPr>
          <w:rFonts w:hint="eastAsia" w:ascii="宋体" w:hAnsi="宋体"/>
          <w:color w:val="auto"/>
          <w:highlight w:val="none"/>
        </w:rPr>
        <w:t>2.14不可抗力：不能预见、不能避免并且不能克服的客观情况。</w:t>
      </w:r>
    </w:p>
    <w:p w14:paraId="616CDC66">
      <w:pPr>
        <w:spacing w:line="440" w:lineRule="exact"/>
        <w:ind w:firstLine="315"/>
        <w:rPr>
          <w:rFonts w:ascii="宋体" w:hAnsi="宋体"/>
          <w:color w:val="auto"/>
          <w:highlight w:val="none"/>
        </w:rPr>
      </w:pPr>
      <w:r>
        <w:rPr>
          <w:rFonts w:hint="eastAsia" w:ascii="宋体" w:hAnsi="宋体"/>
          <w:color w:val="auto"/>
          <w:highlight w:val="none"/>
        </w:rPr>
        <w:t>2.15 实质性响应：满足有关本次采购标的、数量、质量、价款或者报酬、履行期限、履行地点和方式、违约责任和解决争议方法等要求。</w:t>
      </w:r>
    </w:p>
    <w:p w14:paraId="7696F595">
      <w:pPr>
        <w:spacing w:line="440" w:lineRule="exact"/>
        <w:ind w:firstLine="315"/>
        <w:rPr>
          <w:rFonts w:ascii="宋体" w:hAnsi="宋体"/>
          <w:color w:val="auto"/>
          <w:highlight w:val="none"/>
        </w:rPr>
      </w:pPr>
      <w:r>
        <w:rPr>
          <w:rFonts w:hint="eastAsia" w:ascii="宋体" w:hAnsi="宋体"/>
          <w:color w:val="auto"/>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03FB48F">
      <w:pPr>
        <w:spacing w:line="440" w:lineRule="exact"/>
        <w:ind w:firstLine="315"/>
        <w:rPr>
          <w:rFonts w:ascii="宋体" w:hAnsi="宋体"/>
          <w:color w:val="auto"/>
          <w:highlight w:val="none"/>
        </w:rPr>
      </w:pPr>
      <w:r>
        <w:rPr>
          <w:rFonts w:hint="eastAsia" w:ascii="宋体" w:hAnsi="宋体"/>
          <w:color w:val="auto"/>
          <w:highlight w:val="none"/>
        </w:rPr>
        <w:t>2.17进口产品：指通过中国海关报关验收进入中国境内且产自境外的产品。</w:t>
      </w:r>
    </w:p>
    <w:p w14:paraId="17129DF9">
      <w:pPr>
        <w:spacing w:line="440" w:lineRule="exact"/>
        <w:ind w:firstLine="315"/>
        <w:rPr>
          <w:rFonts w:ascii="宋体" w:hAnsi="宋体"/>
          <w:color w:val="auto"/>
          <w:highlight w:val="none"/>
        </w:rPr>
      </w:pPr>
      <w:r>
        <w:rPr>
          <w:rFonts w:hint="eastAsia" w:ascii="宋体" w:hAnsi="宋体"/>
          <w:color w:val="auto"/>
          <w:highlight w:val="none"/>
        </w:rPr>
        <w:t>2.18书面形式：指书面文字、合同书、信件和数据电文（包括电报、电传、传真、电子数据交换和电子邮件）等可以有形地表现所载内容的形式。</w:t>
      </w:r>
    </w:p>
    <w:p w14:paraId="28A01D3A">
      <w:pPr>
        <w:spacing w:line="440" w:lineRule="exact"/>
        <w:rPr>
          <w:rFonts w:ascii="宋体" w:hAnsi="宋体"/>
          <w:b/>
          <w:color w:val="auto"/>
          <w:highlight w:val="none"/>
        </w:rPr>
      </w:pPr>
      <w:r>
        <w:rPr>
          <w:rFonts w:hint="eastAsia" w:ascii="宋体" w:hAnsi="宋体"/>
          <w:b/>
          <w:color w:val="auto"/>
          <w:highlight w:val="none"/>
        </w:rPr>
        <w:t>二、 投标人</w:t>
      </w:r>
    </w:p>
    <w:p w14:paraId="614FB68E">
      <w:pPr>
        <w:spacing w:line="440" w:lineRule="exact"/>
        <w:rPr>
          <w:rFonts w:ascii="宋体" w:hAnsi="宋体"/>
          <w:b/>
          <w:color w:val="auto"/>
          <w:highlight w:val="none"/>
        </w:rPr>
      </w:pPr>
      <w:r>
        <w:rPr>
          <w:rFonts w:hint="eastAsia" w:ascii="宋体" w:hAnsi="宋体"/>
          <w:b/>
          <w:color w:val="auto"/>
          <w:highlight w:val="none"/>
        </w:rPr>
        <w:t>3. 合格投标人的基本条件</w:t>
      </w:r>
    </w:p>
    <w:p w14:paraId="2822790F">
      <w:pPr>
        <w:spacing w:line="440" w:lineRule="exact"/>
        <w:ind w:firstLine="315"/>
        <w:rPr>
          <w:rFonts w:ascii="宋体" w:hAnsi="宋体"/>
          <w:color w:val="auto"/>
          <w:highlight w:val="none"/>
        </w:rPr>
      </w:pPr>
      <w:r>
        <w:rPr>
          <w:rFonts w:hint="eastAsia" w:ascii="宋体" w:hAnsi="宋体"/>
          <w:color w:val="auto"/>
          <w:highlight w:val="none"/>
        </w:rPr>
        <w:t>3.1符合《中华人民共和国政府采购法》第二十二条第一款之规定；</w:t>
      </w:r>
    </w:p>
    <w:p w14:paraId="33967743">
      <w:pPr>
        <w:spacing w:line="440" w:lineRule="exact"/>
        <w:ind w:firstLine="315"/>
        <w:rPr>
          <w:rFonts w:ascii="宋体" w:hAnsi="宋体"/>
          <w:color w:val="auto"/>
          <w:highlight w:val="none"/>
        </w:rPr>
      </w:pPr>
      <w:r>
        <w:rPr>
          <w:rFonts w:hint="eastAsia" w:ascii="宋体" w:hAnsi="宋体"/>
          <w:color w:val="auto"/>
          <w:highlight w:val="none"/>
        </w:rPr>
        <w:t>3.2满足本文件实质性条款的规定。</w:t>
      </w:r>
    </w:p>
    <w:p w14:paraId="6DF21135">
      <w:pPr>
        <w:spacing w:line="440" w:lineRule="exact"/>
        <w:rPr>
          <w:rFonts w:ascii="宋体" w:hAnsi="宋体"/>
          <w:b/>
          <w:color w:val="auto"/>
          <w:highlight w:val="none"/>
        </w:rPr>
      </w:pPr>
      <w:r>
        <w:rPr>
          <w:rFonts w:hint="eastAsia" w:ascii="宋体" w:hAnsi="宋体"/>
          <w:b/>
          <w:color w:val="auto"/>
          <w:highlight w:val="none"/>
        </w:rPr>
        <w:t>4．合格投标人的特定条件</w:t>
      </w:r>
    </w:p>
    <w:p w14:paraId="48781230">
      <w:pPr>
        <w:spacing w:line="440" w:lineRule="exact"/>
        <w:ind w:firstLine="315"/>
        <w:rPr>
          <w:rFonts w:ascii="宋体" w:hAnsi="宋体"/>
          <w:color w:val="auto"/>
          <w:highlight w:val="none"/>
        </w:rPr>
      </w:pPr>
      <w:r>
        <w:rPr>
          <w:rFonts w:hint="eastAsia" w:ascii="宋体" w:hAnsi="宋体"/>
          <w:color w:val="auto"/>
          <w:highlight w:val="none"/>
        </w:rPr>
        <w:t>4.1 按招标公告规定。</w:t>
      </w:r>
    </w:p>
    <w:p w14:paraId="7F712241">
      <w:pPr>
        <w:spacing w:line="440" w:lineRule="exact"/>
        <w:rPr>
          <w:rFonts w:ascii="宋体" w:hAnsi="宋体"/>
          <w:b/>
          <w:color w:val="auto"/>
          <w:highlight w:val="none"/>
        </w:rPr>
      </w:pPr>
      <w:r>
        <w:rPr>
          <w:rFonts w:hint="eastAsia" w:ascii="宋体" w:hAnsi="宋体"/>
          <w:b/>
          <w:color w:val="auto"/>
          <w:highlight w:val="none"/>
        </w:rPr>
        <w:t>5. 投标人代表</w:t>
      </w:r>
    </w:p>
    <w:p w14:paraId="76C4DB21">
      <w:pPr>
        <w:spacing w:line="440" w:lineRule="exact"/>
        <w:ind w:firstLine="315"/>
        <w:rPr>
          <w:rFonts w:ascii="宋体" w:hAnsi="宋体"/>
          <w:color w:val="auto"/>
          <w:highlight w:val="none"/>
        </w:rPr>
      </w:pPr>
      <w:r>
        <w:rPr>
          <w:rFonts w:hint="eastAsia" w:ascii="宋体" w:hAnsi="宋体"/>
          <w:color w:val="auto"/>
          <w:highlight w:val="none"/>
        </w:rPr>
        <w:t>5.1指全权代表投标人参加投标活动并签署投标文件的人，如果投标人代表不是法人代表，须持有《法人代表授权委托书》（详见统一格式）。</w:t>
      </w:r>
    </w:p>
    <w:p w14:paraId="0554FD86">
      <w:pPr>
        <w:numPr>
          <w:ilvl w:val="0"/>
          <w:numId w:val="3"/>
        </w:numPr>
        <w:spacing w:line="440" w:lineRule="exact"/>
        <w:rPr>
          <w:rFonts w:hint="eastAsia" w:ascii="宋体" w:hAnsi="宋体"/>
          <w:b/>
          <w:color w:val="auto"/>
          <w:highlight w:val="none"/>
          <w:lang w:val="en-US" w:eastAsia="zh-CN"/>
        </w:rPr>
      </w:pPr>
      <w:r>
        <w:rPr>
          <w:rFonts w:hint="eastAsia" w:ascii="宋体" w:hAnsi="宋体"/>
          <w:b/>
          <w:color w:val="auto"/>
          <w:highlight w:val="none"/>
        </w:rPr>
        <w:t>联合投标</w:t>
      </w:r>
      <w:r>
        <w:rPr>
          <w:rFonts w:hint="eastAsia" w:ascii="宋体" w:hAnsi="宋体"/>
          <w:b/>
          <w:color w:val="auto"/>
          <w:highlight w:val="none"/>
          <w:lang w:val="en-US" w:eastAsia="zh-CN"/>
        </w:rPr>
        <w:t>及转包、分包</w:t>
      </w:r>
    </w:p>
    <w:p w14:paraId="2EED9C0B">
      <w:pPr>
        <w:spacing w:line="440" w:lineRule="exact"/>
        <w:ind w:firstLine="315"/>
        <w:rPr>
          <w:rFonts w:hint="default" w:ascii="宋体" w:hAnsi="宋体"/>
          <w:color w:val="auto"/>
          <w:highlight w:val="none"/>
          <w:lang w:eastAsia="zh-CN"/>
        </w:rPr>
      </w:pPr>
      <w:r>
        <w:rPr>
          <w:rFonts w:hint="default" w:ascii="宋体" w:hAnsi="宋体"/>
          <w:color w:val="auto"/>
          <w:highlight w:val="none"/>
          <w:lang w:eastAsia="zh-CN"/>
        </w:rPr>
        <w:t xml:space="preserve">6.1 </w:t>
      </w:r>
      <w:r>
        <w:rPr>
          <w:rFonts w:hint="eastAsia" w:ascii="宋体" w:hAnsi="宋体"/>
          <w:color w:val="auto"/>
          <w:highlight w:val="none"/>
          <w:lang w:eastAsia="zh-CN"/>
        </w:rPr>
        <w:t>本项目不接受联合体投标。</w:t>
      </w:r>
    </w:p>
    <w:p w14:paraId="31EE1445">
      <w:pPr>
        <w:spacing w:line="440" w:lineRule="exact"/>
        <w:ind w:firstLine="315"/>
        <w:rPr>
          <w:rFonts w:hint="default" w:ascii="宋体" w:hAnsi="宋体"/>
          <w:color w:val="auto"/>
          <w:highlight w:val="none"/>
          <w:lang w:eastAsia="zh-CN"/>
        </w:rPr>
      </w:pPr>
      <w:r>
        <w:rPr>
          <w:rFonts w:hint="default" w:ascii="宋体" w:hAnsi="宋体"/>
          <w:color w:val="auto"/>
          <w:highlight w:val="none"/>
          <w:lang w:eastAsia="zh-CN"/>
        </w:rPr>
        <w:t>6.2</w:t>
      </w:r>
      <w:r>
        <w:rPr>
          <w:rFonts w:hint="eastAsia" w:ascii="宋体" w:hAnsi="宋体"/>
          <w:color w:val="auto"/>
          <w:highlight w:val="none"/>
          <w:lang w:eastAsia="zh-CN"/>
        </w:rPr>
        <w:t>本项目不接受转包。</w:t>
      </w:r>
    </w:p>
    <w:p w14:paraId="1DD1697B">
      <w:pPr>
        <w:spacing w:line="440" w:lineRule="exact"/>
        <w:ind w:firstLine="315"/>
        <w:rPr>
          <w:rFonts w:ascii="宋体" w:hAnsi="宋体"/>
          <w:b/>
          <w:color w:val="auto"/>
          <w:highlight w:val="none"/>
        </w:rPr>
      </w:pPr>
      <w:r>
        <w:rPr>
          <w:rFonts w:hint="default" w:ascii="宋体" w:hAnsi="宋体"/>
          <w:color w:val="auto"/>
          <w:highlight w:val="none"/>
          <w:lang w:eastAsia="zh-CN"/>
        </w:rPr>
        <w:t xml:space="preserve">6.3 </w:t>
      </w:r>
      <w:r>
        <w:rPr>
          <w:rFonts w:hint="eastAsia" w:ascii="宋体" w:hAnsi="宋体"/>
          <w:color w:val="auto"/>
          <w:highlight w:val="none"/>
          <w:lang w:eastAsia="zh-CN"/>
        </w:rPr>
        <w:t>本项目</w:t>
      </w:r>
      <w:r>
        <w:rPr>
          <w:rFonts w:hint="eastAsia" w:ascii="宋体" w:hAnsi="宋体"/>
          <w:color w:val="auto"/>
          <w:highlight w:val="none"/>
          <w:lang w:val="en-US" w:eastAsia="zh-CN"/>
        </w:rPr>
        <w:t>不接</w:t>
      </w:r>
      <w:r>
        <w:rPr>
          <w:rFonts w:hint="eastAsia" w:ascii="宋体" w:hAnsi="宋体"/>
          <w:color w:val="auto"/>
          <w:highlight w:val="none"/>
          <w:lang w:eastAsia="zh-CN"/>
        </w:rPr>
        <w:t>受分包。</w:t>
      </w:r>
    </w:p>
    <w:p w14:paraId="1E3A967D">
      <w:pPr>
        <w:spacing w:line="440" w:lineRule="exact"/>
        <w:rPr>
          <w:rFonts w:ascii="宋体" w:hAnsi="宋体"/>
          <w:b/>
          <w:color w:val="auto"/>
          <w:highlight w:val="none"/>
        </w:rPr>
      </w:pPr>
      <w:r>
        <w:rPr>
          <w:rFonts w:hint="eastAsia" w:ascii="宋体" w:hAnsi="宋体"/>
          <w:b/>
          <w:color w:val="auto"/>
          <w:highlight w:val="none"/>
        </w:rPr>
        <w:t xml:space="preserve">7. 投标费用 </w:t>
      </w:r>
    </w:p>
    <w:p w14:paraId="00992540">
      <w:pPr>
        <w:spacing w:line="480" w:lineRule="auto"/>
        <w:ind w:firstLine="105"/>
        <w:rPr>
          <w:rFonts w:ascii="宋体" w:hAnsi="宋体"/>
          <w:color w:val="auto"/>
          <w:highlight w:val="none"/>
        </w:rPr>
      </w:pPr>
      <w:r>
        <w:rPr>
          <w:rFonts w:hint="eastAsia" w:ascii="宋体" w:hAnsi="宋体"/>
          <w:color w:val="auto"/>
          <w:highlight w:val="none"/>
        </w:rPr>
        <w:t>无论投标过程中的做法和结果如何，投标人自行承担所有与参加投标有关的全部费用。</w:t>
      </w:r>
    </w:p>
    <w:p w14:paraId="561AB8FA">
      <w:pPr>
        <w:spacing w:line="440" w:lineRule="exact"/>
        <w:rPr>
          <w:rFonts w:ascii="宋体" w:hAnsi="宋体"/>
          <w:b/>
          <w:color w:val="auto"/>
          <w:highlight w:val="none"/>
        </w:rPr>
      </w:pPr>
      <w:r>
        <w:rPr>
          <w:rFonts w:hint="eastAsia" w:ascii="宋体" w:hAnsi="宋体"/>
          <w:b/>
          <w:color w:val="auto"/>
          <w:highlight w:val="none"/>
        </w:rPr>
        <w:t>三、 招标文件说明</w:t>
      </w:r>
    </w:p>
    <w:p w14:paraId="3FE92CF8">
      <w:pPr>
        <w:spacing w:line="440" w:lineRule="exact"/>
        <w:rPr>
          <w:rFonts w:ascii="宋体" w:hAnsi="宋体"/>
          <w:b/>
          <w:color w:val="auto"/>
          <w:highlight w:val="none"/>
        </w:rPr>
      </w:pPr>
      <w:r>
        <w:rPr>
          <w:rFonts w:hint="eastAsia" w:ascii="宋体" w:hAnsi="宋体"/>
          <w:b/>
          <w:color w:val="auto"/>
          <w:highlight w:val="none"/>
        </w:rPr>
        <w:t>8. 招标文件</w:t>
      </w:r>
    </w:p>
    <w:p w14:paraId="312104D1">
      <w:pPr>
        <w:spacing w:line="440" w:lineRule="exact"/>
        <w:ind w:firstLine="420"/>
        <w:rPr>
          <w:rFonts w:ascii="宋体" w:hAnsi="宋体"/>
          <w:color w:val="auto"/>
          <w:highlight w:val="none"/>
        </w:rPr>
      </w:pPr>
      <w:r>
        <w:rPr>
          <w:rFonts w:hint="eastAsia" w:ascii="宋体" w:hAnsi="宋体"/>
          <w:color w:val="auto"/>
          <w:highlight w:val="none"/>
        </w:rPr>
        <w:t>8.1招标文件由招标文件目录所列内容组成，投标人获得招标文件后，应仔细检查招标文件的所有内容，如有缺漏，请立即与招标代理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36DF4EC">
      <w:pPr>
        <w:spacing w:line="440" w:lineRule="exact"/>
        <w:ind w:firstLine="420"/>
        <w:rPr>
          <w:rFonts w:ascii="宋体" w:hAnsi="宋体"/>
          <w:color w:val="auto"/>
          <w:highlight w:val="none"/>
        </w:rPr>
      </w:pPr>
      <w:r>
        <w:rPr>
          <w:rFonts w:hint="eastAsia" w:ascii="宋体" w:hAnsi="宋体"/>
          <w:color w:val="auto"/>
          <w:highlight w:val="none"/>
        </w:rPr>
        <w:t>8.2招标文件及其更正文件不是直接从采购代理机构或指定媒体获得的，采购代理机构对招标文件及其补遗的真实性、完整性不承担任何责任。</w:t>
      </w:r>
    </w:p>
    <w:p w14:paraId="08BF133C">
      <w:pPr>
        <w:spacing w:line="440" w:lineRule="exact"/>
        <w:rPr>
          <w:rFonts w:ascii="宋体" w:hAnsi="宋体"/>
          <w:b/>
          <w:color w:val="auto"/>
          <w:highlight w:val="none"/>
        </w:rPr>
      </w:pPr>
      <w:r>
        <w:rPr>
          <w:rFonts w:hint="eastAsia" w:ascii="宋体" w:hAnsi="宋体"/>
          <w:b/>
          <w:color w:val="auto"/>
          <w:highlight w:val="none"/>
        </w:rPr>
        <w:t>9. 招标文件的澄清</w:t>
      </w:r>
    </w:p>
    <w:p w14:paraId="1B2AC002">
      <w:pPr>
        <w:spacing w:line="440" w:lineRule="exact"/>
        <w:ind w:firstLine="315"/>
        <w:rPr>
          <w:rFonts w:ascii="宋体" w:hAnsi="宋体"/>
          <w:color w:val="auto"/>
          <w:highlight w:val="none"/>
        </w:rPr>
      </w:pPr>
      <w:r>
        <w:rPr>
          <w:rFonts w:hint="eastAsia" w:ascii="宋体" w:hAnsi="宋体"/>
          <w:color w:val="auto"/>
          <w:highlight w:val="none"/>
        </w:rPr>
        <w:t>9.1投标人在获得招标文件后，若有疑问，应于网上投标截止时间之前，在网上报名系统上向采购代理机构提出，采购代理机构将在系统上予以解答。</w:t>
      </w:r>
    </w:p>
    <w:p w14:paraId="79D9BBD5">
      <w:pPr>
        <w:spacing w:line="440" w:lineRule="exact"/>
        <w:ind w:firstLine="315"/>
        <w:rPr>
          <w:rFonts w:ascii="宋体" w:hAnsi="宋体"/>
          <w:color w:val="auto"/>
          <w:highlight w:val="none"/>
        </w:rPr>
      </w:pPr>
      <w:r>
        <w:rPr>
          <w:rFonts w:hint="eastAsia" w:ascii="宋体" w:hAnsi="宋体"/>
          <w:color w:val="auto"/>
          <w:highlight w:val="none"/>
        </w:rPr>
        <w:t>9.2如有必要，问题答复将以“变更公告”形式由采购代理机构按照本须知第10条的规定发出。</w:t>
      </w:r>
    </w:p>
    <w:p w14:paraId="6A6C8467">
      <w:pPr>
        <w:spacing w:line="440" w:lineRule="exact"/>
        <w:rPr>
          <w:rFonts w:ascii="宋体" w:hAnsi="宋体"/>
          <w:color w:val="auto"/>
          <w:highlight w:val="none"/>
        </w:rPr>
      </w:pPr>
      <w:r>
        <w:rPr>
          <w:rFonts w:hint="eastAsia" w:ascii="宋体" w:hAnsi="宋体"/>
          <w:b/>
          <w:color w:val="auto"/>
          <w:highlight w:val="none"/>
        </w:rPr>
        <w:t>10.招标文件的修改</w:t>
      </w:r>
    </w:p>
    <w:p w14:paraId="0544E21D">
      <w:pPr>
        <w:spacing w:line="440" w:lineRule="exact"/>
        <w:ind w:firstLine="315"/>
        <w:rPr>
          <w:rFonts w:ascii="宋体" w:hAnsi="宋体"/>
          <w:color w:val="auto"/>
          <w:highlight w:val="none"/>
        </w:rPr>
      </w:pPr>
      <w:r>
        <w:rPr>
          <w:rFonts w:hint="eastAsia" w:ascii="宋体" w:hAnsi="宋体"/>
          <w:color w:val="auto"/>
          <w:highlight w:val="none"/>
        </w:rPr>
        <w:t>10.1招标人无论出于自己的考虑，还是出于对投标人提问的澄清，均可对已发出的招标文件用</w:t>
      </w:r>
      <w:r>
        <w:rPr>
          <w:rFonts w:hint="eastAsia" w:ascii="宋体" w:hAnsi="宋体"/>
          <w:color w:val="auto"/>
          <w:highlight w:val="none"/>
          <w:lang w:val="zh-CN"/>
        </w:rPr>
        <w:t>补充文件的方式</w:t>
      </w:r>
      <w:r>
        <w:rPr>
          <w:rFonts w:hint="eastAsia" w:ascii="宋体" w:hAnsi="宋体"/>
          <w:color w:val="auto"/>
          <w:highlight w:val="none"/>
        </w:rPr>
        <w:t>进行必要澄清或者修改。</w:t>
      </w:r>
    </w:p>
    <w:p w14:paraId="0D52C020">
      <w:pPr>
        <w:spacing w:line="440" w:lineRule="exact"/>
        <w:ind w:firstLine="315"/>
        <w:rPr>
          <w:rFonts w:ascii="宋体" w:hAnsi="宋体"/>
          <w:color w:val="auto"/>
          <w:highlight w:val="none"/>
        </w:rPr>
      </w:pPr>
      <w:r>
        <w:rPr>
          <w:rFonts w:hint="eastAsia" w:ascii="宋体" w:hAnsi="宋体"/>
          <w:color w:val="auto"/>
          <w:highlight w:val="none"/>
        </w:rPr>
        <w:t>10.2为使投标人有足够的时间按招标文件的修改要求考虑修正投标文件，或出于其他原因，招标代理有权推迟投标截止日期和开标日期，并将此变更以通知的形式在网上发布公告。</w:t>
      </w:r>
    </w:p>
    <w:p w14:paraId="4012FFE8">
      <w:pPr>
        <w:spacing w:line="440" w:lineRule="exact"/>
        <w:ind w:firstLine="315"/>
        <w:rPr>
          <w:rFonts w:ascii="宋体" w:hAnsi="宋体"/>
          <w:color w:val="auto"/>
          <w:highlight w:val="none"/>
        </w:rPr>
      </w:pPr>
      <w:r>
        <w:rPr>
          <w:rFonts w:hint="eastAsia" w:ascii="宋体" w:hAnsi="宋体"/>
          <w:color w:val="auto"/>
          <w:highlight w:val="none"/>
        </w:rPr>
        <w:t>10.3招标文件的更正（含澄清、修改等）内容与原招标文件在同一内容上表述不一致时，以发出日期最接近开标时间的公告为准。</w:t>
      </w:r>
    </w:p>
    <w:p w14:paraId="660B5133">
      <w:pPr>
        <w:spacing w:line="440" w:lineRule="exact"/>
        <w:ind w:firstLine="315"/>
        <w:rPr>
          <w:rFonts w:ascii="宋体" w:hAnsi="宋体"/>
          <w:color w:val="auto"/>
          <w:highlight w:val="none"/>
        </w:rPr>
      </w:pPr>
      <w:r>
        <w:rPr>
          <w:rFonts w:hint="eastAsia" w:ascii="宋体" w:hAnsi="宋体"/>
          <w:color w:val="auto"/>
          <w:highlight w:val="none"/>
        </w:rPr>
        <w:t>10.4招标文件的更正（含澄清、修改等）内容将在财政部门指定的政府采购信息发布媒体上发布，请投标人及时查询，更正（含澄清、修改等）内容作为招标文件的组成部分，对投标人起约束作用。</w:t>
      </w:r>
    </w:p>
    <w:p w14:paraId="0FC31347">
      <w:pPr>
        <w:spacing w:line="440" w:lineRule="exact"/>
        <w:ind w:firstLine="316"/>
        <w:rPr>
          <w:rFonts w:ascii="宋体" w:hAnsi="宋体"/>
          <w:b/>
          <w:color w:val="auto"/>
          <w:highlight w:val="none"/>
        </w:rPr>
      </w:pPr>
      <w:r>
        <w:rPr>
          <w:rFonts w:hint="eastAsia" w:ascii="宋体" w:hAnsi="宋体"/>
          <w:b/>
          <w:color w:val="auto"/>
          <w:highlight w:val="none"/>
        </w:rPr>
        <w:t>10.5招标文件若有最新的答疑文件，投标供应商必须下载并使用该文件制作新的电子投标文件，否则将无法完成电子投标文件的上传及投标。</w:t>
      </w:r>
    </w:p>
    <w:p w14:paraId="7C16B406">
      <w:pPr>
        <w:spacing w:line="440" w:lineRule="exact"/>
        <w:rPr>
          <w:rFonts w:ascii="宋体" w:hAnsi="宋体"/>
          <w:b/>
          <w:color w:val="auto"/>
          <w:highlight w:val="none"/>
        </w:rPr>
      </w:pPr>
      <w:r>
        <w:rPr>
          <w:rFonts w:hint="eastAsia" w:ascii="宋体" w:hAnsi="宋体"/>
          <w:b/>
          <w:color w:val="auto"/>
          <w:highlight w:val="none"/>
        </w:rPr>
        <w:t>11.质疑</w:t>
      </w:r>
    </w:p>
    <w:p w14:paraId="49CCDD55">
      <w:pPr>
        <w:tabs>
          <w:tab w:val="left" w:pos="851"/>
        </w:tabs>
        <w:spacing w:line="440" w:lineRule="exact"/>
        <w:ind w:firstLine="315"/>
        <w:rPr>
          <w:rFonts w:ascii="宋体" w:hAnsi="宋体"/>
          <w:color w:val="auto"/>
          <w:highlight w:val="none"/>
        </w:rPr>
      </w:pPr>
      <w:r>
        <w:rPr>
          <w:rFonts w:hint="eastAsia" w:ascii="宋体" w:hAnsi="宋体"/>
          <w:color w:val="auto"/>
          <w:highlight w:val="none"/>
        </w:rPr>
        <w:t>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p>
    <w:p w14:paraId="664E3F8C">
      <w:pPr>
        <w:tabs>
          <w:tab w:val="left" w:pos="851"/>
        </w:tabs>
        <w:spacing w:line="440" w:lineRule="exact"/>
        <w:ind w:firstLine="315"/>
        <w:rPr>
          <w:rFonts w:ascii="宋体" w:hAnsi="宋体"/>
          <w:color w:val="auto"/>
          <w:highlight w:val="none"/>
        </w:rPr>
      </w:pPr>
      <w:r>
        <w:rPr>
          <w:rFonts w:hint="eastAsia" w:ascii="宋体" w:hAnsi="宋体"/>
          <w:color w:val="auto"/>
          <w:highlight w:val="none"/>
        </w:rPr>
        <w:t>11.2 提出质疑的供应商应当是参与所质疑项目采购活动的供应商，未参加投标活动的供应商或在投标活动中自身权益未受到损害的供应商所提出的质疑不予受理。</w:t>
      </w:r>
    </w:p>
    <w:p w14:paraId="4C4F9FAF">
      <w:pPr>
        <w:tabs>
          <w:tab w:val="left" w:pos="851"/>
        </w:tabs>
        <w:spacing w:line="440" w:lineRule="exact"/>
        <w:ind w:firstLine="315"/>
        <w:rPr>
          <w:rFonts w:ascii="宋体" w:hAnsi="宋体"/>
          <w:color w:val="auto"/>
          <w:highlight w:val="none"/>
        </w:rPr>
      </w:pPr>
      <w:r>
        <w:rPr>
          <w:rFonts w:hint="eastAsia" w:ascii="宋体" w:hAnsi="宋体"/>
          <w:color w:val="auto"/>
          <w:highlight w:val="none"/>
        </w:rPr>
        <w:t>11.3上述应知其权益受到损害之日是指：</w:t>
      </w:r>
    </w:p>
    <w:p w14:paraId="6A83AEF1">
      <w:pPr>
        <w:tabs>
          <w:tab w:val="left" w:pos="851"/>
        </w:tabs>
        <w:spacing w:line="440" w:lineRule="exact"/>
        <w:ind w:firstLine="315"/>
        <w:rPr>
          <w:rFonts w:ascii="宋体" w:hAnsi="宋体"/>
          <w:color w:val="auto"/>
          <w:highlight w:val="none"/>
        </w:rPr>
      </w:pPr>
      <w:r>
        <w:rPr>
          <w:rFonts w:hint="eastAsia" w:ascii="宋体" w:hAnsi="宋体"/>
          <w:color w:val="auto"/>
          <w:highlight w:val="none"/>
        </w:rPr>
        <w:t>11.3.1对采购文件提出质疑的，为获取采购文件或者采购文件公告期限届满之日起计算；</w:t>
      </w:r>
    </w:p>
    <w:p w14:paraId="0F968DE3">
      <w:pPr>
        <w:tabs>
          <w:tab w:val="left" w:pos="851"/>
        </w:tabs>
        <w:spacing w:line="440" w:lineRule="exact"/>
        <w:ind w:firstLine="315"/>
        <w:rPr>
          <w:rFonts w:ascii="宋体" w:hAnsi="宋体"/>
          <w:color w:val="auto"/>
          <w:highlight w:val="none"/>
        </w:rPr>
      </w:pPr>
      <w:r>
        <w:rPr>
          <w:rFonts w:hint="eastAsia" w:ascii="宋体" w:hAnsi="宋体"/>
          <w:color w:val="auto"/>
          <w:highlight w:val="none"/>
        </w:rPr>
        <w:t>11.3.2对采购过程提出质疑的，自采购程序环节结束之日起计算；</w:t>
      </w:r>
    </w:p>
    <w:p w14:paraId="6E3EDCCC">
      <w:pPr>
        <w:tabs>
          <w:tab w:val="left" w:pos="851"/>
        </w:tabs>
        <w:spacing w:line="440" w:lineRule="exact"/>
        <w:ind w:firstLine="315"/>
        <w:rPr>
          <w:rFonts w:ascii="宋体" w:hAnsi="宋体"/>
          <w:color w:val="auto"/>
          <w:highlight w:val="none"/>
        </w:rPr>
      </w:pPr>
      <w:r>
        <w:rPr>
          <w:rFonts w:hint="eastAsia" w:ascii="宋体" w:hAnsi="宋体"/>
          <w:color w:val="auto"/>
          <w:highlight w:val="none"/>
        </w:rPr>
        <w:t>11.3.3对中标结果提出质疑的，自中标结果公告期限届满之日起计算。</w:t>
      </w:r>
    </w:p>
    <w:p w14:paraId="6252FAA0">
      <w:pPr>
        <w:tabs>
          <w:tab w:val="left" w:pos="851"/>
        </w:tabs>
        <w:spacing w:line="440" w:lineRule="exact"/>
        <w:ind w:firstLine="315"/>
        <w:rPr>
          <w:rFonts w:ascii="宋体" w:hAnsi="宋体"/>
          <w:color w:val="auto"/>
          <w:highlight w:val="none"/>
        </w:rPr>
      </w:pPr>
      <w:r>
        <w:rPr>
          <w:rFonts w:hint="eastAsia" w:ascii="宋体" w:hAnsi="宋体"/>
          <w:color w:val="auto"/>
          <w:highlight w:val="none"/>
        </w:rPr>
        <w:t>11.4 供应商提出质疑应当提交质疑函和必要的证明材料。质疑函应当包括下列内容：</w:t>
      </w:r>
    </w:p>
    <w:p w14:paraId="051C0E86">
      <w:pPr>
        <w:spacing w:line="440" w:lineRule="exact"/>
        <w:ind w:firstLine="315"/>
        <w:rPr>
          <w:rFonts w:ascii="宋体" w:hAnsi="宋体"/>
          <w:color w:val="auto"/>
          <w:highlight w:val="none"/>
        </w:rPr>
      </w:pPr>
      <w:r>
        <w:rPr>
          <w:rFonts w:hint="eastAsia" w:ascii="宋体" w:hAnsi="宋体"/>
          <w:color w:val="auto"/>
          <w:highlight w:val="none"/>
        </w:rPr>
        <w:t>11.4.1 供应商的姓名或者名称、地址、邮编、联系人及联系电话；</w:t>
      </w:r>
    </w:p>
    <w:p w14:paraId="4BF71F61">
      <w:pPr>
        <w:spacing w:line="440" w:lineRule="exact"/>
        <w:ind w:firstLine="315"/>
        <w:rPr>
          <w:rFonts w:ascii="宋体" w:hAnsi="宋体"/>
          <w:color w:val="auto"/>
          <w:highlight w:val="none"/>
        </w:rPr>
      </w:pPr>
      <w:r>
        <w:rPr>
          <w:rFonts w:hint="eastAsia" w:ascii="宋体" w:hAnsi="宋体"/>
          <w:color w:val="auto"/>
          <w:highlight w:val="none"/>
        </w:rPr>
        <w:t>11.4.2 质疑项目的名称、编号；</w:t>
      </w:r>
    </w:p>
    <w:p w14:paraId="2755B524">
      <w:pPr>
        <w:spacing w:line="440" w:lineRule="exact"/>
        <w:ind w:firstLine="315"/>
        <w:rPr>
          <w:rFonts w:ascii="宋体" w:hAnsi="宋体"/>
          <w:color w:val="auto"/>
          <w:highlight w:val="none"/>
        </w:rPr>
      </w:pPr>
      <w:r>
        <w:rPr>
          <w:rFonts w:hint="eastAsia" w:ascii="宋体" w:hAnsi="宋体"/>
          <w:color w:val="auto"/>
          <w:highlight w:val="none"/>
        </w:rPr>
        <w:t>11.4.3 具体、明确的质疑事项和与质疑事项相关的请求；</w:t>
      </w:r>
    </w:p>
    <w:p w14:paraId="0A7245A4">
      <w:pPr>
        <w:spacing w:line="440" w:lineRule="exact"/>
        <w:ind w:firstLine="315"/>
        <w:rPr>
          <w:rFonts w:ascii="宋体" w:hAnsi="宋体"/>
          <w:color w:val="auto"/>
          <w:highlight w:val="none"/>
        </w:rPr>
      </w:pPr>
      <w:r>
        <w:rPr>
          <w:rFonts w:hint="eastAsia" w:ascii="宋体" w:hAnsi="宋体"/>
          <w:color w:val="auto"/>
          <w:highlight w:val="none"/>
        </w:rPr>
        <w:t>11.4.4 事实依据；</w:t>
      </w:r>
    </w:p>
    <w:p w14:paraId="260A605D">
      <w:pPr>
        <w:spacing w:line="440" w:lineRule="exact"/>
        <w:ind w:firstLine="315"/>
        <w:rPr>
          <w:rFonts w:ascii="宋体" w:hAnsi="宋体"/>
          <w:color w:val="auto"/>
          <w:highlight w:val="none"/>
        </w:rPr>
      </w:pPr>
      <w:r>
        <w:rPr>
          <w:rFonts w:hint="eastAsia" w:ascii="宋体" w:hAnsi="宋体"/>
          <w:color w:val="auto"/>
          <w:highlight w:val="none"/>
        </w:rPr>
        <w:t>11.4.5 必要的法律依据；</w:t>
      </w:r>
    </w:p>
    <w:p w14:paraId="24D1375A">
      <w:pPr>
        <w:spacing w:line="440" w:lineRule="exact"/>
        <w:ind w:firstLine="315"/>
        <w:rPr>
          <w:rFonts w:ascii="宋体" w:hAnsi="宋体"/>
          <w:color w:val="auto"/>
          <w:highlight w:val="none"/>
        </w:rPr>
      </w:pPr>
      <w:r>
        <w:rPr>
          <w:rFonts w:hint="eastAsia" w:ascii="宋体" w:hAnsi="宋体"/>
          <w:color w:val="auto"/>
          <w:highlight w:val="none"/>
        </w:rPr>
        <w:t>11.4.6 提出质疑的日期。</w:t>
      </w:r>
    </w:p>
    <w:p w14:paraId="4BE9C358">
      <w:pPr>
        <w:spacing w:line="440" w:lineRule="exact"/>
        <w:ind w:firstLine="315"/>
        <w:rPr>
          <w:rFonts w:ascii="宋体" w:hAnsi="宋体"/>
          <w:color w:val="auto"/>
          <w:highlight w:val="none"/>
        </w:rPr>
      </w:pPr>
      <w:r>
        <w:rPr>
          <w:rFonts w:hint="eastAsia" w:ascii="宋体" w:hAnsi="宋体"/>
          <w:color w:val="auto"/>
          <w:highlight w:val="none"/>
        </w:rPr>
        <w:t xml:space="preserve">11.5质疑函的格式和内容应当符合财政部《政府采购供应商质疑函范本》 </w:t>
      </w:r>
      <w:bookmarkStart w:id="15" w:name="baidusnap5"/>
      <w:bookmarkEnd w:id="15"/>
      <w:r>
        <w:rPr>
          <w:rFonts w:hint="eastAsia" w:ascii="宋体" w:hAnsi="宋体"/>
          <w:color w:val="auto"/>
          <w:highlight w:val="none"/>
        </w:rPr>
        <w:t>要求，质疑函范本在财政部官网上提供下载。</w:t>
      </w:r>
    </w:p>
    <w:p w14:paraId="795A2E30">
      <w:pPr>
        <w:spacing w:line="440" w:lineRule="exact"/>
        <w:ind w:firstLine="315"/>
        <w:rPr>
          <w:rFonts w:ascii="宋体" w:hAnsi="宋体"/>
          <w:color w:val="auto"/>
          <w:highlight w:val="none"/>
        </w:rPr>
      </w:pPr>
      <w:r>
        <w:rPr>
          <w:rFonts w:hint="eastAsia" w:ascii="宋体" w:hAnsi="宋体"/>
          <w:color w:val="auto"/>
          <w:highlight w:val="none"/>
        </w:rPr>
        <w:t>11.6 提交质疑函同时应当附如下证明材料：</w:t>
      </w:r>
    </w:p>
    <w:p w14:paraId="2865C19B">
      <w:pPr>
        <w:spacing w:line="440" w:lineRule="exact"/>
        <w:ind w:firstLine="315"/>
        <w:rPr>
          <w:rFonts w:ascii="宋体" w:hAnsi="宋体"/>
          <w:color w:val="auto"/>
          <w:highlight w:val="none"/>
        </w:rPr>
      </w:pPr>
      <w:r>
        <w:rPr>
          <w:rFonts w:hint="eastAsia" w:ascii="宋体" w:hAnsi="宋体"/>
          <w:color w:val="auto"/>
          <w:highlight w:val="none"/>
        </w:rPr>
        <w:t>11.6.1对采购文件提出质疑的供应商提供参加本项目的报名确认单；</w:t>
      </w:r>
    </w:p>
    <w:p w14:paraId="0D17DA68">
      <w:pPr>
        <w:spacing w:line="440" w:lineRule="exact"/>
        <w:ind w:firstLine="315"/>
        <w:rPr>
          <w:rFonts w:ascii="宋体" w:hAnsi="宋体"/>
          <w:color w:val="auto"/>
          <w:highlight w:val="none"/>
        </w:rPr>
      </w:pPr>
      <w:r>
        <w:rPr>
          <w:rFonts w:hint="eastAsia" w:ascii="宋体" w:hAnsi="宋体"/>
          <w:color w:val="auto"/>
          <w:highlight w:val="none"/>
        </w:rPr>
        <w:t>11.6.2质疑供应商的营业执照复印件加盖单位公章；</w:t>
      </w:r>
    </w:p>
    <w:p w14:paraId="4B09CA7C">
      <w:pPr>
        <w:spacing w:line="440" w:lineRule="exact"/>
        <w:ind w:firstLine="315"/>
        <w:rPr>
          <w:rFonts w:ascii="宋体" w:hAnsi="宋体"/>
          <w:color w:val="auto"/>
          <w:highlight w:val="none"/>
        </w:rPr>
      </w:pPr>
      <w:r>
        <w:rPr>
          <w:rFonts w:hint="eastAsia" w:ascii="宋体" w:hAnsi="宋体"/>
          <w:color w:val="auto"/>
          <w:highlight w:val="none"/>
        </w:rPr>
        <w:t>11.6.3质疑供应商法定代表人身份证复印件加盖单位公章；</w:t>
      </w:r>
    </w:p>
    <w:p w14:paraId="64150359">
      <w:pPr>
        <w:spacing w:line="440" w:lineRule="exact"/>
        <w:ind w:firstLine="315"/>
        <w:rPr>
          <w:rFonts w:ascii="宋体" w:hAnsi="宋体"/>
          <w:color w:val="auto"/>
          <w:highlight w:val="none"/>
        </w:rPr>
      </w:pPr>
      <w:r>
        <w:rPr>
          <w:rFonts w:hint="eastAsia" w:ascii="宋体" w:hAnsi="宋体"/>
          <w:color w:val="auto"/>
          <w:highlight w:val="none"/>
        </w:rPr>
        <w:t>11.6.4质疑供应商若委托代理人进行质疑的，提供法人授权委托书及代理人身份证复印件加盖单位公章，授权委托书应载明代理人的姓名或者名称、代理事项、具体权限、期限和相关事项；</w:t>
      </w:r>
    </w:p>
    <w:p w14:paraId="12ECB8E5">
      <w:pPr>
        <w:spacing w:line="440" w:lineRule="exact"/>
        <w:ind w:firstLine="315"/>
        <w:rPr>
          <w:rFonts w:ascii="宋体" w:hAnsi="宋体"/>
          <w:color w:val="auto"/>
          <w:highlight w:val="none"/>
        </w:rPr>
      </w:pPr>
      <w:r>
        <w:rPr>
          <w:rFonts w:hint="eastAsia" w:ascii="宋体" w:hAnsi="宋体"/>
          <w:color w:val="auto"/>
          <w:highlight w:val="none"/>
        </w:rPr>
        <w:t xml:space="preserve">11.7 供应商为自然人的，应当由本人签字；供应商为法人或者其他组织的，应当由法定代表人、主要负责人，或者其授权代表签字或者盖章，并加盖公章。 </w:t>
      </w:r>
    </w:p>
    <w:p w14:paraId="1ACD0149">
      <w:pPr>
        <w:spacing w:line="440" w:lineRule="exact"/>
        <w:ind w:firstLine="315"/>
        <w:rPr>
          <w:rFonts w:ascii="宋体" w:hAnsi="宋体"/>
          <w:color w:val="auto"/>
          <w:highlight w:val="none"/>
        </w:rPr>
      </w:pPr>
      <w:r>
        <w:rPr>
          <w:rFonts w:hint="eastAsia" w:ascii="宋体" w:hAnsi="宋体"/>
          <w:color w:val="auto"/>
          <w:highlight w:val="none"/>
        </w:rPr>
        <w:t>11.8 供应商如对本项目提出质疑须在法定质疑期内一次性提出针对同一采购程序环节的质疑。</w:t>
      </w:r>
    </w:p>
    <w:p w14:paraId="45003818">
      <w:pPr>
        <w:spacing w:line="440" w:lineRule="exact"/>
        <w:ind w:firstLine="315"/>
        <w:rPr>
          <w:rFonts w:ascii="宋体" w:hAnsi="宋体"/>
          <w:color w:val="auto"/>
          <w:highlight w:val="none"/>
        </w:rPr>
      </w:pPr>
      <w:r>
        <w:rPr>
          <w:rFonts w:hint="eastAsia" w:ascii="宋体" w:hAnsi="宋体"/>
          <w:color w:val="auto"/>
          <w:highlight w:val="none"/>
        </w:rPr>
        <w:t>11.9 接受质疑函联系方式见采购公告联系事项。</w:t>
      </w:r>
    </w:p>
    <w:p w14:paraId="28EC9B77">
      <w:pPr>
        <w:spacing w:line="440" w:lineRule="exact"/>
        <w:rPr>
          <w:rFonts w:ascii="宋体" w:hAnsi="宋体"/>
          <w:b/>
          <w:color w:val="auto"/>
          <w:highlight w:val="none"/>
        </w:rPr>
      </w:pPr>
      <w:r>
        <w:rPr>
          <w:rFonts w:hint="eastAsia" w:ascii="宋体" w:hAnsi="宋体"/>
          <w:b/>
          <w:color w:val="auto"/>
          <w:highlight w:val="none"/>
        </w:rPr>
        <w:t>四、 投标文件说明</w:t>
      </w:r>
    </w:p>
    <w:p w14:paraId="6A2AE2F4">
      <w:pPr>
        <w:spacing w:line="440" w:lineRule="exact"/>
        <w:rPr>
          <w:rFonts w:ascii="宋体" w:hAnsi="宋体"/>
          <w:b/>
          <w:color w:val="auto"/>
          <w:highlight w:val="none"/>
        </w:rPr>
      </w:pPr>
      <w:r>
        <w:rPr>
          <w:rFonts w:hint="eastAsia" w:ascii="宋体" w:hAnsi="宋体"/>
          <w:b/>
          <w:color w:val="auto"/>
          <w:highlight w:val="none"/>
        </w:rPr>
        <w:t>12、提示与要求</w:t>
      </w:r>
    </w:p>
    <w:p w14:paraId="67510088">
      <w:pPr>
        <w:spacing w:line="440" w:lineRule="exact"/>
        <w:ind w:firstLine="315"/>
        <w:rPr>
          <w:rFonts w:ascii="宋体" w:hAnsi="宋体"/>
          <w:color w:val="auto"/>
          <w:highlight w:val="none"/>
        </w:rPr>
      </w:pPr>
      <w:r>
        <w:rPr>
          <w:rFonts w:hint="eastAsia" w:ascii="宋体" w:hAnsi="宋体"/>
          <w:color w:val="auto"/>
          <w:highlight w:val="none"/>
        </w:rPr>
        <w:t>12.1投标人应仔细阅读招标文件的所有内容，按招标文件的要求提供投标文件，并保证所提供的全部资料的真实性，以使其投标对招标文件做出实质性响应，否则，其投标可能被拒绝。</w:t>
      </w:r>
    </w:p>
    <w:p w14:paraId="0864B37B">
      <w:pPr>
        <w:spacing w:line="440" w:lineRule="exact"/>
        <w:ind w:firstLine="315"/>
        <w:rPr>
          <w:rFonts w:ascii="宋体" w:hAnsi="宋体"/>
          <w:color w:val="auto"/>
          <w:highlight w:val="none"/>
        </w:rPr>
      </w:pPr>
      <w:r>
        <w:rPr>
          <w:rFonts w:hint="eastAsia" w:ascii="宋体" w:hAnsi="宋体"/>
          <w:color w:val="auto"/>
          <w:highlight w:val="none"/>
        </w:rPr>
        <w:t>12.2无论是否递交投标文件，投标人都应将招标文件及以后的所有通知、文件等视为保密文件。</w:t>
      </w:r>
    </w:p>
    <w:p w14:paraId="4A8B4C2C">
      <w:pPr>
        <w:spacing w:line="440" w:lineRule="exact"/>
        <w:rPr>
          <w:rFonts w:ascii="宋体" w:hAnsi="宋体"/>
          <w:b/>
          <w:color w:val="auto"/>
          <w:highlight w:val="none"/>
        </w:rPr>
      </w:pPr>
      <w:r>
        <w:rPr>
          <w:rFonts w:hint="eastAsia" w:ascii="宋体" w:hAnsi="宋体"/>
          <w:b/>
          <w:color w:val="auto"/>
          <w:highlight w:val="none"/>
        </w:rPr>
        <w:t>13. 投标文件计量单位和使用文字</w:t>
      </w:r>
    </w:p>
    <w:p w14:paraId="77AC9D79">
      <w:pPr>
        <w:spacing w:line="440" w:lineRule="exact"/>
        <w:ind w:firstLine="315"/>
        <w:rPr>
          <w:rFonts w:ascii="宋体" w:hAnsi="宋体"/>
          <w:color w:val="auto"/>
          <w:highlight w:val="none"/>
        </w:rPr>
      </w:pPr>
      <w:r>
        <w:rPr>
          <w:rFonts w:hint="eastAsia" w:ascii="宋体" w:hAnsi="宋体"/>
          <w:color w:val="auto"/>
          <w:highlight w:val="none"/>
        </w:rPr>
        <w:t>13.1投标文件中所使用的计量单位，除招标文件中有特殊要求外，均应使用中华人民共和国法定计量单位。</w:t>
      </w:r>
    </w:p>
    <w:p w14:paraId="1B4AB4DF">
      <w:pPr>
        <w:spacing w:line="440" w:lineRule="exact"/>
        <w:ind w:firstLine="315"/>
        <w:rPr>
          <w:rFonts w:ascii="宋体" w:hAnsi="宋体"/>
          <w:color w:val="auto"/>
          <w:highlight w:val="none"/>
        </w:rPr>
      </w:pPr>
      <w:r>
        <w:rPr>
          <w:rFonts w:hint="eastAsia" w:ascii="宋体" w:hAnsi="宋体"/>
          <w:color w:val="auto"/>
          <w:highlight w:val="none"/>
        </w:rPr>
        <w:t>13.2投标文件应使用中文编制，投标文件中必须使用其他文字的，必须附有中文译本，且以中文译本为准。对于未附有中文译本和中文译本不准确的投标文件可能引起的对投标人不利的后果，招标代理概不负责。</w:t>
      </w:r>
    </w:p>
    <w:p w14:paraId="0C5166E3">
      <w:pPr>
        <w:spacing w:line="440" w:lineRule="exact"/>
        <w:rPr>
          <w:rFonts w:ascii="宋体" w:hAnsi="宋体"/>
          <w:b/>
          <w:color w:val="auto"/>
          <w:highlight w:val="none"/>
        </w:rPr>
      </w:pPr>
      <w:r>
        <w:rPr>
          <w:rFonts w:hint="eastAsia" w:ascii="宋体" w:hAnsi="宋体"/>
          <w:b/>
          <w:color w:val="auto"/>
          <w:highlight w:val="none"/>
        </w:rPr>
        <w:t>14. 知识产权</w:t>
      </w:r>
    </w:p>
    <w:p w14:paraId="5C69B927">
      <w:pPr>
        <w:spacing w:line="440" w:lineRule="exact"/>
        <w:ind w:firstLine="315"/>
        <w:rPr>
          <w:rFonts w:ascii="宋体" w:hAnsi="宋体"/>
          <w:color w:val="auto"/>
          <w:highlight w:val="none"/>
        </w:rPr>
      </w:pPr>
      <w:r>
        <w:rPr>
          <w:rFonts w:hint="eastAsia" w:ascii="宋体" w:hAnsi="宋体"/>
          <w:color w:val="auto"/>
          <w:highlight w:val="none"/>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5E3F7790">
      <w:pPr>
        <w:spacing w:line="440" w:lineRule="exact"/>
        <w:rPr>
          <w:rFonts w:ascii="宋体" w:hAnsi="宋体"/>
          <w:b/>
          <w:color w:val="auto"/>
          <w:highlight w:val="none"/>
        </w:rPr>
      </w:pPr>
      <w:r>
        <w:rPr>
          <w:rFonts w:hint="eastAsia" w:ascii="宋体" w:hAnsi="宋体"/>
          <w:b/>
          <w:color w:val="auto"/>
          <w:highlight w:val="none"/>
        </w:rPr>
        <w:t>15. 投标文件的组成和顺序</w:t>
      </w:r>
    </w:p>
    <w:p w14:paraId="76AA63D5">
      <w:pPr>
        <w:spacing w:line="440" w:lineRule="exact"/>
        <w:ind w:firstLine="105"/>
        <w:rPr>
          <w:rFonts w:ascii="宋体" w:hAnsi="宋体"/>
          <w:b/>
          <w:color w:val="auto"/>
          <w:highlight w:val="none"/>
        </w:rPr>
      </w:pPr>
      <w:r>
        <w:rPr>
          <w:rFonts w:hint="eastAsia" w:ascii="宋体" w:hAnsi="宋体"/>
          <w:b/>
          <w:color w:val="auto"/>
          <w:highlight w:val="none"/>
        </w:rPr>
        <w:t>15.1报价部分（详见投标文件格式）：</w:t>
      </w:r>
    </w:p>
    <w:p w14:paraId="2E0660D4">
      <w:pPr>
        <w:spacing w:line="440" w:lineRule="exact"/>
        <w:ind w:firstLine="315"/>
        <w:rPr>
          <w:rFonts w:ascii="宋体" w:hAnsi="宋体"/>
          <w:color w:val="auto"/>
          <w:highlight w:val="none"/>
        </w:rPr>
      </w:pPr>
      <w:r>
        <w:rPr>
          <w:rFonts w:hint="eastAsia" w:ascii="宋体" w:hAnsi="宋体"/>
          <w:color w:val="auto"/>
          <w:highlight w:val="none"/>
        </w:rPr>
        <w:t>15.1.1《开标一览表》(统一格式)；</w:t>
      </w:r>
    </w:p>
    <w:p w14:paraId="6BEABEF9">
      <w:pPr>
        <w:spacing w:line="440" w:lineRule="exact"/>
        <w:ind w:firstLine="315"/>
        <w:rPr>
          <w:rFonts w:ascii="宋体" w:hAnsi="宋体"/>
          <w:color w:val="auto"/>
          <w:highlight w:val="none"/>
        </w:rPr>
      </w:pPr>
      <w:r>
        <w:rPr>
          <w:rFonts w:hint="eastAsia" w:ascii="宋体" w:hAnsi="宋体"/>
          <w:color w:val="auto"/>
          <w:highlight w:val="none"/>
        </w:rPr>
        <w:t>15.1.2投标报价明细表；</w:t>
      </w:r>
    </w:p>
    <w:p w14:paraId="1801F6AB">
      <w:pPr>
        <w:spacing w:line="440" w:lineRule="exact"/>
        <w:ind w:firstLine="105"/>
        <w:rPr>
          <w:rFonts w:ascii="宋体" w:hAnsi="宋体"/>
          <w:b/>
          <w:color w:val="auto"/>
          <w:highlight w:val="none"/>
        </w:rPr>
      </w:pPr>
      <w:r>
        <w:rPr>
          <w:rFonts w:hint="eastAsia" w:ascii="宋体" w:hAnsi="宋体"/>
          <w:b/>
          <w:color w:val="auto"/>
          <w:highlight w:val="none"/>
        </w:rPr>
        <w:t>15.2 投标正文部分（包含资质证明和技术部分）</w:t>
      </w:r>
    </w:p>
    <w:p w14:paraId="2386463B">
      <w:pPr>
        <w:spacing w:line="440" w:lineRule="exact"/>
        <w:ind w:firstLine="316"/>
        <w:rPr>
          <w:rFonts w:ascii="宋体" w:hAnsi="宋体"/>
          <w:b/>
          <w:color w:val="auto"/>
          <w:highlight w:val="none"/>
        </w:rPr>
      </w:pPr>
      <w:r>
        <w:rPr>
          <w:rFonts w:hint="eastAsia" w:ascii="宋体" w:hAnsi="宋体"/>
          <w:b/>
          <w:color w:val="auto"/>
          <w:highlight w:val="none"/>
        </w:rPr>
        <w:t>15.2.1资质证明文件部分</w:t>
      </w:r>
    </w:p>
    <w:p w14:paraId="0403FA10">
      <w:pPr>
        <w:spacing w:line="440" w:lineRule="exact"/>
        <w:ind w:firstLine="315"/>
        <w:rPr>
          <w:rFonts w:ascii="宋体" w:hAnsi="宋体"/>
          <w:color w:val="auto"/>
          <w:highlight w:val="none"/>
        </w:rPr>
      </w:pPr>
      <w:r>
        <w:rPr>
          <w:rFonts w:hint="eastAsia" w:ascii="宋体" w:hAnsi="宋体"/>
          <w:color w:val="auto"/>
          <w:highlight w:val="none"/>
        </w:rPr>
        <w:t>15.2.1.1关于资格文件的声明函（详见投标文件格式）；</w:t>
      </w:r>
    </w:p>
    <w:p w14:paraId="0A4AF956">
      <w:pPr>
        <w:spacing w:line="440" w:lineRule="exact"/>
        <w:ind w:firstLine="315"/>
        <w:rPr>
          <w:rFonts w:ascii="宋体" w:hAnsi="宋体"/>
          <w:color w:val="auto"/>
          <w:highlight w:val="none"/>
        </w:rPr>
      </w:pPr>
      <w:r>
        <w:rPr>
          <w:rFonts w:hint="eastAsia" w:ascii="宋体" w:hAnsi="宋体"/>
          <w:color w:val="auto"/>
          <w:highlight w:val="none"/>
        </w:rPr>
        <w:t>15.2.1.2投标</w:t>
      </w:r>
      <w:r>
        <w:rPr>
          <w:rFonts w:hint="eastAsia" w:ascii="宋体" w:hAnsi="宋体"/>
          <w:color w:val="auto"/>
          <w:highlight w:val="none"/>
          <w:lang w:val="en-US" w:eastAsia="zh-CN"/>
        </w:rPr>
        <w:t>承诺</w:t>
      </w:r>
      <w:r>
        <w:rPr>
          <w:rFonts w:hint="eastAsia" w:ascii="宋体" w:hAnsi="宋体"/>
          <w:color w:val="auto"/>
          <w:highlight w:val="none"/>
        </w:rPr>
        <w:t>函（详见投标文件格式）；</w:t>
      </w:r>
    </w:p>
    <w:p w14:paraId="2707C0A0">
      <w:pPr>
        <w:spacing w:line="440" w:lineRule="exact"/>
        <w:ind w:firstLine="315"/>
        <w:rPr>
          <w:rFonts w:ascii="宋体" w:hAnsi="宋体"/>
          <w:color w:val="auto"/>
          <w:highlight w:val="none"/>
        </w:rPr>
      </w:pPr>
      <w:r>
        <w:rPr>
          <w:rFonts w:hint="eastAsia" w:ascii="宋体" w:hAnsi="宋体"/>
          <w:color w:val="auto"/>
          <w:highlight w:val="none"/>
        </w:rPr>
        <w:t>15.2.1.3投标单位营业执照副本或三证合一营业执照复印件；</w:t>
      </w:r>
    </w:p>
    <w:p w14:paraId="1CF72997">
      <w:pPr>
        <w:spacing w:line="440" w:lineRule="exact"/>
        <w:ind w:firstLine="315"/>
        <w:rPr>
          <w:rFonts w:ascii="宋体" w:hAnsi="宋体"/>
          <w:color w:val="auto"/>
          <w:highlight w:val="none"/>
        </w:rPr>
      </w:pPr>
      <w:r>
        <w:rPr>
          <w:rFonts w:hint="eastAsia" w:ascii="宋体" w:hAnsi="宋体"/>
          <w:color w:val="auto"/>
          <w:highlight w:val="none"/>
        </w:rPr>
        <w:t>15.2.1.4投标人参加本次政府采购活动前的财务状况报告或者银行出具的资信证明；</w:t>
      </w:r>
    </w:p>
    <w:p w14:paraId="5F451B1A">
      <w:pPr>
        <w:spacing w:line="440" w:lineRule="exact"/>
        <w:ind w:firstLine="315"/>
        <w:rPr>
          <w:rFonts w:ascii="宋体" w:hAnsi="宋体"/>
          <w:color w:val="auto"/>
          <w:highlight w:val="none"/>
        </w:rPr>
      </w:pPr>
      <w:r>
        <w:rPr>
          <w:rFonts w:hint="eastAsia" w:ascii="宋体" w:hAnsi="宋体"/>
          <w:color w:val="auto"/>
          <w:highlight w:val="none"/>
        </w:rPr>
        <w:t>15.2.1.5投标人根据项目需求提供履行合同所必需的设备和专业技术能力的证明材料；</w:t>
      </w:r>
    </w:p>
    <w:p w14:paraId="7572E704">
      <w:pPr>
        <w:spacing w:line="440" w:lineRule="exact"/>
        <w:ind w:firstLine="315"/>
        <w:rPr>
          <w:rFonts w:ascii="宋体" w:hAnsi="宋体"/>
          <w:color w:val="auto"/>
          <w:highlight w:val="none"/>
        </w:rPr>
      </w:pPr>
      <w:r>
        <w:rPr>
          <w:rFonts w:hint="eastAsia" w:ascii="宋体" w:hAnsi="宋体"/>
          <w:color w:val="auto"/>
          <w:highlight w:val="none"/>
        </w:rPr>
        <w:t>15.2.1.6投标人参加本次政府采购活动前半年（至少一个月）依法缴纳税收和社会保障资金的证明材料；</w:t>
      </w:r>
    </w:p>
    <w:p w14:paraId="258FF956">
      <w:pPr>
        <w:spacing w:line="440" w:lineRule="exact"/>
        <w:ind w:firstLine="315"/>
        <w:rPr>
          <w:rFonts w:ascii="宋体" w:hAnsi="宋体"/>
          <w:color w:val="auto"/>
          <w:highlight w:val="none"/>
        </w:rPr>
      </w:pPr>
      <w:r>
        <w:rPr>
          <w:rFonts w:hint="eastAsia" w:ascii="宋体" w:hAnsi="宋体"/>
          <w:color w:val="auto"/>
          <w:highlight w:val="none"/>
        </w:rPr>
        <w:t>15.2.1.7投标人参加政府采购活动前三年在经营活动中没有重大违法记录的书面申明（详见投标文件格式）；</w:t>
      </w:r>
    </w:p>
    <w:p w14:paraId="0B4E5979">
      <w:pPr>
        <w:spacing w:line="440" w:lineRule="exact"/>
        <w:ind w:firstLine="315"/>
        <w:rPr>
          <w:rFonts w:ascii="宋体" w:hAnsi="宋体"/>
          <w:color w:val="auto"/>
          <w:highlight w:val="none"/>
        </w:rPr>
      </w:pPr>
      <w:r>
        <w:rPr>
          <w:rFonts w:hint="eastAsia" w:ascii="宋体" w:hAnsi="宋体"/>
          <w:color w:val="auto"/>
          <w:highlight w:val="none"/>
        </w:rPr>
        <w:t>15.2.1.8投标人证明其符合招标文件规定的投标人特定资格条件的证书、证明和文件材料；（如有）</w:t>
      </w:r>
    </w:p>
    <w:p w14:paraId="03A5792A">
      <w:pPr>
        <w:spacing w:line="440" w:lineRule="exact"/>
        <w:ind w:firstLine="315"/>
        <w:rPr>
          <w:rFonts w:ascii="宋体" w:hAnsi="宋体"/>
          <w:color w:val="auto"/>
          <w:highlight w:val="none"/>
        </w:rPr>
      </w:pPr>
      <w:r>
        <w:rPr>
          <w:rFonts w:hint="eastAsia" w:ascii="宋体" w:hAnsi="宋体"/>
          <w:color w:val="auto"/>
          <w:highlight w:val="none"/>
        </w:rPr>
        <w:t>15.2.1.9投标人基本情况表（详见投标文件格式）；</w:t>
      </w:r>
    </w:p>
    <w:p w14:paraId="4D826D9F">
      <w:pPr>
        <w:spacing w:line="440" w:lineRule="exact"/>
        <w:ind w:firstLine="315"/>
        <w:rPr>
          <w:rFonts w:ascii="宋体" w:hAnsi="宋体"/>
          <w:color w:val="auto"/>
          <w:highlight w:val="none"/>
        </w:rPr>
      </w:pPr>
      <w:r>
        <w:rPr>
          <w:rFonts w:hint="eastAsia" w:ascii="宋体" w:hAnsi="宋体"/>
          <w:color w:val="auto"/>
          <w:highlight w:val="none"/>
        </w:rPr>
        <w:t>15.2.1.10投标人法定代表人身份证复印件；</w:t>
      </w:r>
    </w:p>
    <w:p w14:paraId="4C3AB7B0">
      <w:pPr>
        <w:spacing w:line="440" w:lineRule="exact"/>
        <w:ind w:firstLine="315"/>
        <w:rPr>
          <w:rFonts w:ascii="宋体" w:hAnsi="宋体"/>
          <w:color w:val="auto"/>
          <w:highlight w:val="none"/>
        </w:rPr>
      </w:pPr>
      <w:r>
        <w:rPr>
          <w:rFonts w:hint="eastAsia" w:ascii="宋体" w:hAnsi="宋体"/>
          <w:color w:val="auto"/>
          <w:highlight w:val="none"/>
        </w:rPr>
        <w:t>15.2.1.11投标人法定代表人授权委托书原件（如有授权）（详见投标文件格式）；</w:t>
      </w:r>
    </w:p>
    <w:p w14:paraId="117F665A">
      <w:pPr>
        <w:spacing w:line="440" w:lineRule="exact"/>
        <w:ind w:firstLine="315"/>
        <w:rPr>
          <w:rFonts w:ascii="宋体" w:hAnsi="宋体"/>
          <w:color w:val="auto"/>
          <w:highlight w:val="none"/>
        </w:rPr>
      </w:pPr>
      <w:r>
        <w:rPr>
          <w:rFonts w:hint="eastAsia" w:ascii="宋体" w:hAnsi="宋体"/>
          <w:color w:val="auto"/>
          <w:highlight w:val="none"/>
        </w:rPr>
        <w:t>15.2.1.12投标人授权代理人身份证复印件（如有授权）；</w:t>
      </w:r>
    </w:p>
    <w:p w14:paraId="241B4738">
      <w:pPr>
        <w:spacing w:line="440" w:lineRule="exact"/>
        <w:ind w:firstLine="315"/>
        <w:rPr>
          <w:rFonts w:ascii="宋体" w:hAnsi="宋体"/>
          <w:color w:val="auto"/>
          <w:highlight w:val="none"/>
        </w:rPr>
      </w:pPr>
      <w:r>
        <w:rPr>
          <w:rFonts w:hint="eastAsia" w:ascii="宋体" w:hAnsi="宋体"/>
          <w:color w:val="auto"/>
          <w:highlight w:val="none"/>
        </w:rPr>
        <w:t>15.2.1.13中小企业声明函</w:t>
      </w:r>
    </w:p>
    <w:p w14:paraId="7A0BE795">
      <w:pPr>
        <w:spacing w:line="440" w:lineRule="exact"/>
        <w:ind w:firstLine="315"/>
        <w:rPr>
          <w:rFonts w:ascii="宋体" w:hAnsi="宋体"/>
          <w:color w:val="auto"/>
          <w:highlight w:val="none"/>
        </w:rPr>
      </w:pPr>
      <w:r>
        <w:rPr>
          <w:rFonts w:hint="eastAsia" w:ascii="宋体" w:hAnsi="宋体"/>
          <w:color w:val="auto"/>
          <w:highlight w:val="none"/>
        </w:rPr>
        <w:t>15.2.1.14残疾人福利性单位声明函（如有）；</w:t>
      </w:r>
    </w:p>
    <w:p w14:paraId="2A572973">
      <w:pPr>
        <w:spacing w:line="440" w:lineRule="exact"/>
        <w:ind w:firstLine="315"/>
        <w:rPr>
          <w:rFonts w:ascii="宋体" w:hAnsi="宋体"/>
          <w:color w:val="auto"/>
          <w:highlight w:val="none"/>
        </w:rPr>
      </w:pPr>
      <w:r>
        <w:rPr>
          <w:rFonts w:hint="eastAsia" w:ascii="宋体" w:hAnsi="宋体"/>
          <w:color w:val="auto"/>
          <w:highlight w:val="none"/>
        </w:rPr>
        <w:t>15.2.1.15其他可以证明投标人资信、资质和货物、服务质量的证书、文件、推荐信等资料；（如有）</w:t>
      </w:r>
    </w:p>
    <w:p w14:paraId="23B2D918">
      <w:pPr>
        <w:spacing w:line="440" w:lineRule="exact"/>
        <w:ind w:firstLine="316"/>
        <w:rPr>
          <w:rFonts w:ascii="宋体" w:hAnsi="宋体"/>
          <w:b/>
          <w:color w:val="auto"/>
          <w:highlight w:val="none"/>
        </w:rPr>
      </w:pPr>
      <w:r>
        <w:rPr>
          <w:rFonts w:hint="eastAsia" w:ascii="宋体" w:hAnsi="宋体"/>
          <w:b/>
          <w:color w:val="auto"/>
          <w:highlight w:val="none"/>
        </w:rPr>
        <w:t>15.2.2技术部分</w:t>
      </w:r>
    </w:p>
    <w:p w14:paraId="15B9AF71">
      <w:pPr>
        <w:spacing w:line="440" w:lineRule="exact"/>
        <w:ind w:firstLine="315"/>
        <w:rPr>
          <w:rFonts w:ascii="宋体" w:hAnsi="宋体"/>
          <w:color w:val="auto"/>
          <w:highlight w:val="none"/>
        </w:rPr>
      </w:pPr>
      <w:r>
        <w:rPr>
          <w:rFonts w:hint="eastAsia" w:ascii="宋体" w:hAnsi="宋体"/>
          <w:color w:val="auto"/>
          <w:highlight w:val="none"/>
        </w:rPr>
        <w:t>15.2.2.1服务要求偏离表（详见投标文件格式）；</w:t>
      </w:r>
    </w:p>
    <w:p w14:paraId="61D56AFC">
      <w:pPr>
        <w:spacing w:line="440" w:lineRule="exact"/>
        <w:ind w:firstLine="315"/>
        <w:rPr>
          <w:rFonts w:ascii="宋体" w:hAnsi="宋体"/>
          <w:color w:val="auto"/>
          <w:highlight w:val="none"/>
        </w:rPr>
      </w:pPr>
      <w:r>
        <w:rPr>
          <w:rFonts w:hint="eastAsia" w:ascii="宋体" w:hAnsi="宋体"/>
          <w:color w:val="auto"/>
          <w:highlight w:val="none"/>
        </w:rPr>
        <w:t>15.2.2.2商务要求偏离表（详见投标文件格式）；</w:t>
      </w:r>
    </w:p>
    <w:p w14:paraId="41B9B5AA">
      <w:pPr>
        <w:spacing w:line="440" w:lineRule="exact"/>
        <w:ind w:firstLine="315"/>
        <w:rPr>
          <w:rFonts w:ascii="宋体" w:hAnsi="宋体"/>
          <w:color w:val="auto"/>
          <w:highlight w:val="none"/>
        </w:rPr>
      </w:pPr>
      <w:r>
        <w:rPr>
          <w:rFonts w:hint="eastAsia" w:ascii="宋体" w:hAnsi="宋体"/>
          <w:color w:val="auto"/>
          <w:highlight w:val="none"/>
        </w:rPr>
        <w:t>15.2.2.3项目的技术及服务方案；</w:t>
      </w:r>
    </w:p>
    <w:p w14:paraId="3AA7659D">
      <w:pPr>
        <w:spacing w:line="440" w:lineRule="exact"/>
        <w:ind w:firstLine="315"/>
        <w:rPr>
          <w:rFonts w:ascii="宋体" w:hAnsi="宋体"/>
          <w:color w:val="auto"/>
          <w:highlight w:val="none"/>
          <w:lang w:val="zh-CN"/>
        </w:rPr>
      </w:pPr>
      <w:r>
        <w:rPr>
          <w:rFonts w:hint="eastAsia" w:ascii="宋体" w:hAnsi="宋体"/>
          <w:color w:val="auto"/>
          <w:highlight w:val="none"/>
        </w:rPr>
        <w:t>15.2.2.4类似项目业绩一览表及相关证明材料；</w:t>
      </w:r>
    </w:p>
    <w:p w14:paraId="4AA8D43E">
      <w:pPr>
        <w:spacing w:line="440" w:lineRule="exact"/>
        <w:ind w:firstLine="315"/>
        <w:rPr>
          <w:rFonts w:ascii="宋体" w:hAnsi="宋体"/>
          <w:color w:val="auto"/>
          <w:highlight w:val="none"/>
        </w:rPr>
      </w:pPr>
      <w:r>
        <w:rPr>
          <w:rFonts w:hint="eastAsia" w:ascii="宋体" w:hAnsi="宋体"/>
          <w:color w:val="auto"/>
          <w:highlight w:val="none"/>
        </w:rPr>
        <w:t>15.2.2.5投入本项目技术（服务）人员一览表及相关证明材料；</w:t>
      </w:r>
    </w:p>
    <w:p w14:paraId="5E4C5F85">
      <w:pPr>
        <w:spacing w:line="440" w:lineRule="exact"/>
        <w:ind w:firstLine="315"/>
        <w:rPr>
          <w:rFonts w:hint="eastAsia" w:ascii="宋体" w:hAnsi="宋体" w:eastAsia="宋体" w:cs="宋体"/>
          <w:color w:val="auto"/>
          <w:sz w:val="21"/>
          <w:szCs w:val="21"/>
          <w:highlight w:val="none"/>
          <w:lang w:val="en-US" w:eastAsia="zh-CN"/>
        </w:rPr>
      </w:pPr>
      <w:r>
        <w:rPr>
          <w:rFonts w:hint="eastAsia" w:ascii="宋体" w:hAnsi="宋体"/>
          <w:color w:val="auto"/>
          <w:highlight w:val="none"/>
        </w:rPr>
        <w:t>15.2.2.6</w:t>
      </w:r>
      <w:r>
        <w:rPr>
          <w:rFonts w:hint="eastAsia" w:ascii="宋体" w:hAnsi="宋体" w:eastAsia="宋体" w:cs="宋体"/>
          <w:color w:val="auto"/>
          <w:sz w:val="21"/>
          <w:szCs w:val="21"/>
          <w:highlight w:val="none"/>
        </w:rPr>
        <w:t>拟投入仪器设备配置表（如有）</w:t>
      </w:r>
      <w:r>
        <w:rPr>
          <w:rFonts w:hint="eastAsia" w:ascii="宋体" w:hAnsi="宋体" w:cs="宋体"/>
          <w:color w:val="auto"/>
          <w:sz w:val="21"/>
          <w:szCs w:val="21"/>
          <w:highlight w:val="none"/>
          <w:lang w:val="en-US" w:eastAsia="zh-CN"/>
        </w:rPr>
        <w:t>；</w:t>
      </w:r>
    </w:p>
    <w:p w14:paraId="1BCEE10A">
      <w:pPr>
        <w:spacing w:line="440" w:lineRule="exact"/>
        <w:ind w:firstLine="315"/>
        <w:rPr>
          <w:rFonts w:hint="eastAsia" w:ascii="宋体" w:hAnsi="宋体" w:eastAsia="宋体"/>
          <w:color w:val="auto"/>
          <w:highlight w:val="none"/>
          <w:lang w:val="en-US" w:eastAsia="zh-CN"/>
        </w:rPr>
      </w:pPr>
      <w:r>
        <w:rPr>
          <w:rFonts w:hint="eastAsia" w:ascii="宋体" w:hAnsi="宋体" w:eastAsia="宋体" w:cs="宋体"/>
          <w:color w:val="auto"/>
          <w:sz w:val="21"/>
          <w:szCs w:val="21"/>
          <w:highlight w:val="none"/>
          <w:lang w:val="en-US" w:eastAsia="zh-CN"/>
        </w:rPr>
        <w:t>15.2.2.7</w:t>
      </w:r>
      <w:r>
        <w:rPr>
          <w:rFonts w:hint="eastAsia" w:ascii="宋体" w:hAnsi="宋体"/>
          <w:color w:val="auto"/>
          <w:highlight w:val="none"/>
        </w:rPr>
        <w:t>招标文件及评分标准中要求提供的其他相关材料</w:t>
      </w:r>
      <w:r>
        <w:rPr>
          <w:rFonts w:hint="eastAsia" w:ascii="宋体" w:hAnsi="宋体"/>
          <w:color w:val="auto"/>
          <w:highlight w:val="none"/>
          <w:lang w:val="en-US" w:eastAsia="zh-CN"/>
        </w:rPr>
        <w:t>；</w:t>
      </w:r>
    </w:p>
    <w:p w14:paraId="669BF40B">
      <w:pPr>
        <w:spacing w:line="440" w:lineRule="exact"/>
        <w:ind w:firstLine="315"/>
        <w:rPr>
          <w:rFonts w:ascii="宋体" w:hAnsi="宋体"/>
          <w:color w:val="auto"/>
          <w:highlight w:val="none"/>
        </w:rPr>
      </w:pPr>
      <w:r>
        <w:rPr>
          <w:rFonts w:hint="eastAsia" w:ascii="宋体" w:hAnsi="宋体"/>
          <w:color w:val="auto"/>
          <w:highlight w:val="none"/>
        </w:rPr>
        <w:t>15.2.2.</w:t>
      </w:r>
      <w:r>
        <w:rPr>
          <w:rFonts w:hint="eastAsia" w:ascii="宋体" w:hAnsi="宋体"/>
          <w:color w:val="auto"/>
          <w:highlight w:val="none"/>
          <w:lang w:val="en-US" w:eastAsia="zh-CN"/>
        </w:rPr>
        <w:t>8</w:t>
      </w:r>
      <w:r>
        <w:rPr>
          <w:rFonts w:hint="eastAsia" w:ascii="宋体" w:hAnsi="宋体"/>
          <w:color w:val="auto"/>
          <w:highlight w:val="none"/>
        </w:rPr>
        <w:t>其他需投标人对本次投标的详细说明（投标人视各自的情况自行编制）；</w:t>
      </w:r>
    </w:p>
    <w:p w14:paraId="6971A0F7">
      <w:pPr>
        <w:spacing w:line="440" w:lineRule="exact"/>
        <w:ind w:firstLine="123"/>
        <w:rPr>
          <w:rFonts w:ascii="宋体" w:hAnsi="宋体"/>
          <w:color w:val="auto"/>
          <w:highlight w:val="none"/>
        </w:rPr>
      </w:pPr>
      <w:r>
        <w:rPr>
          <w:rFonts w:hint="eastAsia" w:ascii="宋体" w:hAnsi="宋体"/>
          <w:color w:val="auto"/>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A0517F3">
      <w:pPr>
        <w:spacing w:line="440" w:lineRule="exact"/>
        <w:ind w:firstLine="124"/>
        <w:rPr>
          <w:rFonts w:ascii="宋体" w:hAnsi="宋体"/>
          <w:dstrike/>
          <w:color w:val="auto"/>
          <w:highlight w:val="none"/>
        </w:rPr>
      </w:pPr>
      <w:r>
        <w:rPr>
          <w:rFonts w:hint="eastAsia" w:ascii="宋体" w:hAnsi="宋体"/>
          <w:b/>
          <w:color w:val="auto"/>
          <w:highlight w:val="none"/>
        </w:rPr>
        <w:t>15.3投标文件由15.1、15.2款规定的内容共同组成。</w:t>
      </w:r>
    </w:p>
    <w:p w14:paraId="2B655EEF">
      <w:pPr>
        <w:spacing w:line="440" w:lineRule="exact"/>
        <w:rPr>
          <w:rFonts w:ascii="宋体" w:hAnsi="宋体"/>
          <w:color w:val="auto"/>
          <w:highlight w:val="none"/>
        </w:rPr>
      </w:pPr>
      <w:r>
        <w:rPr>
          <w:rFonts w:hint="eastAsia" w:ascii="宋体" w:hAnsi="宋体"/>
          <w:b/>
          <w:color w:val="auto"/>
          <w:highlight w:val="none"/>
        </w:rPr>
        <w:t>16. 投标文件编制要求</w:t>
      </w:r>
    </w:p>
    <w:p w14:paraId="5FF27F30">
      <w:pPr>
        <w:spacing w:line="440" w:lineRule="exact"/>
        <w:ind w:firstLine="371"/>
        <w:rPr>
          <w:rFonts w:ascii="宋体" w:hAnsi="宋体"/>
          <w:b/>
          <w:color w:val="auto"/>
          <w:highlight w:val="none"/>
        </w:rPr>
      </w:pPr>
      <w:r>
        <w:rPr>
          <w:rFonts w:hint="eastAsia" w:ascii="宋体" w:hAnsi="宋体"/>
          <w:color w:val="auto"/>
          <w:highlight w:val="none"/>
        </w:rPr>
        <w:t>16.1</w:t>
      </w:r>
      <w:r>
        <w:rPr>
          <w:rFonts w:hint="eastAsia" w:ascii="宋体" w:hAnsi="宋体"/>
          <w:b/>
          <w:color w:val="auto"/>
          <w:highlight w:val="none"/>
        </w:rPr>
        <w:t>电子投标文件编制要求：</w:t>
      </w:r>
      <w:r>
        <w:rPr>
          <w:rFonts w:hint="eastAsia" w:ascii="宋体" w:hAnsi="宋体"/>
          <w:color w:val="auto"/>
          <w:highlight w:val="none"/>
        </w:rPr>
        <w:t>投标人应使用</w:t>
      </w:r>
      <w:r>
        <w:rPr>
          <w:rFonts w:hint="eastAsia" w:ascii="宋体" w:hAnsi="宋体"/>
          <w:b/>
          <w:color w:val="auto"/>
          <w:highlight w:val="none"/>
          <w:lang w:eastAsia="zh-CN"/>
        </w:rPr>
        <w:t>招标文件要求</w:t>
      </w:r>
      <w:r>
        <w:rPr>
          <w:rFonts w:hint="eastAsia" w:ascii="宋体" w:hAnsi="宋体"/>
          <w:b/>
          <w:color w:val="auto"/>
          <w:highlight w:val="none"/>
        </w:rPr>
        <w:t>的电子投标</w:t>
      </w:r>
      <w:r>
        <w:rPr>
          <w:rFonts w:hint="eastAsia" w:ascii="宋体" w:hAnsi="宋体"/>
          <w:b/>
          <w:color w:val="auto"/>
          <w:highlight w:val="none"/>
          <w:lang w:eastAsia="zh-CN"/>
        </w:rPr>
        <w:t>文件制作</w:t>
      </w:r>
      <w:r>
        <w:rPr>
          <w:rFonts w:hint="eastAsia" w:ascii="宋体" w:hAnsi="宋体"/>
          <w:b/>
          <w:color w:val="auto"/>
          <w:highlight w:val="none"/>
        </w:rPr>
        <w:t>软件制作电子投标文件</w:t>
      </w:r>
      <w:r>
        <w:rPr>
          <w:rFonts w:hint="eastAsia" w:ascii="宋体" w:hAnsi="宋体"/>
          <w:color w:val="auto"/>
          <w:highlight w:val="none"/>
        </w:rPr>
        <w:t>，电子投标文件按招标文件规定的格式制作，如果未按要求制作上传，可能导致投标无效。</w:t>
      </w:r>
    </w:p>
    <w:p w14:paraId="679C5EC2">
      <w:pPr>
        <w:spacing w:line="440" w:lineRule="exact"/>
        <w:rPr>
          <w:rFonts w:ascii="宋体" w:hAnsi="宋体"/>
          <w:b/>
          <w:color w:val="auto"/>
          <w:highlight w:val="none"/>
        </w:rPr>
      </w:pPr>
      <w:r>
        <w:rPr>
          <w:rFonts w:hint="eastAsia" w:ascii="宋体" w:hAnsi="宋体"/>
          <w:b/>
          <w:color w:val="auto"/>
          <w:highlight w:val="none"/>
        </w:rPr>
        <w:t>17. 投标报价（编制）要求的说明</w:t>
      </w:r>
    </w:p>
    <w:p w14:paraId="0CAD6990">
      <w:pPr>
        <w:spacing w:line="440" w:lineRule="exact"/>
        <w:ind w:firstLine="315"/>
        <w:rPr>
          <w:rFonts w:ascii="宋体" w:hAnsi="宋体"/>
          <w:color w:val="auto"/>
          <w:highlight w:val="none"/>
        </w:rPr>
      </w:pPr>
      <w:r>
        <w:rPr>
          <w:rFonts w:hint="eastAsia" w:ascii="宋体" w:hAnsi="宋体"/>
          <w:color w:val="auto"/>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34D03D16">
      <w:pPr>
        <w:spacing w:line="440" w:lineRule="exact"/>
        <w:ind w:firstLine="315"/>
        <w:rPr>
          <w:rFonts w:ascii="宋体" w:hAnsi="宋体"/>
          <w:color w:val="auto"/>
          <w:highlight w:val="none"/>
        </w:rPr>
      </w:pPr>
      <w:r>
        <w:rPr>
          <w:rFonts w:hint="eastAsia" w:ascii="宋体" w:hAnsi="宋体"/>
          <w:color w:val="auto"/>
          <w:highlight w:val="none"/>
        </w:rPr>
        <w:t>17.2投标人应按《投标分项报价明细表》 中的全部货物和服务计算单价和总价，《投标分项报价明细表》中的每一单项均应计算并填写单价和总价，该表并由法定代表人或授权代理人签署。投标人未填单价或合价的项目，在实施后，采购人将不予支付，并视为该项费用已包括在其它有价款的单价或合价内。</w:t>
      </w:r>
    </w:p>
    <w:p w14:paraId="008FE127">
      <w:pPr>
        <w:spacing w:line="440" w:lineRule="exact"/>
        <w:ind w:firstLine="315"/>
        <w:rPr>
          <w:rFonts w:ascii="宋体" w:hAnsi="宋体"/>
          <w:color w:val="auto"/>
          <w:highlight w:val="none"/>
        </w:rPr>
      </w:pPr>
      <w:r>
        <w:rPr>
          <w:rFonts w:hint="eastAsia" w:ascii="宋体" w:hAnsi="宋体"/>
          <w:color w:val="auto"/>
          <w:highlight w:val="none"/>
        </w:rPr>
        <w:t>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2A21F134">
      <w:pPr>
        <w:spacing w:line="440" w:lineRule="exact"/>
        <w:ind w:firstLine="315"/>
        <w:rPr>
          <w:rFonts w:ascii="宋体" w:hAnsi="宋体"/>
          <w:color w:val="auto"/>
          <w:highlight w:val="none"/>
        </w:rPr>
      </w:pPr>
      <w:r>
        <w:rPr>
          <w:rFonts w:hint="eastAsia" w:ascii="宋体" w:hAnsi="宋体"/>
          <w:color w:val="auto"/>
          <w:highlight w:val="none"/>
        </w:rPr>
        <w:t>17.4 一项投标内容只允许一个报价，不接受任何有选择性的投标报价。</w:t>
      </w:r>
    </w:p>
    <w:p w14:paraId="517366E4">
      <w:pPr>
        <w:spacing w:line="440" w:lineRule="exact"/>
        <w:ind w:firstLine="315"/>
        <w:rPr>
          <w:rFonts w:ascii="宋体" w:hAnsi="宋体"/>
          <w:color w:val="auto"/>
          <w:highlight w:val="none"/>
        </w:rPr>
      </w:pPr>
      <w:r>
        <w:rPr>
          <w:rFonts w:hint="eastAsia" w:ascii="宋体" w:hAnsi="宋体"/>
          <w:color w:val="auto"/>
          <w:highlight w:val="none"/>
        </w:rPr>
        <w:t>17.5投标文件报价中的单价和总价全部采用人民币表示，除非合同的特殊条款另有规定。</w:t>
      </w:r>
    </w:p>
    <w:p w14:paraId="6908C823">
      <w:pPr>
        <w:spacing w:line="440" w:lineRule="exact"/>
        <w:ind w:firstLine="315"/>
        <w:rPr>
          <w:rFonts w:ascii="宋体" w:hAnsi="宋体"/>
          <w:color w:val="auto"/>
          <w:highlight w:val="none"/>
        </w:rPr>
      </w:pPr>
      <w:r>
        <w:rPr>
          <w:rFonts w:hint="eastAsia" w:ascii="宋体" w:hAnsi="宋体"/>
          <w:color w:val="auto"/>
          <w:highlight w:val="none"/>
        </w:rPr>
        <w:t>17.6最低报价不能作为中标的保证。</w:t>
      </w:r>
    </w:p>
    <w:p w14:paraId="674781D7">
      <w:pPr>
        <w:spacing w:line="440" w:lineRule="exact"/>
        <w:rPr>
          <w:rFonts w:ascii="宋体" w:hAnsi="宋体"/>
          <w:b/>
          <w:color w:val="auto"/>
          <w:highlight w:val="none"/>
        </w:rPr>
      </w:pPr>
      <w:r>
        <w:rPr>
          <w:rFonts w:hint="eastAsia" w:ascii="宋体" w:hAnsi="宋体"/>
          <w:b/>
          <w:color w:val="auto"/>
          <w:highlight w:val="none"/>
        </w:rPr>
        <w:t>18. 投标保证金</w:t>
      </w:r>
    </w:p>
    <w:p w14:paraId="6BE06669">
      <w:pPr>
        <w:spacing w:line="440" w:lineRule="exact"/>
        <w:ind w:firstLine="315"/>
        <w:rPr>
          <w:rFonts w:ascii="宋体" w:hAnsi="宋体"/>
          <w:color w:val="auto"/>
          <w:highlight w:val="none"/>
        </w:rPr>
      </w:pPr>
      <w:r>
        <w:rPr>
          <w:rFonts w:hint="eastAsia" w:ascii="宋体" w:hAnsi="宋体"/>
          <w:color w:val="auto"/>
          <w:highlight w:val="none"/>
        </w:rPr>
        <w:t>本项目无须缴纳投标保证金</w:t>
      </w:r>
      <w:r>
        <w:rPr>
          <w:rFonts w:hint="eastAsia" w:ascii="宋体" w:hAnsi="宋体"/>
          <w:b/>
          <w:color w:val="auto"/>
          <w:highlight w:val="none"/>
        </w:rPr>
        <w:t>。</w:t>
      </w:r>
    </w:p>
    <w:p w14:paraId="1AD14B7D">
      <w:pPr>
        <w:spacing w:line="440" w:lineRule="exact"/>
        <w:rPr>
          <w:rFonts w:ascii="宋体" w:hAnsi="宋体"/>
          <w:b/>
          <w:color w:val="auto"/>
          <w:highlight w:val="none"/>
        </w:rPr>
      </w:pPr>
      <w:r>
        <w:rPr>
          <w:rFonts w:hint="eastAsia" w:ascii="宋体" w:hAnsi="宋体"/>
          <w:b/>
          <w:color w:val="auto"/>
          <w:highlight w:val="none"/>
        </w:rPr>
        <w:t>19. 投标文件的有效期</w:t>
      </w:r>
    </w:p>
    <w:p w14:paraId="6147D5CE">
      <w:pPr>
        <w:spacing w:line="440" w:lineRule="exact"/>
        <w:ind w:firstLine="315"/>
        <w:rPr>
          <w:rFonts w:ascii="宋体" w:hAnsi="宋体"/>
          <w:color w:val="auto"/>
          <w:highlight w:val="none"/>
        </w:rPr>
      </w:pPr>
      <w:r>
        <w:rPr>
          <w:rFonts w:hint="eastAsia" w:ascii="宋体" w:hAnsi="宋体"/>
          <w:color w:val="auto"/>
          <w:highlight w:val="none"/>
        </w:rPr>
        <w:t>19.1在本招标文件规定的开标之日起九十（9</w:t>
      </w:r>
      <w:r>
        <w:rPr>
          <w:rFonts w:ascii="宋体" w:hAnsi="宋体"/>
          <w:color w:val="auto"/>
          <w:highlight w:val="none"/>
        </w:rPr>
        <w:t>0</w:t>
      </w:r>
      <w:r>
        <w:rPr>
          <w:rFonts w:hint="eastAsia" w:ascii="宋体" w:hAnsi="宋体"/>
          <w:color w:val="auto"/>
          <w:highlight w:val="none"/>
        </w:rPr>
        <w:t>）天内，投标人所提交的投标文件应保持有效。有效期短于这个规定期限的投标文件，将被认定为未实质性响应招标文件要求。</w:t>
      </w:r>
    </w:p>
    <w:p w14:paraId="3F2CE82D">
      <w:pPr>
        <w:spacing w:line="440" w:lineRule="exact"/>
        <w:ind w:firstLine="315"/>
        <w:rPr>
          <w:rFonts w:ascii="宋体" w:hAnsi="宋体"/>
          <w:color w:val="auto"/>
          <w:highlight w:val="none"/>
        </w:rPr>
      </w:pPr>
      <w:r>
        <w:rPr>
          <w:rFonts w:hint="eastAsia" w:ascii="宋体" w:hAnsi="宋体"/>
          <w:color w:val="auto"/>
          <w:highlight w:val="none"/>
        </w:rPr>
        <w:t>19.2在特殊情况下，招标采购单位可与投标人协商延长投标书的有效期。这种要求和答复都应以书面形式进行。同意延长有效期的投标人不能修改投标文件。拒绝接受延期要求的投标人的投标将被拒绝。</w:t>
      </w:r>
    </w:p>
    <w:p w14:paraId="05C8DB85">
      <w:pPr>
        <w:spacing w:line="440" w:lineRule="exact"/>
        <w:rPr>
          <w:rFonts w:ascii="宋体" w:hAnsi="宋体"/>
          <w:b/>
          <w:color w:val="auto"/>
          <w:highlight w:val="none"/>
        </w:rPr>
      </w:pPr>
      <w:r>
        <w:rPr>
          <w:rFonts w:hint="eastAsia" w:ascii="宋体" w:hAnsi="宋体"/>
          <w:b/>
          <w:color w:val="auto"/>
          <w:highlight w:val="none"/>
        </w:rPr>
        <w:t>五、 投标文件的递交</w:t>
      </w:r>
    </w:p>
    <w:p w14:paraId="0FD95291">
      <w:pPr>
        <w:spacing w:line="440" w:lineRule="exact"/>
        <w:rPr>
          <w:rFonts w:ascii="宋体" w:hAnsi="宋体"/>
          <w:color w:val="auto"/>
          <w:highlight w:val="none"/>
        </w:rPr>
      </w:pPr>
      <w:r>
        <w:rPr>
          <w:rFonts w:hint="eastAsia" w:ascii="宋体" w:hAnsi="宋体"/>
          <w:b/>
          <w:color w:val="auto"/>
          <w:highlight w:val="none"/>
        </w:rPr>
        <w:t>20. 投标文件的上传、提交</w:t>
      </w:r>
    </w:p>
    <w:p w14:paraId="1FD38D41">
      <w:pPr>
        <w:tabs>
          <w:tab w:val="left" w:pos="426"/>
        </w:tabs>
        <w:spacing w:line="440" w:lineRule="exact"/>
        <w:rPr>
          <w:rFonts w:ascii="宋体" w:hAnsi="宋体"/>
          <w:b/>
          <w:color w:val="auto"/>
          <w:highlight w:val="none"/>
        </w:rPr>
      </w:pPr>
      <w:r>
        <w:rPr>
          <w:rFonts w:hint="eastAsia" w:ascii="宋体" w:hAnsi="宋体"/>
          <w:color w:val="auto"/>
          <w:highlight w:val="none"/>
        </w:rPr>
        <w:t>20.</w:t>
      </w:r>
      <w:r>
        <w:rPr>
          <w:rFonts w:hint="eastAsia" w:ascii="宋体" w:hAnsi="宋体"/>
          <w:b/>
          <w:color w:val="auto"/>
          <w:highlight w:val="none"/>
        </w:rPr>
        <w:t>1投标人应将制作好的加密电子投标文件按要求在投标截止时间前上传到交易系统平台中。</w:t>
      </w:r>
    </w:p>
    <w:p w14:paraId="200C715D">
      <w:pPr>
        <w:spacing w:line="440" w:lineRule="exact"/>
        <w:rPr>
          <w:rFonts w:ascii="宋体" w:hAnsi="宋体"/>
          <w:b/>
          <w:color w:val="auto"/>
          <w:highlight w:val="none"/>
        </w:rPr>
      </w:pPr>
      <w:r>
        <w:rPr>
          <w:rFonts w:hint="eastAsia" w:ascii="宋体" w:hAnsi="宋体"/>
          <w:b/>
          <w:color w:val="auto"/>
          <w:highlight w:val="none"/>
        </w:rPr>
        <w:t>21. 投标截止时间</w:t>
      </w:r>
    </w:p>
    <w:p w14:paraId="4AF718DF">
      <w:pPr>
        <w:tabs>
          <w:tab w:val="left" w:pos="284"/>
        </w:tabs>
        <w:spacing w:line="440" w:lineRule="exact"/>
        <w:rPr>
          <w:rFonts w:ascii="宋体" w:hAnsi="宋体"/>
          <w:b/>
          <w:color w:val="auto"/>
          <w:highlight w:val="none"/>
        </w:rPr>
      </w:pPr>
      <w:r>
        <w:rPr>
          <w:rFonts w:hint="eastAsia" w:ascii="宋体" w:hAnsi="宋体"/>
          <w:color w:val="auto"/>
          <w:highlight w:val="none"/>
        </w:rPr>
        <w:t>21.1</w:t>
      </w:r>
      <w:r>
        <w:rPr>
          <w:rFonts w:hint="eastAsia" w:ascii="宋体" w:hAnsi="宋体"/>
          <w:b/>
          <w:color w:val="auto"/>
          <w:highlight w:val="none"/>
        </w:rPr>
        <w:t>电子投标文件必须按招标公告中规定的网上投标截止时间前提交</w:t>
      </w:r>
      <w:r>
        <w:rPr>
          <w:rFonts w:hint="eastAsia" w:ascii="宋体" w:hAnsi="宋体"/>
          <w:color w:val="auto"/>
          <w:highlight w:val="none"/>
        </w:rPr>
        <w:t>，</w:t>
      </w:r>
      <w:r>
        <w:rPr>
          <w:rFonts w:hint="eastAsia" w:ascii="宋体" w:hAnsi="宋体"/>
          <w:b/>
          <w:color w:val="auto"/>
          <w:highlight w:val="none"/>
        </w:rPr>
        <w:t>否则投标无效</w:t>
      </w:r>
      <w:r>
        <w:rPr>
          <w:rFonts w:hint="eastAsia" w:ascii="宋体" w:hAnsi="宋体"/>
          <w:color w:val="auto"/>
          <w:highlight w:val="none"/>
        </w:rPr>
        <w:t>。</w:t>
      </w:r>
    </w:p>
    <w:p w14:paraId="6B3E0AAB">
      <w:pPr>
        <w:spacing w:line="440" w:lineRule="exact"/>
        <w:ind w:firstLine="315"/>
        <w:rPr>
          <w:rFonts w:ascii="宋体" w:hAnsi="宋体"/>
          <w:color w:val="auto"/>
          <w:highlight w:val="none"/>
        </w:rPr>
      </w:pPr>
      <w:r>
        <w:rPr>
          <w:rFonts w:hint="eastAsia" w:ascii="宋体" w:hAnsi="宋体"/>
          <w:color w:val="auto"/>
          <w:highlight w:val="none"/>
        </w:rPr>
        <w:t>21.2采购代理机构推迟投标截止时间时，应以更正公告的形式，通知所有投标人。在这种情况下，采购代理机构和投标人的权利和义务将受到新的截止期的约束。</w:t>
      </w:r>
    </w:p>
    <w:p w14:paraId="7527400B">
      <w:pPr>
        <w:spacing w:line="440" w:lineRule="exact"/>
        <w:ind w:firstLine="315"/>
        <w:rPr>
          <w:rFonts w:ascii="宋体" w:hAnsi="宋体"/>
          <w:color w:val="auto"/>
          <w:highlight w:val="none"/>
        </w:rPr>
      </w:pPr>
      <w:r>
        <w:rPr>
          <w:rFonts w:hint="eastAsia" w:ascii="宋体" w:hAnsi="宋体"/>
          <w:color w:val="auto"/>
          <w:highlight w:val="none"/>
        </w:rPr>
        <w:t>21.3在投标截止时间止采购代理机构收到的电子投标文件</w:t>
      </w:r>
      <w:r>
        <w:rPr>
          <w:rFonts w:hint="eastAsia" w:ascii="宋体" w:hAnsi="宋体"/>
          <w:b/>
          <w:color w:val="auto"/>
          <w:highlight w:val="none"/>
        </w:rPr>
        <w:t>少于三份</w:t>
      </w:r>
      <w:r>
        <w:rPr>
          <w:rFonts w:hint="eastAsia" w:ascii="宋体" w:hAnsi="宋体"/>
          <w:color w:val="auto"/>
          <w:highlight w:val="none"/>
        </w:rPr>
        <w:t>的，采购代理机构有权宣布本次招标失败。</w:t>
      </w:r>
    </w:p>
    <w:p w14:paraId="0411CF92">
      <w:pPr>
        <w:spacing w:line="440" w:lineRule="exact"/>
        <w:rPr>
          <w:rFonts w:ascii="宋体" w:hAnsi="宋体"/>
          <w:b/>
          <w:color w:val="auto"/>
          <w:highlight w:val="none"/>
        </w:rPr>
      </w:pPr>
      <w:r>
        <w:rPr>
          <w:rFonts w:hint="eastAsia" w:ascii="宋体" w:hAnsi="宋体"/>
          <w:b/>
          <w:color w:val="auto"/>
          <w:highlight w:val="none"/>
        </w:rPr>
        <w:t>22. 投标文件的修改和撤回</w:t>
      </w:r>
    </w:p>
    <w:p w14:paraId="3E3011E7">
      <w:pPr>
        <w:spacing w:line="440" w:lineRule="exact"/>
        <w:ind w:firstLine="315"/>
        <w:rPr>
          <w:rFonts w:ascii="宋体" w:hAnsi="宋体"/>
          <w:color w:val="auto"/>
          <w:highlight w:val="none"/>
        </w:rPr>
      </w:pPr>
      <w:r>
        <w:rPr>
          <w:rFonts w:hint="eastAsia" w:ascii="宋体" w:hAnsi="宋体"/>
          <w:color w:val="auto"/>
          <w:highlight w:val="none"/>
        </w:rPr>
        <w:t>22.1投标人在提交投标文件截止时间前，可对其投标文件进行撤回或修改。</w:t>
      </w:r>
    </w:p>
    <w:p w14:paraId="0DC42B3B">
      <w:pPr>
        <w:spacing w:line="440" w:lineRule="exact"/>
        <w:ind w:firstLine="315"/>
        <w:rPr>
          <w:rFonts w:ascii="宋体" w:hAnsi="宋体"/>
          <w:color w:val="auto"/>
          <w:highlight w:val="none"/>
        </w:rPr>
      </w:pPr>
      <w:r>
        <w:rPr>
          <w:rFonts w:hint="eastAsia" w:ascii="宋体" w:hAnsi="宋体"/>
          <w:color w:val="auto"/>
          <w:highlight w:val="none"/>
        </w:rPr>
        <w:t>22.2开标后投标人不得撤回投标。</w:t>
      </w:r>
    </w:p>
    <w:p w14:paraId="169F2038">
      <w:pPr>
        <w:spacing w:line="440" w:lineRule="exact"/>
        <w:rPr>
          <w:rFonts w:ascii="宋体" w:hAnsi="宋体"/>
          <w:b/>
          <w:color w:val="auto"/>
          <w:highlight w:val="none"/>
        </w:rPr>
      </w:pPr>
      <w:r>
        <w:rPr>
          <w:rFonts w:hint="eastAsia" w:ascii="宋体" w:hAnsi="宋体"/>
          <w:b/>
          <w:color w:val="auto"/>
          <w:highlight w:val="none"/>
        </w:rPr>
        <w:t>六、开标和评标</w:t>
      </w:r>
    </w:p>
    <w:p w14:paraId="66470B78">
      <w:pPr>
        <w:spacing w:line="440" w:lineRule="exact"/>
        <w:rPr>
          <w:rFonts w:ascii="宋体" w:hAnsi="宋体"/>
          <w:b/>
          <w:color w:val="auto"/>
          <w:highlight w:val="none"/>
        </w:rPr>
      </w:pPr>
      <w:r>
        <w:rPr>
          <w:rFonts w:hint="eastAsia" w:ascii="宋体" w:hAnsi="宋体"/>
          <w:b/>
          <w:color w:val="auto"/>
          <w:highlight w:val="none"/>
        </w:rPr>
        <w:t>23. 开标</w:t>
      </w:r>
    </w:p>
    <w:p w14:paraId="3A523073">
      <w:pPr>
        <w:spacing w:line="440" w:lineRule="exact"/>
        <w:ind w:firstLine="315"/>
        <w:rPr>
          <w:rFonts w:ascii="宋体" w:hAnsi="宋体"/>
          <w:color w:val="auto"/>
          <w:highlight w:val="none"/>
        </w:rPr>
      </w:pPr>
      <w:r>
        <w:rPr>
          <w:rFonts w:hint="eastAsia" w:ascii="宋体" w:hAnsi="宋体"/>
          <w:color w:val="auto"/>
          <w:highlight w:val="none"/>
        </w:rPr>
        <w:t>23.1采购代理机构按采购公告规定的时间、地点主持不见面开标活动。开标仪式由采购代理机构主持。</w:t>
      </w:r>
    </w:p>
    <w:p w14:paraId="1A70AC42">
      <w:pPr>
        <w:spacing w:line="440" w:lineRule="exact"/>
        <w:ind w:firstLine="315"/>
        <w:rPr>
          <w:rFonts w:ascii="宋体" w:hAnsi="宋体"/>
          <w:color w:val="auto"/>
          <w:highlight w:val="none"/>
        </w:rPr>
      </w:pPr>
      <w:r>
        <w:rPr>
          <w:rFonts w:hint="eastAsia" w:ascii="宋体" w:hAnsi="宋体"/>
          <w:color w:val="auto"/>
          <w:highlight w:val="none"/>
        </w:rPr>
        <w:t>23.2</w:t>
      </w:r>
      <w:r>
        <w:rPr>
          <w:rFonts w:hint="eastAsia" w:ascii="宋体" w:hAnsi="宋体"/>
          <w:b/>
          <w:color w:val="auto"/>
          <w:highlight w:val="none"/>
        </w:rPr>
        <w:t>参加开标的投标人法定代表人或授权代理人须在项目开标前登录</w:t>
      </w:r>
      <w:r>
        <w:rPr>
          <w:rFonts w:hint="eastAsia" w:ascii="宋体" w:hAnsi="宋体"/>
          <w:b/>
          <w:color w:val="auto"/>
          <w:highlight w:val="none"/>
          <w:lang w:eastAsia="zh-CN"/>
        </w:rPr>
        <w:t>苏采云</w:t>
      </w:r>
      <w:r>
        <w:rPr>
          <w:rFonts w:hint="eastAsia" w:ascii="宋体" w:hAnsi="宋体"/>
          <w:b/>
          <w:color w:val="auto"/>
          <w:highlight w:val="none"/>
        </w:rPr>
        <w:t>不见面开标系统，进入网上</w:t>
      </w:r>
      <w:r>
        <w:rPr>
          <w:rFonts w:hint="eastAsia" w:ascii="宋体" w:hAnsi="宋体"/>
          <w:b/>
          <w:color w:val="auto"/>
          <w:highlight w:val="none"/>
          <w:lang w:eastAsia="zh-CN"/>
        </w:rPr>
        <w:t>不见面</w:t>
      </w:r>
      <w:r>
        <w:rPr>
          <w:rFonts w:hint="eastAsia" w:ascii="宋体" w:hAnsi="宋体"/>
          <w:b/>
          <w:color w:val="auto"/>
          <w:highlight w:val="none"/>
        </w:rPr>
        <w:t>开标大厅，做好相关准备工作。</w:t>
      </w:r>
    </w:p>
    <w:p w14:paraId="0A9741B7">
      <w:pPr>
        <w:spacing w:line="440" w:lineRule="exact"/>
        <w:ind w:firstLine="315"/>
        <w:rPr>
          <w:rFonts w:ascii="宋体" w:hAnsi="宋体"/>
          <w:color w:val="auto"/>
          <w:highlight w:val="none"/>
        </w:rPr>
      </w:pPr>
      <w:r>
        <w:rPr>
          <w:rFonts w:hint="eastAsia" w:ascii="宋体" w:hAnsi="宋体"/>
          <w:color w:val="auto"/>
          <w:highlight w:val="none"/>
        </w:rPr>
        <w:t>23.3</w:t>
      </w:r>
      <w:r>
        <w:rPr>
          <w:rFonts w:hint="eastAsia" w:ascii="宋体" w:hAnsi="宋体"/>
          <w:b/>
          <w:color w:val="auto"/>
          <w:highlight w:val="none"/>
        </w:rPr>
        <w:t>本项目开标后在规定的解密时间内，投标人须自行登录网上开标大厅解密投标文件，解密时间为</w:t>
      </w:r>
      <w:r>
        <w:rPr>
          <w:rFonts w:hint="eastAsia" w:ascii="宋体" w:hAnsi="宋体"/>
          <w:b/>
          <w:color w:val="auto"/>
          <w:highlight w:val="none"/>
          <w:lang w:val="en-US" w:eastAsia="zh-CN"/>
        </w:rPr>
        <w:t>15</w:t>
      </w:r>
      <w:r>
        <w:rPr>
          <w:rFonts w:hint="eastAsia" w:ascii="宋体" w:hAnsi="宋体"/>
          <w:b/>
          <w:color w:val="auto"/>
          <w:highlight w:val="none"/>
        </w:rPr>
        <w:t>分钟，因自身原因导致解密失败的，由投标人自行承担相关责任。</w:t>
      </w:r>
    </w:p>
    <w:p w14:paraId="45D8F83A">
      <w:pPr>
        <w:spacing w:line="440" w:lineRule="exact"/>
        <w:ind w:firstLine="315"/>
        <w:rPr>
          <w:rFonts w:ascii="宋体" w:hAnsi="宋体"/>
          <w:color w:val="auto"/>
          <w:highlight w:val="none"/>
        </w:rPr>
      </w:pPr>
      <w:r>
        <w:rPr>
          <w:rFonts w:hint="eastAsia" w:ascii="宋体" w:hAnsi="宋体"/>
          <w:color w:val="auto"/>
          <w:highlight w:val="none"/>
        </w:rPr>
        <w:t>23.4采购代理机构在开标仪式上，将公布投标人的名称、投标价格，并将作唱标记录。</w:t>
      </w:r>
    </w:p>
    <w:p w14:paraId="10B7DE83">
      <w:pPr>
        <w:spacing w:line="440" w:lineRule="exact"/>
        <w:ind w:firstLine="315"/>
        <w:rPr>
          <w:rFonts w:ascii="宋体" w:hAnsi="宋体"/>
          <w:color w:val="auto"/>
          <w:highlight w:val="none"/>
        </w:rPr>
      </w:pPr>
      <w:r>
        <w:rPr>
          <w:rFonts w:hint="eastAsia" w:ascii="宋体" w:hAnsi="宋体"/>
          <w:color w:val="auto"/>
          <w:highlight w:val="none"/>
        </w:rPr>
        <w:t>23.5投标人代表对开标过程和开标记录有疑义，以及认为采购人、采购代理机构相关工作人员有需要回避的情形的，</w:t>
      </w:r>
      <w:r>
        <w:rPr>
          <w:rFonts w:hint="eastAsia" w:ascii="宋体" w:hAnsi="宋体"/>
          <w:b/>
          <w:color w:val="auto"/>
          <w:highlight w:val="none"/>
        </w:rPr>
        <w:t>应通过不见面开标大厅提出</w:t>
      </w:r>
      <w:r>
        <w:rPr>
          <w:rFonts w:hint="eastAsia" w:ascii="宋体" w:hAnsi="宋体"/>
          <w:color w:val="auto"/>
          <w:highlight w:val="none"/>
        </w:rPr>
        <w:t>询问或者回避申请。采购人、采购代理机构对投标人代表提出的询问或者回避申请应当及时处理。</w:t>
      </w:r>
    </w:p>
    <w:p w14:paraId="7E7BC67A">
      <w:pPr>
        <w:spacing w:line="440" w:lineRule="exact"/>
        <w:rPr>
          <w:rFonts w:ascii="宋体" w:hAnsi="宋体"/>
          <w:b/>
          <w:color w:val="auto"/>
          <w:highlight w:val="none"/>
        </w:rPr>
      </w:pPr>
      <w:r>
        <w:rPr>
          <w:rFonts w:hint="eastAsia" w:ascii="宋体" w:hAnsi="宋体"/>
          <w:b/>
          <w:color w:val="auto"/>
          <w:highlight w:val="none"/>
        </w:rPr>
        <w:t>24. 评标委员会</w:t>
      </w:r>
      <w:r>
        <w:rPr>
          <w:rFonts w:hint="eastAsia" w:ascii="宋体" w:hAnsi="宋体"/>
          <w:b/>
          <w:color w:val="auto"/>
          <w:highlight w:val="none"/>
        </w:rPr>
        <w:tab/>
      </w:r>
    </w:p>
    <w:p w14:paraId="64834398">
      <w:pPr>
        <w:spacing w:line="440" w:lineRule="exact"/>
        <w:ind w:firstLine="315"/>
        <w:rPr>
          <w:rFonts w:ascii="宋体" w:hAnsi="宋体"/>
          <w:color w:val="auto"/>
          <w:highlight w:val="none"/>
        </w:rPr>
      </w:pPr>
      <w:r>
        <w:rPr>
          <w:rFonts w:hint="eastAsia" w:ascii="宋体" w:hAnsi="宋体"/>
          <w:color w:val="auto"/>
          <w:highlight w:val="none"/>
        </w:rPr>
        <w:t>24.1评标委员会由招标采购单位依法组建，负责本项目的评标事务。</w:t>
      </w:r>
    </w:p>
    <w:p w14:paraId="7B67B0D7">
      <w:pPr>
        <w:spacing w:line="440" w:lineRule="exact"/>
        <w:ind w:firstLine="315"/>
        <w:rPr>
          <w:rFonts w:ascii="宋体" w:hAnsi="宋体"/>
          <w:color w:val="auto"/>
          <w:highlight w:val="none"/>
        </w:rPr>
      </w:pPr>
      <w:r>
        <w:rPr>
          <w:rFonts w:hint="eastAsia" w:ascii="宋体" w:hAnsi="宋体"/>
          <w:color w:val="auto"/>
          <w:highlight w:val="none"/>
        </w:rPr>
        <w:t>24.2评标委员会独立履行下列职责：</w:t>
      </w:r>
    </w:p>
    <w:p w14:paraId="79EFE440">
      <w:pPr>
        <w:spacing w:line="440" w:lineRule="exact"/>
        <w:ind w:firstLine="315"/>
        <w:rPr>
          <w:rFonts w:ascii="宋体" w:hAnsi="宋体"/>
          <w:color w:val="auto"/>
          <w:highlight w:val="none"/>
        </w:rPr>
      </w:pPr>
      <w:r>
        <w:rPr>
          <w:rFonts w:hint="eastAsia" w:ascii="宋体" w:hAnsi="宋体"/>
          <w:color w:val="auto"/>
          <w:highlight w:val="none"/>
        </w:rPr>
        <w:t>24.2.1审查投标文件是否符合招标文件的要求，并作出评价；</w:t>
      </w:r>
    </w:p>
    <w:p w14:paraId="55487D73">
      <w:pPr>
        <w:spacing w:line="440" w:lineRule="exact"/>
        <w:ind w:firstLine="315"/>
        <w:rPr>
          <w:rFonts w:ascii="宋体" w:hAnsi="宋体"/>
          <w:color w:val="auto"/>
          <w:highlight w:val="none"/>
        </w:rPr>
      </w:pPr>
      <w:r>
        <w:rPr>
          <w:rFonts w:hint="eastAsia" w:ascii="宋体" w:hAnsi="宋体"/>
          <w:color w:val="auto"/>
          <w:highlight w:val="none"/>
        </w:rPr>
        <w:t>24.2.2可以要求投标供应商对投标文件有关事项作出解释或澄清；</w:t>
      </w:r>
    </w:p>
    <w:p w14:paraId="0E239E6F">
      <w:pPr>
        <w:spacing w:line="440" w:lineRule="exact"/>
        <w:ind w:firstLine="315"/>
        <w:rPr>
          <w:rFonts w:ascii="宋体" w:hAnsi="宋体"/>
          <w:color w:val="auto"/>
          <w:highlight w:val="none"/>
        </w:rPr>
      </w:pPr>
      <w:r>
        <w:rPr>
          <w:rFonts w:hint="eastAsia" w:ascii="宋体" w:hAnsi="宋体"/>
          <w:color w:val="auto"/>
          <w:highlight w:val="none"/>
        </w:rPr>
        <w:t>24.2.3推荐中标候选供应商名单，或者受采购人委托按照事先确定的办法直接确定中标供应商；</w:t>
      </w:r>
    </w:p>
    <w:p w14:paraId="603510F4">
      <w:pPr>
        <w:spacing w:line="440" w:lineRule="exact"/>
        <w:ind w:firstLine="315"/>
        <w:rPr>
          <w:rFonts w:ascii="宋体" w:hAnsi="宋体"/>
          <w:color w:val="auto"/>
          <w:highlight w:val="none"/>
        </w:rPr>
      </w:pPr>
      <w:r>
        <w:rPr>
          <w:rFonts w:hint="eastAsia" w:ascii="宋体" w:hAnsi="宋体"/>
          <w:color w:val="auto"/>
          <w:highlight w:val="none"/>
        </w:rPr>
        <w:t>24.2.4向招标采购单位或者有关部门报告非法干预评标工作的行为。</w:t>
      </w:r>
    </w:p>
    <w:p w14:paraId="5CDD3FD7">
      <w:pPr>
        <w:spacing w:line="440" w:lineRule="exact"/>
        <w:ind w:firstLine="315"/>
        <w:rPr>
          <w:rFonts w:ascii="宋体" w:hAnsi="宋体"/>
          <w:color w:val="auto"/>
          <w:highlight w:val="none"/>
        </w:rPr>
      </w:pPr>
      <w:r>
        <w:rPr>
          <w:rFonts w:hint="eastAsia" w:ascii="宋体" w:hAnsi="宋体"/>
          <w:color w:val="auto"/>
          <w:highlight w:val="none"/>
        </w:rPr>
        <w:t>24.3评标委员会成员应当履行下列义务：</w:t>
      </w:r>
    </w:p>
    <w:p w14:paraId="217B7BA5">
      <w:pPr>
        <w:spacing w:line="440" w:lineRule="exact"/>
        <w:ind w:firstLine="315"/>
        <w:rPr>
          <w:rFonts w:ascii="宋体" w:hAnsi="宋体"/>
          <w:color w:val="auto"/>
          <w:highlight w:val="none"/>
        </w:rPr>
      </w:pPr>
      <w:r>
        <w:rPr>
          <w:rFonts w:hint="eastAsia" w:ascii="宋体" w:hAnsi="宋体"/>
          <w:color w:val="auto"/>
          <w:highlight w:val="none"/>
        </w:rPr>
        <w:t>24.3.1遵纪守法，客观、公正、廉洁地履行职责；</w:t>
      </w:r>
    </w:p>
    <w:p w14:paraId="6B23163D">
      <w:pPr>
        <w:spacing w:line="440" w:lineRule="exact"/>
        <w:ind w:firstLine="315"/>
        <w:rPr>
          <w:rFonts w:ascii="宋体" w:hAnsi="宋体"/>
          <w:color w:val="auto"/>
          <w:highlight w:val="none"/>
        </w:rPr>
      </w:pPr>
      <w:r>
        <w:rPr>
          <w:rFonts w:hint="eastAsia" w:ascii="宋体" w:hAnsi="宋体"/>
          <w:color w:val="auto"/>
          <w:highlight w:val="none"/>
        </w:rPr>
        <w:t>24.3.2按照招标文件规定的评标办法和评标标准进行评标，对评审意见承担个人责任；</w:t>
      </w:r>
    </w:p>
    <w:p w14:paraId="7339D093">
      <w:pPr>
        <w:spacing w:line="440" w:lineRule="exact"/>
        <w:ind w:firstLine="315"/>
        <w:rPr>
          <w:rFonts w:ascii="宋体" w:hAnsi="宋体"/>
          <w:color w:val="auto"/>
          <w:highlight w:val="none"/>
        </w:rPr>
      </w:pPr>
      <w:r>
        <w:rPr>
          <w:rFonts w:hint="eastAsia" w:ascii="宋体" w:hAnsi="宋体"/>
          <w:color w:val="auto"/>
          <w:highlight w:val="none"/>
        </w:rPr>
        <w:t>24.3.3对评标过程和结果，以及投标人的商业秘密保密；</w:t>
      </w:r>
    </w:p>
    <w:p w14:paraId="219059E1">
      <w:pPr>
        <w:spacing w:line="440" w:lineRule="exact"/>
        <w:ind w:firstLine="315"/>
        <w:rPr>
          <w:rFonts w:ascii="宋体" w:hAnsi="宋体"/>
          <w:color w:val="auto"/>
          <w:highlight w:val="none"/>
        </w:rPr>
      </w:pPr>
      <w:r>
        <w:rPr>
          <w:rFonts w:hint="eastAsia" w:ascii="宋体" w:hAnsi="宋体"/>
          <w:color w:val="auto"/>
          <w:highlight w:val="none"/>
        </w:rPr>
        <w:t>24.3.4参与评标报告的起草；</w:t>
      </w:r>
    </w:p>
    <w:p w14:paraId="18020A43">
      <w:pPr>
        <w:spacing w:line="440" w:lineRule="exact"/>
        <w:ind w:firstLine="315"/>
        <w:rPr>
          <w:rFonts w:ascii="宋体" w:hAnsi="宋体"/>
          <w:color w:val="auto"/>
          <w:highlight w:val="none"/>
        </w:rPr>
      </w:pPr>
      <w:r>
        <w:rPr>
          <w:rFonts w:hint="eastAsia" w:ascii="宋体" w:hAnsi="宋体"/>
          <w:color w:val="auto"/>
          <w:highlight w:val="none"/>
        </w:rPr>
        <w:t>24.3.5配合相关部门的投诉处理工作；</w:t>
      </w:r>
    </w:p>
    <w:p w14:paraId="4A08A947">
      <w:pPr>
        <w:spacing w:line="440" w:lineRule="exact"/>
        <w:ind w:firstLine="315"/>
        <w:rPr>
          <w:rFonts w:ascii="宋体" w:hAnsi="宋体"/>
          <w:color w:val="auto"/>
          <w:highlight w:val="none"/>
        </w:rPr>
      </w:pPr>
      <w:r>
        <w:rPr>
          <w:rFonts w:hint="eastAsia" w:ascii="宋体" w:hAnsi="宋体"/>
          <w:color w:val="auto"/>
          <w:highlight w:val="none"/>
        </w:rPr>
        <w:t>24.3.6配合招标采购单位答复投标供应商提出的质疑。</w:t>
      </w:r>
    </w:p>
    <w:p w14:paraId="7ECBF1DE">
      <w:pPr>
        <w:spacing w:line="440" w:lineRule="exact"/>
        <w:rPr>
          <w:rFonts w:ascii="宋体" w:hAnsi="宋体"/>
          <w:b/>
          <w:color w:val="auto"/>
          <w:highlight w:val="none"/>
        </w:rPr>
      </w:pPr>
      <w:r>
        <w:rPr>
          <w:rFonts w:hint="eastAsia" w:ascii="宋体" w:hAnsi="宋体"/>
          <w:b/>
          <w:color w:val="auto"/>
          <w:highlight w:val="none"/>
        </w:rPr>
        <w:t>25. 评标内容的保密</w:t>
      </w:r>
    </w:p>
    <w:p w14:paraId="0B66F314">
      <w:pPr>
        <w:spacing w:line="440" w:lineRule="exact"/>
        <w:ind w:firstLine="315"/>
        <w:rPr>
          <w:rFonts w:ascii="宋体" w:hAnsi="宋体"/>
          <w:color w:val="auto"/>
          <w:highlight w:val="none"/>
        </w:rPr>
      </w:pPr>
      <w:r>
        <w:rPr>
          <w:rFonts w:hint="eastAsia" w:ascii="宋体" w:hAnsi="宋体"/>
          <w:color w:val="auto"/>
          <w:highlight w:val="none"/>
        </w:rPr>
        <w:t>25.1公开开标后，直到宣布授予中标供应商合同为止，凡属于审查、澄清、评价和比较投标的所有资料，有关授予合同的信息都不应向投标人或与评标无关的其他人泄露。</w:t>
      </w:r>
      <w:r>
        <w:rPr>
          <w:rFonts w:hint="eastAsia" w:ascii="宋体" w:hAnsi="宋体"/>
          <w:bCs/>
          <w:color w:val="auto"/>
          <w:highlight w:val="none"/>
        </w:rPr>
        <w:t>有关中标的信息，须经采购文件规定的程序报批后，由采购方书面通知有关单位。采购方对除此以外的其他渠道得悉的任何信息都不承担责任，并保留对其信息来源追究的权力。</w:t>
      </w:r>
    </w:p>
    <w:p w14:paraId="71ACB126">
      <w:pPr>
        <w:spacing w:line="440" w:lineRule="exact"/>
        <w:ind w:firstLine="315"/>
        <w:rPr>
          <w:rFonts w:ascii="宋体" w:hAnsi="宋体"/>
          <w:color w:val="auto"/>
          <w:highlight w:val="none"/>
        </w:rPr>
      </w:pPr>
      <w:r>
        <w:rPr>
          <w:rFonts w:hint="eastAsia" w:ascii="宋体" w:hAnsi="宋体"/>
          <w:color w:val="auto"/>
          <w:highlight w:val="none"/>
        </w:rPr>
        <w:t>25.2 在投标文件的审查、澄清、评价和比较以及授予合同的过程中，投标人对招标采购单位和评标委员会成员施加影响的任何行为，都将取消其投标资格。</w:t>
      </w:r>
    </w:p>
    <w:p w14:paraId="77201828">
      <w:pPr>
        <w:spacing w:line="440" w:lineRule="exact"/>
        <w:ind w:firstLine="315"/>
        <w:rPr>
          <w:rFonts w:ascii="宋体" w:hAnsi="宋体"/>
          <w:color w:val="auto"/>
          <w:highlight w:val="none"/>
        </w:rPr>
      </w:pPr>
      <w:r>
        <w:rPr>
          <w:rFonts w:hint="eastAsia" w:ascii="宋体" w:hAnsi="宋体"/>
          <w:color w:val="auto"/>
          <w:highlight w:val="none"/>
        </w:rPr>
        <w:t>25.3在评标期间，采购代理机构将通过指定联络人与投标人进行联系。</w:t>
      </w:r>
    </w:p>
    <w:p w14:paraId="60DE9FD7">
      <w:pPr>
        <w:spacing w:line="440" w:lineRule="exact"/>
        <w:rPr>
          <w:rFonts w:ascii="宋体" w:hAnsi="宋体"/>
          <w:b/>
          <w:color w:val="auto"/>
          <w:highlight w:val="none"/>
        </w:rPr>
      </w:pPr>
      <w:r>
        <w:rPr>
          <w:rFonts w:hint="eastAsia" w:ascii="宋体" w:hAnsi="宋体"/>
          <w:b/>
          <w:color w:val="auto"/>
          <w:highlight w:val="none"/>
        </w:rPr>
        <w:t>26.对投标文件初审</w:t>
      </w:r>
    </w:p>
    <w:p w14:paraId="6F7CDA78">
      <w:pPr>
        <w:spacing w:line="440" w:lineRule="exact"/>
        <w:ind w:firstLine="315"/>
        <w:rPr>
          <w:rFonts w:ascii="宋体" w:hAnsi="宋体"/>
          <w:color w:val="auto"/>
          <w:highlight w:val="none"/>
        </w:rPr>
      </w:pPr>
      <w:r>
        <w:rPr>
          <w:rFonts w:hint="eastAsia" w:ascii="宋体" w:hAnsi="宋体"/>
          <w:color w:val="auto"/>
          <w:highlight w:val="none"/>
        </w:rPr>
        <w:t>26.1.1资格性检查。依据法律法规和招标文件的规定，采购人或者采购代理机构依法对投标人的资格进行审查。对投标文件中的资格证明、承诺书等进行审查，以确定投标供应商是否具备投标资格。</w:t>
      </w:r>
    </w:p>
    <w:p w14:paraId="3D7611F7">
      <w:pPr>
        <w:spacing w:line="440" w:lineRule="exact"/>
        <w:ind w:firstLine="315"/>
        <w:rPr>
          <w:rFonts w:ascii="宋体" w:hAnsi="宋体"/>
          <w:color w:val="auto"/>
          <w:highlight w:val="none"/>
          <w:lang w:val="zh-CN"/>
        </w:rPr>
      </w:pPr>
      <w:r>
        <w:rPr>
          <w:rFonts w:hint="eastAsia" w:ascii="宋体" w:hAnsi="宋体"/>
          <w:color w:val="auto"/>
          <w:highlight w:val="none"/>
        </w:rPr>
        <w:t xml:space="preserve">26.1.2 </w:t>
      </w:r>
      <w:r>
        <w:rPr>
          <w:rFonts w:hint="eastAsia" w:ascii="宋体" w:hAnsi="宋体"/>
          <w:color w:val="auto"/>
          <w:highlight w:val="none"/>
          <w:lang w:val="zh-CN"/>
        </w:rPr>
        <w:t>关于信用记录查询：</w:t>
      </w:r>
    </w:p>
    <w:p w14:paraId="0191823B">
      <w:pPr>
        <w:spacing w:line="440" w:lineRule="exact"/>
        <w:ind w:firstLine="420"/>
        <w:rPr>
          <w:rFonts w:hint="eastAsia" w:ascii="宋体" w:hAnsi="宋体"/>
          <w:color w:val="auto"/>
          <w:highlight w:val="none"/>
          <w:lang w:val="zh-CN"/>
        </w:rPr>
      </w:pPr>
      <w:r>
        <w:rPr>
          <w:rFonts w:hint="eastAsia" w:ascii="宋体" w:hAnsi="宋体"/>
          <w:color w:val="auto"/>
          <w:highlight w:val="none"/>
          <w:lang w:val="en-US" w:eastAsia="en-US"/>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olor w:val="auto"/>
          <w:highlight w:val="none"/>
          <w:lang w:val="zh-CN"/>
        </w:rPr>
        <w:t>。</w:t>
      </w:r>
    </w:p>
    <w:p w14:paraId="50BC7290">
      <w:pPr>
        <w:spacing w:line="440" w:lineRule="exact"/>
        <w:ind w:firstLine="315"/>
        <w:rPr>
          <w:rFonts w:ascii="宋体" w:hAnsi="宋体"/>
          <w:color w:val="auto"/>
          <w:highlight w:val="none"/>
          <w:lang w:val="zh-CN"/>
        </w:rPr>
      </w:pPr>
      <w:r>
        <w:rPr>
          <w:rFonts w:hint="eastAsia" w:ascii="宋体" w:hAnsi="宋体"/>
          <w:color w:val="auto"/>
          <w:highlight w:val="none"/>
        </w:rPr>
        <w:t>26.1.2.1</w:t>
      </w:r>
      <w:r>
        <w:rPr>
          <w:rFonts w:hint="eastAsia" w:ascii="宋体" w:hAnsi="宋体"/>
          <w:color w:val="auto"/>
          <w:highlight w:val="none"/>
          <w:lang w:val="zh-CN"/>
        </w:rPr>
        <w:t>查询时间：评标开始前。</w:t>
      </w:r>
    </w:p>
    <w:p w14:paraId="0B668159">
      <w:pPr>
        <w:spacing w:line="440" w:lineRule="exact"/>
        <w:ind w:firstLine="315"/>
        <w:rPr>
          <w:rFonts w:hint="eastAsia" w:ascii="宋体" w:hAnsi="宋体"/>
          <w:color w:val="auto"/>
          <w:highlight w:val="none"/>
          <w:lang w:val="zh-CN" w:eastAsia="en-US"/>
        </w:rPr>
      </w:pPr>
      <w:r>
        <w:rPr>
          <w:rFonts w:hint="eastAsia" w:ascii="宋体" w:hAnsi="宋体"/>
          <w:color w:val="auto"/>
          <w:highlight w:val="none"/>
        </w:rPr>
        <w:t>26.1.2.2</w:t>
      </w:r>
      <w:r>
        <w:rPr>
          <w:rFonts w:hint="eastAsia" w:ascii="宋体" w:hAnsi="宋体"/>
          <w:color w:val="auto"/>
          <w:highlight w:val="none"/>
          <w:lang w:val="zh-CN"/>
        </w:rPr>
        <w:t>查询渠道：</w:t>
      </w:r>
      <w:r>
        <w:rPr>
          <w:rFonts w:hint="eastAsia" w:ascii="宋体" w:hAnsi="宋体"/>
          <w:color w:val="auto"/>
          <w:highlight w:val="none"/>
          <w:lang w:val="en-US" w:eastAsia="en-US"/>
        </w:rPr>
        <w:t>通过“信用中国”网站</w:t>
      </w:r>
      <w:r>
        <w:rPr>
          <w:rFonts w:hint="eastAsia" w:ascii="宋体" w:hAnsi="宋体" w:cs="宋体"/>
          <w:color w:val="auto"/>
          <w:sz w:val="21"/>
          <w:szCs w:val="21"/>
          <w:highlight w:val="none"/>
        </w:rPr>
        <w:t>(www.creditchina.gov.cn)</w:t>
      </w:r>
      <w:r>
        <w:rPr>
          <w:rFonts w:hint="eastAsia" w:ascii="宋体" w:hAnsi="宋体"/>
          <w:color w:val="auto"/>
          <w:highlight w:val="none"/>
          <w:lang w:val="en-US" w:eastAsia="zh-CN"/>
        </w:rPr>
        <w:t>或</w:t>
      </w:r>
      <w:r>
        <w:rPr>
          <w:rFonts w:hint="eastAsia" w:ascii="宋体" w:hAnsi="宋体"/>
          <w:color w:val="auto"/>
          <w:highlight w:val="none"/>
          <w:lang w:val="en-US" w:eastAsia="en-US"/>
        </w:rPr>
        <w:t>中国政府采购网</w:t>
      </w:r>
      <w:r>
        <w:rPr>
          <w:rFonts w:hint="eastAsia" w:ascii="宋体" w:hAnsi="宋体" w:cs="宋体"/>
          <w:color w:val="auto"/>
          <w:sz w:val="21"/>
          <w:szCs w:val="21"/>
          <w:highlight w:val="none"/>
        </w:rPr>
        <w:t>(https://www.ccgp.gov.cn/search/cr/)未被列入失信被执行人、重大税收违法案件当事人名单、政府采购严重违法失信行为记录名单</w:t>
      </w:r>
      <w:r>
        <w:rPr>
          <w:rFonts w:hint="eastAsia" w:ascii="宋体" w:hAnsi="宋体"/>
          <w:color w:val="auto"/>
          <w:highlight w:val="none"/>
          <w:lang w:val="zh-CN" w:eastAsia="en-US"/>
        </w:rPr>
        <w:t>。</w:t>
      </w:r>
    </w:p>
    <w:p w14:paraId="6DB7D283">
      <w:pPr>
        <w:spacing w:line="440" w:lineRule="exact"/>
        <w:ind w:firstLine="315"/>
        <w:rPr>
          <w:rFonts w:ascii="宋体" w:hAnsi="宋体"/>
          <w:color w:val="auto"/>
          <w:highlight w:val="none"/>
          <w:lang w:val="zh-CN"/>
        </w:rPr>
      </w:pPr>
      <w:r>
        <w:rPr>
          <w:rFonts w:hint="eastAsia" w:ascii="宋体" w:hAnsi="宋体"/>
          <w:color w:val="auto"/>
          <w:highlight w:val="none"/>
        </w:rPr>
        <w:t>26.1.2.3</w:t>
      </w:r>
      <w:r>
        <w:rPr>
          <w:rFonts w:hint="eastAsia" w:ascii="宋体" w:hAnsi="宋体"/>
          <w:color w:val="auto"/>
          <w:highlight w:val="none"/>
          <w:lang w:val="zh-CN"/>
        </w:rPr>
        <w:t>查询证据留存方式：对存在失信信息的供应商，</w:t>
      </w:r>
      <w:r>
        <w:rPr>
          <w:rFonts w:hint="eastAsia" w:ascii="宋体" w:hAnsi="宋体"/>
          <w:color w:val="auto"/>
          <w:highlight w:val="none"/>
        </w:rPr>
        <w:t>采购人或者采购代理机构</w:t>
      </w:r>
      <w:r>
        <w:rPr>
          <w:rFonts w:hint="eastAsia" w:ascii="宋体" w:hAnsi="宋体"/>
          <w:color w:val="auto"/>
          <w:highlight w:val="none"/>
          <w:lang w:val="zh-CN"/>
        </w:rPr>
        <w:t>应填写《苏州市级政府采购供应商失信信息确认函》，由失信供应商应签名确认。同时，采购代理机构工作人员应根据失信信息，登陆到来源网站页面进行复核并打印，作为证据留存。</w:t>
      </w:r>
    </w:p>
    <w:p w14:paraId="48D7A354">
      <w:pPr>
        <w:spacing w:line="440" w:lineRule="exact"/>
        <w:ind w:firstLine="315"/>
        <w:rPr>
          <w:rFonts w:ascii="宋体" w:hAnsi="宋体"/>
          <w:color w:val="auto"/>
          <w:highlight w:val="none"/>
          <w:lang w:val="zh-CN"/>
        </w:rPr>
      </w:pPr>
      <w:r>
        <w:rPr>
          <w:rFonts w:hint="eastAsia" w:ascii="宋体" w:hAnsi="宋体"/>
          <w:color w:val="auto"/>
          <w:highlight w:val="none"/>
        </w:rPr>
        <w:t>26.1.2.4</w:t>
      </w:r>
      <w:r>
        <w:rPr>
          <w:rFonts w:hint="eastAsia" w:ascii="宋体" w:hAnsi="宋体"/>
          <w:color w:val="auto"/>
          <w:highlight w:val="none"/>
          <w:lang w:val="zh-CN"/>
        </w:rPr>
        <w:t>信用记录使用规则：评审小组在对供应商进行资格性审查时，应根据查询结果对供应商的不良信用记录逐项甄别确认。</w:t>
      </w:r>
    </w:p>
    <w:p w14:paraId="44D20E2B">
      <w:pPr>
        <w:spacing w:line="440" w:lineRule="exact"/>
        <w:ind w:firstLine="315"/>
        <w:rPr>
          <w:rFonts w:ascii="宋体" w:hAnsi="宋体"/>
          <w:color w:val="auto"/>
          <w:highlight w:val="none"/>
        </w:rPr>
      </w:pPr>
      <w:r>
        <w:rPr>
          <w:rFonts w:hint="eastAsia" w:ascii="宋体" w:hAnsi="宋体"/>
          <w:color w:val="auto"/>
          <w:highlight w:val="none"/>
        </w:rPr>
        <w:t>26.1.3符合性检查。依据招标文件的规定，从投标文件的有效性、完整性和对招标文件的响应程度进行审查，以确定是否对招标文件的实质性要求作出响应。</w:t>
      </w:r>
    </w:p>
    <w:p w14:paraId="04247B01">
      <w:pPr>
        <w:spacing w:line="440" w:lineRule="exact"/>
        <w:ind w:firstLine="315"/>
        <w:rPr>
          <w:rFonts w:ascii="宋体" w:hAnsi="宋体"/>
          <w:color w:val="auto"/>
          <w:highlight w:val="none"/>
        </w:rPr>
      </w:pPr>
      <w:r>
        <w:rPr>
          <w:rFonts w:hint="eastAsia" w:ascii="宋体" w:hAnsi="宋体"/>
          <w:color w:val="auto"/>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6396C7DD">
      <w:pPr>
        <w:spacing w:line="440" w:lineRule="exact"/>
        <w:ind w:firstLine="315"/>
        <w:rPr>
          <w:rFonts w:ascii="宋体" w:hAnsi="宋体"/>
          <w:color w:val="auto"/>
          <w:highlight w:val="none"/>
          <w:lang w:val="zh-CN"/>
        </w:rPr>
      </w:pPr>
      <w:r>
        <w:rPr>
          <w:rFonts w:hint="eastAsia" w:ascii="宋体" w:hAnsi="宋体"/>
          <w:color w:val="auto"/>
          <w:highlight w:val="none"/>
          <w:lang w:val="zh-CN"/>
        </w:rPr>
        <w:t>26.2.1 不同投标人的投标文件由同一单位或者个人编制；</w:t>
      </w:r>
    </w:p>
    <w:p w14:paraId="70CE1B22">
      <w:pPr>
        <w:spacing w:line="440" w:lineRule="exact"/>
        <w:ind w:firstLine="315"/>
        <w:rPr>
          <w:rFonts w:ascii="宋体" w:hAnsi="宋体"/>
          <w:color w:val="auto"/>
          <w:highlight w:val="none"/>
        </w:rPr>
      </w:pPr>
      <w:r>
        <w:rPr>
          <w:rFonts w:hint="eastAsia" w:ascii="宋体" w:hAnsi="宋体"/>
          <w:color w:val="auto"/>
          <w:highlight w:val="none"/>
          <w:lang w:val="zh-CN"/>
        </w:rPr>
        <w:t>26.2.2不同投</w:t>
      </w:r>
      <w:r>
        <w:rPr>
          <w:rFonts w:hint="eastAsia" w:ascii="宋体" w:hAnsi="宋体"/>
          <w:color w:val="auto"/>
          <w:highlight w:val="none"/>
        </w:rPr>
        <w:t>标人委托同一单位或者个人办理投标事宜；</w:t>
      </w:r>
    </w:p>
    <w:p w14:paraId="2661C165">
      <w:pPr>
        <w:spacing w:line="440" w:lineRule="exact"/>
        <w:ind w:firstLine="315"/>
        <w:rPr>
          <w:rFonts w:ascii="宋体" w:hAnsi="宋体"/>
          <w:color w:val="auto"/>
          <w:highlight w:val="none"/>
        </w:rPr>
      </w:pPr>
      <w:r>
        <w:rPr>
          <w:rFonts w:hint="eastAsia" w:ascii="宋体" w:hAnsi="宋体"/>
          <w:color w:val="auto"/>
          <w:highlight w:val="none"/>
        </w:rPr>
        <w:t>26.2.3不同投标人的投标文件载明的项目管理成员或者联系人员为同一人；</w:t>
      </w:r>
    </w:p>
    <w:p w14:paraId="54756E35">
      <w:pPr>
        <w:spacing w:line="440" w:lineRule="exact"/>
        <w:ind w:firstLine="315"/>
        <w:rPr>
          <w:rFonts w:ascii="宋体" w:hAnsi="宋体"/>
          <w:color w:val="auto"/>
          <w:highlight w:val="none"/>
        </w:rPr>
      </w:pPr>
      <w:r>
        <w:rPr>
          <w:rFonts w:hint="eastAsia" w:ascii="宋体" w:hAnsi="宋体"/>
          <w:color w:val="auto"/>
          <w:highlight w:val="none"/>
        </w:rPr>
        <w:t>26.2.4不同投标人的投标文件异常一致或者投标报价呈规律性差异；</w:t>
      </w:r>
    </w:p>
    <w:p w14:paraId="07358731">
      <w:pPr>
        <w:spacing w:line="440" w:lineRule="exact"/>
        <w:ind w:firstLine="315"/>
        <w:rPr>
          <w:rFonts w:ascii="宋体" w:hAnsi="宋体"/>
          <w:color w:val="auto"/>
          <w:highlight w:val="none"/>
        </w:rPr>
      </w:pPr>
      <w:r>
        <w:rPr>
          <w:rFonts w:hint="eastAsia" w:ascii="宋体" w:hAnsi="宋体"/>
          <w:color w:val="auto"/>
          <w:highlight w:val="none"/>
        </w:rPr>
        <w:t>26.2.5不同投标人的投标文件相互混装；</w:t>
      </w:r>
    </w:p>
    <w:p w14:paraId="33A9C782">
      <w:pPr>
        <w:spacing w:line="440" w:lineRule="exact"/>
        <w:ind w:firstLine="315"/>
        <w:rPr>
          <w:rFonts w:ascii="宋体" w:hAnsi="宋体"/>
          <w:color w:val="auto"/>
          <w:highlight w:val="none"/>
          <w:lang w:val="zh-CN"/>
        </w:rPr>
      </w:pPr>
      <w:r>
        <w:rPr>
          <w:rFonts w:hint="eastAsia" w:ascii="宋体" w:hAnsi="宋体"/>
          <w:color w:val="auto"/>
          <w:highlight w:val="none"/>
          <w:lang w:val="zh-CN"/>
        </w:rPr>
        <w:t>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7F80C060">
      <w:pPr>
        <w:spacing w:line="440" w:lineRule="exact"/>
        <w:ind w:firstLine="315"/>
        <w:rPr>
          <w:rFonts w:ascii="宋体" w:hAnsi="宋体"/>
          <w:color w:val="auto"/>
          <w:highlight w:val="none"/>
          <w:lang w:val="zh-CN"/>
        </w:rPr>
      </w:pPr>
      <w:r>
        <w:rPr>
          <w:rFonts w:hint="eastAsia" w:ascii="宋体" w:hAnsi="宋体"/>
          <w:color w:val="auto"/>
          <w:highlight w:val="none"/>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7BC3342D">
      <w:pPr>
        <w:spacing w:line="440" w:lineRule="exact"/>
        <w:ind w:firstLine="315"/>
        <w:rPr>
          <w:rFonts w:ascii="宋体" w:hAnsi="宋体"/>
          <w:color w:val="auto"/>
          <w:highlight w:val="none"/>
          <w:lang w:val="zh-CN"/>
        </w:rPr>
      </w:pPr>
      <w:r>
        <w:rPr>
          <w:rFonts w:hint="eastAsia" w:ascii="宋体" w:hAnsi="宋体"/>
          <w:color w:val="auto"/>
          <w:highlight w:val="none"/>
          <w:lang w:val="zh-CN"/>
        </w:rPr>
        <w:t>26.5</w:t>
      </w:r>
      <w:r>
        <w:rPr>
          <w:rFonts w:hint="eastAsia" w:ascii="宋体" w:hAnsi="宋体"/>
          <w:color w:val="auto"/>
          <w:highlight w:val="none"/>
        </w:rPr>
        <w:t>评标委员会</w:t>
      </w:r>
      <w:r>
        <w:rPr>
          <w:rFonts w:hint="eastAsia" w:ascii="宋体" w:hAnsi="宋体"/>
          <w:color w:val="auto"/>
          <w:highlight w:val="none"/>
          <w:lang w:val="zh-CN"/>
        </w:rPr>
        <w:t>将允许修改投标中不构成重大偏离的微小的、非正规、不一致或不规则的地方，但这些修改不能影响任何投标单位的名次相应排列。投标单位不得对招标文件进行实质性修改，否则投标文件将被拒绝。</w:t>
      </w:r>
    </w:p>
    <w:p w14:paraId="51D72963">
      <w:pPr>
        <w:spacing w:line="440" w:lineRule="exact"/>
        <w:ind w:firstLine="315"/>
        <w:rPr>
          <w:rFonts w:ascii="宋体" w:hAnsi="宋体"/>
          <w:color w:val="auto"/>
          <w:highlight w:val="none"/>
          <w:lang w:val="zh-CN"/>
        </w:rPr>
      </w:pPr>
      <w:r>
        <w:rPr>
          <w:rFonts w:hint="eastAsia" w:ascii="宋体" w:hAnsi="宋体"/>
          <w:color w:val="auto"/>
          <w:highlight w:val="none"/>
          <w:lang w:val="zh-CN"/>
        </w:rPr>
        <w:t>26.6评委会将对确定为实质性响应的投标进行审核，看其是否有计算上或累加上的算术错误，修正错误的原则如下：</w:t>
      </w:r>
    </w:p>
    <w:p w14:paraId="3248FA8F">
      <w:pPr>
        <w:spacing w:line="440" w:lineRule="exact"/>
        <w:ind w:firstLine="315"/>
        <w:rPr>
          <w:rFonts w:ascii="宋体" w:hAnsi="宋体"/>
          <w:color w:val="auto"/>
          <w:highlight w:val="none"/>
          <w:lang w:val="zh-CN"/>
        </w:rPr>
      </w:pPr>
      <w:r>
        <w:rPr>
          <w:rFonts w:hint="eastAsia" w:ascii="宋体" w:hAnsi="宋体"/>
          <w:color w:val="auto"/>
          <w:highlight w:val="none"/>
          <w:lang w:val="zh-CN"/>
        </w:rPr>
        <w:t>26.6.1投标文件中开标一览表（报价表）内容与投标文件中相应内容不一致的，以开标一览表（报价表）为准；；</w:t>
      </w:r>
    </w:p>
    <w:p w14:paraId="2E27E552">
      <w:pPr>
        <w:spacing w:line="440" w:lineRule="exact"/>
        <w:ind w:firstLine="315"/>
        <w:rPr>
          <w:rFonts w:ascii="宋体" w:hAnsi="宋体"/>
          <w:color w:val="auto"/>
          <w:highlight w:val="none"/>
          <w:lang w:val="zh-CN"/>
        </w:rPr>
      </w:pPr>
      <w:r>
        <w:rPr>
          <w:rFonts w:hint="eastAsia" w:ascii="宋体" w:hAnsi="宋体"/>
          <w:color w:val="auto"/>
          <w:highlight w:val="none"/>
          <w:lang w:val="zh-CN"/>
        </w:rPr>
        <w:t>26.6.2大写金额和小写金额不一致的，以大写金额为准；</w:t>
      </w:r>
    </w:p>
    <w:p w14:paraId="1DF60985">
      <w:pPr>
        <w:spacing w:line="440" w:lineRule="exact"/>
        <w:ind w:firstLine="315"/>
        <w:rPr>
          <w:rFonts w:ascii="宋体" w:hAnsi="宋体"/>
          <w:color w:val="auto"/>
          <w:highlight w:val="none"/>
          <w:lang w:val="zh-CN"/>
        </w:rPr>
      </w:pPr>
      <w:r>
        <w:rPr>
          <w:rFonts w:hint="eastAsia" w:ascii="宋体" w:hAnsi="宋体"/>
          <w:color w:val="auto"/>
          <w:highlight w:val="none"/>
          <w:lang w:val="zh-CN"/>
        </w:rPr>
        <w:t>26.6.3单价金额小数点或者百分比有明显错位的，以开标一览表的总价为准，并修改单价；</w:t>
      </w:r>
    </w:p>
    <w:p w14:paraId="1F1ABE84">
      <w:pPr>
        <w:spacing w:line="440" w:lineRule="exact"/>
        <w:ind w:firstLine="315"/>
        <w:rPr>
          <w:rFonts w:ascii="宋体" w:hAnsi="宋体"/>
          <w:color w:val="auto"/>
          <w:highlight w:val="none"/>
          <w:lang w:val="zh-CN"/>
        </w:rPr>
      </w:pPr>
      <w:r>
        <w:rPr>
          <w:rFonts w:hint="eastAsia" w:ascii="宋体" w:hAnsi="宋体"/>
          <w:color w:val="auto"/>
          <w:highlight w:val="none"/>
          <w:lang w:val="zh-CN"/>
        </w:rPr>
        <w:t>26.6.4总价金额与按单价汇总金额不一致的，以单价金额计算结果为准。</w:t>
      </w:r>
    </w:p>
    <w:p w14:paraId="4E844267">
      <w:pPr>
        <w:spacing w:line="440" w:lineRule="exact"/>
        <w:ind w:firstLine="315"/>
        <w:rPr>
          <w:rFonts w:ascii="宋体" w:hAnsi="宋体"/>
          <w:color w:val="auto"/>
          <w:highlight w:val="none"/>
          <w:lang w:val="zh-CN"/>
        </w:rPr>
      </w:pPr>
      <w:r>
        <w:rPr>
          <w:rFonts w:hint="eastAsia" w:ascii="宋体" w:hAnsi="宋体"/>
          <w:color w:val="auto"/>
          <w:highlight w:val="none"/>
          <w:lang w:val="zh-CN"/>
        </w:rPr>
        <w:t>同时出现两种以上不一致的，按照前款规定的顺序修正。修正后的报价按照本须知27.6条规定经投标人确认后产生约束力，投标人不确认的，其投标无效。</w:t>
      </w:r>
    </w:p>
    <w:p w14:paraId="22E00ABC">
      <w:pPr>
        <w:spacing w:line="440" w:lineRule="exact"/>
        <w:ind w:firstLine="31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26.7异常低价</w:t>
      </w:r>
    </w:p>
    <w:p w14:paraId="4AD16ADE">
      <w:pPr>
        <w:spacing w:line="440" w:lineRule="exact"/>
        <w:ind w:firstLine="315"/>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26.7.1政府采购评审中出现下列情形之一的，评审委员会应当启动异常低价投标（响应）审查程序</w:t>
      </w:r>
    </w:p>
    <w:p w14:paraId="124A8788">
      <w:pPr>
        <w:spacing w:line="440" w:lineRule="exact"/>
        <w:ind w:firstLine="315"/>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26.7.1.1投标（响应）报价低于全部通过符合性审查供应商投标（响应）报价平均值50%的，即投标（响应）报价&lt;全部通过符合性审查供应商投标（响应）报价平均值×50%；</w:t>
      </w:r>
    </w:p>
    <w:p w14:paraId="78891150">
      <w:pPr>
        <w:spacing w:line="440" w:lineRule="exact"/>
        <w:ind w:firstLine="315"/>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26.7.1.2投标（响应）报价低于通过符合性审查的次低报价供应商投标（响应）报价50%的，即投标（响应）报价&lt;通过符合性审查的次低报价供应商投标（响应）报价×50%；</w:t>
      </w:r>
    </w:p>
    <w:p w14:paraId="2AB26BCE">
      <w:pPr>
        <w:spacing w:line="440" w:lineRule="exact"/>
        <w:ind w:firstLine="315"/>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26.7.1.3投标（响应）报价低于采购项目最高限价45%的，即投标（响应）报价&lt;采购项目最高限价×45%；</w:t>
      </w:r>
    </w:p>
    <w:p w14:paraId="17E66EC5">
      <w:pPr>
        <w:spacing w:line="440" w:lineRule="exact"/>
        <w:ind w:firstLine="315"/>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26.7.1.4评审委员会基于专业判断，认为供应商报价过低，有可能影响产品质量或者不能诚信履约的其他情形。</w:t>
      </w:r>
    </w:p>
    <w:p w14:paraId="0F987EA5">
      <w:pPr>
        <w:spacing w:line="440" w:lineRule="exact"/>
        <w:ind w:firstLine="315"/>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p>
    <w:p w14:paraId="1BC44A49">
      <w:pPr>
        <w:spacing w:line="440" w:lineRule="exact"/>
        <w:ind w:firstLine="315"/>
        <w:rPr>
          <w:rFonts w:ascii="宋体" w:hAnsi="宋体"/>
          <w:color w:val="auto"/>
          <w:highlight w:val="none"/>
          <w:lang w:val="zh-CN"/>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color w:val="auto"/>
          <w:highlight w:val="none"/>
          <w:lang w:val="zh-CN"/>
        </w:rPr>
        <w:t>。</w:t>
      </w:r>
    </w:p>
    <w:p w14:paraId="7F5A8FAF">
      <w:pPr>
        <w:spacing w:line="440" w:lineRule="exact"/>
        <w:ind w:firstLine="315"/>
        <w:rPr>
          <w:rFonts w:ascii="宋体" w:hAnsi="宋体"/>
          <w:color w:val="auto"/>
          <w:highlight w:val="none"/>
        </w:rPr>
      </w:pPr>
      <w:r>
        <w:rPr>
          <w:rFonts w:hint="eastAsia" w:ascii="宋体" w:hAnsi="宋体"/>
          <w:color w:val="auto"/>
          <w:highlight w:val="none"/>
          <w:lang w:val="zh-CN"/>
        </w:rPr>
        <w:t>26.8</w:t>
      </w:r>
      <w:r>
        <w:rPr>
          <w:rFonts w:hint="eastAsia" w:ascii="宋体" w:hAnsi="宋体"/>
          <w:color w:val="auto"/>
          <w:highlight w:val="none"/>
        </w:rPr>
        <w:t>对不同文字文本投标文件的解释发生异议的，以中文文本为准；</w:t>
      </w:r>
    </w:p>
    <w:p w14:paraId="3D4212B1">
      <w:pPr>
        <w:spacing w:line="440" w:lineRule="exact"/>
        <w:ind w:firstLine="315"/>
        <w:rPr>
          <w:rFonts w:ascii="宋体" w:hAnsi="宋体"/>
          <w:color w:val="auto"/>
          <w:highlight w:val="none"/>
        </w:rPr>
      </w:pPr>
      <w:r>
        <w:rPr>
          <w:rFonts w:hint="eastAsia" w:ascii="宋体" w:hAnsi="宋体"/>
          <w:color w:val="auto"/>
          <w:highlight w:val="none"/>
        </w:rPr>
        <w:t>26.9</w:t>
      </w:r>
      <w:r>
        <w:rPr>
          <w:rFonts w:hint="eastAsia" w:ascii="宋体" w:hAnsi="宋体"/>
          <w:color w:val="auto"/>
          <w:highlight w:val="none"/>
          <w:lang w:val="zh-CN"/>
        </w:rPr>
        <w:t>评标委员会</w:t>
      </w:r>
      <w:r>
        <w:rPr>
          <w:rFonts w:hint="eastAsia" w:ascii="宋体" w:hAnsi="宋体"/>
          <w:color w:val="auto"/>
          <w:highlight w:val="none"/>
        </w:rPr>
        <w:t>对投标文件的判定，只依据投标内容本身，不依靠开标后的任何外来证明。</w:t>
      </w:r>
    </w:p>
    <w:p w14:paraId="2BEF9DF1">
      <w:pPr>
        <w:spacing w:line="440" w:lineRule="exact"/>
        <w:ind w:firstLine="315"/>
        <w:rPr>
          <w:rFonts w:ascii="宋体" w:hAnsi="宋体"/>
          <w:color w:val="auto"/>
          <w:highlight w:val="none"/>
        </w:rPr>
      </w:pPr>
      <w:r>
        <w:rPr>
          <w:rFonts w:hint="eastAsia" w:ascii="宋体" w:hAnsi="宋体"/>
          <w:color w:val="auto"/>
          <w:highlight w:val="none"/>
        </w:rPr>
        <w:t>26.10</w:t>
      </w:r>
      <w:r>
        <w:rPr>
          <w:rFonts w:hint="eastAsia" w:ascii="宋体" w:hAnsi="宋体"/>
          <w:color w:val="auto"/>
          <w:highlight w:val="none"/>
          <w:lang w:val="zh-CN"/>
        </w:rPr>
        <w:t>评标委员会</w:t>
      </w:r>
      <w:r>
        <w:rPr>
          <w:rFonts w:hint="eastAsia" w:ascii="宋体" w:hAnsi="宋体"/>
          <w:color w:val="auto"/>
          <w:highlight w:val="none"/>
        </w:rPr>
        <w:t>将拒绝被确定为非实质性响应的投标，投标人不能通过修正或撤销不符之处而使其投标成为实质性响应的投标。</w:t>
      </w:r>
    </w:p>
    <w:p w14:paraId="4A258EBB">
      <w:pPr>
        <w:spacing w:line="440" w:lineRule="exact"/>
        <w:rPr>
          <w:rFonts w:ascii="宋体" w:hAnsi="宋体"/>
          <w:b/>
          <w:color w:val="auto"/>
          <w:highlight w:val="none"/>
        </w:rPr>
      </w:pPr>
      <w:r>
        <w:rPr>
          <w:rFonts w:hint="eastAsia" w:ascii="宋体" w:hAnsi="宋体"/>
          <w:b/>
          <w:color w:val="auto"/>
          <w:highlight w:val="none"/>
        </w:rPr>
        <w:t>27.投标的澄清</w:t>
      </w:r>
    </w:p>
    <w:p w14:paraId="7B3F7855">
      <w:pPr>
        <w:spacing w:line="440" w:lineRule="exact"/>
        <w:ind w:firstLine="315"/>
        <w:rPr>
          <w:rFonts w:ascii="宋体" w:hAnsi="宋体"/>
          <w:color w:val="auto"/>
          <w:highlight w:val="none"/>
        </w:rPr>
      </w:pPr>
      <w:r>
        <w:rPr>
          <w:rFonts w:hint="eastAsia" w:ascii="宋体" w:hAnsi="宋体"/>
          <w:color w:val="auto"/>
          <w:highlight w:val="none"/>
        </w:rPr>
        <w:t>27.1在投标文件中含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p>
    <w:p w14:paraId="537A4D4F">
      <w:pPr>
        <w:spacing w:line="440" w:lineRule="exact"/>
        <w:rPr>
          <w:rFonts w:ascii="宋体" w:hAnsi="宋体"/>
          <w:b/>
          <w:color w:val="auto"/>
          <w:highlight w:val="none"/>
        </w:rPr>
      </w:pPr>
      <w:r>
        <w:rPr>
          <w:rFonts w:hint="eastAsia" w:ascii="宋体" w:hAnsi="宋体"/>
          <w:b/>
          <w:color w:val="auto"/>
          <w:highlight w:val="none"/>
        </w:rPr>
        <w:t>28.无效投标和废标</w:t>
      </w:r>
    </w:p>
    <w:p w14:paraId="008CD45A">
      <w:pPr>
        <w:spacing w:line="440" w:lineRule="exact"/>
        <w:ind w:firstLine="315"/>
        <w:rPr>
          <w:rFonts w:ascii="宋体" w:hAnsi="宋体"/>
          <w:color w:val="auto"/>
          <w:highlight w:val="none"/>
        </w:rPr>
      </w:pPr>
      <w:r>
        <w:rPr>
          <w:rFonts w:hint="eastAsia" w:ascii="宋体" w:hAnsi="宋体"/>
          <w:color w:val="auto"/>
          <w:highlight w:val="none"/>
        </w:rPr>
        <w:t xml:space="preserve">28.1无效投标的具体情形有：  </w:t>
      </w:r>
    </w:p>
    <w:p w14:paraId="296F70DD">
      <w:pPr>
        <w:spacing w:line="440" w:lineRule="exact"/>
        <w:ind w:firstLine="315"/>
        <w:rPr>
          <w:rFonts w:ascii="宋体" w:hAnsi="宋体"/>
          <w:color w:val="auto"/>
          <w:highlight w:val="none"/>
        </w:rPr>
      </w:pPr>
      <w:r>
        <w:rPr>
          <w:rFonts w:hint="eastAsia" w:ascii="宋体" w:hAnsi="宋体"/>
          <w:color w:val="auto"/>
          <w:highlight w:val="none"/>
        </w:rPr>
        <w:t>28.1.1投标文件未按招标文件要求签署、盖章或电子签章的；</w:t>
      </w:r>
    </w:p>
    <w:p w14:paraId="23326993">
      <w:pPr>
        <w:spacing w:line="440" w:lineRule="exact"/>
        <w:ind w:firstLine="315"/>
        <w:rPr>
          <w:rFonts w:ascii="宋体" w:hAnsi="宋体"/>
          <w:color w:val="auto"/>
          <w:highlight w:val="none"/>
        </w:rPr>
      </w:pPr>
      <w:r>
        <w:rPr>
          <w:rFonts w:hint="eastAsia" w:ascii="宋体" w:hAnsi="宋体"/>
          <w:color w:val="auto"/>
          <w:highlight w:val="none"/>
        </w:rPr>
        <w:t>28.1.</w:t>
      </w:r>
      <w:r>
        <w:rPr>
          <w:rFonts w:hint="eastAsia" w:ascii="宋体" w:hAnsi="宋体"/>
          <w:color w:val="auto"/>
          <w:highlight w:val="none"/>
          <w:lang w:val="en-US" w:eastAsia="zh-CN"/>
        </w:rPr>
        <w:t>2</w:t>
      </w:r>
      <w:r>
        <w:rPr>
          <w:rFonts w:hint="eastAsia" w:ascii="宋体" w:hAnsi="宋体"/>
          <w:color w:val="auto"/>
          <w:highlight w:val="none"/>
        </w:rPr>
        <w:t>不具备招标文件中规定的资格要求的；</w:t>
      </w:r>
    </w:p>
    <w:p w14:paraId="6C4C797C">
      <w:pPr>
        <w:spacing w:line="440" w:lineRule="exact"/>
        <w:ind w:firstLine="315"/>
        <w:rPr>
          <w:rFonts w:ascii="宋体" w:hAnsi="宋体"/>
          <w:color w:val="auto"/>
          <w:highlight w:val="none"/>
        </w:rPr>
      </w:pPr>
      <w:r>
        <w:rPr>
          <w:rFonts w:hint="eastAsia" w:ascii="宋体" w:hAnsi="宋体"/>
          <w:color w:val="auto"/>
          <w:highlight w:val="none"/>
        </w:rPr>
        <w:t>28.1.</w:t>
      </w:r>
      <w:r>
        <w:rPr>
          <w:rFonts w:hint="eastAsia" w:ascii="宋体" w:hAnsi="宋体"/>
          <w:color w:val="auto"/>
          <w:highlight w:val="none"/>
          <w:lang w:val="en-US" w:eastAsia="zh-CN"/>
        </w:rPr>
        <w:t>3</w:t>
      </w:r>
      <w:r>
        <w:rPr>
          <w:rFonts w:hint="eastAsia" w:ascii="宋体" w:hAnsi="宋体"/>
          <w:color w:val="auto"/>
          <w:highlight w:val="none"/>
        </w:rPr>
        <w:t>报价超过招标文件中规定的预算金额或者最高限价的；</w:t>
      </w:r>
    </w:p>
    <w:p w14:paraId="4CE62663">
      <w:pPr>
        <w:spacing w:line="440" w:lineRule="exact"/>
        <w:ind w:firstLine="315"/>
        <w:rPr>
          <w:rFonts w:hint="eastAsia" w:ascii="宋体" w:hAnsi="宋体" w:eastAsia="宋体"/>
          <w:color w:val="auto"/>
          <w:highlight w:val="none"/>
          <w:lang w:val="en-US" w:eastAsia="zh-CN"/>
        </w:rPr>
      </w:pPr>
      <w:r>
        <w:rPr>
          <w:rFonts w:hint="eastAsia" w:ascii="宋体" w:hAnsi="宋体"/>
          <w:color w:val="auto"/>
          <w:highlight w:val="none"/>
        </w:rPr>
        <w:t>28.1.</w:t>
      </w:r>
      <w:r>
        <w:rPr>
          <w:rFonts w:hint="eastAsia" w:ascii="宋体" w:hAnsi="宋体"/>
          <w:color w:val="auto"/>
          <w:highlight w:val="none"/>
          <w:lang w:val="en-US" w:eastAsia="zh-CN"/>
        </w:rPr>
        <w:t>4</w:t>
      </w:r>
      <w:r>
        <w:rPr>
          <w:rFonts w:hint="eastAsia" w:ascii="宋体" w:hAnsi="宋体"/>
          <w:b/>
          <w:bCs/>
          <w:color w:val="auto"/>
          <w:highlight w:val="none"/>
          <w:lang w:val="en-US" w:eastAsia="en-US"/>
        </w:rPr>
        <w:t>不同投标人的投标文件使用同一台电脑编制的</w:t>
      </w:r>
      <w:r>
        <w:rPr>
          <w:rFonts w:hint="eastAsia" w:ascii="宋体" w:hAnsi="宋体" w:eastAsia="宋体" w:cs="宋体"/>
          <w:b/>
          <w:bCs w:val="0"/>
          <w:color w:val="auto"/>
          <w:sz w:val="24"/>
          <w:szCs w:val="22"/>
          <w:highlight w:val="none"/>
          <w:lang w:val="en-US" w:eastAsia="zh-CN" w:bidi="ar"/>
        </w:rPr>
        <w:t>；</w:t>
      </w:r>
    </w:p>
    <w:p w14:paraId="1E0783B9">
      <w:pPr>
        <w:spacing w:line="440" w:lineRule="exact"/>
        <w:ind w:firstLine="315"/>
        <w:rPr>
          <w:rFonts w:ascii="宋体" w:hAnsi="宋体"/>
          <w:color w:val="auto"/>
          <w:highlight w:val="none"/>
        </w:rPr>
      </w:pPr>
      <w:r>
        <w:rPr>
          <w:rFonts w:hint="eastAsia" w:ascii="宋体" w:hAnsi="宋体"/>
          <w:color w:val="auto"/>
          <w:highlight w:val="none"/>
          <w:lang w:val="en-US" w:eastAsia="zh-CN"/>
        </w:rPr>
        <w:t>28.1.5</w:t>
      </w:r>
      <w:r>
        <w:rPr>
          <w:rFonts w:hint="eastAsia" w:ascii="宋体" w:hAnsi="宋体"/>
          <w:color w:val="auto"/>
          <w:highlight w:val="none"/>
        </w:rPr>
        <w:t>投标文件含有采购人不能接受的附加条件的；</w:t>
      </w:r>
    </w:p>
    <w:p w14:paraId="23BB3F8E">
      <w:pPr>
        <w:spacing w:line="440" w:lineRule="exact"/>
        <w:ind w:firstLine="315"/>
        <w:rPr>
          <w:rFonts w:ascii="宋体" w:hAnsi="宋体"/>
          <w:color w:val="auto"/>
          <w:highlight w:val="none"/>
        </w:rPr>
      </w:pPr>
      <w:r>
        <w:rPr>
          <w:rFonts w:hint="eastAsia" w:ascii="宋体" w:hAnsi="宋体"/>
          <w:color w:val="auto"/>
          <w:highlight w:val="none"/>
        </w:rPr>
        <w:t>28.1.</w:t>
      </w:r>
      <w:r>
        <w:rPr>
          <w:rFonts w:hint="eastAsia" w:ascii="宋体" w:hAnsi="宋体"/>
          <w:color w:val="auto"/>
          <w:highlight w:val="none"/>
          <w:lang w:val="en-US" w:eastAsia="zh-CN"/>
        </w:rPr>
        <w:t>6</w:t>
      </w:r>
      <w:r>
        <w:rPr>
          <w:rFonts w:hint="eastAsia" w:ascii="宋体" w:hAnsi="宋体"/>
          <w:color w:val="auto"/>
          <w:highlight w:val="none"/>
        </w:rPr>
        <w:t>法律、法规和招标文件规定的其他无效情形。</w:t>
      </w:r>
    </w:p>
    <w:p w14:paraId="529EE488">
      <w:pPr>
        <w:spacing w:line="440" w:lineRule="exact"/>
        <w:ind w:firstLine="315"/>
        <w:rPr>
          <w:rFonts w:ascii="宋体" w:hAnsi="宋体"/>
          <w:color w:val="auto"/>
          <w:highlight w:val="none"/>
        </w:rPr>
      </w:pPr>
      <w:r>
        <w:rPr>
          <w:rFonts w:hint="eastAsia" w:ascii="宋体" w:hAnsi="宋体"/>
          <w:color w:val="auto"/>
          <w:highlight w:val="none"/>
        </w:rPr>
        <w:t>28.2 在招标采购中，出现下列情形之一的，应予废标：</w:t>
      </w:r>
    </w:p>
    <w:p w14:paraId="0A4D3A59">
      <w:pPr>
        <w:spacing w:line="440" w:lineRule="exact"/>
        <w:ind w:firstLine="315"/>
        <w:rPr>
          <w:rFonts w:ascii="宋体" w:hAnsi="宋体"/>
          <w:color w:val="auto"/>
          <w:highlight w:val="none"/>
        </w:rPr>
      </w:pPr>
      <w:r>
        <w:rPr>
          <w:rFonts w:hint="eastAsia" w:ascii="宋体" w:hAnsi="宋体"/>
          <w:color w:val="auto"/>
          <w:highlight w:val="none"/>
        </w:rPr>
        <w:t>28.2.1符合专业条件的供应商或者对招标文件作实质响应的供应商不足三家的；</w:t>
      </w:r>
    </w:p>
    <w:p w14:paraId="509181A6">
      <w:pPr>
        <w:spacing w:line="440" w:lineRule="exact"/>
        <w:ind w:firstLine="315"/>
        <w:rPr>
          <w:rFonts w:ascii="宋体" w:hAnsi="宋体"/>
          <w:color w:val="auto"/>
          <w:highlight w:val="none"/>
        </w:rPr>
      </w:pPr>
      <w:r>
        <w:rPr>
          <w:rFonts w:hint="eastAsia" w:ascii="宋体" w:hAnsi="宋体"/>
          <w:color w:val="auto"/>
          <w:highlight w:val="none"/>
        </w:rPr>
        <w:t>28.2.2出现影响采购公正的违法、违规行为的；</w:t>
      </w:r>
    </w:p>
    <w:p w14:paraId="2680E77B">
      <w:pPr>
        <w:spacing w:line="440" w:lineRule="exact"/>
        <w:ind w:firstLine="315"/>
        <w:rPr>
          <w:rFonts w:ascii="宋体" w:hAnsi="宋体"/>
          <w:color w:val="auto"/>
          <w:highlight w:val="none"/>
        </w:rPr>
      </w:pPr>
      <w:r>
        <w:rPr>
          <w:rFonts w:hint="eastAsia" w:ascii="宋体" w:hAnsi="宋体"/>
          <w:color w:val="auto"/>
          <w:highlight w:val="none"/>
        </w:rPr>
        <w:t>28.2.3投标人的报价均超过了采购预算，采购人不能支付的；</w:t>
      </w:r>
    </w:p>
    <w:p w14:paraId="7BF1EB2F">
      <w:pPr>
        <w:spacing w:line="440" w:lineRule="exact"/>
        <w:ind w:firstLine="315"/>
        <w:rPr>
          <w:rFonts w:ascii="宋体" w:hAnsi="宋体"/>
          <w:color w:val="auto"/>
          <w:highlight w:val="none"/>
        </w:rPr>
      </w:pPr>
      <w:r>
        <w:rPr>
          <w:rFonts w:hint="eastAsia" w:ascii="宋体" w:hAnsi="宋体"/>
          <w:color w:val="auto"/>
          <w:highlight w:val="none"/>
        </w:rPr>
        <w:t>28.2.4因重大变故，采购任务取消的。</w:t>
      </w:r>
    </w:p>
    <w:p w14:paraId="05A5462F">
      <w:pPr>
        <w:spacing w:line="440" w:lineRule="exact"/>
        <w:ind w:firstLine="315"/>
        <w:rPr>
          <w:rFonts w:ascii="宋体" w:hAnsi="宋体"/>
          <w:color w:val="auto"/>
          <w:highlight w:val="none"/>
        </w:rPr>
      </w:pPr>
      <w:r>
        <w:rPr>
          <w:rFonts w:hint="eastAsia" w:ascii="宋体" w:hAnsi="宋体"/>
          <w:color w:val="auto"/>
          <w:highlight w:val="none"/>
        </w:rPr>
        <w:t>28.3 废标后，采购人应当将废标理由通知所有投标人。</w:t>
      </w:r>
    </w:p>
    <w:p w14:paraId="05CE1DBD">
      <w:pPr>
        <w:spacing w:line="440" w:lineRule="exact"/>
        <w:rPr>
          <w:rFonts w:ascii="宋体" w:hAnsi="宋体"/>
          <w:b/>
          <w:color w:val="auto"/>
          <w:highlight w:val="none"/>
        </w:rPr>
      </w:pPr>
      <w:r>
        <w:rPr>
          <w:rFonts w:hint="eastAsia" w:ascii="宋体" w:hAnsi="宋体"/>
          <w:b/>
          <w:color w:val="auto"/>
          <w:highlight w:val="none"/>
        </w:rPr>
        <w:t>29. 投标文件的评价和比较</w:t>
      </w:r>
    </w:p>
    <w:p w14:paraId="681E7482">
      <w:pPr>
        <w:spacing w:line="440" w:lineRule="exact"/>
        <w:ind w:firstLine="315"/>
        <w:rPr>
          <w:rFonts w:ascii="宋体" w:hAnsi="宋体"/>
          <w:color w:val="auto"/>
          <w:highlight w:val="none"/>
        </w:rPr>
      </w:pPr>
      <w:r>
        <w:rPr>
          <w:rFonts w:hint="eastAsia" w:ascii="宋体" w:hAnsi="宋体"/>
          <w:color w:val="auto"/>
          <w:highlight w:val="none"/>
        </w:rPr>
        <w:t>29.1评标委员会按招标文件规定的评标方法和标准，仅对资格性检查和符合性检查合格的投标文件进行商务和技术评估，综合比较与评价。</w:t>
      </w:r>
    </w:p>
    <w:p w14:paraId="11D86C13">
      <w:pPr>
        <w:spacing w:line="440" w:lineRule="exact"/>
        <w:ind w:firstLine="315"/>
        <w:rPr>
          <w:rFonts w:ascii="宋体" w:hAnsi="宋体"/>
          <w:color w:val="auto"/>
          <w:highlight w:val="none"/>
        </w:rPr>
      </w:pPr>
      <w:r>
        <w:rPr>
          <w:rFonts w:hint="eastAsia" w:ascii="宋体" w:hAnsi="宋体"/>
          <w:color w:val="auto"/>
          <w:highlight w:val="none"/>
        </w:rPr>
        <w:t xml:space="preserve">29.2评价和比较采用采用综合评分法，评标委员会严格按照招标文件的要求、条件、评分标准，对投标单位所提供货物和服务的先进性、可靠性、售后服务承诺、质量保证承诺等实质性响应内容进行比较报价，同时考虑以下因素：    </w:t>
      </w:r>
    </w:p>
    <w:p w14:paraId="78932931">
      <w:pPr>
        <w:spacing w:line="440" w:lineRule="exact"/>
        <w:ind w:firstLine="315"/>
        <w:rPr>
          <w:rFonts w:ascii="宋体" w:hAnsi="宋体"/>
          <w:color w:val="auto"/>
          <w:highlight w:val="none"/>
        </w:rPr>
      </w:pPr>
      <w:r>
        <w:rPr>
          <w:rFonts w:hint="eastAsia" w:ascii="宋体" w:hAnsi="宋体"/>
          <w:color w:val="auto"/>
          <w:highlight w:val="none"/>
        </w:rPr>
        <w:t>29.2.1服务的质量保证（保障）内容；</w:t>
      </w:r>
    </w:p>
    <w:p w14:paraId="25372047">
      <w:pPr>
        <w:spacing w:line="440" w:lineRule="exact"/>
        <w:ind w:firstLine="315"/>
        <w:rPr>
          <w:rFonts w:ascii="宋体" w:hAnsi="宋体"/>
          <w:color w:val="auto"/>
          <w:highlight w:val="none"/>
        </w:rPr>
      </w:pPr>
      <w:r>
        <w:rPr>
          <w:rFonts w:hint="eastAsia" w:ascii="宋体" w:hAnsi="宋体"/>
          <w:color w:val="auto"/>
          <w:highlight w:val="none"/>
        </w:rPr>
        <w:t>29.2.2服务配备的人员；</w:t>
      </w:r>
    </w:p>
    <w:p w14:paraId="44F4A398">
      <w:pPr>
        <w:spacing w:line="440" w:lineRule="exact"/>
        <w:ind w:firstLine="315"/>
        <w:rPr>
          <w:rFonts w:ascii="宋体" w:hAnsi="宋体"/>
          <w:color w:val="auto"/>
          <w:highlight w:val="none"/>
        </w:rPr>
      </w:pPr>
      <w:r>
        <w:rPr>
          <w:rFonts w:hint="eastAsia" w:ascii="宋体" w:hAnsi="宋体"/>
          <w:color w:val="auto"/>
          <w:highlight w:val="none"/>
        </w:rPr>
        <w:t>29.2.3投标者的资信情况和履约能力；</w:t>
      </w:r>
    </w:p>
    <w:p w14:paraId="2877E53C">
      <w:pPr>
        <w:spacing w:line="440" w:lineRule="exact"/>
        <w:ind w:firstLine="315"/>
        <w:rPr>
          <w:rFonts w:ascii="宋体" w:hAnsi="宋体"/>
          <w:color w:val="auto"/>
          <w:highlight w:val="none"/>
        </w:rPr>
      </w:pPr>
      <w:r>
        <w:rPr>
          <w:rFonts w:hint="eastAsia" w:ascii="宋体" w:hAnsi="宋体"/>
          <w:color w:val="auto"/>
          <w:highlight w:val="none"/>
        </w:rPr>
        <w:t>29.2.4投标者提供的其他优惠条件；</w:t>
      </w:r>
    </w:p>
    <w:p w14:paraId="6787BDC0">
      <w:pPr>
        <w:spacing w:line="440" w:lineRule="exact"/>
        <w:ind w:firstLine="315"/>
        <w:rPr>
          <w:rFonts w:ascii="宋体" w:hAnsi="宋体"/>
          <w:color w:val="auto"/>
          <w:highlight w:val="none"/>
        </w:rPr>
      </w:pPr>
      <w:r>
        <w:rPr>
          <w:rFonts w:hint="eastAsia" w:ascii="宋体" w:hAnsi="宋体"/>
          <w:color w:val="auto"/>
          <w:highlight w:val="none"/>
        </w:rPr>
        <w:t>29.2.5参与本项目政府采购工作的态度及信誉；</w:t>
      </w:r>
    </w:p>
    <w:p w14:paraId="4D8CC993">
      <w:pPr>
        <w:spacing w:line="440" w:lineRule="exact"/>
        <w:ind w:firstLine="315"/>
        <w:rPr>
          <w:rFonts w:ascii="宋体" w:hAnsi="宋体"/>
          <w:color w:val="auto"/>
          <w:highlight w:val="none"/>
        </w:rPr>
      </w:pPr>
      <w:r>
        <w:rPr>
          <w:rFonts w:hint="eastAsia" w:ascii="宋体" w:hAnsi="宋体"/>
          <w:color w:val="auto"/>
          <w:highlight w:val="none"/>
        </w:rPr>
        <w:t>29.2.6最低的投标报价或最高的折扣比例是中标的重要条件，但不是唯一条件。</w:t>
      </w:r>
    </w:p>
    <w:p w14:paraId="17E7899B">
      <w:pPr>
        <w:spacing w:line="440" w:lineRule="exact"/>
        <w:rPr>
          <w:rFonts w:ascii="宋体" w:hAnsi="宋体"/>
          <w:b/>
          <w:color w:val="auto"/>
          <w:highlight w:val="none"/>
        </w:rPr>
      </w:pPr>
      <w:r>
        <w:rPr>
          <w:rFonts w:hint="eastAsia" w:ascii="宋体" w:hAnsi="宋体"/>
          <w:b/>
          <w:color w:val="auto"/>
          <w:highlight w:val="none"/>
        </w:rPr>
        <w:t>七、授予合同</w:t>
      </w:r>
    </w:p>
    <w:p w14:paraId="64363D86">
      <w:pPr>
        <w:spacing w:line="440" w:lineRule="exact"/>
        <w:rPr>
          <w:rFonts w:ascii="宋体" w:hAnsi="宋体"/>
          <w:b/>
          <w:color w:val="auto"/>
          <w:highlight w:val="none"/>
        </w:rPr>
      </w:pPr>
      <w:r>
        <w:rPr>
          <w:rFonts w:hint="eastAsia" w:ascii="宋体" w:hAnsi="宋体"/>
          <w:b/>
          <w:color w:val="auto"/>
          <w:highlight w:val="none"/>
        </w:rPr>
        <w:t>30. 中标供应商的确认</w:t>
      </w:r>
    </w:p>
    <w:p w14:paraId="72FEC683">
      <w:pPr>
        <w:spacing w:line="440" w:lineRule="exact"/>
        <w:ind w:firstLine="315"/>
        <w:rPr>
          <w:rFonts w:ascii="宋体" w:hAnsi="宋体"/>
          <w:color w:val="auto"/>
          <w:highlight w:val="none"/>
        </w:rPr>
      </w:pPr>
      <w:r>
        <w:rPr>
          <w:rFonts w:hint="eastAsia" w:ascii="宋体" w:hAnsi="宋体"/>
          <w:color w:val="auto"/>
          <w:highlight w:val="none"/>
        </w:rPr>
        <w:t>30.1评标委员会按招标文件规定的评标方法和标准进行详细评审后，按招标采购单位的委托向招标采购单位推荐中标候选单位或根据采购人授权直接确定中标供应商。</w:t>
      </w:r>
    </w:p>
    <w:p w14:paraId="4656B1D8">
      <w:pPr>
        <w:spacing w:line="440" w:lineRule="exact"/>
        <w:ind w:firstLine="315"/>
        <w:rPr>
          <w:rFonts w:ascii="宋体" w:hAnsi="宋体"/>
          <w:color w:val="auto"/>
          <w:highlight w:val="none"/>
        </w:rPr>
      </w:pPr>
      <w:r>
        <w:rPr>
          <w:rFonts w:hint="eastAsia" w:ascii="宋体" w:hAnsi="宋体"/>
          <w:color w:val="auto"/>
          <w:highlight w:val="none"/>
        </w:rPr>
        <w:t>30.2经评标委员会评审并确定中标供应商后，招标采购单位将在规定的时间内将中标结果在相关媒体上予以公示。</w:t>
      </w:r>
    </w:p>
    <w:p w14:paraId="75C23665">
      <w:pPr>
        <w:spacing w:line="440" w:lineRule="exact"/>
        <w:ind w:firstLine="315"/>
        <w:rPr>
          <w:rFonts w:ascii="宋体" w:hAnsi="宋体"/>
          <w:color w:val="auto"/>
          <w:highlight w:val="none"/>
        </w:rPr>
      </w:pPr>
      <w:r>
        <w:rPr>
          <w:rFonts w:hint="eastAsia" w:ascii="宋体" w:hAnsi="宋体"/>
          <w:color w:val="auto"/>
          <w:highlight w:val="none"/>
        </w:rPr>
        <w:t>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150C22A0">
      <w:pPr>
        <w:spacing w:line="440" w:lineRule="exact"/>
        <w:ind w:firstLine="315"/>
        <w:rPr>
          <w:rFonts w:ascii="宋体" w:hAnsi="宋体"/>
          <w:color w:val="auto"/>
          <w:highlight w:val="none"/>
        </w:rPr>
      </w:pPr>
      <w:r>
        <w:rPr>
          <w:rFonts w:hint="eastAsia" w:ascii="宋体" w:hAnsi="宋体"/>
          <w:color w:val="auto"/>
          <w:highlight w:val="none"/>
        </w:rPr>
        <w:t>30.4质疑函递交地点及联系方式详见公告内容</w:t>
      </w:r>
    </w:p>
    <w:p w14:paraId="0CD9ADB8">
      <w:pPr>
        <w:spacing w:line="440" w:lineRule="exact"/>
        <w:rPr>
          <w:rFonts w:ascii="宋体" w:hAnsi="宋体"/>
          <w:b/>
          <w:color w:val="auto"/>
          <w:highlight w:val="none"/>
        </w:rPr>
      </w:pPr>
      <w:r>
        <w:rPr>
          <w:rFonts w:hint="eastAsia" w:ascii="宋体" w:hAnsi="宋体"/>
          <w:b/>
          <w:color w:val="auto"/>
          <w:highlight w:val="none"/>
        </w:rPr>
        <w:t>31. 合同授予标准</w:t>
      </w:r>
    </w:p>
    <w:p w14:paraId="76F9AD81">
      <w:pPr>
        <w:spacing w:line="440" w:lineRule="exact"/>
        <w:ind w:firstLine="315"/>
        <w:rPr>
          <w:rFonts w:ascii="宋体" w:hAnsi="宋体"/>
          <w:color w:val="auto"/>
          <w:highlight w:val="none"/>
        </w:rPr>
      </w:pPr>
      <w:r>
        <w:rPr>
          <w:rFonts w:hint="eastAsia" w:ascii="宋体" w:hAnsi="宋体"/>
          <w:color w:val="auto"/>
          <w:highlight w:val="none"/>
        </w:rPr>
        <w:t>31.1招标采购单位将把合同授予其投标文件在实质上响应招标文件要求和按本须知规定评选出的投标人。确定为中标的投标人必须具有实施本合同的能力和资源。</w:t>
      </w:r>
    </w:p>
    <w:p w14:paraId="78D37771">
      <w:pPr>
        <w:spacing w:line="440" w:lineRule="exact"/>
        <w:ind w:firstLine="315"/>
        <w:rPr>
          <w:rFonts w:ascii="宋体" w:hAnsi="宋体"/>
          <w:color w:val="auto"/>
          <w:highlight w:val="none"/>
        </w:rPr>
      </w:pPr>
      <w:r>
        <w:rPr>
          <w:rFonts w:hint="eastAsia" w:ascii="宋体" w:hAnsi="宋体"/>
          <w:color w:val="auto"/>
          <w:highlight w:val="none"/>
        </w:rPr>
        <w:t>31.2在合同签订之前，采购人有权对中标供应商的履约能力进行最后审查，审查方式包括询问、调查和实地考察，如发现中标供应商提供的材料或对招标文件所要求说明的情况故意隐瞒或虚报，则采购人有权取消其签约资格，并依据本办法的规定从其他中标人或中标候选人中重新确定，或者重新进行招标。</w:t>
      </w:r>
    </w:p>
    <w:p w14:paraId="34DF3700">
      <w:pPr>
        <w:spacing w:line="440" w:lineRule="exact"/>
        <w:ind w:firstLine="315"/>
        <w:rPr>
          <w:rFonts w:ascii="宋体" w:hAnsi="宋体"/>
          <w:color w:val="auto"/>
          <w:highlight w:val="none"/>
        </w:rPr>
      </w:pPr>
      <w:r>
        <w:rPr>
          <w:rFonts w:hint="eastAsia" w:ascii="宋体" w:hAnsi="宋体"/>
          <w:color w:val="auto"/>
          <w:highlight w:val="none"/>
        </w:rPr>
        <w:t>31.3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0135400A">
      <w:pPr>
        <w:spacing w:line="440" w:lineRule="exact"/>
        <w:rPr>
          <w:rFonts w:ascii="宋体" w:hAnsi="宋体"/>
          <w:b/>
          <w:color w:val="auto"/>
          <w:highlight w:val="none"/>
        </w:rPr>
      </w:pPr>
      <w:r>
        <w:rPr>
          <w:rFonts w:hint="eastAsia" w:ascii="宋体" w:hAnsi="宋体"/>
          <w:b/>
          <w:color w:val="auto"/>
          <w:highlight w:val="none"/>
        </w:rPr>
        <w:t>32. 中标通知书</w:t>
      </w:r>
    </w:p>
    <w:p w14:paraId="55CC278D">
      <w:pPr>
        <w:spacing w:line="440" w:lineRule="exact"/>
        <w:ind w:firstLine="315"/>
        <w:rPr>
          <w:rFonts w:ascii="宋体" w:hAnsi="宋体"/>
          <w:color w:val="auto"/>
          <w:highlight w:val="none"/>
        </w:rPr>
      </w:pPr>
      <w:r>
        <w:rPr>
          <w:rFonts w:hint="eastAsia" w:ascii="宋体" w:hAnsi="宋体"/>
          <w:color w:val="auto"/>
          <w:highlight w:val="none"/>
        </w:rPr>
        <w:t>32.1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p>
    <w:p w14:paraId="4C4240FD">
      <w:pPr>
        <w:spacing w:line="440" w:lineRule="exact"/>
        <w:ind w:firstLine="316"/>
        <w:rPr>
          <w:rFonts w:hint="eastAsia" w:ascii="宋体" w:hAnsi="宋体"/>
          <w:b/>
          <w:bCs/>
          <w:color w:val="auto"/>
          <w:highlight w:val="none"/>
        </w:rPr>
      </w:pPr>
      <w:r>
        <w:rPr>
          <w:rFonts w:hint="eastAsia" w:ascii="宋体" w:hAnsi="宋体"/>
          <w:b/>
          <w:bCs/>
          <w:color w:val="auto"/>
          <w:highlight w:val="none"/>
        </w:rPr>
        <w:t>32.2</w:t>
      </w:r>
      <w:r>
        <w:rPr>
          <w:rFonts w:hint="eastAsia" w:ascii="宋体" w:hAnsi="宋体"/>
          <w:b/>
          <w:bCs/>
          <w:color w:val="auto"/>
          <w:highlight w:val="none"/>
          <w:lang w:val="en-US" w:eastAsia="en-US"/>
        </w:rPr>
        <w:t>中标通知书在中标公告发布后将发布在业务系统中，中标通知书发布之日视为中标供应商领取之日，中标供应商自行在业务系统中下载打印</w:t>
      </w:r>
      <w:r>
        <w:rPr>
          <w:rFonts w:hint="eastAsia" w:ascii="宋体" w:hAnsi="宋体"/>
          <w:b/>
          <w:bCs/>
          <w:color w:val="auto"/>
          <w:highlight w:val="none"/>
        </w:rPr>
        <w:t>。</w:t>
      </w:r>
    </w:p>
    <w:p w14:paraId="2EC08204">
      <w:pPr>
        <w:spacing w:line="440" w:lineRule="exact"/>
        <w:ind w:firstLine="315"/>
        <w:rPr>
          <w:rFonts w:hint="eastAsia" w:ascii="宋体" w:hAnsi="宋体"/>
          <w:color w:val="auto"/>
          <w:highlight w:val="none"/>
        </w:rPr>
      </w:pPr>
      <w:r>
        <w:rPr>
          <w:rFonts w:hint="eastAsia" w:ascii="宋体" w:hAnsi="宋体"/>
          <w:color w:val="auto"/>
          <w:highlight w:val="none"/>
        </w:rPr>
        <w:t>32.3</w:t>
      </w:r>
      <w:r>
        <w:rPr>
          <w:rFonts w:hint="eastAsia" w:ascii="宋体" w:hAnsi="宋体"/>
          <w:color w:val="auto"/>
          <w:highlight w:val="none"/>
          <w:lang w:val="en-US" w:eastAsia="en-US"/>
        </w:rPr>
        <w:t>中标通知书将成为合同的组成部分。</w:t>
      </w:r>
    </w:p>
    <w:p w14:paraId="2ECE2F1C">
      <w:pPr>
        <w:spacing w:line="440" w:lineRule="exact"/>
        <w:ind w:firstLine="315"/>
        <w:rPr>
          <w:rFonts w:ascii="宋体" w:hAnsi="宋体"/>
          <w:color w:val="auto"/>
          <w:highlight w:val="none"/>
        </w:rPr>
      </w:pPr>
      <w:r>
        <w:rPr>
          <w:rFonts w:hint="eastAsia" w:ascii="宋体" w:hAnsi="宋体"/>
          <w:color w:val="auto"/>
          <w:highlight w:val="none"/>
          <w:lang w:val="en-US" w:eastAsia="zh-CN"/>
        </w:rPr>
        <w:t>32.4</w:t>
      </w:r>
      <w:r>
        <w:rPr>
          <w:rFonts w:hint="eastAsia" w:ascii="宋体" w:hAnsi="宋体"/>
          <w:color w:val="auto"/>
          <w:highlight w:val="none"/>
        </w:rPr>
        <w:t>采购代理机构对未中标供应商不承担解释未中标原因的义务。</w:t>
      </w:r>
    </w:p>
    <w:p w14:paraId="5CD04FFA">
      <w:pPr>
        <w:spacing w:line="440" w:lineRule="exact"/>
        <w:rPr>
          <w:rFonts w:ascii="宋体" w:hAnsi="宋体"/>
          <w:b/>
          <w:color w:val="auto"/>
          <w:highlight w:val="none"/>
        </w:rPr>
      </w:pPr>
      <w:r>
        <w:rPr>
          <w:rFonts w:hint="eastAsia" w:ascii="宋体" w:hAnsi="宋体"/>
          <w:b/>
          <w:color w:val="auto"/>
          <w:highlight w:val="none"/>
        </w:rPr>
        <w:t>33.履约保证金</w:t>
      </w:r>
    </w:p>
    <w:p w14:paraId="084BDE11">
      <w:pPr>
        <w:spacing w:line="440" w:lineRule="exact"/>
        <w:rPr>
          <w:rFonts w:hint="default" w:ascii="宋体" w:hAnsi="宋体"/>
          <w:color w:val="auto"/>
          <w:highlight w:val="none"/>
          <w:lang w:val="en-US" w:eastAsia="zh-CN"/>
        </w:rPr>
      </w:pPr>
      <w:r>
        <w:rPr>
          <w:rFonts w:hint="eastAsia" w:ascii="宋体" w:hAnsi="宋体"/>
          <w:color w:val="auto"/>
          <w:highlight w:val="none"/>
          <w:lang w:val="en-US" w:eastAsia="zh-CN"/>
        </w:rPr>
        <w:t>本项目不收取履约保证金。</w:t>
      </w:r>
    </w:p>
    <w:p w14:paraId="639706EA">
      <w:pPr>
        <w:spacing w:line="440" w:lineRule="exact"/>
        <w:rPr>
          <w:rFonts w:ascii="宋体" w:hAnsi="宋体"/>
          <w:b/>
          <w:color w:val="auto"/>
          <w:highlight w:val="none"/>
        </w:rPr>
      </w:pPr>
      <w:r>
        <w:rPr>
          <w:rFonts w:hint="eastAsia" w:ascii="宋体" w:hAnsi="宋体"/>
          <w:b/>
          <w:color w:val="auto"/>
          <w:highlight w:val="none"/>
        </w:rPr>
        <w:t>34. 合同的签订</w:t>
      </w:r>
    </w:p>
    <w:p w14:paraId="3A710B3D">
      <w:pPr>
        <w:spacing w:line="440" w:lineRule="exact"/>
        <w:ind w:firstLine="315"/>
        <w:rPr>
          <w:rFonts w:ascii="宋体" w:hAnsi="宋体"/>
          <w:color w:val="auto"/>
          <w:highlight w:val="none"/>
        </w:rPr>
      </w:pPr>
      <w:r>
        <w:rPr>
          <w:rFonts w:hint="eastAsia" w:ascii="宋体" w:hAnsi="宋体"/>
          <w:color w:val="auto"/>
          <w:highlight w:val="none"/>
        </w:rPr>
        <w:t>34.1中标供应商应按中标通知书中规定的时间和地点，按照招标文件确定的事项由法定代表人或代理人与采购人代表签订合同，且不得迟于中标通知书发出之日起三十日内，否则按放弃中标权处理。</w:t>
      </w:r>
    </w:p>
    <w:p w14:paraId="208B542F">
      <w:pPr>
        <w:spacing w:line="440" w:lineRule="exact"/>
        <w:ind w:firstLine="315"/>
        <w:rPr>
          <w:rFonts w:ascii="宋体" w:hAnsi="宋体"/>
          <w:color w:val="auto"/>
          <w:highlight w:val="none"/>
        </w:rPr>
      </w:pPr>
      <w:r>
        <w:rPr>
          <w:rFonts w:hint="eastAsia" w:ascii="宋体" w:hAnsi="宋体"/>
          <w:color w:val="auto"/>
          <w:highlight w:val="none"/>
        </w:rPr>
        <w:t>34.2签订合同及合同条款应以招标文件和中标供应商的投标文件及其澄清文件为依据。</w:t>
      </w:r>
    </w:p>
    <w:p w14:paraId="5F4323B4">
      <w:pPr>
        <w:spacing w:line="440" w:lineRule="exact"/>
        <w:ind w:firstLine="315"/>
        <w:rPr>
          <w:rFonts w:ascii="宋体" w:hAnsi="宋体"/>
          <w:color w:val="auto"/>
          <w:highlight w:val="none"/>
        </w:rPr>
      </w:pPr>
      <w:r>
        <w:rPr>
          <w:rFonts w:hint="eastAsia" w:ascii="宋体" w:hAnsi="宋体"/>
          <w:color w:val="auto"/>
          <w:highlight w:val="none"/>
        </w:rPr>
        <w:t>34.3中标人无正当理由拒签合同的，或在签订合同时向采购人提出附加条件或者更改合同实质性内容的，采购人可取消其中标资格，并要求支付预算金额2%的违约赔偿金，同时由中标人承担相应的法律责任。</w:t>
      </w:r>
    </w:p>
    <w:p w14:paraId="12D08055">
      <w:pPr>
        <w:spacing w:line="440" w:lineRule="exact"/>
        <w:ind w:firstLine="315"/>
        <w:rPr>
          <w:rFonts w:ascii="宋体" w:hAnsi="宋体"/>
          <w:color w:val="auto"/>
          <w:highlight w:val="none"/>
        </w:rPr>
      </w:pPr>
      <w:r>
        <w:rPr>
          <w:rFonts w:hint="eastAsia" w:ascii="宋体" w:hAnsi="宋体"/>
          <w:color w:val="auto"/>
          <w:highlight w:val="none"/>
        </w:rPr>
        <w:t>34.4签订合同后，</w:t>
      </w:r>
      <w:r>
        <w:rPr>
          <w:rFonts w:hint="eastAsia" w:ascii="宋体" w:hAnsi="宋体"/>
          <w:color w:val="auto"/>
          <w:highlight w:val="none"/>
          <w:u w:val="single"/>
        </w:rPr>
        <w:t>中标人不得将货物及其他相关服务进行转包</w:t>
      </w:r>
      <w:r>
        <w:rPr>
          <w:rFonts w:hint="eastAsia" w:ascii="宋体" w:hAnsi="宋体"/>
          <w:color w:val="auto"/>
          <w:highlight w:val="none"/>
        </w:rPr>
        <w:t>。未经采购人同意，中标人也不得采用分包的形式履行合同，否则采购人有权终止合同。转包或分包造成采购人损失的，中标人应承担相应赔偿责任。</w:t>
      </w:r>
    </w:p>
    <w:p w14:paraId="6BAFAF6A">
      <w:pPr>
        <w:spacing w:line="440" w:lineRule="exact"/>
        <w:rPr>
          <w:rFonts w:ascii="宋体" w:hAnsi="宋体"/>
          <w:b/>
          <w:color w:val="auto"/>
          <w:highlight w:val="none"/>
        </w:rPr>
      </w:pPr>
      <w:r>
        <w:rPr>
          <w:rFonts w:hint="eastAsia" w:ascii="宋体" w:hAnsi="宋体"/>
          <w:b/>
          <w:color w:val="auto"/>
          <w:highlight w:val="none"/>
        </w:rPr>
        <w:t xml:space="preserve">35. </w:t>
      </w:r>
      <w:r>
        <w:rPr>
          <w:rFonts w:hint="eastAsia" w:ascii="宋体" w:hAnsi="宋体"/>
          <w:b/>
          <w:color w:val="auto"/>
          <w:highlight w:val="none"/>
          <w:lang w:val="en-US" w:eastAsia="zh-CN"/>
        </w:rPr>
        <w:t>代理</w:t>
      </w:r>
      <w:r>
        <w:rPr>
          <w:rFonts w:hint="eastAsia" w:ascii="宋体" w:hAnsi="宋体"/>
          <w:b/>
          <w:color w:val="auto"/>
          <w:highlight w:val="none"/>
        </w:rPr>
        <w:t>服务费</w:t>
      </w:r>
    </w:p>
    <w:p w14:paraId="59C29ED7">
      <w:pPr>
        <w:spacing w:line="440" w:lineRule="exact"/>
        <w:rPr>
          <w:rFonts w:hint="eastAsia" w:ascii="宋体" w:hAnsi="宋体" w:eastAsia="宋体" w:cs="宋体"/>
          <w:color w:val="auto"/>
          <w:highlight w:val="none"/>
        </w:rPr>
      </w:pPr>
      <w:r>
        <w:rPr>
          <w:rFonts w:hint="eastAsia" w:ascii="宋体" w:hAnsi="宋体"/>
          <w:color w:val="auto"/>
          <w:highlight w:val="none"/>
        </w:rPr>
        <w:t xml:space="preserve">  </w:t>
      </w:r>
      <w:r>
        <w:rPr>
          <w:rFonts w:hint="eastAsia" w:ascii="宋体" w:hAnsi="宋体" w:eastAsia="宋体" w:cs="宋体"/>
          <w:color w:val="auto"/>
          <w:highlight w:val="none"/>
        </w:rPr>
        <w:t>35.1</w:t>
      </w:r>
      <w:r>
        <w:rPr>
          <w:rFonts w:hint="eastAsia" w:ascii="宋体" w:hAnsi="宋体" w:eastAsia="宋体" w:cs="宋体"/>
          <w:color w:val="auto"/>
          <w:highlight w:val="none"/>
          <w:lang w:val="en-US" w:eastAsia="zh-CN"/>
        </w:rPr>
        <w:t>采购单位</w:t>
      </w:r>
      <w:r>
        <w:rPr>
          <w:rFonts w:hint="eastAsia" w:ascii="宋体" w:hAnsi="宋体" w:eastAsia="宋体" w:cs="宋体"/>
          <w:color w:val="auto"/>
          <w:highlight w:val="none"/>
        </w:rPr>
        <w:t>须按前附表的规定按其预算金额计算并支付</w:t>
      </w:r>
      <w:r>
        <w:rPr>
          <w:rFonts w:hint="eastAsia" w:ascii="宋体" w:hAnsi="宋体" w:eastAsia="宋体" w:cs="宋体"/>
          <w:color w:val="auto"/>
          <w:highlight w:val="none"/>
          <w:lang w:val="en-US" w:eastAsia="zh-CN"/>
        </w:rPr>
        <w:t>代理</w:t>
      </w:r>
      <w:r>
        <w:rPr>
          <w:rFonts w:hint="eastAsia" w:ascii="宋体" w:hAnsi="宋体" w:eastAsia="宋体" w:cs="宋体"/>
          <w:color w:val="auto"/>
          <w:highlight w:val="none"/>
        </w:rPr>
        <w:t>服务费，该费用应在代理机构交付招标归档资料后一次付清。</w:t>
      </w:r>
    </w:p>
    <w:p w14:paraId="086A96DE">
      <w:pPr>
        <w:spacing w:line="440" w:lineRule="exact"/>
        <w:rPr>
          <w:rFonts w:ascii="宋体" w:hAnsi="宋体"/>
          <w:b/>
          <w:color w:val="auto"/>
          <w:highlight w:val="none"/>
        </w:rPr>
      </w:pPr>
      <w:r>
        <w:rPr>
          <w:rFonts w:hint="eastAsia" w:ascii="宋体" w:hAnsi="宋体"/>
          <w:b/>
          <w:color w:val="auto"/>
          <w:highlight w:val="none"/>
        </w:rPr>
        <w:t>36. 监督和公证</w:t>
      </w:r>
    </w:p>
    <w:p w14:paraId="22ADDDA6">
      <w:pPr>
        <w:spacing w:line="440" w:lineRule="exact"/>
        <w:ind w:firstLine="315"/>
        <w:rPr>
          <w:rFonts w:ascii="宋体" w:hAnsi="宋体"/>
          <w:color w:val="auto"/>
          <w:highlight w:val="none"/>
        </w:rPr>
      </w:pPr>
      <w:r>
        <w:rPr>
          <w:rFonts w:hint="eastAsia" w:ascii="宋体" w:hAnsi="宋体"/>
          <w:color w:val="auto"/>
          <w:highlight w:val="none"/>
        </w:rPr>
        <w:t>36.1政府有关监督部门将对招投标全过程进行监督。</w:t>
      </w:r>
    </w:p>
    <w:p w14:paraId="02696860">
      <w:pPr>
        <w:spacing w:line="440" w:lineRule="exact"/>
        <w:ind w:firstLine="315"/>
        <w:rPr>
          <w:rFonts w:ascii="宋体" w:hAnsi="宋体"/>
          <w:color w:val="auto"/>
          <w:highlight w:val="none"/>
        </w:rPr>
      </w:pPr>
      <w:r>
        <w:rPr>
          <w:rFonts w:hint="eastAsia" w:ascii="宋体" w:hAnsi="宋体"/>
          <w:color w:val="auto"/>
          <w:highlight w:val="none"/>
        </w:rPr>
        <w:t>35.2采购代理机构的招标过程将通过公证机关进行公证。</w:t>
      </w:r>
    </w:p>
    <w:p w14:paraId="79CF2195">
      <w:pPr>
        <w:spacing w:line="440" w:lineRule="exact"/>
        <w:rPr>
          <w:rFonts w:hint="eastAsia" w:ascii="宋体" w:hAnsi="宋体" w:eastAsia="宋体"/>
          <w:b/>
          <w:color w:val="auto"/>
          <w:highlight w:val="none"/>
          <w:lang w:eastAsia="zh-CN"/>
        </w:rPr>
      </w:pPr>
      <w:r>
        <w:rPr>
          <w:rFonts w:hint="eastAsia" w:ascii="宋体" w:hAnsi="宋体"/>
          <w:b/>
          <w:color w:val="auto"/>
          <w:highlight w:val="none"/>
        </w:rPr>
        <w:t>37. 未尽事宜</w:t>
      </w:r>
    </w:p>
    <w:p w14:paraId="5B46A30B">
      <w:pPr>
        <w:spacing w:line="440" w:lineRule="exact"/>
        <w:ind w:firstLine="315"/>
        <w:rPr>
          <w:rFonts w:ascii="宋体" w:hAnsi="宋体"/>
          <w:color w:val="auto"/>
          <w:highlight w:val="none"/>
        </w:rPr>
      </w:pPr>
      <w:r>
        <w:rPr>
          <w:rFonts w:hint="eastAsia" w:ascii="宋体" w:hAnsi="宋体"/>
          <w:color w:val="auto"/>
          <w:highlight w:val="none"/>
        </w:rPr>
        <w:t>37.1按《中华人民共和国政府采购法》及其他有关法律法规的规定执行。</w:t>
      </w:r>
    </w:p>
    <w:p w14:paraId="5F57E7F9">
      <w:pPr>
        <w:spacing w:line="360" w:lineRule="auto"/>
        <w:ind w:firstLine="422"/>
        <w:jc w:val="center"/>
        <w:rPr>
          <w:rFonts w:hAnsi="宋体"/>
          <w:b/>
          <w:color w:val="auto"/>
          <w:sz w:val="44"/>
          <w:szCs w:val="44"/>
          <w:highlight w:val="none"/>
        </w:rPr>
      </w:pPr>
      <w:r>
        <w:rPr>
          <w:rFonts w:hint="eastAsia" w:ascii="宋体" w:hAnsi="宋体"/>
          <w:b/>
          <w:color w:val="auto"/>
          <w:highlight w:val="none"/>
        </w:rPr>
        <w:br w:type="page" w:clear="all"/>
      </w:r>
      <w:r>
        <w:rPr>
          <w:rFonts w:hint="eastAsia" w:ascii="宋体"/>
          <w:b/>
          <w:color w:val="auto"/>
          <w:sz w:val="44"/>
          <w:szCs w:val="44"/>
          <w:highlight w:val="none"/>
        </w:rPr>
        <w:t xml:space="preserve">第三部分 </w:t>
      </w:r>
      <w:r>
        <w:rPr>
          <w:rFonts w:hint="eastAsia" w:hAnsi="宋体"/>
          <w:b/>
          <w:color w:val="auto"/>
          <w:sz w:val="44"/>
          <w:szCs w:val="44"/>
          <w:highlight w:val="none"/>
        </w:rPr>
        <w:t>项目需求</w:t>
      </w:r>
    </w:p>
    <w:p w14:paraId="1C196DE9">
      <w:pPr>
        <w:spacing w:line="400" w:lineRule="exact"/>
        <w:rPr>
          <w:rFonts w:ascii="宋体" w:hAnsi="宋体"/>
          <w:b/>
          <w:color w:val="auto"/>
          <w:highlight w:val="none"/>
          <w:lang w:val="zh-CN"/>
        </w:rPr>
      </w:pPr>
      <w:r>
        <w:rPr>
          <w:rFonts w:hint="eastAsia" w:ascii="宋体" w:hAnsi="宋体"/>
          <w:b/>
          <w:color w:val="auto"/>
          <w:highlight w:val="none"/>
          <w:lang w:val="zh-CN"/>
        </w:rPr>
        <w:t>一、采购项目概况</w:t>
      </w:r>
    </w:p>
    <w:p w14:paraId="6C7343AE">
      <w:pPr>
        <w:numPr>
          <w:ilvl w:val="0"/>
          <w:numId w:val="4"/>
        </w:numPr>
        <w:spacing w:line="400" w:lineRule="exact"/>
        <w:ind w:left="0" w:firstLine="403"/>
        <w:rPr>
          <w:rFonts w:ascii="宋体" w:hAnsi="宋体"/>
          <w:color w:val="auto"/>
          <w:highlight w:val="none"/>
          <w:lang w:val="zh-CN"/>
        </w:rPr>
      </w:pPr>
      <w:r>
        <w:rPr>
          <w:rFonts w:hint="eastAsia" w:ascii="宋体" w:hAnsi="宋体"/>
          <w:color w:val="auto"/>
          <w:highlight w:val="none"/>
          <w:lang w:val="zh-CN"/>
        </w:rPr>
        <w:t xml:space="preserve">项目名称：2026年度化工园区应急指挥中心运维服务 </w:t>
      </w:r>
    </w:p>
    <w:p w14:paraId="607A2A3F">
      <w:pPr>
        <w:numPr>
          <w:ilvl w:val="0"/>
          <w:numId w:val="4"/>
        </w:numPr>
        <w:spacing w:line="400" w:lineRule="exact"/>
        <w:ind w:left="0" w:firstLine="403"/>
        <w:rPr>
          <w:rFonts w:ascii="宋体" w:hAnsi="宋体"/>
          <w:color w:val="auto"/>
          <w:highlight w:val="none"/>
          <w:lang w:val="zh-CN"/>
        </w:rPr>
      </w:pPr>
      <w:r>
        <w:rPr>
          <w:rFonts w:hint="eastAsia" w:ascii="宋体" w:hAnsi="宋体"/>
          <w:color w:val="auto"/>
          <w:highlight w:val="none"/>
          <w:lang w:val="zh-CN"/>
        </w:rPr>
        <w:t>采购编号：JSZC-320585-HJSZ-G2026-0002</w:t>
      </w:r>
    </w:p>
    <w:p w14:paraId="36A8BBFE">
      <w:pPr>
        <w:numPr>
          <w:ilvl w:val="0"/>
          <w:numId w:val="4"/>
        </w:numPr>
        <w:spacing w:line="400" w:lineRule="exact"/>
        <w:ind w:left="0" w:firstLine="403"/>
        <w:rPr>
          <w:rFonts w:ascii="宋体" w:hAnsi="宋体"/>
          <w:color w:val="auto"/>
          <w:highlight w:val="none"/>
          <w:lang w:val="zh-CN"/>
        </w:rPr>
      </w:pPr>
      <w:r>
        <w:rPr>
          <w:rFonts w:hint="eastAsia" w:ascii="宋体" w:hAnsi="宋体"/>
          <w:color w:val="auto"/>
          <w:highlight w:val="none"/>
          <w:lang w:val="zh-CN"/>
        </w:rPr>
        <w:t>采购预算：</w:t>
      </w:r>
      <w:r>
        <w:rPr>
          <w:rFonts w:hint="eastAsia" w:ascii="宋体" w:hAnsi="宋体" w:cs="宋体"/>
          <w:color w:val="auto"/>
          <w:szCs w:val="24"/>
          <w:highlight w:val="none"/>
          <w:lang w:eastAsia="zh-CN"/>
        </w:rPr>
        <w:t>人民币壹佰</w:t>
      </w:r>
      <w:r>
        <w:rPr>
          <w:rFonts w:hint="eastAsia" w:ascii="宋体" w:hAnsi="宋体" w:cs="宋体"/>
          <w:color w:val="auto"/>
          <w:szCs w:val="24"/>
          <w:highlight w:val="none"/>
          <w:lang w:val="en-US" w:eastAsia="zh-CN"/>
        </w:rPr>
        <w:t>伍</w:t>
      </w:r>
      <w:r>
        <w:rPr>
          <w:rFonts w:hint="eastAsia" w:ascii="宋体" w:hAnsi="宋体" w:cs="宋体"/>
          <w:color w:val="auto"/>
          <w:szCs w:val="24"/>
          <w:highlight w:val="none"/>
          <w:lang w:eastAsia="zh-CN"/>
        </w:rPr>
        <w:t>拾</w:t>
      </w:r>
      <w:r>
        <w:rPr>
          <w:rFonts w:hint="eastAsia" w:ascii="宋体" w:hAnsi="宋体" w:cs="宋体"/>
          <w:color w:val="auto"/>
          <w:szCs w:val="24"/>
          <w:highlight w:val="none"/>
          <w:lang w:val="en-US" w:eastAsia="zh-CN"/>
        </w:rPr>
        <w:t>玖</w:t>
      </w:r>
      <w:r>
        <w:rPr>
          <w:rFonts w:hint="eastAsia" w:ascii="宋体" w:hAnsi="宋体" w:cs="宋体"/>
          <w:color w:val="auto"/>
          <w:szCs w:val="24"/>
          <w:highlight w:val="none"/>
          <w:lang w:eastAsia="zh-CN"/>
        </w:rPr>
        <w:t>万元整（￥1</w:t>
      </w:r>
      <w:r>
        <w:rPr>
          <w:rFonts w:hint="eastAsia" w:ascii="宋体" w:hAnsi="宋体" w:cs="宋体"/>
          <w:color w:val="auto"/>
          <w:szCs w:val="24"/>
          <w:highlight w:val="none"/>
          <w:lang w:val="en-US" w:eastAsia="zh-CN"/>
        </w:rPr>
        <w:t>59</w:t>
      </w:r>
      <w:r>
        <w:rPr>
          <w:rFonts w:hint="eastAsia" w:ascii="宋体" w:hAnsi="宋体" w:cs="宋体"/>
          <w:color w:val="auto"/>
          <w:szCs w:val="24"/>
          <w:highlight w:val="none"/>
          <w:lang w:eastAsia="zh-CN"/>
        </w:rPr>
        <w:t>0000.00元）</w:t>
      </w:r>
    </w:p>
    <w:p w14:paraId="7CBEAEA2">
      <w:pPr>
        <w:numPr>
          <w:ilvl w:val="0"/>
          <w:numId w:val="4"/>
        </w:numPr>
        <w:spacing w:line="400" w:lineRule="exact"/>
        <w:ind w:left="0" w:firstLine="403"/>
        <w:rPr>
          <w:rFonts w:hint="eastAsia" w:ascii="宋体" w:hAnsi="宋体" w:eastAsiaTheme="minorEastAsia"/>
          <w:color w:val="auto"/>
          <w:highlight w:val="none"/>
        </w:rPr>
      </w:pPr>
      <w:r>
        <w:rPr>
          <w:rFonts w:hint="eastAsia" w:ascii="宋体" w:hAnsi="宋体" w:eastAsiaTheme="minorEastAsia"/>
          <w:color w:val="auto"/>
          <w:highlight w:val="none"/>
          <w:lang w:val="en-US" w:eastAsia="zh-CN"/>
        </w:rPr>
        <w:t>最高限价：</w:t>
      </w:r>
      <w:r>
        <w:rPr>
          <w:rFonts w:hint="eastAsia" w:ascii="宋体" w:hAnsi="宋体" w:cs="宋体"/>
          <w:color w:val="auto"/>
          <w:szCs w:val="24"/>
          <w:highlight w:val="none"/>
          <w:lang w:eastAsia="zh-CN"/>
        </w:rPr>
        <w:t>人民币壹佰</w:t>
      </w:r>
      <w:r>
        <w:rPr>
          <w:rFonts w:hint="eastAsia" w:ascii="宋体" w:hAnsi="宋体" w:cs="宋体"/>
          <w:color w:val="auto"/>
          <w:szCs w:val="24"/>
          <w:highlight w:val="none"/>
          <w:lang w:val="en-US" w:eastAsia="zh-CN"/>
        </w:rPr>
        <w:t>伍</w:t>
      </w:r>
      <w:r>
        <w:rPr>
          <w:rFonts w:hint="eastAsia" w:ascii="宋体" w:hAnsi="宋体" w:cs="宋体"/>
          <w:color w:val="auto"/>
          <w:szCs w:val="24"/>
          <w:highlight w:val="none"/>
          <w:lang w:eastAsia="zh-CN"/>
        </w:rPr>
        <w:t>拾</w:t>
      </w:r>
      <w:r>
        <w:rPr>
          <w:rFonts w:hint="eastAsia" w:ascii="宋体" w:hAnsi="宋体" w:cs="宋体"/>
          <w:color w:val="auto"/>
          <w:szCs w:val="24"/>
          <w:highlight w:val="none"/>
          <w:lang w:val="en-US" w:eastAsia="zh-CN"/>
        </w:rPr>
        <w:t>玖</w:t>
      </w:r>
      <w:r>
        <w:rPr>
          <w:rFonts w:hint="eastAsia" w:ascii="宋体" w:hAnsi="宋体" w:cs="宋体"/>
          <w:color w:val="auto"/>
          <w:szCs w:val="24"/>
          <w:highlight w:val="none"/>
          <w:lang w:eastAsia="zh-CN"/>
        </w:rPr>
        <w:t>万元整（￥1</w:t>
      </w:r>
      <w:r>
        <w:rPr>
          <w:rFonts w:hint="eastAsia" w:ascii="宋体" w:hAnsi="宋体" w:cs="宋体"/>
          <w:color w:val="auto"/>
          <w:szCs w:val="24"/>
          <w:highlight w:val="none"/>
          <w:lang w:val="en-US" w:eastAsia="zh-CN"/>
        </w:rPr>
        <w:t>59</w:t>
      </w:r>
      <w:r>
        <w:rPr>
          <w:rFonts w:hint="eastAsia" w:ascii="宋体" w:hAnsi="宋体" w:cs="宋体"/>
          <w:color w:val="auto"/>
          <w:szCs w:val="24"/>
          <w:highlight w:val="none"/>
          <w:lang w:eastAsia="zh-CN"/>
        </w:rPr>
        <w:t>0000.00元）</w:t>
      </w:r>
    </w:p>
    <w:p w14:paraId="24932EF3">
      <w:pPr>
        <w:numPr>
          <w:ilvl w:val="0"/>
          <w:numId w:val="4"/>
        </w:numPr>
        <w:spacing w:line="400" w:lineRule="exact"/>
        <w:ind w:left="0" w:firstLine="403"/>
        <w:rPr>
          <w:rFonts w:hint="eastAsia" w:ascii="宋体" w:hAnsi="宋体"/>
          <w:color w:val="auto"/>
          <w:highlight w:val="none"/>
          <w:lang w:val="en-US" w:eastAsia="zh-CN"/>
        </w:rPr>
      </w:pPr>
      <w:r>
        <w:rPr>
          <w:rFonts w:hint="eastAsia" w:ascii="宋体" w:hAnsi="宋体"/>
          <w:color w:val="auto"/>
          <w:highlight w:val="none"/>
          <w:lang w:val="zh-CN"/>
        </w:rPr>
        <w:t>合同履行期限：</w:t>
      </w:r>
      <w:r>
        <w:rPr>
          <w:rFonts w:hint="eastAsia" w:ascii="宋体" w:hAnsi="宋体"/>
          <w:color w:val="auto"/>
          <w:highlight w:val="none"/>
          <w:lang w:val="en-US" w:eastAsia="zh-CN"/>
        </w:rPr>
        <w:t>壹年（2026年10月1日-2027年9月30日）</w:t>
      </w:r>
      <w:r>
        <w:rPr>
          <w:rFonts w:hint="eastAsia" w:ascii="宋体" w:hAnsi="宋体"/>
          <w:color w:val="auto"/>
          <w:highlight w:val="none"/>
          <w:lang w:val="zh-CN"/>
        </w:rPr>
        <w:t>。</w:t>
      </w:r>
    </w:p>
    <w:p w14:paraId="72A2390A">
      <w:pPr>
        <w:numPr>
          <w:ilvl w:val="0"/>
          <w:numId w:val="4"/>
        </w:numPr>
        <w:spacing w:line="400" w:lineRule="exact"/>
        <w:ind w:left="0" w:firstLine="403"/>
        <w:rPr>
          <w:rFonts w:hint="eastAsia" w:ascii="宋体" w:hAnsi="宋体" w:eastAsia="宋体" w:cs="宋体"/>
          <w:b/>
          <w:color w:val="auto"/>
          <w:highlight w:val="none"/>
          <w:lang w:val="zh-CN"/>
        </w:rPr>
      </w:pPr>
      <w:r>
        <w:rPr>
          <w:rFonts w:hint="eastAsia" w:ascii="宋体" w:hAnsi="宋体"/>
          <w:color w:val="auto"/>
          <w:highlight w:val="none"/>
          <w:lang w:val="en-US" w:eastAsia="zh-CN"/>
        </w:rPr>
        <w:t>服务地点：甲方指定地点。</w:t>
      </w:r>
    </w:p>
    <w:p w14:paraId="4380D93D">
      <w:pPr>
        <w:keepNext w:val="0"/>
        <w:keepLines w:val="0"/>
        <w:pageBreakBefore w:val="0"/>
        <w:widowControl w:val="0"/>
        <w:spacing w:before="62" w:after="62" w:line="400" w:lineRule="exact"/>
        <w:rPr>
          <w:rFonts w:hint="eastAsia" w:ascii="宋体" w:hAnsi="宋体" w:cs="宋体"/>
          <w:b/>
          <w:color w:val="auto"/>
          <w:highlight w:val="none"/>
          <w:lang w:val="en-US" w:eastAsia="zh-CN"/>
        </w:rPr>
      </w:pPr>
      <w:r>
        <w:rPr>
          <w:rFonts w:hint="eastAsia" w:ascii="宋体" w:hAnsi="宋体" w:eastAsia="宋体" w:cs="宋体"/>
          <w:b/>
          <w:color w:val="auto"/>
          <w:highlight w:val="none"/>
          <w:lang w:val="zh-CN"/>
        </w:rPr>
        <w:t>二、</w:t>
      </w:r>
      <w:r>
        <w:rPr>
          <w:rFonts w:hint="eastAsia" w:ascii="宋体" w:hAnsi="宋体" w:cs="宋体"/>
          <w:b/>
          <w:color w:val="auto"/>
          <w:highlight w:val="none"/>
          <w:lang w:val="en-US" w:eastAsia="zh-CN"/>
        </w:rPr>
        <w:t>项目内容与总体要求</w:t>
      </w:r>
    </w:p>
    <w:p w14:paraId="6B7E8AF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1、项目内容及要求</w:t>
      </w:r>
    </w:p>
    <w:p w14:paraId="0223CBD3">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项目服务期内，工作内容包括不限于：</w:t>
      </w:r>
    </w:p>
    <w:tbl>
      <w:tblPr>
        <w:tblStyle w:val="57"/>
        <w:tblW w:w="9812" w:type="dxa"/>
        <w:tblInd w:w="-2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095"/>
        <w:gridCol w:w="1380"/>
        <w:gridCol w:w="5052"/>
        <w:gridCol w:w="1640"/>
      </w:tblGrid>
      <w:tr w14:paraId="024A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noWrap w:val="0"/>
            <w:vAlign w:val="center"/>
          </w:tcPr>
          <w:p w14:paraId="4E045C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tc>
        <w:tc>
          <w:tcPr>
            <w:tcW w:w="1095" w:type="dxa"/>
            <w:noWrap w:val="0"/>
            <w:vAlign w:val="center"/>
          </w:tcPr>
          <w:p w14:paraId="761629D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bidi="ar-SA"/>
              </w:rPr>
            </w:pPr>
            <w:r>
              <w:rPr>
                <w:rFonts w:hint="eastAsia" w:ascii="宋体" w:hAnsi="宋体" w:eastAsia="宋体" w:cs="宋体"/>
                <w:color w:val="auto"/>
                <w:sz w:val="21"/>
                <w:szCs w:val="21"/>
                <w:highlight w:val="none"/>
                <w:vertAlign w:val="baseline"/>
                <w:lang w:val="en-US" w:eastAsia="zh-CN"/>
              </w:rPr>
              <w:t>工作</w:t>
            </w:r>
            <w:r>
              <w:rPr>
                <w:rFonts w:hint="eastAsia" w:ascii="宋体" w:hAnsi="宋体" w:eastAsia="宋体" w:cs="宋体"/>
                <w:color w:val="auto"/>
                <w:sz w:val="21"/>
                <w:szCs w:val="21"/>
                <w:highlight w:val="none"/>
                <w:vertAlign w:val="baseline"/>
                <w:lang w:val="en-US" w:eastAsia="zh-Hans"/>
              </w:rPr>
              <w:t>事项</w:t>
            </w:r>
          </w:p>
        </w:tc>
        <w:tc>
          <w:tcPr>
            <w:tcW w:w="1380" w:type="dxa"/>
            <w:noWrap w:val="0"/>
            <w:vAlign w:val="center"/>
          </w:tcPr>
          <w:p w14:paraId="2C9F582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智慧平台模块位置</w:t>
            </w:r>
          </w:p>
        </w:tc>
        <w:tc>
          <w:tcPr>
            <w:tcW w:w="5052" w:type="dxa"/>
            <w:noWrap w:val="0"/>
            <w:vAlign w:val="center"/>
          </w:tcPr>
          <w:p w14:paraId="3802B3A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bidi="ar-SA"/>
              </w:rPr>
            </w:pPr>
            <w:r>
              <w:rPr>
                <w:rFonts w:hint="eastAsia" w:ascii="宋体" w:hAnsi="宋体" w:eastAsia="宋体" w:cs="宋体"/>
                <w:color w:val="auto"/>
                <w:sz w:val="21"/>
                <w:szCs w:val="21"/>
                <w:highlight w:val="none"/>
                <w:vertAlign w:val="baseline"/>
                <w:lang w:val="en-US" w:eastAsia="zh-Hans"/>
              </w:rPr>
              <w:t>注意事项</w:t>
            </w:r>
          </w:p>
        </w:tc>
        <w:tc>
          <w:tcPr>
            <w:tcW w:w="1640" w:type="dxa"/>
            <w:noWrap w:val="0"/>
            <w:vAlign w:val="center"/>
          </w:tcPr>
          <w:p w14:paraId="19863A9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闭环周期</w:t>
            </w:r>
          </w:p>
        </w:tc>
      </w:tr>
      <w:tr w14:paraId="2951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restart"/>
            <w:noWrap w:val="0"/>
            <w:vAlign w:val="center"/>
          </w:tcPr>
          <w:p w14:paraId="402D8A3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03259DE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2DB9047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39A07B0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288084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741D07F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281EECE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0C941E9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586825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2B3EECE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29F9230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5FC0684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39CBDF7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Hans"/>
              </w:rPr>
              <w:t>封闭</w:t>
            </w:r>
            <w:r>
              <w:rPr>
                <w:rFonts w:hint="eastAsia" w:ascii="宋体" w:hAnsi="宋体" w:eastAsia="宋体" w:cs="宋体"/>
                <w:color w:val="auto"/>
                <w:sz w:val="21"/>
                <w:szCs w:val="21"/>
                <w:highlight w:val="none"/>
                <w:vertAlign w:val="baseline"/>
                <w:lang w:val="en-US" w:eastAsia="zh-CN"/>
              </w:rPr>
              <w:t>化</w:t>
            </w:r>
          </w:p>
        </w:tc>
        <w:tc>
          <w:tcPr>
            <w:tcW w:w="1095" w:type="dxa"/>
            <w:noWrap w:val="0"/>
            <w:vAlign w:val="center"/>
          </w:tcPr>
          <w:p w14:paraId="205A1265">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r>
              <w:rPr>
                <w:rFonts w:hint="eastAsia" w:ascii="宋体" w:hAnsi="宋体" w:eastAsia="宋体" w:cs="宋体"/>
                <w:b w:val="0"/>
                <w:bCs w:val="0"/>
                <w:i w:val="0"/>
                <w:iCs w:val="0"/>
                <w:color w:val="auto"/>
                <w:sz w:val="21"/>
                <w:szCs w:val="21"/>
                <w:highlight w:val="none"/>
                <w:lang w:eastAsia="zh-Hans"/>
              </w:rPr>
              <w:t>1</w:t>
            </w:r>
            <w:r>
              <w:rPr>
                <w:rFonts w:hint="eastAsia" w:ascii="宋体" w:hAnsi="宋体" w:eastAsia="宋体" w:cs="宋体"/>
                <w:b w:val="0"/>
                <w:bCs w:val="0"/>
                <w:i w:val="0"/>
                <w:iCs w:val="0"/>
                <w:color w:val="auto"/>
                <w:sz w:val="21"/>
                <w:szCs w:val="21"/>
                <w:highlight w:val="none"/>
                <w:lang w:val="en-US" w:eastAsia="zh-Hans"/>
              </w:rPr>
              <w:t>.危险品车辆预约审核</w:t>
            </w:r>
          </w:p>
        </w:tc>
        <w:tc>
          <w:tcPr>
            <w:tcW w:w="1380" w:type="dxa"/>
            <w:noWrap w:val="0"/>
            <w:vAlign w:val="center"/>
          </w:tcPr>
          <w:p w14:paraId="1EA00A8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Hans"/>
              </w:rPr>
              <w:t>封闭园区</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实时位置管理</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运单预约管理</w:t>
            </w:r>
          </w:p>
        </w:tc>
        <w:tc>
          <w:tcPr>
            <w:tcW w:w="5052" w:type="dxa"/>
            <w:noWrap w:val="0"/>
            <w:vAlign w:val="center"/>
          </w:tcPr>
          <w:p w14:paraId="1B07AC60">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1. 审核周期：入园日期与电子运单上的日期审核有效期为5天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偏远地区如内蒙古、新疆的运单期限可放宽至8天内）</w:t>
            </w:r>
            <w:r>
              <w:rPr>
                <w:rFonts w:hint="eastAsia" w:ascii="宋体" w:hAnsi="宋体" w:eastAsia="宋体" w:cs="宋体"/>
                <w:color w:val="auto"/>
                <w:sz w:val="21"/>
                <w:szCs w:val="21"/>
                <w:highlight w:val="none"/>
                <w:lang w:eastAsia="zh-Hans"/>
              </w:rPr>
              <w:t>。工作要求：（1）当天同一张电子运单的预约只通过一次，</w:t>
            </w:r>
            <w:r>
              <w:rPr>
                <w:rFonts w:hint="eastAsia" w:ascii="宋体" w:hAnsi="宋体" w:eastAsia="宋体" w:cs="宋体"/>
                <w:color w:val="auto"/>
                <w:sz w:val="21"/>
                <w:szCs w:val="21"/>
                <w:highlight w:val="none"/>
                <w:lang w:val="en-US" w:eastAsia="zh-CN"/>
              </w:rPr>
              <w:t>不符合规定确需拒绝的应备注</w:t>
            </w:r>
            <w:r>
              <w:rPr>
                <w:rFonts w:hint="eastAsia" w:ascii="宋体" w:hAnsi="宋体" w:eastAsia="宋体" w:cs="宋体"/>
                <w:color w:val="auto"/>
                <w:sz w:val="21"/>
                <w:szCs w:val="21"/>
                <w:highlight w:val="none"/>
                <w:lang w:eastAsia="zh-Hans"/>
              </w:rPr>
              <w:t>原因（同一张订单无法在同一天进行重复预约）。（2）上传的电子运单需可以看见具体需审核的信息，如果不符合则拒绝此预约并写明原因（电子运单上传不清晰，需重新提交清晰的电子运单）。</w:t>
            </w:r>
          </w:p>
          <w:p w14:paraId="5E56C148">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2. 确认预约信息：车辆类型；车牌号码；挂车车牌；入园状态；危化品名称；装载量；驾驶员；驾驶员电话，un号码与提交的电子运单是否一致。工作要求： 如果其中信息核对有不一致的拒绝预约，且写明具体哪一项不一致。</w:t>
            </w:r>
          </w:p>
          <w:p w14:paraId="5791154E">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rPr>
              <w:t>3.督促危化品车辆驾驶员在装卸完成后在预约小程序中填写装载质量等信息。</w:t>
            </w:r>
          </w:p>
        </w:tc>
        <w:tc>
          <w:tcPr>
            <w:tcW w:w="1640" w:type="dxa"/>
            <w:noWrap w:val="0"/>
            <w:vAlign w:val="center"/>
          </w:tcPr>
          <w:p w14:paraId="71F1242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每班完成当班时间内企业提交的所有预约审核</w:t>
            </w:r>
          </w:p>
        </w:tc>
      </w:tr>
      <w:tr w14:paraId="5AD9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3DA4899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tc>
        <w:tc>
          <w:tcPr>
            <w:tcW w:w="1095" w:type="dxa"/>
            <w:shd w:val="clear" w:color="auto" w:fill="auto"/>
            <w:noWrap w:val="0"/>
            <w:vAlign w:val="center"/>
          </w:tcPr>
          <w:p w14:paraId="32C50F7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CN"/>
              </w:rPr>
              <w:t>危化车道巡查</w:t>
            </w:r>
          </w:p>
        </w:tc>
        <w:tc>
          <w:tcPr>
            <w:tcW w:w="1380" w:type="dxa"/>
            <w:shd w:val="clear" w:color="auto" w:fill="auto"/>
            <w:noWrap w:val="0"/>
            <w:vAlign w:val="center"/>
          </w:tcPr>
          <w:p w14:paraId="5205A2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vertAlign w:val="baseline"/>
                <w:lang w:val="en-US" w:eastAsia="zh-CN"/>
              </w:rPr>
              <w:t>海康视频-实时预览</w:t>
            </w:r>
          </w:p>
        </w:tc>
        <w:tc>
          <w:tcPr>
            <w:tcW w:w="5052" w:type="dxa"/>
            <w:shd w:val="clear" w:color="auto" w:fill="auto"/>
            <w:noWrap w:val="0"/>
            <w:vAlign w:val="center"/>
          </w:tcPr>
          <w:p w14:paraId="50815B5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lang w:val="en-US" w:eastAsia="zh-CN"/>
              </w:rPr>
              <w:t>视频巡检园区内车道，是否有危运车辆不按照危化车道行驶，发现后录入车辆违规（</w:t>
            </w:r>
            <w:r>
              <w:rPr>
                <w:rFonts w:hint="eastAsia" w:ascii="宋体" w:hAnsi="宋体" w:eastAsia="宋体" w:cs="宋体"/>
                <w:color w:val="auto"/>
                <w:sz w:val="21"/>
                <w:szCs w:val="21"/>
                <w:highlight w:val="none"/>
                <w:lang w:val="en-US" w:eastAsia="zh-Hans"/>
              </w:rPr>
              <w:t>需详细说明车辆的</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时间</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地点</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事件</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原因</w:t>
            </w:r>
            <w:r>
              <w:rPr>
                <w:rFonts w:hint="eastAsia" w:ascii="宋体" w:hAnsi="宋体" w:eastAsia="宋体" w:cs="宋体"/>
                <w:color w:val="auto"/>
                <w:sz w:val="21"/>
                <w:szCs w:val="21"/>
                <w:highlight w:val="none"/>
                <w:lang w:val="en-US" w:eastAsia="zh-CN"/>
              </w:rPr>
              <w:t>）并进行扣分，发短信通知司机。</w:t>
            </w:r>
          </w:p>
        </w:tc>
        <w:tc>
          <w:tcPr>
            <w:tcW w:w="1640" w:type="dxa"/>
            <w:shd w:val="clear" w:color="auto" w:fill="auto"/>
            <w:noWrap w:val="0"/>
            <w:vAlign w:val="center"/>
          </w:tcPr>
          <w:p w14:paraId="4CE072A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每2小时一次</w:t>
            </w:r>
          </w:p>
        </w:tc>
      </w:tr>
      <w:tr w14:paraId="3EC0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0BEEDD5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tc>
        <w:tc>
          <w:tcPr>
            <w:tcW w:w="1095" w:type="dxa"/>
            <w:shd w:val="clear" w:color="auto" w:fill="auto"/>
            <w:noWrap w:val="0"/>
            <w:vAlign w:val="center"/>
          </w:tcPr>
          <w:p w14:paraId="23AFA0E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3.危化车出入园记录抽查</w:t>
            </w:r>
          </w:p>
        </w:tc>
        <w:tc>
          <w:tcPr>
            <w:tcW w:w="1380" w:type="dxa"/>
            <w:shd w:val="clear" w:color="auto" w:fill="auto"/>
            <w:noWrap w:val="0"/>
            <w:vAlign w:val="center"/>
          </w:tcPr>
          <w:p w14:paraId="6993AD3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p>
        </w:tc>
        <w:tc>
          <w:tcPr>
            <w:tcW w:w="5052" w:type="dxa"/>
            <w:shd w:val="clear" w:color="auto" w:fill="auto"/>
            <w:noWrap w:val="0"/>
            <w:vAlign w:val="center"/>
          </w:tcPr>
          <w:p w14:paraId="52584689">
            <w:pPr>
              <w:keepNext w:val="0"/>
              <w:keepLines w:val="0"/>
              <w:numPr>
                <w:ilvl w:val="0"/>
                <w:numId w:val="0"/>
              </w:numPr>
              <w:suppressLineNumbers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夜班将对危化车出入园记录进行当日在园危化车抽查记录并对前一日出入园记录进行复核，核查出入园记录是否完整。</w:t>
            </w:r>
          </w:p>
        </w:tc>
        <w:tc>
          <w:tcPr>
            <w:tcW w:w="1640" w:type="dxa"/>
            <w:shd w:val="clear" w:color="auto" w:fill="auto"/>
            <w:noWrap w:val="0"/>
            <w:vAlign w:val="center"/>
          </w:tcPr>
          <w:p w14:paraId="177C92E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p>
        </w:tc>
      </w:tr>
      <w:tr w14:paraId="51628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1E518D6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noWrap w:val="0"/>
            <w:vAlign w:val="center"/>
          </w:tcPr>
          <w:p w14:paraId="4CAB7FE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rPr>
            </w:pPr>
            <w:r>
              <w:rPr>
                <w:rFonts w:hint="eastAsia" w:ascii="宋体" w:hAnsi="宋体" w:eastAsia="宋体" w:cs="宋体"/>
                <w:b w:val="0"/>
                <w:bCs w:val="0"/>
                <w:i w:val="0"/>
                <w:iCs w:val="0"/>
                <w:color w:val="auto"/>
                <w:sz w:val="21"/>
                <w:szCs w:val="21"/>
                <w:highlight w:val="none"/>
                <w:lang w:val="en-US" w:eastAsia="zh-CN"/>
              </w:rPr>
              <w:t>4</w:t>
            </w:r>
            <w:r>
              <w:rPr>
                <w:rFonts w:hint="eastAsia" w:ascii="宋体" w:hAnsi="宋体" w:eastAsia="宋体" w:cs="宋体"/>
                <w:b w:val="0"/>
                <w:bCs w:val="0"/>
                <w:i w:val="0"/>
                <w:iCs w:val="0"/>
                <w:color w:val="auto"/>
                <w:sz w:val="21"/>
                <w:szCs w:val="21"/>
                <w:highlight w:val="none"/>
                <w:lang w:val="en-US" w:eastAsia="zh-Hans"/>
              </w:rPr>
              <w:t>.</w:t>
            </w:r>
            <w:r>
              <w:rPr>
                <w:rFonts w:hint="eastAsia" w:ascii="宋体" w:hAnsi="宋体" w:eastAsia="宋体" w:cs="宋体"/>
                <w:color w:val="auto"/>
                <w:sz w:val="21"/>
                <w:szCs w:val="21"/>
                <w:highlight w:val="none"/>
                <w:lang w:val="en-US" w:eastAsia="zh-Hans"/>
              </w:rPr>
              <w:t>车辆</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管理</w:t>
            </w:r>
          </w:p>
          <w:p w14:paraId="623426E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380" w:type="dxa"/>
            <w:noWrap w:val="0"/>
            <w:vAlign w:val="center"/>
          </w:tcPr>
          <w:p w14:paraId="2C83ECF9">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Hans"/>
              </w:rPr>
              <w:t>封闭园区</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车辆</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管理</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车辆</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记录</w:t>
            </w:r>
          </w:p>
          <w:p w14:paraId="02B115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5052" w:type="dxa"/>
            <w:noWrap w:val="0"/>
            <w:vAlign w:val="center"/>
          </w:tcPr>
          <w:p w14:paraId="23C2500B">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Hans"/>
              </w:rPr>
              <w:t>1</w:t>
            </w:r>
            <w:r>
              <w:rPr>
                <w:rFonts w:hint="eastAsia" w:ascii="宋体" w:hAnsi="宋体" w:eastAsia="宋体" w:cs="宋体"/>
                <w:color w:val="auto"/>
                <w:sz w:val="21"/>
                <w:szCs w:val="21"/>
                <w:highlight w:val="none"/>
                <w:lang w:val="en-US" w:eastAsia="zh-Hans"/>
              </w:rPr>
              <w:t>.如同一辆车重复出现且其</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时间一致</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则审核扣分只通过一次</w:t>
            </w:r>
            <w:r>
              <w:rPr>
                <w:rFonts w:hint="eastAsia" w:ascii="宋体" w:hAnsi="宋体" w:eastAsia="宋体" w:cs="宋体"/>
                <w:color w:val="auto"/>
                <w:sz w:val="21"/>
                <w:szCs w:val="21"/>
                <w:highlight w:val="none"/>
                <w:lang w:val="en-US" w:eastAsia="zh-CN"/>
              </w:rPr>
              <w:t>。</w:t>
            </w:r>
          </w:p>
          <w:p w14:paraId="46565583">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eastAsia="zh-Hans"/>
              </w:rPr>
              <w:t>2</w:t>
            </w:r>
            <w:r>
              <w:rPr>
                <w:rFonts w:hint="eastAsia" w:ascii="宋体" w:hAnsi="宋体" w:eastAsia="宋体" w:cs="宋体"/>
                <w:color w:val="auto"/>
                <w:sz w:val="21"/>
                <w:szCs w:val="21"/>
                <w:highlight w:val="none"/>
                <w:lang w:val="en-US" w:eastAsia="zh-Hans"/>
              </w:rPr>
              <w:t>.卡口</w:t>
            </w:r>
            <w:r>
              <w:rPr>
                <w:rFonts w:hint="eastAsia" w:ascii="宋体" w:hAnsi="宋体" w:eastAsia="宋体" w:cs="宋体"/>
                <w:color w:val="auto"/>
                <w:sz w:val="21"/>
                <w:szCs w:val="21"/>
                <w:highlight w:val="none"/>
                <w:lang w:val="en-US" w:eastAsia="zh-CN"/>
              </w:rPr>
              <w:t>外</w:t>
            </w:r>
            <w:r>
              <w:rPr>
                <w:rFonts w:hint="eastAsia" w:ascii="宋体" w:hAnsi="宋体" w:eastAsia="宋体" w:cs="宋体"/>
                <w:color w:val="auto"/>
                <w:sz w:val="21"/>
                <w:szCs w:val="21"/>
                <w:highlight w:val="none"/>
                <w:lang w:val="en-US" w:eastAsia="zh-Hans"/>
              </w:rPr>
              <w:t>发现</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车辆</w:t>
            </w:r>
            <w:r>
              <w:rPr>
                <w:rFonts w:hint="eastAsia" w:ascii="宋体" w:hAnsi="宋体" w:eastAsia="宋体" w:cs="宋体"/>
                <w:color w:val="auto"/>
                <w:sz w:val="21"/>
                <w:szCs w:val="21"/>
                <w:highlight w:val="none"/>
                <w:lang w:val="en-US" w:eastAsia="zh-CN"/>
              </w:rPr>
              <w:t>，如堵卡，闯卡，交警转办等（园区内发现的由安保通过小程序自行添加违规记录）</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根据</w:t>
            </w:r>
            <w:r>
              <w:rPr>
                <w:rFonts w:hint="eastAsia" w:ascii="宋体" w:hAnsi="宋体" w:eastAsia="宋体" w:cs="宋体"/>
                <w:color w:val="auto"/>
                <w:sz w:val="21"/>
                <w:szCs w:val="21"/>
                <w:highlight w:val="none"/>
                <w:lang w:val="en-US" w:eastAsia="zh-CN"/>
              </w:rPr>
              <w:t>岗亭保安等反馈</w:t>
            </w:r>
            <w:r>
              <w:rPr>
                <w:rFonts w:hint="eastAsia" w:ascii="宋体" w:hAnsi="宋体" w:eastAsia="宋体" w:cs="宋体"/>
                <w:color w:val="auto"/>
                <w:sz w:val="21"/>
                <w:szCs w:val="21"/>
                <w:highlight w:val="none"/>
                <w:lang w:val="en-US" w:eastAsia="zh-Hans"/>
              </w:rPr>
              <w:t>的具体情况添加车辆</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记录</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添加</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车辆后</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需要在车辆</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短信里</w:t>
            </w:r>
            <w:r>
              <w:rPr>
                <w:rFonts w:hint="eastAsia" w:ascii="宋体" w:hAnsi="宋体" w:eastAsia="宋体" w:cs="宋体"/>
                <w:color w:val="auto"/>
                <w:sz w:val="21"/>
                <w:szCs w:val="21"/>
                <w:highlight w:val="none"/>
                <w:lang w:val="en-US" w:eastAsia="zh-CN"/>
              </w:rPr>
              <w:t>模块核查短信发送详情</w:t>
            </w:r>
            <w:r>
              <w:rPr>
                <w:rFonts w:hint="eastAsia" w:ascii="宋体" w:hAnsi="宋体" w:eastAsia="宋体" w:cs="宋体"/>
                <w:color w:val="auto"/>
                <w:sz w:val="21"/>
                <w:szCs w:val="21"/>
                <w:highlight w:val="none"/>
                <w:lang w:eastAsia="zh-Hans"/>
              </w:rPr>
              <w:t>。</w:t>
            </w:r>
          </w:p>
        </w:tc>
        <w:tc>
          <w:tcPr>
            <w:tcW w:w="1640" w:type="dxa"/>
            <w:noWrap w:val="0"/>
            <w:vAlign w:val="center"/>
          </w:tcPr>
          <w:p w14:paraId="3D073E6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r>
              <w:rPr>
                <w:rFonts w:hint="eastAsia" w:ascii="宋体" w:hAnsi="宋体" w:eastAsia="宋体" w:cs="宋体"/>
                <w:color w:val="auto"/>
                <w:sz w:val="21"/>
                <w:szCs w:val="21"/>
                <w:highlight w:val="none"/>
                <w:vertAlign w:val="baseline"/>
                <w:lang w:val="en-US" w:eastAsia="zh-Hans"/>
              </w:rPr>
              <w:t>实时</w:t>
            </w:r>
          </w:p>
        </w:tc>
      </w:tr>
      <w:tr w14:paraId="0DDE3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3BBF17B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noWrap w:val="0"/>
            <w:vAlign w:val="center"/>
          </w:tcPr>
          <w:p w14:paraId="701BCF6B">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vertAlign w:val="baseline"/>
                <w:lang w:val="en-US" w:eastAsia="zh-CN"/>
              </w:rPr>
              <w:t>5</w:t>
            </w:r>
            <w:r>
              <w:rPr>
                <w:rFonts w:hint="eastAsia" w:ascii="宋体" w:hAnsi="宋体" w:eastAsia="宋体" w:cs="宋体"/>
                <w:color w:val="auto"/>
                <w:sz w:val="21"/>
                <w:szCs w:val="21"/>
                <w:highlight w:val="none"/>
                <w:vertAlign w:val="baseline"/>
                <w:lang w:val="en-US" w:eastAsia="zh-Hans"/>
              </w:rPr>
              <w:t>.</w:t>
            </w:r>
            <w:r>
              <w:rPr>
                <w:rFonts w:hint="eastAsia" w:ascii="宋体" w:hAnsi="宋体" w:eastAsia="宋体" w:cs="宋体"/>
                <w:color w:val="auto"/>
                <w:sz w:val="21"/>
                <w:szCs w:val="21"/>
                <w:highlight w:val="none"/>
                <w:vertAlign w:val="baseline"/>
                <w:lang w:eastAsia="zh-Hans"/>
              </w:rPr>
              <w:t xml:space="preserve"> </w:t>
            </w:r>
            <w:r>
              <w:rPr>
                <w:rFonts w:hint="eastAsia" w:ascii="宋体" w:hAnsi="宋体" w:eastAsia="宋体" w:cs="宋体"/>
                <w:color w:val="auto"/>
                <w:sz w:val="21"/>
                <w:szCs w:val="21"/>
                <w:highlight w:val="none"/>
                <w:lang w:val="en-US" w:eastAsia="zh-Hans"/>
              </w:rPr>
              <w:t>车辆黑名单</w:t>
            </w:r>
          </w:p>
          <w:p w14:paraId="22FA358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380" w:type="dxa"/>
            <w:noWrap w:val="0"/>
            <w:vAlign w:val="center"/>
          </w:tcPr>
          <w:p w14:paraId="29D16515">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Hans"/>
              </w:rPr>
              <w:t>封闭园区</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车辆</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管理</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车辆黑名单</w:t>
            </w:r>
          </w:p>
          <w:p w14:paraId="6E6D42A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5052" w:type="dxa"/>
            <w:noWrap w:val="0"/>
            <w:vAlign w:val="center"/>
          </w:tcPr>
          <w:p w14:paraId="74C004B7">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1</w:t>
            </w:r>
            <w:r>
              <w:rPr>
                <w:rFonts w:hint="eastAsia" w:ascii="宋体" w:hAnsi="宋体" w:eastAsia="宋体" w:cs="宋体"/>
                <w:color w:val="auto"/>
                <w:sz w:val="21"/>
                <w:szCs w:val="21"/>
                <w:highlight w:val="none"/>
                <w:lang w:val="en-US" w:eastAsia="zh-Hans"/>
              </w:rPr>
              <w:t>.如</w:t>
            </w:r>
            <w:r>
              <w:rPr>
                <w:rFonts w:hint="eastAsia" w:ascii="宋体" w:hAnsi="宋体" w:eastAsia="宋体" w:cs="宋体"/>
                <w:color w:val="auto"/>
                <w:sz w:val="21"/>
                <w:szCs w:val="21"/>
                <w:highlight w:val="none"/>
                <w:lang w:val="en-US" w:eastAsia="zh-CN"/>
              </w:rPr>
              <w:t>有严重违反园区相关管理规定</w:t>
            </w:r>
            <w:r>
              <w:rPr>
                <w:rFonts w:hint="eastAsia" w:ascii="宋体" w:hAnsi="宋体" w:eastAsia="宋体" w:cs="宋体"/>
                <w:color w:val="auto"/>
                <w:sz w:val="21"/>
                <w:szCs w:val="21"/>
                <w:highlight w:val="none"/>
                <w:lang w:val="en-US" w:eastAsia="zh-Hans"/>
              </w:rPr>
              <w:t>需直接拉黑车辆的情况</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直接在车辆黑名单里添加</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需详细说明车辆的</w:t>
            </w:r>
            <w:r>
              <w:rPr>
                <w:rFonts w:hint="eastAsia" w:ascii="宋体" w:hAnsi="宋体" w:eastAsia="宋体" w:cs="宋体"/>
                <w:color w:val="auto"/>
                <w:sz w:val="21"/>
                <w:szCs w:val="21"/>
                <w:highlight w:val="none"/>
                <w:lang w:val="en-US" w:eastAsia="zh-CN"/>
              </w:rPr>
              <w:t>违规</w:t>
            </w:r>
            <w:r>
              <w:rPr>
                <w:rFonts w:hint="eastAsia" w:ascii="宋体" w:hAnsi="宋体" w:eastAsia="宋体" w:cs="宋体"/>
                <w:color w:val="auto"/>
                <w:sz w:val="21"/>
                <w:szCs w:val="21"/>
                <w:highlight w:val="none"/>
                <w:lang w:val="en-US" w:eastAsia="zh-Hans"/>
              </w:rPr>
              <w:t>时间</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地点</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事件</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原因</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拉黑时间为</w:t>
            </w:r>
            <w:r>
              <w:rPr>
                <w:rFonts w:hint="eastAsia" w:ascii="宋体" w:hAnsi="宋体" w:eastAsia="宋体" w:cs="宋体"/>
                <w:color w:val="auto"/>
                <w:sz w:val="21"/>
                <w:szCs w:val="21"/>
                <w:highlight w:val="none"/>
                <w:lang w:eastAsia="zh-Hans"/>
              </w:rPr>
              <w:t>1</w:t>
            </w:r>
            <w:r>
              <w:rPr>
                <w:rFonts w:hint="eastAsia" w:ascii="宋体" w:hAnsi="宋体" w:eastAsia="宋体" w:cs="宋体"/>
                <w:color w:val="auto"/>
                <w:sz w:val="21"/>
                <w:szCs w:val="21"/>
                <w:highlight w:val="none"/>
                <w:lang w:val="en-US" w:eastAsia="zh-Hans"/>
              </w:rPr>
              <w:t>年</w:t>
            </w:r>
            <w:r>
              <w:rPr>
                <w:rFonts w:hint="eastAsia" w:ascii="宋体" w:hAnsi="宋体" w:eastAsia="宋体" w:cs="宋体"/>
                <w:color w:val="auto"/>
                <w:sz w:val="21"/>
                <w:szCs w:val="21"/>
                <w:highlight w:val="none"/>
                <w:lang w:eastAsia="zh-Hans"/>
              </w:rPr>
              <w:t>。</w:t>
            </w:r>
          </w:p>
          <w:p w14:paraId="671540F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eastAsia="zh-Hans"/>
              </w:rPr>
              <w:t>2</w:t>
            </w:r>
            <w:r>
              <w:rPr>
                <w:rFonts w:hint="eastAsia" w:ascii="宋体" w:hAnsi="宋体" w:eastAsia="宋体" w:cs="宋体"/>
                <w:color w:val="auto"/>
                <w:sz w:val="21"/>
                <w:szCs w:val="21"/>
                <w:highlight w:val="none"/>
                <w:lang w:val="en-US" w:eastAsia="zh-Hans"/>
              </w:rPr>
              <w:t>.解除拉黑</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CN"/>
              </w:rPr>
              <w:t>次月可在小程序线上或线下（前台）</w:t>
            </w:r>
            <w:r>
              <w:rPr>
                <w:rFonts w:hint="eastAsia" w:ascii="宋体" w:hAnsi="宋体" w:eastAsia="宋体" w:cs="宋体"/>
                <w:color w:val="auto"/>
                <w:sz w:val="21"/>
                <w:szCs w:val="21"/>
                <w:highlight w:val="none"/>
                <w:lang w:val="en-US" w:eastAsia="zh-Hans"/>
              </w:rPr>
              <w:t>进行解除拉黑考试</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考试通过即可解除黑名单</w:t>
            </w:r>
            <w:r>
              <w:rPr>
                <w:rFonts w:hint="eastAsia" w:ascii="宋体" w:hAnsi="宋体" w:eastAsia="宋体" w:cs="宋体"/>
                <w:color w:val="auto"/>
                <w:sz w:val="21"/>
                <w:szCs w:val="21"/>
                <w:highlight w:val="none"/>
                <w:lang w:eastAsia="zh-Hans"/>
              </w:rPr>
              <w:t>。</w:t>
            </w:r>
          </w:p>
        </w:tc>
        <w:tc>
          <w:tcPr>
            <w:tcW w:w="1640" w:type="dxa"/>
            <w:noWrap w:val="0"/>
            <w:vAlign w:val="center"/>
          </w:tcPr>
          <w:p w14:paraId="3BD69CE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r>
              <w:rPr>
                <w:rFonts w:hint="eastAsia" w:ascii="宋体" w:hAnsi="宋体" w:eastAsia="宋体" w:cs="宋体"/>
                <w:color w:val="auto"/>
                <w:sz w:val="21"/>
                <w:szCs w:val="21"/>
                <w:highlight w:val="none"/>
                <w:vertAlign w:val="baseline"/>
                <w:lang w:val="en-US" w:eastAsia="zh-Hans"/>
              </w:rPr>
              <w:t>实时</w:t>
            </w:r>
          </w:p>
        </w:tc>
      </w:tr>
      <w:tr w14:paraId="00417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745EA8A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noWrap w:val="0"/>
            <w:vAlign w:val="center"/>
          </w:tcPr>
          <w:p w14:paraId="1E0080A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6.园区企业人脸和车辆权限录入</w:t>
            </w:r>
          </w:p>
        </w:tc>
        <w:tc>
          <w:tcPr>
            <w:tcW w:w="1380" w:type="dxa"/>
            <w:noWrap w:val="0"/>
            <w:vAlign w:val="center"/>
          </w:tcPr>
          <w:p w14:paraId="4DD216B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智慧平台-封闭园区-园区白名单-车辆权限录入</w:t>
            </w:r>
          </w:p>
          <w:p w14:paraId="75B6F4E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综合安防管理平台-人脸权限录入</w:t>
            </w:r>
          </w:p>
        </w:tc>
        <w:tc>
          <w:tcPr>
            <w:tcW w:w="5052" w:type="dxa"/>
            <w:noWrap w:val="0"/>
            <w:vAlign w:val="center"/>
          </w:tcPr>
          <w:p w14:paraId="735B67E3">
            <w:pPr>
              <w:keepNext w:val="0"/>
              <w:keepLines w:val="0"/>
              <w:numPr>
                <w:ilvl w:val="0"/>
                <w:numId w:val="0"/>
              </w:numPr>
              <w:suppressLineNumbers w:val="0"/>
              <w:spacing w:before="0" w:beforeAutospacing="0" w:after="0" w:afterAutospacing="0" w:line="360" w:lineRule="auto"/>
              <w:ind w:left="0" w:right="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1.园区企业根据人脸汇总表、车辆汇总表填写报备人脸车辆信息，并发送excel版及pdf盖章版人脸车辆总汇表、人脸照片至运维邮箱。</w:t>
            </w:r>
            <w:r>
              <w:rPr>
                <w:rFonts w:hint="eastAsia" w:ascii="宋体" w:hAnsi="宋体" w:cs="宋体"/>
                <w:color w:val="auto"/>
                <w:sz w:val="21"/>
                <w:szCs w:val="21"/>
                <w:highlight w:val="none"/>
                <w:lang w:val="en-US" w:eastAsia="zh-CN"/>
              </w:rPr>
              <w:t>园区企业第三方根据相关合同及时予以录入，最长期限为合同期限。</w:t>
            </w:r>
          </w:p>
          <w:p w14:paraId="00D179DE">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2.运维人员根据邮件核对确认文件后，将企业报备需新增信息录入系统，并下发权限</w:t>
            </w:r>
            <w:r>
              <w:rPr>
                <w:rFonts w:hint="eastAsia" w:ascii="宋体" w:hAnsi="宋体" w:cs="宋体"/>
                <w:color w:val="auto"/>
                <w:sz w:val="21"/>
                <w:szCs w:val="21"/>
                <w:highlight w:val="none"/>
                <w:lang w:val="en-US" w:eastAsia="zh-CN"/>
              </w:rPr>
              <w:t>，确保进出权限始终为最新状态并及时更新。</w:t>
            </w:r>
          </w:p>
          <w:p w14:paraId="4E72ED60">
            <w:pPr>
              <w:keepNext w:val="0"/>
              <w:keepLines w:val="0"/>
              <w:numPr>
                <w:ilvl w:val="0"/>
                <w:numId w:val="0"/>
              </w:numPr>
              <w:suppressLineNumbers w:val="0"/>
              <w:spacing w:before="0" w:beforeAutospacing="0" w:after="0" w:afterAutospacing="0" w:line="360" w:lineRule="auto"/>
              <w:ind w:left="0" w:right="0"/>
              <w:jc w:val="left"/>
              <w:rPr>
                <w:rFonts w:hint="default"/>
                <w:color w:val="auto"/>
                <w:highlight w:val="none"/>
                <w:lang w:val="en-US" w:eastAsia="zh-CN"/>
              </w:rPr>
            </w:pPr>
            <w:r>
              <w:rPr>
                <w:rFonts w:hint="eastAsia" w:ascii="宋体" w:hAnsi="宋体" w:cs="宋体"/>
                <w:color w:val="auto"/>
                <w:sz w:val="21"/>
                <w:szCs w:val="21"/>
                <w:highlight w:val="none"/>
                <w:lang w:val="en-US" w:eastAsia="zh-CN"/>
              </w:rPr>
              <w:t>3.公职（公务）人员人脸录入，根据化工园区办通知及时录入。</w:t>
            </w:r>
          </w:p>
        </w:tc>
        <w:tc>
          <w:tcPr>
            <w:tcW w:w="1640" w:type="dxa"/>
            <w:noWrap w:val="0"/>
            <w:vAlign w:val="center"/>
          </w:tcPr>
          <w:p w14:paraId="74BEE41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tc>
      </w:tr>
      <w:tr w14:paraId="76E98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2F45C8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noWrap w:val="0"/>
            <w:vAlign w:val="center"/>
          </w:tcPr>
          <w:p w14:paraId="7D81F77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7.企业借道事宜</w:t>
            </w:r>
          </w:p>
        </w:tc>
        <w:tc>
          <w:tcPr>
            <w:tcW w:w="1380" w:type="dxa"/>
            <w:noWrap w:val="0"/>
            <w:vAlign w:val="center"/>
          </w:tcPr>
          <w:p w14:paraId="10F79DE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因龙江路施工、水系工程施工等确需借道的</w:t>
            </w:r>
          </w:p>
        </w:tc>
        <w:tc>
          <w:tcPr>
            <w:tcW w:w="5052" w:type="dxa"/>
            <w:noWrap w:val="0"/>
            <w:vAlign w:val="center"/>
          </w:tcPr>
          <w:p w14:paraId="1AD4C70A">
            <w:pPr>
              <w:keepNext w:val="0"/>
              <w:keepLines w:val="0"/>
              <w:numPr>
                <w:ilvl w:val="0"/>
                <w:numId w:val="5"/>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普货车辆借道：审批通过的“借道”企业申请情况说明和“借道”承诺书，在“化工园区借道企业专业群”中按照以下临时货车预约格式报备：如车牌号【苏XXXXXX】，需要预约时间【X月X日-X月X日】，【XXXXX公司】普通运输车辆临时预约，运输物质【XXXX】，驾驶员姓名【XXXX】，驾驶员电话【XXXX】，车内人数【XXXX】。当班人员将通知</w:t>
            </w:r>
            <w:r>
              <w:rPr>
                <w:rFonts w:hint="eastAsia" w:ascii="宋体" w:hAnsi="宋体" w:cs="宋体"/>
                <w:color w:val="auto"/>
                <w:sz w:val="21"/>
                <w:szCs w:val="21"/>
                <w:highlight w:val="none"/>
                <w:lang w:val="en-US" w:eastAsia="zh-CN"/>
              </w:rPr>
              <w:t>岗亭保安</w:t>
            </w:r>
            <w:r>
              <w:rPr>
                <w:rFonts w:hint="eastAsia" w:ascii="宋体" w:hAnsi="宋体" w:eastAsia="宋体" w:cs="宋体"/>
                <w:color w:val="auto"/>
                <w:sz w:val="21"/>
                <w:szCs w:val="21"/>
                <w:highlight w:val="none"/>
                <w:lang w:val="en-US" w:eastAsia="zh-CN"/>
              </w:rPr>
              <w:t>予以协调。</w:t>
            </w:r>
          </w:p>
          <w:p w14:paraId="04579BE9">
            <w:pPr>
              <w:keepNext w:val="0"/>
              <w:keepLines w:val="0"/>
              <w:numPr>
                <w:ilvl w:val="0"/>
                <w:numId w:val="5"/>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危运车辆借道：原则上不允许危运车辆借道。</w:t>
            </w:r>
          </w:p>
        </w:tc>
        <w:tc>
          <w:tcPr>
            <w:tcW w:w="1640" w:type="dxa"/>
            <w:noWrap w:val="0"/>
            <w:vAlign w:val="center"/>
          </w:tcPr>
          <w:p w14:paraId="359A416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p>
        </w:tc>
      </w:tr>
      <w:tr w14:paraId="65B3C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56166D9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noWrap w:val="0"/>
            <w:vAlign w:val="center"/>
          </w:tcPr>
          <w:p w14:paraId="4DFB12F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8.园区企业特殊车辆入园事宜</w:t>
            </w:r>
          </w:p>
        </w:tc>
        <w:tc>
          <w:tcPr>
            <w:tcW w:w="1380" w:type="dxa"/>
            <w:noWrap w:val="0"/>
            <w:vAlign w:val="center"/>
          </w:tcPr>
          <w:p w14:paraId="1060E6D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p>
        </w:tc>
        <w:tc>
          <w:tcPr>
            <w:tcW w:w="5052" w:type="dxa"/>
            <w:noWrap w:val="0"/>
            <w:vAlign w:val="center"/>
          </w:tcPr>
          <w:p w14:paraId="36CB18AA">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港区（浮桥）对木材管控要求和化工园区对特殊车辆管控要求，区内企业如涉及木托盘、木材等特殊车辆（废纸、泡沫、保温材料等）入园，需要提前提交相关资料，需填《特殊车辆出入园情况说明》，文件需加盖企业公章或者部门章并发送至运维邮箱或者私发给运维服务中心微信，并将纸质文件递交至运维中心，由运维中心初审后提交园区办审核。后续可根据实际情况为企业提供便利服务，简化操作。</w:t>
            </w:r>
          </w:p>
          <w:p w14:paraId="085AF6D7">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资料提交并审核通过后的园区相关企业，可提前发送车辆信息至园区综合管理群沟通，运维将协调车辆正常通行。</w:t>
            </w:r>
          </w:p>
        </w:tc>
        <w:tc>
          <w:tcPr>
            <w:tcW w:w="1640" w:type="dxa"/>
            <w:noWrap w:val="0"/>
            <w:vAlign w:val="center"/>
          </w:tcPr>
          <w:p w14:paraId="10C3B42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p>
        </w:tc>
      </w:tr>
      <w:tr w14:paraId="46D1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1F4C133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672A5B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视频AI分析（中控室检查）</w:t>
            </w:r>
          </w:p>
        </w:tc>
        <w:tc>
          <w:tcPr>
            <w:tcW w:w="1380" w:type="dxa"/>
            <w:shd w:val="clear" w:color="auto" w:fill="auto"/>
            <w:noWrap w:val="0"/>
            <w:vAlign w:val="center"/>
          </w:tcPr>
          <w:p w14:paraId="7D4CB8B5">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rPr>
              <w:t>封闭园区</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视频</w:t>
            </w:r>
            <w:r>
              <w:rPr>
                <w:rFonts w:hint="eastAsia" w:ascii="宋体" w:hAnsi="宋体" w:eastAsia="宋体" w:cs="宋体"/>
                <w:color w:val="auto"/>
                <w:sz w:val="21"/>
                <w:szCs w:val="21"/>
                <w:highlight w:val="none"/>
                <w:lang w:eastAsia="zh-Hans"/>
              </w:rPr>
              <w:t>AI</w:t>
            </w:r>
            <w:r>
              <w:rPr>
                <w:rFonts w:hint="eastAsia" w:ascii="宋体" w:hAnsi="宋体" w:eastAsia="宋体" w:cs="宋体"/>
                <w:color w:val="auto"/>
                <w:sz w:val="21"/>
                <w:szCs w:val="21"/>
                <w:highlight w:val="none"/>
                <w:lang w:val="en-US" w:eastAsia="zh-Hans"/>
              </w:rPr>
              <w:t>分析</w:t>
            </w:r>
          </w:p>
          <w:p w14:paraId="688224F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p>
        </w:tc>
        <w:tc>
          <w:tcPr>
            <w:tcW w:w="5052" w:type="dxa"/>
            <w:shd w:val="clear" w:color="auto" w:fill="auto"/>
            <w:noWrap w:val="0"/>
            <w:vAlign w:val="center"/>
          </w:tcPr>
          <w:p w14:paraId="2FEB58DA">
            <w:pPr>
              <w:keepNext w:val="0"/>
              <w:keepLines w:val="0"/>
              <w:numPr>
                <w:ilvl w:val="0"/>
                <w:numId w:val="6"/>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rPr>
              <w:t>抽查企业中控室岗位人员有无违反规定</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如有睡觉</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玩手机</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离岗等情况</w:t>
            </w:r>
            <w:r>
              <w:rPr>
                <w:rFonts w:hint="eastAsia" w:ascii="宋体" w:hAnsi="宋体" w:eastAsia="宋体" w:cs="宋体"/>
                <w:color w:val="auto"/>
                <w:sz w:val="21"/>
                <w:szCs w:val="21"/>
                <w:highlight w:val="none"/>
                <w:lang w:eastAsia="zh-Hans"/>
              </w:rPr>
              <w:t>。</w:t>
            </w:r>
          </w:p>
          <w:p w14:paraId="18B67D51">
            <w:pPr>
              <w:keepNext w:val="0"/>
              <w:keepLines w:val="0"/>
              <w:numPr>
                <w:ilvl w:val="0"/>
                <w:numId w:val="6"/>
              </w:numPr>
              <w:suppressLineNumbers w:val="0"/>
              <w:spacing w:before="0" w:beforeAutospacing="0" w:after="0" w:afterAutospacing="0" w:line="360" w:lineRule="auto"/>
              <w:ind w:left="0" w:right="0" w:firstLine="0"/>
              <w:jc w:val="left"/>
              <w:rPr>
                <w:rFonts w:hint="eastAsia"/>
                <w:color w:val="auto"/>
                <w:highlight w:val="none"/>
                <w:lang w:val="en-US" w:eastAsia="zh-CN"/>
              </w:rPr>
            </w:pPr>
            <w:r>
              <w:rPr>
                <w:rFonts w:hint="eastAsia" w:ascii="宋体" w:hAnsi="宋体" w:eastAsia="宋体" w:cs="宋体"/>
                <w:color w:val="auto"/>
                <w:sz w:val="21"/>
                <w:szCs w:val="21"/>
                <w:highlight w:val="none"/>
                <w:lang w:val="en-US" w:eastAsia="zh-Hans"/>
              </w:rPr>
              <w:t>如发现异常情况通知企业安全负责人并记录在中控室抽查表中</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每</w:t>
            </w:r>
            <w:r>
              <w:rPr>
                <w:rFonts w:hint="eastAsia" w:ascii="宋体" w:hAnsi="宋体" w:eastAsia="宋体" w:cs="宋体"/>
                <w:color w:val="auto"/>
                <w:sz w:val="21"/>
                <w:szCs w:val="21"/>
                <w:highlight w:val="none"/>
                <w:lang w:eastAsia="zh-Hans"/>
              </w:rPr>
              <w:t>2</w:t>
            </w:r>
            <w:r>
              <w:rPr>
                <w:rFonts w:hint="eastAsia" w:ascii="宋体" w:hAnsi="宋体" w:eastAsia="宋体" w:cs="宋体"/>
                <w:color w:val="auto"/>
                <w:sz w:val="21"/>
                <w:szCs w:val="21"/>
                <w:highlight w:val="none"/>
                <w:lang w:val="en-US" w:eastAsia="zh-Hans"/>
              </w:rPr>
              <w:t>个小时抽查一次</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eastAsia="zh-CN"/>
              </w:rPr>
              <w:t>。</w:t>
            </w:r>
          </w:p>
        </w:tc>
        <w:tc>
          <w:tcPr>
            <w:tcW w:w="1640" w:type="dxa"/>
            <w:shd w:val="clear" w:color="auto" w:fill="auto"/>
            <w:noWrap w:val="0"/>
            <w:vAlign w:val="center"/>
          </w:tcPr>
          <w:p w14:paraId="6DAD3B4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rPr>
              <w:t>2</w:t>
            </w:r>
            <w:r>
              <w:rPr>
                <w:rFonts w:hint="eastAsia" w:ascii="宋体" w:hAnsi="宋体" w:eastAsia="宋体" w:cs="宋体"/>
                <w:color w:val="auto"/>
                <w:sz w:val="21"/>
                <w:szCs w:val="21"/>
                <w:highlight w:val="none"/>
                <w:vertAlign w:val="baseline"/>
                <w:lang w:val="en-US" w:eastAsia="zh-Hans"/>
              </w:rPr>
              <w:t>个小时抽查一次</w:t>
            </w:r>
          </w:p>
        </w:tc>
      </w:tr>
      <w:tr w14:paraId="4B132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1ADCD89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09317F4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应急卡口报警和巡查</w:t>
            </w:r>
          </w:p>
        </w:tc>
        <w:tc>
          <w:tcPr>
            <w:tcW w:w="1380" w:type="dxa"/>
            <w:shd w:val="clear" w:color="auto" w:fill="auto"/>
            <w:noWrap w:val="0"/>
            <w:vAlign w:val="center"/>
          </w:tcPr>
          <w:p w14:paraId="71A5184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vertAlign w:val="baseline"/>
                <w:lang w:val="en-US" w:eastAsia="zh-CN"/>
              </w:rPr>
              <w:t>海康视频-事件检索</w:t>
            </w:r>
          </w:p>
        </w:tc>
        <w:tc>
          <w:tcPr>
            <w:tcW w:w="5052" w:type="dxa"/>
            <w:shd w:val="clear" w:color="auto" w:fill="auto"/>
            <w:noWrap w:val="0"/>
            <w:vAlign w:val="center"/>
          </w:tcPr>
          <w:p w14:paraId="05D782C8">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Hans"/>
              </w:rPr>
              <w:t>1.当应急卡口检测到有人/物入侵即会生成声光报警，检查及监控界面是否有人/物入侵防区或堵塞在卡口附近不离开，如果有，使用桌面的扩呼喇叭对现场进行劝离：“此为应急卡口，请立即离开”或“禁止翻越园区围墙”。</w:t>
            </w:r>
          </w:p>
          <w:p w14:paraId="2E7DEBA2">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Hans"/>
              </w:rPr>
              <w:t>2.如果对方拒绝离开，在警告无效后通知园区巡查</w:t>
            </w:r>
            <w:r>
              <w:rPr>
                <w:rFonts w:hint="eastAsia" w:ascii="宋体" w:hAnsi="宋体" w:cs="宋体"/>
                <w:color w:val="auto"/>
                <w:sz w:val="21"/>
                <w:szCs w:val="21"/>
                <w:highlight w:val="none"/>
                <w:lang w:val="en-US" w:eastAsia="zh-CN"/>
              </w:rPr>
              <w:t>安保人员</w:t>
            </w:r>
            <w:r>
              <w:rPr>
                <w:rFonts w:hint="eastAsia" w:ascii="宋体" w:hAnsi="宋体" w:eastAsia="宋体" w:cs="宋体"/>
                <w:color w:val="auto"/>
                <w:sz w:val="21"/>
                <w:szCs w:val="21"/>
                <w:highlight w:val="none"/>
                <w:lang w:val="en-US" w:eastAsia="zh-Hans"/>
              </w:rPr>
              <w:t>前往现场驱赶。</w:t>
            </w:r>
          </w:p>
          <w:p w14:paraId="5CEE78A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Hans"/>
              </w:rPr>
              <w:t>3.若依旧无法劝离，汇报综合科做报警处理。</w:t>
            </w:r>
          </w:p>
          <w:p w14:paraId="77680C6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lang w:val="en-US" w:eastAsia="zh-Hans"/>
              </w:rPr>
              <w:t>4.所有的卡口发生特殊情况：如司机堵卡、设备无法使用（联系维保单位），第一时间通知综合科。</w:t>
            </w:r>
          </w:p>
        </w:tc>
        <w:tc>
          <w:tcPr>
            <w:tcW w:w="1640" w:type="dxa"/>
            <w:shd w:val="clear" w:color="auto" w:fill="auto"/>
            <w:noWrap w:val="0"/>
            <w:vAlign w:val="center"/>
          </w:tcPr>
          <w:p w14:paraId="0432D75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Hans"/>
              </w:rPr>
              <w:t>实时</w:t>
            </w:r>
          </w:p>
        </w:tc>
      </w:tr>
      <w:tr w14:paraId="3BE1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7F00A88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39B954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周界</w:t>
            </w:r>
            <w:r>
              <w:rPr>
                <w:rFonts w:hint="eastAsia" w:ascii="宋体" w:hAnsi="宋体" w:eastAsia="宋体" w:cs="宋体"/>
                <w:color w:val="auto"/>
                <w:sz w:val="21"/>
                <w:szCs w:val="21"/>
                <w:highlight w:val="none"/>
                <w:lang w:val="en-US" w:eastAsia="zh-CN"/>
              </w:rPr>
              <w:t>巡查</w:t>
            </w:r>
          </w:p>
        </w:tc>
        <w:tc>
          <w:tcPr>
            <w:tcW w:w="1380" w:type="dxa"/>
            <w:shd w:val="clear" w:color="auto" w:fill="auto"/>
            <w:noWrap w:val="0"/>
            <w:vAlign w:val="center"/>
          </w:tcPr>
          <w:p w14:paraId="4553F0E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vertAlign w:val="baseline"/>
                <w:lang w:val="en-US" w:eastAsia="zh-CN"/>
              </w:rPr>
              <w:t>海康视频-实时预览-太仓市-太仓港区-东，西区监控</w:t>
            </w:r>
          </w:p>
        </w:tc>
        <w:tc>
          <w:tcPr>
            <w:tcW w:w="5052" w:type="dxa"/>
            <w:shd w:val="clear" w:color="auto" w:fill="auto"/>
            <w:noWrap w:val="0"/>
            <w:vAlign w:val="center"/>
          </w:tcPr>
          <w:p w14:paraId="288F1CC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lang w:eastAsia="zh-Hans"/>
              </w:rPr>
              <w:t>依据“化工园区监控周界每日巡检表”要求，对表格上的监控周界点位进行巡检，如有光缆，围网，围墙等破损，监控镜头被遮挡或摄像头离线等异常情况，录入巡检表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Hans"/>
              </w:rPr>
              <w:t>并联系维保进行现场查看</w:t>
            </w:r>
            <w:r>
              <w:rPr>
                <w:rFonts w:hint="eastAsia" w:ascii="宋体" w:hAnsi="宋体" w:eastAsia="宋体" w:cs="宋体"/>
                <w:color w:val="auto"/>
                <w:sz w:val="21"/>
                <w:szCs w:val="21"/>
                <w:highlight w:val="none"/>
                <w:lang w:eastAsia="zh-CN"/>
              </w:rPr>
              <w:t>。</w:t>
            </w:r>
          </w:p>
        </w:tc>
        <w:tc>
          <w:tcPr>
            <w:tcW w:w="1640" w:type="dxa"/>
            <w:shd w:val="clear" w:color="auto" w:fill="auto"/>
            <w:noWrap w:val="0"/>
            <w:vAlign w:val="center"/>
          </w:tcPr>
          <w:p w14:paraId="27F7198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每日一次</w:t>
            </w:r>
          </w:p>
        </w:tc>
      </w:tr>
      <w:tr w14:paraId="37B0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283F4D0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785E39A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周界报警</w:t>
            </w:r>
          </w:p>
        </w:tc>
        <w:tc>
          <w:tcPr>
            <w:tcW w:w="1380" w:type="dxa"/>
            <w:shd w:val="clear" w:color="auto" w:fill="auto"/>
            <w:noWrap w:val="0"/>
            <w:vAlign w:val="center"/>
          </w:tcPr>
          <w:p w14:paraId="3A445EC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Hans"/>
              </w:rPr>
              <w:t>封闭园区</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智能预警管控</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周界报警记录</w:t>
            </w:r>
          </w:p>
        </w:tc>
        <w:tc>
          <w:tcPr>
            <w:tcW w:w="5052" w:type="dxa"/>
            <w:shd w:val="clear" w:color="auto" w:fill="auto"/>
            <w:noWrap w:val="0"/>
            <w:vAlign w:val="center"/>
          </w:tcPr>
          <w:p w14:paraId="7E563D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Hans"/>
              </w:rPr>
              <w:t>播放视频查看是否有异常情况</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如果有异常情况联系</w:t>
            </w:r>
            <w:r>
              <w:rPr>
                <w:rFonts w:hint="eastAsia" w:ascii="宋体" w:hAnsi="宋体" w:eastAsia="宋体" w:cs="宋体"/>
                <w:color w:val="auto"/>
                <w:sz w:val="21"/>
                <w:szCs w:val="21"/>
                <w:highlight w:val="none"/>
                <w:lang w:val="en-US" w:eastAsia="zh-CN"/>
              </w:rPr>
              <w:t>维保</w:t>
            </w:r>
            <w:r>
              <w:rPr>
                <w:rFonts w:hint="eastAsia" w:ascii="宋体" w:hAnsi="宋体" w:eastAsia="宋体" w:cs="宋体"/>
                <w:color w:val="auto"/>
                <w:sz w:val="21"/>
                <w:szCs w:val="21"/>
                <w:highlight w:val="none"/>
                <w:lang w:val="en-US" w:eastAsia="zh-Hans"/>
              </w:rPr>
              <w:t>现场查看情况</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如果不是则选择误报</w:t>
            </w:r>
            <w:r>
              <w:rPr>
                <w:rFonts w:hint="eastAsia" w:ascii="宋体" w:hAnsi="宋体" w:eastAsia="宋体" w:cs="宋体"/>
                <w:color w:val="auto"/>
                <w:sz w:val="21"/>
                <w:szCs w:val="21"/>
                <w:highlight w:val="none"/>
                <w:lang w:eastAsia="zh-Hans"/>
              </w:rPr>
              <w:t>。</w:t>
            </w:r>
          </w:p>
        </w:tc>
        <w:tc>
          <w:tcPr>
            <w:tcW w:w="1640" w:type="dxa"/>
            <w:shd w:val="clear" w:color="auto" w:fill="auto"/>
            <w:noWrap w:val="0"/>
            <w:vAlign w:val="center"/>
          </w:tcPr>
          <w:p w14:paraId="125DC92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Hans"/>
              </w:rPr>
              <w:t>实时</w:t>
            </w:r>
          </w:p>
        </w:tc>
      </w:tr>
      <w:tr w14:paraId="6D714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2318306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noWrap w:val="0"/>
            <w:vAlign w:val="center"/>
          </w:tcPr>
          <w:p w14:paraId="1C71DDE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13.电子沙盘</w:t>
            </w:r>
          </w:p>
        </w:tc>
        <w:tc>
          <w:tcPr>
            <w:tcW w:w="1380" w:type="dxa"/>
            <w:noWrap w:val="0"/>
            <w:vAlign w:val="center"/>
          </w:tcPr>
          <w:p w14:paraId="5F0C090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p>
        </w:tc>
        <w:tc>
          <w:tcPr>
            <w:tcW w:w="5052" w:type="dxa"/>
            <w:noWrap w:val="0"/>
            <w:vAlign w:val="center"/>
          </w:tcPr>
          <w:p w14:paraId="58FA837A">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确保电子沙盘正常使用，一旦发生损坏及时报修。</w:t>
            </w:r>
          </w:p>
        </w:tc>
        <w:tc>
          <w:tcPr>
            <w:tcW w:w="1640" w:type="dxa"/>
            <w:noWrap w:val="0"/>
            <w:vAlign w:val="center"/>
          </w:tcPr>
          <w:p w14:paraId="2D9CB98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p>
        </w:tc>
      </w:tr>
      <w:tr w14:paraId="3A631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2C8F546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5C390E6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14.企业卡口</w:t>
            </w:r>
          </w:p>
        </w:tc>
        <w:tc>
          <w:tcPr>
            <w:tcW w:w="1380" w:type="dxa"/>
            <w:shd w:val="clear" w:color="auto" w:fill="auto"/>
            <w:noWrap w:val="0"/>
            <w:vAlign w:val="center"/>
          </w:tcPr>
          <w:p w14:paraId="1D42AAD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封闭园区-企业道闸进出记录/企业人员进出记录</w:t>
            </w:r>
          </w:p>
        </w:tc>
        <w:tc>
          <w:tcPr>
            <w:tcW w:w="5052" w:type="dxa"/>
            <w:shd w:val="clear" w:color="auto" w:fill="auto"/>
            <w:noWrap w:val="0"/>
            <w:vAlign w:val="center"/>
          </w:tcPr>
          <w:p w14:paraId="40CFC74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确保封闭在园区外的几家企业卡口车辆人员进出数据正常传输，如发现有企业连续3日以上无进出记录的，联系企业和维保进行现场查看。</w:t>
            </w:r>
          </w:p>
          <w:p w14:paraId="4C38CC2B">
            <w:pPr>
              <w:keepNext w:val="0"/>
              <w:keepLines w:val="0"/>
              <w:suppressLineNumbers w:val="0"/>
              <w:spacing w:before="0" w:beforeAutospacing="0" w:after="0" w:afterAutospacing="0" w:line="360" w:lineRule="auto"/>
              <w:ind w:left="0" w:right="0"/>
              <w:jc w:val="left"/>
              <w:rPr>
                <w:rFonts w:hint="eastAsia"/>
                <w:color w:val="auto"/>
                <w:highlight w:val="none"/>
                <w:lang w:val="en-US" w:eastAsia="zh-CN"/>
              </w:rPr>
            </w:pPr>
            <w:r>
              <w:rPr>
                <w:rFonts w:hint="eastAsia" w:ascii="宋体" w:hAnsi="宋体" w:cs="宋体"/>
                <w:color w:val="auto"/>
                <w:sz w:val="21"/>
                <w:szCs w:val="21"/>
                <w:highlight w:val="none"/>
                <w:lang w:val="en-US" w:eastAsia="zh-CN"/>
              </w:rPr>
              <w:t>2.</w:t>
            </w:r>
            <w:r>
              <w:rPr>
                <w:rFonts w:hint="eastAsia"/>
                <w:color w:val="auto"/>
                <w:highlight w:val="none"/>
                <w:lang w:val="en-US" w:eastAsia="zh-CN"/>
              </w:rPr>
              <w:t>配合综合科做好岗亭安保工作状态检查。</w:t>
            </w:r>
          </w:p>
        </w:tc>
        <w:tc>
          <w:tcPr>
            <w:tcW w:w="1640" w:type="dxa"/>
            <w:noWrap w:val="0"/>
            <w:vAlign w:val="center"/>
          </w:tcPr>
          <w:p w14:paraId="269AF7D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p>
        </w:tc>
      </w:tr>
      <w:tr w14:paraId="66F8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510E70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0877E26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15.接听致电询问电话及微信上企业问题的回复和处理</w:t>
            </w:r>
          </w:p>
        </w:tc>
        <w:tc>
          <w:tcPr>
            <w:tcW w:w="1380" w:type="dxa"/>
            <w:shd w:val="clear" w:color="auto" w:fill="auto"/>
            <w:noWrap w:val="0"/>
            <w:vAlign w:val="center"/>
          </w:tcPr>
          <w:p w14:paraId="168795F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p>
        </w:tc>
        <w:tc>
          <w:tcPr>
            <w:tcW w:w="5052" w:type="dxa"/>
            <w:shd w:val="clear" w:color="auto" w:fill="auto"/>
            <w:noWrap w:val="0"/>
            <w:vAlign w:val="center"/>
          </w:tcPr>
          <w:p w14:paraId="30A67061">
            <w:pPr>
              <w:keepNext w:val="0"/>
              <w:keepLines w:val="0"/>
              <w:numPr>
                <w:ilvl w:val="0"/>
                <w:numId w:val="7"/>
              </w:numPr>
              <w:suppressLineNumbers w:val="0"/>
              <w:spacing w:before="0" w:beforeAutospacing="0" w:after="0" w:afterAutospacing="0" w:line="360" w:lineRule="auto"/>
              <w:ind w:left="0" w:right="0"/>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及时接听回复致电运维中心询问各项事宜的电话，及时回复企业在运维微信上询问的相关问题。</w:t>
            </w:r>
          </w:p>
          <w:p w14:paraId="7165876B">
            <w:pPr>
              <w:keepNext w:val="0"/>
              <w:keepLines w:val="0"/>
              <w:numPr>
                <w:ilvl w:val="0"/>
                <w:numId w:val="7"/>
              </w:numPr>
              <w:suppressLineNumbers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与安保、维保等相关事宜的沟通和处理。</w:t>
            </w:r>
          </w:p>
        </w:tc>
        <w:tc>
          <w:tcPr>
            <w:tcW w:w="1640" w:type="dxa"/>
            <w:shd w:val="clear" w:color="auto" w:fill="auto"/>
            <w:noWrap w:val="0"/>
            <w:vAlign w:val="center"/>
          </w:tcPr>
          <w:p w14:paraId="2F4B8EB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p>
        </w:tc>
      </w:tr>
      <w:tr w14:paraId="40AA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2523458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22B9B7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设备设施巡检</w:t>
            </w:r>
          </w:p>
        </w:tc>
        <w:tc>
          <w:tcPr>
            <w:tcW w:w="1380" w:type="dxa"/>
            <w:shd w:val="clear" w:color="auto" w:fill="auto"/>
            <w:noWrap w:val="0"/>
            <w:vAlign w:val="center"/>
          </w:tcPr>
          <w:p w14:paraId="710DA05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p>
        </w:tc>
        <w:tc>
          <w:tcPr>
            <w:tcW w:w="5052" w:type="dxa"/>
            <w:shd w:val="clear" w:color="auto" w:fill="auto"/>
            <w:noWrap w:val="0"/>
            <w:vAlign w:val="center"/>
          </w:tcPr>
          <w:p w14:paraId="37182F2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对应急指挥中心各项设备设施开展有计划的各项检查，发现问题及时向维保报修并确认修复，检查结果形成台账并定期汇报。</w:t>
            </w:r>
          </w:p>
        </w:tc>
        <w:tc>
          <w:tcPr>
            <w:tcW w:w="1640" w:type="dxa"/>
            <w:shd w:val="clear" w:color="auto" w:fill="auto"/>
            <w:noWrap w:val="0"/>
            <w:vAlign w:val="center"/>
          </w:tcPr>
          <w:p w14:paraId="7C5B679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p>
        </w:tc>
      </w:tr>
      <w:tr w14:paraId="51C3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restart"/>
            <w:noWrap w:val="0"/>
            <w:vAlign w:val="center"/>
          </w:tcPr>
          <w:p w14:paraId="2FE8CC5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3CFDE59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66E9F4D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363973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p w14:paraId="18279B9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r>
              <w:rPr>
                <w:rFonts w:hint="eastAsia" w:ascii="宋体" w:hAnsi="宋体" w:eastAsia="宋体" w:cs="宋体"/>
                <w:color w:val="auto"/>
                <w:sz w:val="21"/>
                <w:szCs w:val="21"/>
                <w:highlight w:val="none"/>
                <w:vertAlign w:val="baseline"/>
                <w:lang w:val="en-US" w:eastAsia="zh-Hans"/>
              </w:rPr>
              <w:t>智慧安全</w:t>
            </w:r>
          </w:p>
        </w:tc>
        <w:tc>
          <w:tcPr>
            <w:tcW w:w="1095" w:type="dxa"/>
            <w:noWrap w:val="0"/>
            <w:vAlign w:val="center"/>
          </w:tcPr>
          <w:p w14:paraId="2724BA2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eastAsia="zh-Hans"/>
              </w:rPr>
              <w:t>1</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重大危险源管理 - 预警记录</w:t>
            </w:r>
          </w:p>
          <w:p w14:paraId="144267D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p>
        </w:tc>
        <w:tc>
          <w:tcPr>
            <w:tcW w:w="1380" w:type="dxa"/>
            <w:noWrap w:val="0"/>
            <w:vAlign w:val="center"/>
          </w:tcPr>
          <w:p w14:paraId="3C27917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Hans"/>
              </w:rPr>
              <w:t>智慧安全</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重大危险源管理</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预警记录</w:t>
            </w:r>
          </w:p>
        </w:tc>
        <w:tc>
          <w:tcPr>
            <w:tcW w:w="5052" w:type="dxa"/>
            <w:noWrap w:val="0"/>
            <w:vAlign w:val="center"/>
          </w:tcPr>
          <w:p w14:paraId="47CF3770">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1.</w:t>
            </w:r>
            <w:r>
              <w:rPr>
                <w:rFonts w:hint="eastAsia" w:ascii="宋体" w:hAnsi="宋体" w:eastAsia="宋体" w:cs="宋体"/>
                <w:b w:val="0"/>
                <w:bCs w:val="0"/>
                <w:color w:val="auto"/>
                <w:sz w:val="21"/>
                <w:szCs w:val="21"/>
                <w:highlight w:val="none"/>
                <w:lang w:val="en-US" w:eastAsia="zh-Hans"/>
              </w:rPr>
              <w:t>实时查看储罐报警数据</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lang w:val="en-US" w:eastAsia="zh-Hans"/>
              </w:rPr>
              <w:t>可燃有毒气体报警数据</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lang w:val="en-US" w:eastAsia="zh-Hans"/>
              </w:rPr>
              <w:t>高危工艺报警数据</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lang w:val="en-US" w:eastAsia="zh-Hans"/>
              </w:rPr>
              <w:t>离线预警</w:t>
            </w:r>
            <w:r>
              <w:rPr>
                <w:rFonts w:hint="eastAsia" w:ascii="宋体" w:hAnsi="宋体" w:eastAsia="宋体" w:cs="宋体"/>
                <w:b w:val="0"/>
                <w:bCs w:val="0"/>
                <w:color w:val="auto"/>
                <w:sz w:val="21"/>
                <w:szCs w:val="21"/>
                <w:highlight w:val="none"/>
                <w:lang w:eastAsia="zh-Hans"/>
              </w:rPr>
              <w:t>。</w:t>
            </w:r>
          </w:p>
          <w:p w14:paraId="4AA0DEAD">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bidi="ar-SA"/>
              </w:rPr>
              <w:t>2.</w:t>
            </w:r>
            <w:r>
              <w:rPr>
                <w:rFonts w:hint="eastAsia" w:ascii="宋体" w:hAnsi="宋体" w:eastAsia="宋体" w:cs="宋体"/>
                <w:b w:val="0"/>
                <w:bCs w:val="0"/>
                <w:color w:val="auto"/>
                <w:sz w:val="21"/>
                <w:szCs w:val="21"/>
                <w:highlight w:val="none"/>
                <w:lang w:val="en-US" w:eastAsia="zh-Hans"/>
              </w:rPr>
              <w:t>如果</w:t>
            </w:r>
            <w:r>
              <w:rPr>
                <w:rFonts w:hint="eastAsia" w:ascii="宋体" w:hAnsi="宋体" w:eastAsia="宋体" w:cs="宋体"/>
                <w:b w:val="0"/>
                <w:bCs w:val="0"/>
                <w:color w:val="auto"/>
                <w:sz w:val="21"/>
                <w:szCs w:val="21"/>
                <w:highlight w:val="none"/>
              </w:rPr>
              <w:t>触发报警后</w:t>
            </w:r>
            <w:r>
              <w:rPr>
                <w:rFonts w:hint="eastAsia" w:ascii="宋体" w:hAnsi="宋体" w:eastAsia="宋体" w:cs="宋体"/>
                <w:b w:val="0"/>
                <w:bCs w:val="0"/>
                <w:color w:val="auto"/>
                <w:sz w:val="21"/>
                <w:szCs w:val="21"/>
                <w:highlight w:val="none"/>
                <w:lang w:val="en-US" w:eastAsia="zh-CN"/>
              </w:rPr>
              <w:t>根据预警级别立即联系</w:t>
            </w:r>
            <w:r>
              <w:rPr>
                <w:rFonts w:hint="eastAsia" w:ascii="宋体" w:hAnsi="宋体" w:eastAsia="宋体" w:cs="宋体"/>
                <w:b w:val="0"/>
                <w:bCs w:val="0"/>
                <w:color w:val="auto"/>
                <w:sz w:val="21"/>
                <w:szCs w:val="21"/>
                <w:highlight w:val="none"/>
              </w:rPr>
              <w:t>企业安全</w:t>
            </w:r>
            <w:r>
              <w:rPr>
                <w:rFonts w:hint="eastAsia" w:ascii="宋体" w:hAnsi="宋体" w:eastAsia="宋体" w:cs="宋体"/>
                <w:b w:val="0"/>
                <w:bCs w:val="0"/>
                <w:color w:val="auto"/>
                <w:sz w:val="21"/>
                <w:szCs w:val="21"/>
                <w:highlight w:val="none"/>
                <w:lang w:val="en-US" w:eastAsia="zh-CN"/>
              </w:rPr>
              <w:t>管理人员、安全</w:t>
            </w:r>
            <w:r>
              <w:rPr>
                <w:rFonts w:hint="eastAsia" w:ascii="宋体" w:hAnsi="宋体" w:eastAsia="宋体" w:cs="宋体"/>
                <w:b w:val="0"/>
                <w:bCs w:val="0"/>
                <w:color w:val="auto"/>
                <w:sz w:val="21"/>
                <w:szCs w:val="21"/>
                <w:highlight w:val="none"/>
              </w:rPr>
              <w:t>负责人处置，</w:t>
            </w:r>
            <w:r>
              <w:rPr>
                <w:rFonts w:hint="eastAsia" w:ascii="宋体" w:hAnsi="宋体" w:eastAsia="宋体" w:cs="宋体"/>
                <w:b w:val="0"/>
                <w:bCs w:val="0"/>
                <w:color w:val="auto"/>
                <w:sz w:val="21"/>
                <w:szCs w:val="21"/>
                <w:highlight w:val="none"/>
                <w:lang w:val="en-US" w:eastAsia="zh-CN"/>
              </w:rPr>
              <w:t>通知</w:t>
            </w:r>
            <w:r>
              <w:rPr>
                <w:rFonts w:hint="eastAsia" w:ascii="宋体" w:hAnsi="宋体" w:eastAsia="宋体" w:cs="宋体"/>
                <w:b w:val="0"/>
                <w:bCs w:val="0"/>
                <w:color w:val="auto"/>
                <w:sz w:val="21"/>
                <w:szCs w:val="21"/>
                <w:highlight w:val="none"/>
              </w:rPr>
              <w:t>30分钟内需要给运维回复</w:t>
            </w:r>
            <w:r>
              <w:rPr>
                <w:rFonts w:hint="eastAsia" w:ascii="宋体" w:hAnsi="宋体" w:eastAsia="宋体" w:cs="宋体"/>
                <w:b w:val="0"/>
                <w:bCs w:val="0"/>
                <w:color w:val="auto"/>
                <w:sz w:val="21"/>
                <w:szCs w:val="21"/>
                <w:highlight w:val="none"/>
                <w:lang w:val="en-US" w:eastAsia="zh-CN"/>
              </w:rPr>
              <w:t>处置情况或</w:t>
            </w:r>
            <w:r>
              <w:rPr>
                <w:rFonts w:hint="eastAsia" w:ascii="宋体" w:hAnsi="宋体" w:eastAsia="宋体" w:cs="宋体"/>
                <w:b w:val="0"/>
                <w:bCs w:val="0"/>
                <w:color w:val="auto"/>
                <w:sz w:val="21"/>
                <w:szCs w:val="21"/>
                <w:highlight w:val="none"/>
              </w:rPr>
              <w:t>现场实际情况</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如去企业在微信上无反馈，就电话联系企业，需了解现场发生了什么</w:t>
            </w:r>
            <w:r>
              <w:rPr>
                <w:rFonts w:hint="eastAsia" w:ascii="宋体" w:hAnsi="宋体" w:eastAsia="宋体" w:cs="宋体"/>
                <w:b w:val="0"/>
                <w:bCs w:val="0"/>
                <w:color w:val="auto"/>
                <w:sz w:val="21"/>
                <w:szCs w:val="21"/>
                <w:highlight w:val="none"/>
                <w:lang w:eastAsia="zh-CN"/>
              </w:rPr>
              <w:t>）。</w:t>
            </w:r>
          </w:p>
          <w:p w14:paraId="37DDFDAC">
            <w:pPr>
              <w:keepNext w:val="0"/>
              <w:keepLines w:val="0"/>
              <w:numPr>
                <w:ilvl w:val="0"/>
                <w:numId w:val="0"/>
              </w:numPr>
              <w:suppressLineNumbers w:val="0"/>
              <w:spacing w:before="0" w:beforeAutospacing="0" w:after="0" w:afterAutospacing="0" w:line="360" w:lineRule="auto"/>
              <w:ind w:left="0" w:right="0" w:firstLine="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bidi="ar-SA"/>
              </w:rPr>
              <w:t>3.</w:t>
            </w:r>
            <w:r>
              <w:rPr>
                <w:rFonts w:hint="eastAsia" w:ascii="宋体" w:hAnsi="宋体" w:eastAsia="宋体" w:cs="宋体"/>
                <w:b w:val="0"/>
                <w:bCs w:val="0"/>
                <w:color w:val="auto"/>
                <w:sz w:val="21"/>
                <w:szCs w:val="21"/>
                <w:highlight w:val="none"/>
                <w:lang w:val="en-US" w:eastAsia="zh-Hans"/>
              </w:rPr>
              <w:t>闭环处理</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rPr>
              <w:t>企业在平台处置完后需要在：</w:t>
            </w:r>
            <w:r>
              <w:rPr>
                <w:rFonts w:hint="eastAsia" w:ascii="宋体" w:hAnsi="宋体" w:eastAsia="宋体" w:cs="宋体"/>
                <w:b w:val="0"/>
                <w:bCs w:val="0"/>
                <w:color w:val="auto"/>
                <w:sz w:val="21"/>
                <w:szCs w:val="21"/>
                <w:highlight w:val="none"/>
                <w:lang w:val="en-US" w:eastAsia="zh-Hans"/>
              </w:rPr>
              <w:t>智慧安全</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lang w:val="en-US" w:eastAsia="zh-Hans"/>
              </w:rPr>
              <w:t>重大危险源管理</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lang w:val="en-US" w:eastAsia="zh-CN"/>
              </w:rPr>
              <w:t>企业实时数据</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lang w:val="en-US" w:eastAsia="zh-CN"/>
              </w:rPr>
              <w:t>企业实时数据总览</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lang w:val="en-US" w:eastAsia="zh-Hans"/>
              </w:rPr>
              <w:t>选择对应企业查看</w:t>
            </w:r>
            <w:r>
              <w:rPr>
                <w:rFonts w:hint="eastAsia" w:ascii="宋体" w:hAnsi="宋体" w:eastAsia="宋体" w:cs="宋体"/>
                <w:b w:val="0"/>
                <w:bCs w:val="0"/>
                <w:color w:val="auto"/>
                <w:sz w:val="21"/>
                <w:szCs w:val="21"/>
                <w:highlight w:val="none"/>
              </w:rPr>
              <w:t>企业报警点位是否</w:t>
            </w:r>
            <w:r>
              <w:rPr>
                <w:rFonts w:hint="eastAsia" w:ascii="宋体" w:hAnsi="宋体" w:eastAsia="宋体" w:cs="宋体"/>
                <w:b w:val="0"/>
                <w:bCs w:val="0"/>
                <w:color w:val="auto"/>
                <w:sz w:val="21"/>
                <w:szCs w:val="21"/>
                <w:highlight w:val="none"/>
                <w:lang w:val="en-US" w:eastAsia="zh-Hans"/>
              </w:rPr>
              <w:t>真实</w:t>
            </w:r>
            <w:r>
              <w:rPr>
                <w:rFonts w:hint="eastAsia" w:ascii="宋体" w:hAnsi="宋体" w:eastAsia="宋体" w:cs="宋体"/>
                <w:b w:val="0"/>
                <w:bCs w:val="0"/>
                <w:color w:val="auto"/>
                <w:sz w:val="21"/>
                <w:szCs w:val="21"/>
                <w:highlight w:val="none"/>
              </w:rPr>
              <w:t>恢复，确认无问题后</w:t>
            </w:r>
            <w:r>
              <w:rPr>
                <w:rFonts w:hint="eastAsia" w:ascii="宋体" w:hAnsi="宋体" w:eastAsia="宋体" w:cs="宋体"/>
                <w:b w:val="0"/>
                <w:bCs w:val="0"/>
                <w:color w:val="auto"/>
                <w:sz w:val="21"/>
                <w:szCs w:val="21"/>
                <w:highlight w:val="none"/>
                <w:lang w:val="en-US" w:eastAsia="zh-CN"/>
              </w:rPr>
              <w:t>在-</w:t>
            </w:r>
            <w:r>
              <w:rPr>
                <w:rFonts w:hint="eastAsia" w:ascii="宋体" w:hAnsi="宋体" w:eastAsia="宋体" w:cs="宋体"/>
                <w:b w:val="0"/>
                <w:bCs w:val="0"/>
                <w:color w:val="auto"/>
                <w:sz w:val="21"/>
                <w:szCs w:val="21"/>
                <w:highlight w:val="none"/>
                <w:lang w:val="en-US" w:eastAsia="zh-Hans"/>
              </w:rPr>
              <w:t>智慧安全</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lang w:val="en-US" w:eastAsia="zh-Hans"/>
              </w:rPr>
              <w:t>重大危险源管理</w:t>
            </w:r>
            <w:r>
              <w:rPr>
                <w:rFonts w:hint="eastAsia" w:ascii="宋体" w:hAnsi="宋体" w:eastAsia="宋体" w:cs="宋体"/>
                <w:b w:val="0"/>
                <w:bCs w:val="0"/>
                <w:color w:val="auto"/>
                <w:sz w:val="21"/>
                <w:szCs w:val="21"/>
                <w:highlight w:val="none"/>
                <w:lang w:eastAsia="zh-Hans"/>
              </w:rPr>
              <w:t>-</w:t>
            </w:r>
            <w:r>
              <w:rPr>
                <w:rFonts w:hint="eastAsia" w:ascii="宋体" w:hAnsi="宋体" w:eastAsia="宋体" w:cs="宋体"/>
                <w:b w:val="0"/>
                <w:bCs w:val="0"/>
                <w:color w:val="auto"/>
                <w:sz w:val="21"/>
                <w:szCs w:val="21"/>
                <w:highlight w:val="none"/>
                <w:lang w:val="en-US" w:eastAsia="zh-Hans"/>
              </w:rPr>
              <w:t>预警记录</w:t>
            </w:r>
            <w:r>
              <w:rPr>
                <w:rFonts w:hint="eastAsia" w:ascii="宋体" w:hAnsi="宋体" w:eastAsia="宋体" w:cs="宋体"/>
                <w:b w:val="0"/>
                <w:bCs w:val="0"/>
                <w:color w:val="auto"/>
                <w:sz w:val="21"/>
                <w:szCs w:val="21"/>
                <w:highlight w:val="none"/>
                <w:lang w:val="en-US" w:eastAsia="zh-CN"/>
              </w:rPr>
              <w:t>中</w:t>
            </w:r>
            <w:r>
              <w:rPr>
                <w:rFonts w:hint="eastAsia" w:ascii="宋体" w:hAnsi="宋体" w:eastAsia="宋体" w:cs="宋体"/>
                <w:b w:val="0"/>
                <w:bCs w:val="0"/>
                <w:color w:val="auto"/>
                <w:sz w:val="21"/>
                <w:szCs w:val="21"/>
                <w:highlight w:val="none"/>
              </w:rPr>
              <w:t>闭环</w:t>
            </w:r>
            <w:r>
              <w:rPr>
                <w:rFonts w:hint="eastAsia" w:ascii="宋体" w:hAnsi="宋体" w:eastAsia="宋体" w:cs="宋体"/>
                <w:b w:val="0"/>
                <w:bCs w:val="0"/>
                <w:color w:val="auto"/>
                <w:sz w:val="21"/>
                <w:szCs w:val="21"/>
                <w:highlight w:val="none"/>
                <w:lang w:eastAsia="zh-CN"/>
              </w:rPr>
              <w:t>。</w:t>
            </w:r>
          </w:p>
          <w:p w14:paraId="44E54B83">
            <w:pPr>
              <w:keepNext w:val="0"/>
              <w:keepLines w:val="0"/>
              <w:numPr>
                <w:ilvl w:val="0"/>
                <w:numId w:val="0"/>
              </w:numPr>
              <w:suppressLineNumbers w:val="0"/>
              <w:spacing w:before="0" w:beforeAutospacing="0" w:after="0" w:afterAutospacing="0" w:line="360" w:lineRule="auto"/>
              <w:ind w:left="0" w:right="0" w:firstLine="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vertAlign w:val="baseline"/>
                <w:lang w:val="en-US" w:eastAsia="zh-CN" w:bidi="ar-SA"/>
              </w:rPr>
              <w:t>4.</w:t>
            </w:r>
            <w:r>
              <w:rPr>
                <w:rFonts w:hint="eastAsia" w:ascii="宋体" w:hAnsi="宋体" w:eastAsia="宋体" w:cs="宋体"/>
                <w:b w:val="0"/>
                <w:bCs w:val="0"/>
                <w:color w:val="auto"/>
                <w:sz w:val="21"/>
                <w:szCs w:val="21"/>
                <w:highlight w:val="none"/>
              </w:rPr>
              <w:t>如企业</w:t>
            </w:r>
            <w:r>
              <w:rPr>
                <w:rFonts w:hint="eastAsia" w:ascii="宋体" w:hAnsi="宋体" w:eastAsia="宋体" w:cs="宋体"/>
                <w:b w:val="0"/>
                <w:bCs w:val="0"/>
                <w:color w:val="auto"/>
                <w:sz w:val="21"/>
                <w:szCs w:val="21"/>
                <w:highlight w:val="none"/>
                <w:lang w:val="en-US" w:eastAsia="zh-CN"/>
              </w:rPr>
              <w:t>储罐报警，</w:t>
            </w:r>
            <w:r>
              <w:rPr>
                <w:rFonts w:hint="eastAsia" w:ascii="宋体" w:hAnsi="宋体" w:eastAsia="宋体" w:cs="宋体"/>
                <w:b w:val="0"/>
                <w:bCs w:val="0"/>
                <w:color w:val="auto"/>
                <w:sz w:val="21"/>
                <w:szCs w:val="21"/>
                <w:highlight w:val="none"/>
              </w:rPr>
              <w:t>可燃有毒气体报警</w:t>
            </w:r>
            <w:r>
              <w:rPr>
                <w:rFonts w:hint="eastAsia" w:ascii="宋体" w:hAnsi="宋体" w:eastAsia="宋体" w:cs="宋体"/>
                <w:b w:val="0"/>
                <w:bCs w:val="0"/>
                <w:color w:val="auto"/>
                <w:sz w:val="21"/>
                <w:szCs w:val="21"/>
                <w:highlight w:val="none"/>
                <w:lang w:eastAsia="zh-CN"/>
              </w:rPr>
              <w:t>，高危工艺报警</w:t>
            </w:r>
            <w:r>
              <w:rPr>
                <w:rFonts w:hint="eastAsia" w:ascii="宋体" w:hAnsi="宋体" w:eastAsia="宋体" w:cs="宋体"/>
                <w:b w:val="0"/>
                <w:bCs w:val="0"/>
                <w:color w:val="auto"/>
                <w:sz w:val="21"/>
                <w:szCs w:val="21"/>
                <w:highlight w:val="none"/>
              </w:rPr>
              <w:t>超过</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小时</w:t>
            </w:r>
            <w:r>
              <w:rPr>
                <w:rFonts w:hint="eastAsia" w:ascii="宋体" w:hAnsi="宋体" w:eastAsia="宋体" w:cs="宋体"/>
                <w:b w:val="0"/>
                <w:bCs w:val="0"/>
                <w:color w:val="auto"/>
                <w:sz w:val="21"/>
                <w:szCs w:val="21"/>
                <w:highlight w:val="none"/>
                <w:lang w:eastAsia="zh-CN"/>
              </w:rPr>
              <w:t>，离线预警</w:t>
            </w:r>
            <w:r>
              <w:rPr>
                <w:rFonts w:hint="eastAsia" w:ascii="宋体" w:hAnsi="宋体" w:eastAsia="宋体" w:cs="宋体"/>
                <w:b w:val="0"/>
                <w:bCs w:val="0"/>
                <w:color w:val="auto"/>
                <w:sz w:val="21"/>
                <w:szCs w:val="21"/>
                <w:highlight w:val="none"/>
              </w:rPr>
              <w:t>超过</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小时未处置需要汇报给</w:t>
            </w:r>
            <w:r>
              <w:rPr>
                <w:rFonts w:hint="eastAsia" w:ascii="宋体" w:hAnsi="宋体" w:eastAsia="宋体" w:cs="宋体"/>
                <w:b w:val="0"/>
                <w:bCs w:val="0"/>
                <w:color w:val="auto"/>
                <w:sz w:val="21"/>
                <w:szCs w:val="21"/>
                <w:highlight w:val="none"/>
                <w:lang w:val="en-US" w:eastAsia="zh-CN"/>
              </w:rPr>
              <w:t>安全科</w:t>
            </w:r>
            <w:r>
              <w:rPr>
                <w:rFonts w:hint="eastAsia" w:ascii="宋体" w:hAnsi="宋体" w:eastAsia="宋体" w:cs="宋体"/>
                <w:b w:val="0"/>
                <w:bCs w:val="0"/>
                <w:color w:val="auto"/>
                <w:sz w:val="21"/>
                <w:szCs w:val="21"/>
                <w:highlight w:val="none"/>
              </w:rPr>
              <w:t>。</w:t>
            </w:r>
          </w:p>
          <w:p w14:paraId="7EEF20A2">
            <w:pPr>
              <w:keepNext w:val="0"/>
              <w:keepLines w:val="0"/>
              <w:numPr>
                <w:ilvl w:val="0"/>
                <w:numId w:val="0"/>
              </w:numPr>
              <w:suppressLineNumbers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lang w:eastAsia="zh-Hans"/>
              </w:rPr>
            </w:pPr>
            <w:r>
              <w:rPr>
                <w:rFonts w:hint="eastAsia" w:ascii="宋体" w:hAnsi="宋体" w:eastAsia="宋体" w:cs="宋体"/>
                <w:b w:val="0"/>
                <w:bCs w:val="0"/>
                <w:color w:val="auto"/>
                <w:sz w:val="21"/>
                <w:szCs w:val="21"/>
                <w:highlight w:val="none"/>
                <w:lang w:val="en-US" w:eastAsia="zh-CN"/>
              </w:rPr>
              <w:t>5.需了解现场发生了什么，发生报警后应加大对此点位的关注和刷新力度。如企业反馈报警系故障维修，需将修复后的照片发来存档。</w:t>
            </w:r>
          </w:p>
        </w:tc>
        <w:tc>
          <w:tcPr>
            <w:tcW w:w="1640" w:type="dxa"/>
            <w:noWrap w:val="0"/>
            <w:vAlign w:val="center"/>
          </w:tcPr>
          <w:p w14:paraId="64F9AC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Hans"/>
              </w:rPr>
              <w:t>如遇报警立刻联系相关企业</w:t>
            </w:r>
            <w:r>
              <w:rPr>
                <w:rFonts w:hint="eastAsia" w:ascii="宋体" w:hAnsi="宋体" w:eastAsia="宋体" w:cs="宋体"/>
                <w:color w:val="auto"/>
                <w:sz w:val="21"/>
                <w:szCs w:val="21"/>
                <w:highlight w:val="none"/>
                <w:vertAlign w:val="baseline"/>
                <w:lang w:eastAsia="zh-Hans"/>
              </w:rPr>
              <w:t>，</w:t>
            </w:r>
            <w:r>
              <w:rPr>
                <w:rFonts w:hint="eastAsia" w:ascii="宋体" w:hAnsi="宋体" w:eastAsia="宋体" w:cs="宋体"/>
                <w:color w:val="auto"/>
                <w:sz w:val="21"/>
                <w:szCs w:val="21"/>
                <w:highlight w:val="none"/>
                <w:vertAlign w:val="baseline"/>
                <w:lang w:val="en-US" w:eastAsia="zh-Hans"/>
              </w:rPr>
              <w:t>需</w:t>
            </w:r>
            <w:r>
              <w:rPr>
                <w:rFonts w:hint="eastAsia" w:ascii="宋体" w:hAnsi="宋体" w:eastAsia="宋体" w:cs="宋体"/>
                <w:color w:val="auto"/>
                <w:sz w:val="21"/>
                <w:szCs w:val="21"/>
                <w:highlight w:val="none"/>
                <w:vertAlign w:val="baseline"/>
                <w:lang w:eastAsia="zh-Hans"/>
              </w:rPr>
              <w:t>30</w:t>
            </w:r>
            <w:r>
              <w:rPr>
                <w:rFonts w:hint="eastAsia" w:ascii="宋体" w:hAnsi="宋体" w:eastAsia="宋体" w:cs="宋体"/>
                <w:color w:val="auto"/>
                <w:sz w:val="21"/>
                <w:szCs w:val="21"/>
                <w:highlight w:val="none"/>
                <w:vertAlign w:val="baseline"/>
                <w:lang w:val="en-US" w:eastAsia="zh-Hans"/>
              </w:rPr>
              <w:t>分钟内反馈</w:t>
            </w:r>
            <w:r>
              <w:rPr>
                <w:rFonts w:hint="eastAsia" w:ascii="宋体" w:hAnsi="宋体" w:eastAsia="宋体" w:cs="宋体"/>
                <w:color w:val="auto"/>
                <w:sz w:val="21"/>
                <w:szCs w:val="21"/>
                <w:highlight w:val="none"/>
                <w:vertAlign w:val="baseline"/>
                <w:lang w:val="en-US" w:eastAsia="zh-CN"/>
              </w:rPr>
              <w:t>处置情况或</w:t>
            </w:r>
            <w:r>
              <w:rPr>
                <w:rFonts w:hint="eastAsia" w:ascii="宋体" w:hAnsi="宋体" w:eastAsia="宋体" w:cs="宋体"/>
                <w:color w:val="auto"/>
                <w:sz w:val="21"/>
                <w:szCs w:val="21"/>
                <w:highlight w:val="none"/>
                <w:vertAlign w:val="baseline"/>
                <w:lang w:val="en-US" w:eastAsia="zh-Hans"/>
              </w:rPr>
              <w:t>现场情况</w:t>
            </w:r>
            <w:r>
              <w:rPr>
                <w:rFonts w:hint="eastAsia" w:ascii="宋体" w:hAnsi="宋体" w:eastAsia="宋体" w:cs="宋体"/>
                <w:color w:val="auto"/>
                <w:sz w:val="21"/>
                <w:szCs w:val="21"/>
                <w:highlight w:val="none"/>
                <w:vertAlign w:val="baseline"/>
                <w:lang w:val="en-US" w:eastAsia="zh-CN"/>
              </w:rPr>
              <w:t>；</w:t>
            </w:r>
          </w:p>
          <w:p w14:paraId="75197AC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储罐报警，</w:t>
            </w:r>
            <w:r>
              <w:rPr>
                <w:rFonts w:hint="eastAsia" w:ascii="宋体" w:hAnsi="宋体" w:eastAsia="宋体" w:cs="宋体"/>
                <w:color w:val="auto"/>
                <w:sz w:val="21"/>
                <w:szCs w:val="21"/>
                <w:highlight w:val="none"/>
              </w:rPr>
              <w:t>可燃有毒气体报警</w:t>
            </w:r>
            <w:r>
              <w:rPr>
                <w:rFonts w:hint="eastAsia" w:ascii="宋体" w:hAnsi="宋体" w:eastAsia="宋体" w:cs="宋体"/>
                <w:color w:val="auto"/>
                <w:sz w:val="21"/>
                <w:szCs w:val="21"/>
                <w:highlight w:val="none"/>
                <w:lang w:eastAsia="zh-CN"/>
              </w:rPr>
              <w:t>，高危工艺报警</w:t>
            </w:r>
            <w:r>
              <w:rPr>
                <w:rFonts w:hint="eastAsia" w:ascii="宋体" w:hAnsi="宋体" w:eastAsia="宋体" w:cs="宋体"/>
                <w:color w:val="auto"/>
                <w:sz w:val="21"/>
                <w:szCs w:val="21"/>
                <w:highlight w:val="none"/>
              </w:rPr>
              <w:t>超过</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小时</w:t>
            </w:r>
            <w:r>
              <w:rPr>
                <w:rFonts w:hint="eastAsia" w:ascii="宋体" w:hAnsi="宋体" w:eastAsia="宋体" w:cs="宋体"/>
                <w:color w:val="auto"/>
                <w:sz w:val="21"/>
                <w:szCs w:val="21"/>
                <w:highlight w:val="none"/>
                <w:lang w:eastAsia="zh-CN"/>
              </w:rPr>
              <w:t>，离线预警</w:t>
            </w:r>
            <w:r>
              <w:rPr>
                <w:rFonts w:hint="eastAsia" w:ascii="宋体" w:hAnsi="宋体" w:eastAsia="宋体" w:cs="宋体"/>
                <w:color w:val="auto"/>
                <w:sz w:val="21"/>
                <w:szCs w:val="21"/>
                <w:highlight w:val="none"/>
              </w:rPr>
              <w:t>超过</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小时未</w:t>
            </w:r>
            <w:r>
              <w:rPr>
                <w:rFonts w:hint="eastAsia" w:ascii="宋体" w:hAnsi="宋体" w:eastAsia="宋体" w:cs="宋体"/>
                <w:color w:val="auto"/>
                <w:sz w:val="21"/>
                <w:szCs w:val="21"/>
                <w:highlight w:val="none"/>
                <w:lang w:val="en-US" w:eastAsia="zh-CN"/>
              </w:rPr>
              <w:t>处理</w:t>
            </w:r>
            <w:r>
              <w:rPr>
                <w:rFonts w:hint="eastAsia" w:ascii="宋体" w:hAnsi="宋体" w:eastAsia="宋体" w:cs="宋体"/>
                <w:color w:val="auto"/>
                <w:sz w:val="21"/>
                <w:szCs w:val="21"/>
                <w:highlight w:val="none"/>
                <w:vertAlign w:val="baseline"/>
                <w:lang w:val="en-US" w:eastAsia="zh-Hans"/>
              </w:rPr>
              <w:t>反馈上级领导</w:t>
            </w:r>
          </w:p>
        </w:tc>
      </w:tr>
      <w:tr w14:paraId="3ECF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429A915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tc>
        <w:tc>
          <w:tcPr>
            <w:tcW w:w="1095" w:type="dxa"/>
            <w:shd w:val="clear" w:color="auto" w:fill="auto"/>
            <w:noWrap w:val="0"/>
            <w:vAlign w:val="center"/>
          </w:tcPr>
          <w:p w14:paraId="0C286EF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vertAlign w:val="baseline"/>
                <w:lang w:eastAsia="zh-CN"/>
              </w:rPr>
              <w:t>明火监测预警</w:t>
            </w:r>
          </w:p>
        </w:tc>
        <w:tc>
          <w:tcPr>
            <w:tcW w:w="1380" w:type="dxa"/>
            <w:shd w:val="clear" w:color="auto" w:fill="auto"/>
            <w:noWrap w:val="0"/>
            <w:vAlign w:val="center"/>
          </w:tcPr>
          <w:p w14:paraId="7C54485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1.封闭园区-报警预警管理-火灾报警记录</w:t>
            </w:r>
          </w:p>
          <w:p w14:paraId="2670B56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b w:val="0"/>
                <w:bCs w:val="0"/>
                <w:color w:val="auto"/>
                <w:sz w:val="21"/>
                <w:szCs w:val="21"/>
                <w:highlight w:val="none"/>
                <w:lang w:val="en-US" w:eastAsia="zh-CN"/>
              </w:rPr>
              <w:t>2.海康视频-</w:t>
            </w:r>
            <w:r>
              <w:rPr>
                <w:rFonts w:hint="eastAsia" w:ascii="宋体" w:hAnsi="宋体" w:eastAsia="宋体" w:cs="宋体"/>
                <w:color w:val="auto"/>
                <w:sz w:val="21"/>
                <w:szCs w:val="21"/>
                <w:highlight w:val="none"/>
                <w:vertAlign w:val="baseline"/>
                <w:lang w:val="en-US" w:eastAsia="zh-CN"/>
              </w:rPr>
              <w:t>实时预览</w:t>
            </w:r>
          </w:p>
        </w:tc>
        <w:tc>
          <w:tcPr>
            <w:tcW w:w="5052" w:type="dxa"/>
            <w:shd w:val="clear" w:color="auto" w:fill="auto"/>
            <w:noWrap w:val="0"/>
            <w:vAlign w:val="center"/>
          </w:tcPr>
          <w:p w14:paraId="6E92C25C">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1.打开明火监测预警，点击“防区摄像头”下方的播放按钮，检查监控是否有火光/烟雾。</w:t>
            </w:r>
          </w:p>
          <w:p w14:paraId="37CF8B94">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2.打</w:t>
            </w:r>
            <w:r>
              <w:rPr>
                <w:rFonts w:hint="eastAsia" w:ascii="宋体" w:hAnsi="宋体" w:eastAsia="宋体" w:cs="宋体"/>
                <w:color w:val="auto"/>
                <w:sz w:val="21"/>
                <w:szCs w:val="21"/>
                <w:highlight w:val="none"/>
                <w:lang w:val="en-US" w:eastAsia="zh-CN"/>
              </w:rPr>
              <w:t>开海康平台-实时预览对各个监控点位进行实时检查。</w:t>
            </w:r>
          </w:p>
          <w:p w14:paraId="6B9AE63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若</w:t>
            </w:r>
            <w:r>
              <w:rPr>
                <w:rFonts w:hint="eastAsia" w:ascii="宋体" w:hAnsi="宋体" w:eastAsia="宋体" w:cs="宋体"/>
                <w:b w:val="0"/>
                <w:bCs w:val="0"/>
                <w:color w:val="auto"/>
                <w:sz w:val="21"/>
                <w:szCs w:val="21"/>
                <w:highlight w:val="none"/>
                <w:lang w:val="en-US" w:eastAsia="zh-CN"/>
              </w:rPr>
              <w:t>发现明显有火光/烟雾联系消防站，点位频繁报警联系巡查检查，并联系维保检查设备，并记录异常情况。若无异常，记录为误报。</w:t>
            </w:r>
          </w:p>
        </w:tc>
        <w:tc>
          <w:tcPr>
            <w:tcW w:w="1640" w:type="dxa"/>
            <w:shd w:val="clear" w:color="auto" w:fill="auto"/>
            <w:noWrap w:val="0"/>
            <w:vAlign w:val="center"/>
          </w:tcPr>
          <w:p w14:paraId="3ADC5D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Hans"/>
              </w:rPr>
              <w:t>实时</w:t>
            </w:r>
          </w:p>
        </w:tc>
      </w:tr>
      <w:tr w14:paraId="1CAC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46A48AD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p>
        </w:tc>
        <w:tc>
          <w:tcPr>
            <w:tcW w:w="1095" w:type="dxa"/>
            <w:noWrap w:val="0"/>
            <w:vAlign w:val="center"/>
          </w:tcPr>
          <w:p w14:paraId="148BDEC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作业票管理</w:t>
            </w:r>
          </w:p>
        </w:tc>
        <w:tc>
          <w:tcPr>
            <w:tcW w:w="1380" w:type="dxa"/>
            <w:noWrap w:val="0"/>
            <w:vAlign w:val="center"/>
          </w:tcPr>
          <w:p w14:paraId="6DAC872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Hans"/>
              </w:rPr>
              <w:t>智慧安全</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作业票管理</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作业票抽查</w:t>
            </w:r>
          </w:p>
        </w:tc>
        <w:tc>
          <w:tcPr>
            <w:tcW w:w="5052" w:type="dxa"/>
            <w:noWrap w:val="0"/>
            <w:vAlign w:val="center"/>
          </w:tcPr>
          <w:p w14:paraId="17E482D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rPr>
              <w:t>抽查当日企业各项申报的作业票</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在作业开始前</w:t>
            </w:r>
            <w:r>
              <w:rPr>
                <w:rFonts w:hint="eastAsia" w:ascii="宋体" w:hAnsi="宋体" w:eastAsia="宋体" w:cs="宋体"/>
                <w:color w:val="auto"/>
                <w:sz w:val="21"/>
                <w:szCs w:val="21"/>
                <w:highlight w:val="none"/>
                <w:lang w:eastAsia="zh-CN"/>
              </w:rPr>
              <w:t>核对作业人员危险作业资格证，如有</w:t>
            </w:r>
            <w:r>
              <w:rPr>
                <w:rFonts w:hint="eastAsia" w:ascii="宋体" w:hAnsi="宋体" w:eastAsia="宋体" w:cs="宋体"/>
                <w:color w:val="auto"/>
                <w:sz w:val="21"/>
                <w:szCs w:val="21"/>
                <w:highlight w:val="none"/>
                <w:lang w:val="en-US" w:eastAsia="zh-CN"/>
              </w:rPr>
              <w:t>隐患先联系企业处置，仍有问题</w:t>
            </w:r>
            <w:r>
              <w:rPr>
                <w:rFonts w:hint="eastAsia" w:ascii="宋体" w:hAnsi="宋体" w:eastAsia="宋体" w:cs="宋体"/>
                <w:color w:val="auto"/>
                <w:sz w:val="21"/>
                <w:szCs w:val="21"/>
                <w:highlight w:val="none"/>
                <w:lang w:eastAsia="zh-CN"/>
              </w:rPr>
              <w:t>汇报</w:t>
            </w:r>
            <w:r>
              <w:rPr>
                <w:rFonts w:hint="eastAsia" w:ascii="宋体" w:hAnsi="宋体" w:eastAsia="宋体" w:cs="宋体"/>
                <w:color w:val="auto"/>
                <w:sz w:val="21"/>
                <w:szCs w:val="21"/>
                <w:highlight w:val="none"/>
                <w:lang w:val="en-US" w:eastAsia="zh-CN"/>
              </w:rPr>
              <w:t>安全科</w:t>
            </w:r>
            <w:r>
              <w:rPr>
                <w:rFonts w:hint="eastAsia" w:ascii="宋体" w:hAnsi="宋体" w:eastAsia="宋体" w:cs="宋体"/>
                <w:color w:val="auto"/>
                <w:sz w:val="21"/>
                <w:szCs w:val="21"/>
                <w:highlight w:val="none"/>
                <w:lang w:eastAsia="zh-CN"/>
              </w:rPr>
              <w:t>，并记录。</w:t>
            </w:r>
          </w:p>
        </w:tc>
        <w:tc>
          <w:tcPr>
            <w:tcW w:w="1640" w:type="dxa"/>
            <w:noWrap w:val="0"/>
            <w:vAlign w:val="center"/>
          </w:tcPr>
          <w:p w14:paraId="0C71480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r>
              <w:rPr>
                <w:rFonts w:hint="eastAsia" w:ascii="宋体" w:hAnsi="宋体" w:eastAsia="宋体" w:cs="宋体"/>
                <w:color w:val="auto"/>
                <w:sz w:val="21"/>
                <w:szCs w:val="21"/>
                <w:highlight w:val="none"/>
                <w:vertAlign w:val="baseline"/>
                <w:lang w:val="en-US" w:eastAsia="zh-Hans"/>
              </w:rPr>
              <w:t>如遇问题立即联系相关企业并说明原因</w:t>
            </w:r>
          </w:p>
          <w:p w14:paraId="07EE9A7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eastAsia="zh-Hans"/>
              </w:rPr>
            </w:pPr>
          </w:p>
        </w:tc>
      </w:tr>
      <w:tr w14:paraId="1F757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65A6137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noWrap w:val="0"/>
            <w:vAlign w:val="center"/>
          </w:tcPr>
          <w:p w14:paraId="35D0378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设备设施库</w:t>
            </w:r>
          </w:p>
        </w:tc>
        <w:tc>
          <w:tcPr>
            <w:tcW w:w="1380" w:type="dxa"/>
            <w:noWrap w:val="0"/>
            <w:vAlign w:val="center"/>
          </w:tcPr>
          <w:p w14:paraId="47917D2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Hans"/>
              </w:rPr>
              <w:t>智慧安全</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设备设施库</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安全设施</w:t>
            </w:r>
          </w:p>
        </w:tc>
        <w:tc>
          <w:tcPr>
            <w:tcW w:w="5052" w:type="dxa"/>
            <w:noWrap w:val="0"/>
            <w:vAlign w:val="center"/>
          </w:tcPr>
          <w:p w14:paraId="2897F790">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bidi="ar-SA"/>
              </w:rPr>
              <w:t>1.</w:t>
            </w:r>
            <w:r>
              <w:rPr>
                <w:rFonts w:hint="eastAsia" w:ascii="宋体" w:hAnsi="宋体" w:eastAsia="宋体" w:cs="宋体"/>
                <w:color w:val="auto"/>
                <w:sz w:val="21"/>
                <w:szCs w:val="21"/>
                <w:highlight w:val="none"/>
                <w:lang w:val="en-US" w:eastAsia="zh-CN"/>
              </w:rPr>
              <w:t>每月</w:t>
            </w:r>
            <w:r>
              <w:rPr>
                <w:rFonts w:hint="eastAsia" w:ascii="宋体" w:hAnsi="宋体" w:eastAsia="宋体" w:cs="宋体"/>
                <w:color w:val="auto"/>
                <w:sz w:val="21"/>
                <w:szCs w:val="21"/>
                <w:highlight w:val="none"/>
                <w:lang w:val="en-US" w:eastAsia="zh-Hans"/>
              </w:rPr>
              <w:t>第一天统计当月</w:t>
            </w:r>
            <w:r>
              <w:rPr>
                <w:rFonts w:hint="eastAsia" w:ascii="宋体" w:hAnsi="宋体" w:eastAsia="宋体" w:cs="宋体"/>
                <w:color w:val="auto"/>
                <w:sz w:val="21"/>
                <w:szCs w:val="21"/>
                <w:highlight w:val="none"/>
                <w:lang w:val="en-US" w:eastAsia="zh-CN"/>
              </w:rPr>
              <w:t>存在过期设施</w:t>
            </w:r>
            <w:r>
              <w:rPr>
                <w:rFonts w:hint="eastAsia" w:ascii="宋体" w:hAnsi="宋体" w:eastAsia="宋体" w:cs="宋体"/>
                <w:color w:val="auto"/>
                <w:sz w:val="21"/>
                <w:szCs w:val="21"/>
                <w:highlight w:val="none"/>
                <w:lang w:val="en-US" w:eastAsia="zh-Hans"/>
              </w:rPr>
              <w:t>的相关企业</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Hans"/>
              </w:rPr>
              <w:t>通过电话和信息截图通知相关企业安全负责人尽快更新设备检验</w:t>
            </w:r>
            <w:r>
              <w:rPr>
                <w:rFonts w:hint="eastAsia" w:ascii="宋体" w:hAnsi="宋体" w:eastAsia="宋体" w:cs="宋体"/>
                <w:color w:val="auto"/>
                <w:sz w:val="21"/>
                <w:szCs w:val="21"/>
                <w:highlight w:val="none"/>
                <w:lang w:eastAsia="zh-Hans"/>
              </w:rPr>
              <w:t>。</w:t>
            </w:r>
          </w:p>
          <w:p w14:paraId="79FE8548">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bidi="ar-SA"/>
              </w:rPr>
              <w:t>2.</w:t>
            </w:r>
            <w:r>
              <w:rPr>
                <w:rFonts w:hint="eastAsia" w:ascii="宋体" w:hAnsi="宋体" w:eastAsia="宋体" w:cs="宋体"/>
                <w:color w:val="auto"/>
                <w:sz w:val="21"/>
                <w:szCs w:val="21"/>
                <w:highlight w:val="none"/>
                <w:lang w:val="en-US" w:eastAsia="zh-Hans"/>
              </w:rPr>
              <w:t>每天进入平台检查临期企业是否完成更新</w:t>
            </w:r>
            <w:r>
              <w:rPr>
                <w:rFonts w:hint="eastAsia" w:ascii="宋体" w:hAnsi="宋体" w:eastAsia="宋体" w:cs="宋体"/>
                <w:color w:val="auto"/>
                <w:sz w:val="21"/>
                <w:szCs w:val="21"/>
                <w:highlight w:val="none"/>
                <w:lang w:eastAsia="zh-Hans"/>
              </w:rPr>
              <w:t>。</w:t>
            </w:r>
          </w:p>
          <w:p w14:paraId="000C152D">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bidi="ar-SA"/>
              </w:rPr>
              <w:t>3.</w:t>
            </w:r>
            <w:r>
              <w:rPr>
                <w:rFonts w:hint="eastAsia" w:ascii="宋体" w:hAnsi="宋体" w:eastAsia="宋体" w:cs="宋体"/>
                <w:color w:val="auto"/>
                <w:sz w:val="21"/>
                <w:szCs w:val="21"/>
                <w:highlight w:val="none"/>
                <w:lang w:val="en-US" w:eastAsia="zh-Hans"/>
              </w:rPr>
              <w:t>临期前一</w:t>
            </w:r>
            <w:r>
              <w:rPr>
                <w:rFonts w:hint="eastAsia" w:ascii="宋体" w:hAnsi="宋体" w:eastAsia="宋体" w:cs="宋体"/>
                <w:color w:val="auto"/>
                <w:sz w:val="21"/>
                <w:szCs w:val="21"/>
                <w:highlight w:val="none"/>
                <w:lang w:val="en-US" w:eastAsia="zh-CN"/>
              </w:rPr>
              <w:t>周</w:t>
            </w:r>
            <w:r>
              <w:rPr>
                <w:rFonts w:hint="eastAsia" w:ascii="宋体" w:hAnsi="宋体" w:eastAsia="宋体" w:cs="宋体"/>
                <w:color w:val="auto"/>
                <w:sz w:val="21"/>
                <w:szCs w:val="21"/>
                <w:highlight w:val="none"/>
                <w:lang w:val="en-US" w:eastAsia="zh-Hans"/>
              </w:rPr>
              <w:t>再次通知相关企业进行处理</w:t>
            </w:r>
            <w:r>
              <w:rPr>
                <w:rFonts w:hint="eastAsia" w:ascii="宋体" w:hAnsi="宋体" w:eastAsia="宋体" w:cs="宋体"/>
                <w:color w:val="auto"/>
                <w:sz w:val="21"/>
                <w:szCs w:val="21"/>
                <w:highlight w:val="none"/>
                <w:lang w:val="en-US" w:eastAsia="zh-CN"/>
              </w:rPr>
              <w:t>并汇报安全科张珉</w:t>
            </w:r>
            <w:r>
              <w:rPr>
                <w:rFonts w:hint="eastAsia" w:ascii="宋体" w:hAnsi="宋体" w:eastAsia="宋体" w:cs="宋体"/>
                <w:color w:val="auto"/>
                <w:sz w:val="21"/>
                <w:szCs w:val="21"/>
                <w:highlight w:val="none"/>
                <w:lang w:eastAsia="zh-Hans"/>
              </w:rPr>
              <w:t>。</w:t>
            </w:r>
          </w:p>
          <w:p w14:paraId="135D9E26">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bidi="ar-SA"/>
              </w:rPr>
              <w:t>4.</w:t>
            </w:r>
            <w:r>
              <w:rPr>
                <w:rFonts w:hint="eastAsia" w:ascii="宋体" w:hAnsi="宋体" w:eastAsia="宋体" w:cs="宋体"/>
                <w:color w:val="auto"/>
                <w:sz w:val="21"/>
                <w:szCs w:val="21"/>
                <w:highlight w:val="none"/>
                <w:lang w:val="en-US" w:eastAsia="zh-Hans"/>
              </w:rPr>
              <w:t>临期前一天再次通知相关企业进行处理</w:t>
            </w:r>
            <w:r>
              <w:rPr>
                <w:rFonts w:hint="eastAsia" w:ascii="宋体" w:hAnsi="宋体" w:eastAsia="宋体" w:cs="宋体"/>
                <w:color w:val="auto"/>
                <w:sz w:val="21"/>
                <w:szCs w:val="21"/>
                <w:highlight w:val="none"/>
                <w:lang w:val="en-US" w:eastAsia="zh-CN"/>
              </w:rPr>
              <w:t>并汇报安全科吴维玉</w:t>
            </w:r>
            <w:r>
              <w:rPr>
                <w:rFonts w:hint="eastAsia" w:ascii="宋体" w:hAnsi="宋体" w:eastAsia="宋体" w:cs="宋体"/>
                <w:color w:val="auto"/>
                <w:sz w:val="21"/>
                <w:szCs w:val="21"/>
                <w:highlight w:val="none"/>
                <w:lang w:eastAsia="zh-Hans"/>
              </w:rPr>
              <w:t>。</w:t>
            </w:r>
          </w:p>
          <w:p w14:paraId="2A3DADF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Hans"/>
              </w:rPr>
              <w:t>.如果超期依旧未处置</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CN"/>
              </w:rPr>
              <w:t>第一时间汇报安全科，由安全科向部门领导汇报。</w:t>
            </w:r>
          </w:p>
          <w:p w14:paraId="2E6F7D1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6.每日持续跟进联系企业处理。</w:t>
            </w:r>
          </w:p>
          <w:p w14:paraId="6679945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vertAlign w:val="baseline"/>
                <w:lang w:val="en-US"/>
              </w:rPr>
            </w:pPr>
            <w:r>
              <w:rPr>
                <w:rFonts w:hint="eastAsia" w:ascii="宋体" w:hAnsi="宋体" w:eastAsia="宋体" w:cs="宋体"/>
                <w:color w:val="auto"/>
                <w:sz w:val="21"/>
                <w:szCs w:val="21"/>
                <w:highlight w:val="none"/>
                <w:lang w:val="en-US" w:eastAsia="zh-CN"/>
              </w:rPr>
              <w:t>P.S.（证书预警参照执行，除安全管理人员和安全负责人证是当年完成复训即可）</w:t>
            </w:r>
          </w:p>
        </w:tc>
        <w:tc>
          <w:tcPr>
            <w:tcW w:w="1640" w:type="dxa"/>
            <w:noWrap w:val="0"/>
            <w:vAlign w:val="center"/>
          </w:tcPr>
          <w:p w14:paraId="601FDBB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提前一</w:t>
            </w:r>
            <w:r>
              <w:rPr>
                <w:rFonts w:hint="eastAsia" w:ascii="宋体" w:hAnsi="宋体" w:eastAsia="宋体" w:cs="宋体"/>
                <w:color w:val="auto"/>
                <w:sz w:val="21"/>
                <w:szCs w:val="21"/>
                <w:highlight w:val="none"/>
                <w:vertAlign w:val="baseline"/>
                <w:lang w:val="en-US" w:eastAsia="zh-Hans"/>
              </w:rPr>
              <w:t>月联系相关企业</w:t>
            </w:r>
            <w:r>
              <w:rPr>
                <w:rFonts w:hint="eastAsia" w:ascii="宋体" w:hAnsi="宋体" w:eastAsia="宋体" w:cs="宋体"/>
                <w:color w:val="auto"/>
                <w:sz w:val="21"/>
                <w:szCs w:val="21"/>
                <w:highlight w:val="none"/>
                <w:vertAlign w:val="baseline"/>
                <w:lang w:val="en-US" w:eastAsia="zh-CN"/>
              </w:rPr>
              <w:t>，</w:t>
            </w:r>
          </w:p>
          <w:p w14:paraId="403FC20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Hans"/>
              </w:rPr>
              <w:t>临期前一</w:t>
            </w:r>
            <w:r>
              <w:rPr>
                <w:rFonts w:hint="eastAsia" w:ascii="宋体" w:hAnsi="宋体" w:eastAsia="宋体" w:cs="宋体"/>
                <w:color w:val="auto"/>
                <w:sz w:val="21"/>
                <w:szCs w:val="21"/>
                <w:highlight w:val="none"/>
                <w:vertAlign w:val="baseline"/>
                <w:lang w:val="en-US" w:eastAsia="zh-CN"/>
              </w:rPr>
              <w:t>周</w:t>
            </w:r>
            <w:r>
              <w:rPr>
                <w:rFonts w:hint="eastAsia" w:ascii="宋体" w:hAnsi="宋体" w:eastAsia="宋体" w:cs="宋体"/>
                <w:color w:val="auto"/>
                <w:sz w:val="21"/>
                <w:szCs w:val="21"/>
                <w:highlight w:val="none"/>
                <w:vertAlign w:val="baseline"/>
                <w:lang w:val="en-US" w:eastAsia="zh-Hans"/>
              </w:rPr>
              <w:t>再次通知未处理企业</w:t>
            </w:r>
            <w:r>
              <w:rPr>
                <w:rFonts w:hint="eastAsia" w:ascii="宋体" w:hAnsi="宋体" w:eastAsia="宋体" w:cs="宋体"/>
                <w:color w:val="auto"/>
                <w:sz w:val="21"/>
                <w:szCs w:val="21"/>
                <w:highlight w:val="none"/>
                <w:vertAlign w:val="baseline"/>
                <w:lang w:val="en-US" w:eastAsia="zh-CN"/>
              </w:rPr>
              <w:t>，</w:t>
            </w:r>
          </w:p>
          <w:p w14:paraId="522DA39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r>
              <w:rPr>
                <w:rFonts w:hint="eastAsia" w:ascii="宋体" w:hAnsi="宋体" w:eastAsia="宋体" w:cs="宋体"/>
                <w:color w:val="auto"/>
                <w:sz w:val="21"/>
                <w:szCs w:val="21"/>
                <w:highlight w:val="none"/>
                <w:vertAlign w:val="baseline"/>
                <w:lang w:val="en-US" w:eastAsia="zh-Hans"/>
              </w:rPr>
              <w:t>临期前一天再次通知未处理企业</w:t>
            </w:r>
          </w:p>
        </w:tc>
      </w:tr>
      <w:tr w14:paraId="52B09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33991C0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noWrap w:val="0"/>
            <w:vAlign w:val="center"/>
          </w:tcPr>
          <w:p w14:paraId="381571A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bidi="ar-SA"/>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CN"/>
              </w:rPr>
              <w:t>网格化隐患巡查</w:t>
            </w:r>
          </w:p>
        </w:tc>
        <w:tc>
          <w:tcPr>
            <w:tcW w:w="1380" w:type="dxa"/>
            <w:noWrap w:val="0"/>
            <w:vAlign w:val="center"/>
          </w:tcPr>
          <w:p w14:paraId="0C0EF4D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bidi="ar-SA"/>
              </w:rPr>
            </w:pPr>
            <w:r>
              <w:rPr>
                <w:rFonts w:hint="eastAsia" w:ascii="宋体" w:hAnsi="宋体" w:eastAsia="宋体" w:cs="宋体"/>
                <w:color w:val="auto"/>
                <w:sz w:val="21"/>
                <w:szCs w:val="21"/>
                <w:highlight w:val="none"/>
                <w:lang w:val="en-US" w:eastAsia="zh-Hans"/>
              </w:rPr>
              <w:t>智慧安全</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CN"/>
              </w:rPr>
              <w:t>网格化工作-化工隐患巡查-检查隐患</w:t>
            </w:r>
          </w:p>
        </w:tc>
        <w:tc>
          <w:tcPr>
            <w:tcW w:w="5052" w:type="dxa"/>
            <w:noWrap w:val="0"/>
            <w:vAlign w:val="center"/>
          </w:tcPr>
          <w:p w14:paraId="2F1BA312">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Hans" w:bidi="ar-SA"/>
              </w:rPr>
              <w:t>.</w:t>
            </w:r>
            <w:r>
              <w:rPr>
                <w:rFonts w:hint="eastAsia" w:ascii="宋体" w:hAnsi="宋体" w:eastAsia="宋体" w:cs="宋体"/>
                <w:color w:val="auto"/>
                <w:sz w:val="21"/>
                <w:szCs w:val="21"/>
                <w:highlight w:val="none"/>
                <w:lang w:val="en-US" w:eastAsia="zh-CN"/>
              </w:rPr>
              <w:t>每日一检查，发现临期一月的隐患未闭环，及截图提醒企业及时完成。</w:t>
            </w:r>
          </w:p>
          <w:p w14:paraId="313C771A">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bidi="ar-SA"/>
              </w:rPr>
              <w:t>2.</w:t>
            </w:r>
            <w:r>
              <w:rPr>
                <w:rFonts w:hint="eastAsia" w:ascii="宋体" w:hAnsi="宋体" w:eastAsia="宋体" w:cs="宋体"/>
                <w:color w:val="auto"/>
                <w:sz w:val="21"/>
                <w:szCs w:val="21"/>
                <w:highlight w:val="none"/>
                <w:lang w:val="en-US" w:eastAsia="zh-Hans"/>
              </w:rPr>
              <w:t>每天进入平台检查临期企业是否完成更新</w:t>
            </w:r>
            <w:r>
              <w:rPr>
                <w:rFonts w:hint="eastAsia" w:ascii="宋体" w:hAnsi="宋体" w:eastAsia="宋体" w:cs="宋体"/>
                <w:color w:val="auto"/>
                <w:sz w:val="21"/>
                <w:szCs w:val="21"/>
                <w:highlight w:val="none"/>
                <w:lang w:eastAsia="zh-Hans"/>
              </w:rPr>
              <w:t>。</w:t>
            </w:r>
          </w:p>
          <w:p w14:paraId="7A541194">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bidi="ar-SA"/>
              </w:rPr>
              <w:t>3.</w:t>
            </w:r>
            <w:r>
              <w:rPr>
                <w:rFonts w:hint="eastAsia" w:ascii="宋体" w:hAnsi="宋体" w:eastAsia="宋体" w:cs="宋体"/>
                <w:color w:val="auto"/>
                <w:sz w:val="21"/>
                <w:szCs w:val="21"/>
                <w:highlight w:val="none"/>
                <w:lang w:val="en-US" w:eastAsia="zh-Hans"/>
              </w:rPr>
              <w:t>临期前一</w:t>
            </w:r>
            <w:r>
              <w:rPr>
                <w:rFonts w:hint="eastAsia" w:ascii="宋体" w:hAnsi="宋体" w:eastAsia="宋体" w:cs="宋体"/>
                <w:color w:val="auto"/>
                <w:sz w:val="21"/>
                <w:szCs w:val="21"/>
                <w:highlight w:val="none"/>
                <w:lang w:val="en-US" w:eastAsia="zh-CN"/>
              </w:rPr>
              <w:t>周</w:t>
            </w:r>
            <w:r>
              <w:rPr>
                <w:rFonts w:hint="eastAsia" w:ascii="宋体" w:hAnsi="宋体" w:eastAsia="宋体" w:cs="宋体"/>
                <w:color w:val="auto"/>
                <w:sz w:val="21"/>
                <w:szCs w:val="21"/>
                <w:highlight w:val="none"/>
                <w:lang w:val="en-US" w:eastAsia="zh-Hans"/>
              </w:rPr>
              <w:t>再次通知相关企业进行处理</w:t>
            </w:r>
            <w:r>
              <w:rPr>
                <w:rFonts w:hint="eastAsia" w:ascii="宋体" w:hAnsi="宋体" w:eastAsia="宋体" w:cs="宋体"/>
                <w:color w:val="auto"/>
                <w:sz w:val="21"/>
                <w:szCs w:val="21"/>
                <w:highlight w:val="none"/>
                <w:lang w:eastAsia="zh-Hans"/>
              </w:rPr>
              <w:t>。</w:t>
            </w:r>
          </w:p>
          <w:p w14:paraId="7E390D66">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bidi="ar-SA"/>
              </w:rPr>
              <w:t>4.</w:t>
            </w:r>
            <w:r>
              <w:rPr>
                <w:rFonts w:hint="eastAsia" w:ascii="宋体" w:hAnsi="宋体" w:eastAsia="宋体" w:cs="宋体"/>
                <w:color w:val="auto"/>
                <w:sz w:val="21"/>
                <w:szCs w:val="21"/>
                <w:highlight w:val="none"/>
                <w:lang w:val="en-US" w:eastAsia="zh-Hans"/>
              </w:rPr>
              <w:t>临期前一天再次通知相关企业进行处理</w:t>
            </w:r>
            <w:r>
              <w:rPr>
                <w:rFonts w:hint="eastAsia" w:ascii="宋体" w:hAnsi="宋体" w:eastAsia="宋体" w:cs="宋体"/>
                <w:color w:val="auto"/>
                <w:sz w:val="21"/>
                <w:szCs w:val="21"/>
                <w:highlight w:val="none"/>
                <w:lang w:val="en-US" w:eastAsia="zh-CN"/>
              </w:rPr>
              <w:t>，汇报安全科张珉</w:t>
            </w:r>
            <w:r>
              <w:rPr>
                <w:rFonts w:hint="eastAsia" w:ascii="宋体" w:hAnsi="宋体" w:eastAsia="宋体" w:cs="宋体"/>
                <w:color w:val="auto"/>
                <w:sz w:val="21"/>
                <w:szCs w:val="21"/>
                <w:highlight w:val="none"/>
                <w:lang w:eastAsia="zh-Hans"/>
              </w:rPr>
              <w:t>。</w:t>
            </w:r>
          </w:p>
          <w:p w14:paraId="5743120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Hans"/>
              </w:rPr>
              <w:t>.如果超期依旧未处置</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CN"/>
              </w:rPr>
              <w:t>第一时间汇报安全科吴维玉。</w:t>
            </w:r>
          </w:p>
          <w:p w14:paraId="73F49F0D">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6.每日持续跟进联系企业处理</w:t>
            </w:r>
          </w:p>
        </w:tc>
        <w:tc>
          <w:tcPr>
            <w:tcW w:w="1640" w:type="dxa"/>
            <w:noWrap w:val="0"/>
            <w:vAlign w:val="center"/>
          </w:tcPr>
          <w:p w14:paraId="5B49BCC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bidi="ar-SA"/>
              </w:rPr>
            </w:pPr>
            <w:r>
              <w:rPr>
                <w:rFonts w:hint="eastAsia" w:ascii="宋体" w:hAnsi="宋体" w:eastAsia="宋体" w:cs="宋体"/>
                <w:color w:val="auto"/>
                <w:sz w:val="21"/>
                <w:szCs w:val="21"/>
                <w:highlight w:val="none"/>
                <w:vertAlign w:val="baseline"/>
                <w:lang w:val="en-US" w:eastAsia="zh-CN"/>
              </w:rPr>
              <w:t>每日一次</w:t>
            </w:r>
          </w:p>
        </w:tc>
      </w:tr>
      <w:tr w14:paraId="63E01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33E9767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noWrap w:val="0"/>
            <w:vAlign w:val="center"/>
          </w:tcPr>
          <w:p w14:paraId="38F5B0A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CN"/>
              </w:rPr>
              <w:t>双预防隐患巡查</w:t>
            </w:r>
          </w:p>
        </w:tc>
        <w:tc>
          <w:tcPr>
            <w:tcW w:w="1380" w:type="dxa"/>
            <w:noWrap w:val="0"/>
            <w:vAlign w:val="center"/>
          </w:tcPr>
          <w:p w14:paraId="04548AE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lang w:val="en-US" w:eastAsia="zh-Hans"/>
              </w:rPr>
              <w:t>智慧安全</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CN"/>
              </w:rPr>
              <w:t>双重机制-企业新双预防-隐患排查治理</w:t>
            </w:r>
          </w:p>
        </w:tc>
        <w:tc>
          <w:tcPr>
            <w:tcW w:w="5052" w:type="dxa"/>
            <w:noWrap w:val="0"/>
            <w:vAlign w:val="center"/>
          </w:tcPr>
          <w:p w14:paraId="37E08990">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val="en-US" w:eastAsia="zh-CN"/>
              </w:rPr>
              <w:t>每日一检查，发现临期一月的隐患未闭环，及截图提醒企业及时完成。</w:t>
            </w:r>
          </w:p>
          <w:p w14:paraId="04AA0A34">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rPr>
              <w:t>2.每天进入平台检查临期企业是否完成更新</w:t>
            </w:r>
            <w:r>
              <w:rPr>
                <w:rFonts w:hint="eastAsia" w:ascii="宋体" w:hAnsi="宋体" w:eastAsia="宋体" w:cs="宋体"/>
                <w:color w:val="auto"/>
                <w:sz w:val="21"/>
                <w:szCs w:val="21"/>
                <w:highlight w:val="none"/>
                <w:lang w:eastAsia="zh-Hans"/>
              </w:rPr>
              <w:t>。</w:t>
            </w:r>
          </w:p>
          <w:p w14:paraId="4A3F1861">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rPr>
              <w:t>3.临期前一</w:t>
            </w:r>
            <w:r>
              <w:rPr>
                <w:rFonts w:hint="eastAsia" w:ascii="宋体" w:hAnsi="宋体" w:eastAsia="宋体" w:cs="宋体"/>
                <w:color w:val="auto"/>
                <w:sz w:val="21"/>
                <w:szCs w:val="21"/>
                <w:highlight w:val="none"/>
                <w:lang w:val="en-US" w:eastAsia="zh-CN"/>
              </w:rPr>
              <w:t>周</w:t>
            </w:r>
            <w:r>
              <w:rPr>
                <w:rFonts w:hint="eastAsia" w:ascii="宋体" w:hAnsi="宋体" w:eastAsia="宋体" w:cs="宋体"/>
                <w:color w:val="auto"/>
                <w:sz w:val="21"/>
                <w:szCs w:val="21"/>
                <w:highlight w:val="none"/>
                <w:lang w:val="en-US" w:eastAsia="zh-Hans"/>
              </w:rPr>
              <w:t>再次通知相关企业进行处理</w:t>
            </w:r>
            <w:r>
              <w:rPr>
                <w:rFonts w:hint="eastAsia" w:ascii="宋体" w:hAnsi="宋体" w:eastAsia="宋体" w:cs="宋体"/>
                <w:color w:val="auto"/>
                <w:sz w:val="21"/>
                <w:szCs w:val="21"/>
                <w:highlight w:val="none"/>
                <w:lang w:eastAsia="zh-Hans"/>
              </w:rPr>
              <w:t>。</w:t>
            </w:r>
          </w:p>
          <w:p w14:paraId="049E0555">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Hans"/>
              </w:rPr>
              <w:t>4.临期前一天再次通知相关企业进行处理</w:t>
            </w:r>
            <w:r>
              <w:rPr>
                <w:rFonts w:hint="eastAsia" w:ascii="宋体" w:hAnsi="宋体" w:eastAsia="宋体" w:cs="宋体"/>
                <w:color w:val="auto"/>
                <w:sz w:val="21"/>
                <w:szCs w:val="21"/>
                <w:highlight w:val="none"/>
                <w:lang w:val="en-US" w:eastAsia="zh-CN"/>
              </w:rPr>
              <w:t>，汇报安全科张珉</w:t>
            </w:r>
            <w:r>
              <w:rPr>
                <w:rFonts w:hint="eastAsia" w:ascii="宋体" w:hAnsi="宋体" w:eastAsia="宋体" w:cs="宋体"/>
                <w:color w:val="auto"/>
                <w:sz w:val="21"/>
                <w:szCs w:val="21"/>
                <w:highlight w:val="none"/>
                <w:lang w:eastAsia="zh-Hans"/>
              </w:rPr>
              <w:t>。</w:t>
            </w:r>
          </w:p>
          <w:p w14:paraId="3CF22834">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Hans"/>
              </w:rPr>
              <w:t>.如果超期依旧未处置</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lang w:val="en-US" w:eastAsia="zh-CN"/>
              </w:rPr>
              <w:t>第一时间汇报安全科吴维玉。</w:t>
            </w:r>
          </w:p>
          <w:p w14:paraId="76A1A6D9">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6.每日持续跟进联系企业处理</w:t>
            </w:r>
          </w:p>
          <w:p w14:paraId="54A5D98F">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Hans"/>
              </w:rPr>
              <w:t>.如果企业连续3月双预防巡检未上传隐患，汇报安全科吴维玉。</w:t>
            </w:r>
          </w:p>
        </w:tc>
        <w:tc>
          <w:tcPr>
            <w:tcW w:w="1640" w:type="dxa"/>
            <w:noWrap w:val="0"/>
            <w:vAlign w:val="center"/>
          </w:tcPr>
          <w:p w14:paraId="5E45397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每日一次</w:t>
            </w:r>
          </w:p>
        </w:tc>
      </w:tr>
      <w:tr w14:paraId="1756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60B54E0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58B1A03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vertAlign w:val="baseline"/>
                <w:lang w:val="en-US" w:eastAsia="zh-Hans" w:bidi="ar-SA"/>
              </w:rPr>
              <w:t>化工企业摄像头巡检</w:t>
            </w:r>
          </w:p>
        </w:tc>
        <w:tc>
          <w:tcPr>
            <w:tcW w:w="1380" w:type="dxa"/>
            <w:shd w:val="clear" w:color="auto" w:fill="auto"/>
            <w:noWrap w:val="0"/>
            <w:vAlign w:val="center"/>
          </w:tcPr>
          <w:p w14:paraId="0BD0F82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rPr>
            </w:pPr>
            <w:r>
              <w:rPr>
                <w:rFonts w:hint="eastAsia" w:ascii="宋体" w:hAnsi="宋体" w:eastAsia="宋体" w:cs="宋体"/>
                <w:color w:val="auto"/>
                <w:sz w:val="21"/>
                <w:szCs w:val="21"/>
                <w:highlight w:val="none"/>
                <w:vertAlign w:val="baseline"/>
                <w:lang w:val="en-US" w:eastAsia="zh-CN"/>
              </w:rPr>
              <w:t>海康视频-实时预览-太仓市-太仓港区-港区两重点一重大企业</w:t>
            </w:r>
          </w:p>
        </w:tc>
        <w:tc>
          <w:tcPr>
            <w:tcW w:w="5052" w:type="dxa"/>
            <w:shd w:val="clear" w:color="auto" w:fill="auto"/>
            <w:noWrap w:val="0"/>
            <w:vAlign w:val="center"/>
          </w:tcPr>
          <w:p w14:paraId="75373DC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依据“29家化工全覆盖抽查表”要求，对表格上的监控点位进行巡检，发现正在特殊作业（如动火等）、存在不规范事件或者其他隐患时及时截图，录屏，并将问题和时间记录下来。并联系企业立即整改并反馈整改记录（照片、文字），如不能立行立改的汇报安全科孙凯。</w:t>
            </w:r>
          </w:p>
        </w:tc>
        <w:tc>
          <w:tcPr>
            <w:tcW w:w="1640" w:type="dxa"/>
            <w:noWrap w:val="0"/>
            <w:vAlign w:val="center"/>
          </w:tcPr>
          <w:p w14:paraId="574FD65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rPr>
            </w:pPr>
            <w:r>
              <w:rPr>
                <w:rFonts w:hint="eastAsia" w:ascii="宋体" w:hAnsi="宋体" w:eastAsia="宋体" w:cs="宋体"/>
                <w:color w:val="auto"/>
                <w:sz w:val="21"/>
                <w:szCs w:val="21"/>
                <w:highlight w:val="none"/>
                <w:vertAlign w:val="baseline"/>
                <w:lang w:val="en-US" w:eastAsia="zh-CN"/>
              </w:rPr>
              <w:t>实时</w:t>
            </w:r>
          </w:p>
        </w:tc>
      </w:tr>
      <w:tr w14:paraId="187F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753449B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7D68FD0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Hans"/>
              </w:rPr>
              <w:t>.</w:t>
            </w:r>
            <w:r>
              <w:rPr>
                <w:rFonts w:hint="eastAsia" w:ascii="宋体" w:hAnsi="宋体" w:eastAsia="宋体" w:cs="宋体"/>
                <w:color w:val="auto"/>
                <w:sz w:val="21"/>
                <w:szCs w:val="21"/>
                <w:highlight w:val="none"/>
                <w:lang w:eastAsia="zh-Hans"/>
              </w:rPr>
              <w:t xml:space="preserve"> 高塔监控巡检</w:t>
            </w:r>
          </w:p>
        </w:tc>
        <w:tc>
          <w:tcPr>
            <w:tcW w:w="1380" w:type="dxa"/>
            <w:shd w:val="clear" w:color="auto" w:fill="auto"/>
            <w:noWrap w:val="0"/>
            <w:vAlign w:val="center"/>
          </w:tcPr>
          <w:p w14:paraId="57A9FAC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Hans" w:bidi="ar-SA"/>
              </w:rPr>
            </w:pPr>
            <w:r>
              <w:rPr>
                <w:rFonts w:hint="eastAsia" w:ascii="宋体" w:hAnsi="宋体" w:eastAsia="宋体" w:cs="宋体"/>
                <w:color w:val="auto"/>
                <w:sz w:val="21"/>
                <w:szCs w:val="21"/>
                <w:highlight w:val="none"/>
                <w:vertAlign w:val="baseline"/>
                <w:lang w:val="en-US" w:eastAsia="zh-CN"/>
              </w:rPr>
              <w:t>海康视频-实时预览-太仓化工园区-高塔监控</w:t>
            </w:r>
          </w:p>
        </w:tc>
        <w:tc>
          <w:tcPr>
            <w:tcW w:w="5052" w:type="dxa"/>
            <w:shd w:val="clear" w:color="auto" w:fill="auto"/>
            <w:noWrap w:val="0"/>
            <w:vAlign w:val="center"/>
          </w:tcPr>
          <w:p w14:paraId="1CF35E8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对高塔监控循环检查，检查监控是否有火光/烟雾。若发现明显有火光/烟雾联系消防站，点位频繁报警联系巡查检查并联系维保检查设备</w:t>
            </w:r>
            <w:r>
              <w:rPr>
                <w:rFonts w:hint="eastAsia" w:ascii="宋体" w:hAnsi="宋体" w:eastAsia="宋体" w:cs="宋体"/>
                <w:b w:val="0"/>
                <w:bCs w:val="0"/>
                <w:color w:val="auto"/>
                <w:sz w:val="21"/>
                <w:szCs w:val="21"/>
                <w:highlight w:val="none"/>
                <w:lang w:val="en-US" w:eastAsia="zh-CN"/>
              </w:rPr>
              <w:t>，并记录异常情况。若无异常，记录为误报。</w:t>
            </w:r>
          </w:p>
        </w:tc>
        <w:tc>
          <w:tcPr>
            <w:tcW w:w="1640" w:type="dxa"/>
            <w:noWrap w:val="0"/>
            <w:vAlign w:val="center"/>
          </w:tcPr>
          <w:p w14:paraId="0443978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实时</w:t>
            </w:r>
          </w:p>
        </w:tc>
      </w:tr>
      <w:tr w14:paraId="5101A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43F6C53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1D32236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9.企业承诺巡查</w:t>
            </w:r>
          </w:p>
        </w:tc>
        <w:tc>
          <w:tcPr>
            <w:tcW w:w="1380" w:type="dxa"/>
            <w:shd w:val="clear" w:color="auto" w:fill="auto"/>
            <w:noWrap w:val="0"/>
            <w:vAlign w:val="center"/>
          </w:tcPr>
          <w:p w14:paraId="052CF15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苏州市危险化学品安全生产风险监测预警系统-承诺公告-五项制度-企业抽查</w:t>
            </w:r>
            <w:r>
              <w:rPr>
                <w:rFonts w:hint="eastAsia" w:ascii="宋体" w:hAnsi="宋体" w:eastAsia="宋体" w:cs="宋体"/>
                <w:color w:val="auto"/>
                <w:sz w:val="21"/>
                <w:szCs w:val="21"/>
                <w:highlight w:val="none"/>
              </w:rPr>
              <w:t>/园区平台-智慧安全-双重预防机制-安全承诺信息管理</w:t>
            </w:r>
          </w:p>
        </w:tc>
        <w:tc>
          <w:tcPr>
            <w:tcW w:w="5052" w:type="dxa"/>
            <w:shd w:val="clear" w:color="auto" w:fill="auto"/>
            <w:noWrap w:val="0"/>
            <w:vAlign w:val="center"/>
          </w:tcPr>
          <w:p w14:paraId="60917F9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对企业状态抽查，每次抽查6家企业。如遇异常状态需通知企业及时处置（抽查时间为每日上午10：00-10：30）。督促</w:t>
            </w:r>
            <w:r>
              <w:rPr>
                <w:rFonts w:hint="eastAsia" w:ascii="宋体" w:hAnsi="宋体" w:eastAsia="宋体" w:cs="宋体"/>
                <w:color w:val="auto"/>
                <w:sz w:val="21"/>
                <w:szCs w:val="21"/>
                <w:highlight w:val="none"/>
              </w:rPr>
              <w:t>需要上报承诺的企业每日在园区平台及时承诺上报。</w:t>
            </w:r>
          </w:p>
        </w:tc>
        <w:tc>
          <w:tcPr>
            <w:tcW w:w="1640" w:type="dxa"/>
            <w:shd w:val="clear" w:color="auto" w:fill="auto"/>
            <w:noWrap w:val="0"/>
            <w:vAlign w:val="center"/>
          </w:tcPr>
          <w:p w14:paraId="692C5EC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每日一次</w:t>
            </w:r>
          </w:p>
        </w:tc>
      </w:tr>
      <w:tr w14:paraId="228C2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1B6598C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70C99F8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10.危化企业24小时值班电话抽查</w:t>
            </w:r>
          </w:p>
        </w:tc>
        <w:tc>
          <w:tcPr>
            <w:tcW w:w="1380" w:type="dxa"/>
            <w:shd w:val="clear" w:color="auto" w:fill="auto"/>
            <w:noWrap w:val="0"/>
            <w:vAlign w:val="center"/>
          </w:tcPr>
          <w:p w14:paraId="25DD8C6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p>
        </w:tc>
        <w:tc>
          <w:tcPr>
            <w:tcW w:w="5052" w:type="dxa"/>
            <w:shd w:val="clear" w:color="auto" w:fill="auto"/>
            <w:noWrap w:val="0"/>
            <w:vAlign w:val="center"/>
          </w:tcPr>
          <w:p w14:paraId="63541B2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每周提前在微信群内收集危化企业值班表，每天运维人员按要求对园区内所有化工企业进行值班人员不定时抽查，并要求共享定位，记录抽查情况。</w:t>
            </w:r>
          </w:p>
        </w:tc>
        <w:tc>
          <w:tcPr>
            <w:tcW w:w="1640" w:type="dxa"/>
            <w:shd w:val="clear" w:color="auto" w:fill="auto"/>
            <w:noWrap w:val="0"/>
            <w:vAlign w:val="center"/>
          </w:tcPr>
          <w:p w14:paraId="106A923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每周一次</w:t>
            </w:r>
          </w:p>
        </w:tc>
      </w:tr>
      <w:tr w14:paraId="71AB9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645" w:type="dxa"/>
            <w:vMerge w:val="continue"/>
            <w:noWrap w:val="0"/>
            <w:vAlign w:val="center"/>
          </w:tcPr>
          <w:p w14:paraId="239705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462D640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11.布控球录制企业动火作业现场情况</w:t>
            </w:r>
          </w:p>
        </w:tc>
        <w:tc>
          <w:tcPr>
            <w:tcW w:w="1380" w:type="dxa"/>
            <w:shd w:val="clear" w:color="auto" w:fill="auto"/>
            <w:noWrap w:val="0"/>
            <w:vAlign w:val="center"/>
          </w:tcPr>
          <w:p w14:paraId="4969740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可视化立体移动指挥平台-单向视频-录像</w:t>
            </w:r>
          </w:p>
        </w:tc>
        <w:tc>
          <w:tcPr>
            <w:tcW w:w="5052" w:type="dxa"/>
            <w:shd w:val="clear" w:color="auto" w:fill="auto"/>
            <w:noWrap w:val="0"/>
            <w:vAlign w:val="center"/>
          </w:tcPr>
          <w:p w14:paraId="24A9C2A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1.当企业进行一级/特级动火作业时需领用布控球，做好布控球领用记录。</w:t>
            </w:r>
          </w:p>
          <w:p w14:paraId="3BE96CA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2.企业来领用布控球时，问清企业作业开始时间，第一时间在“动火作业监控群”里告知专家。</w:t>
            </w:r>
          </w:p>
          <w:p w14:paraId="40164FE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3.作业开始时录制作业现场视频，如遇异常情况，立即电话企业联系人制止。</w:t>
            </w:r>
          </w:p>
          <w:p w14:paraId="1CF44E7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rPr>
              <w:t>4.发现布控球不能正常使用时，及时联系维保单位。</w:t>
            </w:r>
          </w:p>
        </w:tc>
        <w:tc>
          <w:tcPr>
            <w:tcW w:w="1640" w:type="dxa"/>
            <w:shd w:val="clear" w:color="auto" w:fill="auto"/>
            <w:noWrap w:val="0"/>
            <w:vAlign w:val="center"/>
          </w:tcPr>
          <w:p w14:paraId="30A95B8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p>
        </w:tc>
      </w:tr>
      <w:tr w14:paraId="3A350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447FE23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409959F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12.平台内信息填报</w:t>
            </w:r>
          </w:p>
        </w:tc>
        <w:tc>
          <w:tcPr>
            <w:tcW w:w="1380" w:type="dxa"/>
            <w:shd w:val="clear" w:color="auto" w:fill="auto"/>
            <w:noWrap w:val="0"/>
            <w:vAlign w:val="center"/>
          </w:tcPr>
          <w:p w14:paraId="261AE27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智慧平台-智慧安全&amp;敏捷应急&amp;消防设备管理等</w:t>
            </w:r>
          </w:p>
        </w:tc>
        <w:tc>
          <w:tcPr>
            <w:tcW w:w="5052" w:type="dxa"/>
            <w:shd w:val="clear" w:color="auto" w:fill="auto"/>
            <w:noWrap w:val="0"/>
            <w:vAlign w:val="center"/>
          </w:tcPr>
          <w:p w14:paraId="3EA1936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根据园区要求，督促企业在平台上填写/完善企业相关内容，每周联系消防队更新处警信息。</w:t>
            </w:r>
          </w:p>
        </w:tc>
        <w:tc>
          <w:tcPr>
            <w:tcW w:w="1640" w:type="dxa"/>
            <w:shd w:val="clear" w:color="auto" w:fill="auto"/>
            <w:noWrap w:val="0"/>
            <w:vAlign w:val="center"/>
          </w:tcPr>
          <w:p w14:paraId="420C9A5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不定时</w:t>
            </w:r>
          </w:p>
        </w:tc>
      </w:tr>
      <w:tr w14:paraId="3EFD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6E5A350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0AE50E9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13特殊作业登记和抽查</w:t>
            </w:r>
          </w:p>
        </w:tc>
        <w:tc>
          <w:tcPr>
            <w:tcW w:w="1380" w:type="dxa"/>
            <w:shd w:val="clear" w:color="auto" w:fill="auto"/>
            <w:noWrap w:val="0"/>
            <w:vAlign w:val="center"/>
          </w:tcPr>
          <w:p w14:paraId="4790C31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p>
        </w:tc>
        <w:tc>
          <w:tcPr>
            <w:tcW w:w="5052" w:type="dxa"/>
            <w:shd w:val="clear" w:color="auto" w:fill="auto"/>
            <w:noWrap w:val="0"/>
            <w:vAlign w:val="center"/>
          </w:tcPr>
          <w:p w14:paraId="38CCE9BB">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每日提前在微信群内收集次日特殊作业情况，对当日监护人进行电话抽查。</w:t>
            </w:r>
          </w:p>
        </w:tc>
        <w:tc>
          <w:tcPr>
            <w:tcW w:w="1640" w:type="dxa"/>
            <w:shd w:val="clear" w:color="auto" w:fill="auto"/>
            <w:noWrap w:val="0"/>
            <w:vAlign w:val="center"/>
          </w:tcPr>
          <w:p w14:paraId="0D95719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每日</w:t>
            </w:r>
          </w:p>
        </w:tc>
      </w:tr>
      <w:tr w14:paraId="2325C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restart"/>
            <w:noWrap w:val="0"/>
            <w:vAlign w:val="center"/>
          </w:tcPr>
          <w:p w14:paraId="3DB85CD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Hans"/>
              </w:rPr>
              <w:t>智慧</w:t>
            </w:r>
            <w:r>
              <w:rPr>
                <w:rFonts w:hint="eastAsia" w:ascii="宋体" w:hAnsi="宋体" w:eastAsia="宋体" w:cs="宋体"/>
                <w:color w:val="auto"/>
                <w:sz w:val="21"/>
                <w:szCs w:val="21"/>
                <w:highlight w:val="none"/>
                <w:vertAlign w:val="baseline"/>
                <w:lang w:val="en-US" w:eastAsia="zh-CN"/>
              </w:rPr>
              <w:t>环保</w:t>
            </w:r>
          </w:p>
        </w:tc>
        <w:tc>
          <w:tcPr>
            <w:tcW w:w="1095" w:type="dxa"/>
            <w:shd w:val="clear" w:color="auto" w:fill="auto"/>
            <w:noWrap w:val="0"/>
            <w:vAlign w:val="center"/>
          </w:tcPr>
          <w:p w14:paraId="6186239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1.地表水超标</w:t>
            </w:r>
          </w:p>
        </w:tc>
        <w:tc>
          <w:tcPr>
            <w:tcW w:w="1380" w:type="dxa"/>
            <w:shd w:val="clear" w:color="auto" w:fill="auto"/>
            <w:noWrap w:val="0"/>
            <w:vAlign w:val="center"/>
          </w:tcPr>
          <w:p w14:paraId="31BA1F7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智慧平台-智慧环保-太仓港化工园区智慧环保平台-环境质量监控-地表水监测</w:t>
            </w:r>
          </w:p>
        </w:tc>
        <w:tc>
          <w:tcPr>
            <w:tcW w:w="5052" w:type="dxa"/>
            <w:shd w:val="clear" w:color="auto" w:fill="auto"/>
            <w:noWrap w:val="0"/>
            <w:vAlign w:val="center"/>
          </w:tcPr>
          <w:p w14:paraId="03CDF3DF">
            <w:pPr>
              <w:keepNext w:val="0"/>
              <w:keepLines w:val="0"/>
              <w:numPr>
                <w:ilvl w:val="0"/>
                <w:numId w:val="8"/>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实时查看园区5个地表水数据，四小时查看一次。</w:t>
            </w:r>
          </w:p>
          <w:p w14:paraId="45440C7C">
            <w:pPr>
              <w:keepNext w:val="0"/>
              <w:keepLines w:val="0"/>
              <w:numPr>
                <w:ilvl w:val="0"/>
                <w:numId w:val="8"/>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如发现监测设备离线2h以上的，记录并及时通知设备运维核查情况并检修，持续跟踪至设备上线。</w:t>
            </w:r>
          </w:p>
          <w:p w14:paraId="224962BC">
            <w:pPr>
              <w:keepNext w:val="0"/>
              <w:keepLines w:val="0"/>
              <w:numPr>
                <w:ilvl w:val="0"/>
                <w:numId w:val="8"/>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触发超标报警需及时处置，环保负责人联系设备运维核查设备情况，30分钟内反馈现场设备情况，确认是否仪器设备问题，如设备仪器问题则按实际情况填写处理。如确认超标，则分级处理，超标1倍以上1.5倍以下的处理记录后纳入“一园一档”第三方的月度分析报告中；超标1.5倍以上，需要同步通知到环保科与执法中队，处理闭环后纳入“一园一档”第三方的月度分析报告中。</w:t>
            </w:r>
          </w:p>
          <w:p w14:paraId="6424B5E8">
            <w:pPr>
              <w:keepNext w:val="0"/>
              <w:keepLines w:val="0"/>
              <w:numPr>
                <w:ilvl w:val="0"/>
                <w:numId w:val="8"/>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每周一次，统计超标情况并做成汇总报表定期上报。</w:t>
            </w:r>
          </w:p>
        </w:tc>
        <w:tc>
          <w:tcPr>
            <w:tcW w:w="1640" w:type="dxa"/>
            <w:shd w:val="clear" w:color="auto" w:fill="auto"/>
            <w:noWrap w:val="0"/>
            <w:vAlign w:val="center"/>
          </w:tcPr>
          <w:p w14:paraId="591765B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如遇报警立刻联系相关</w:t>
            </w:r>
            <w:r>
              <w:rPr>
                <w:rFonts w:hint="eastAsia" w:ascii="宋体" w:hAnsi="宋体" w:eastAsia="宋体" w:cs="宋体"/>
                <w:color w:val="auto"/>
                <w:sz w:val="21"/>
                <w:szCs w:val="21"/>
                <w:highlight w:val="none"/>
              </w:rPr>
              <w:t>工程师</w:t>
            </w:r>
            <w:r>
              <w:rPr>
                <w:rFonts w:hint="eastAsia" w:ascii="宋体" w:hAnsi="宋体" w:eastAsia="宋体" w:cs="宋体"/>
                <w:color w:val="auto"/>
                <w:sz w:val="21"/>
                <w:szCs w:val="21"/>
                <w:highlight w:val="none"/>
                <w:lang w:eastAsia="zh-Hans"/>
              </w:rPr>
              <w:t>，需30分钟内反馈现场情况</w:t>
            </w:r>
          </w:p>
          <w:p w14:paraId="377072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eastAsia="zh-Hans"/>
              </w:rPr>
              <w:t>2小时未处理反馈上级领导</w:t>
            </w:r>
          </w:p>
        </w:tc>
      </w:tr>
      <w:tr w14:paraId="3A6B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49E5FEC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7C8DD0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2.空气质量超标</w:t>
            </w:r>
          </w:p>
        </w:tc>
        <w:tc>
          <w:tcPr>
            <w:tcW w:w="1380" w:type="dxa"/>
            <w:shd w:val="clear" w:color="auto" w:fill="auto"/>
            <w:noWrap w:val="0"/>
            <w:vAlign w:val="center"/>
          </w:tcPr>
          <w:p w14:paraId="6000D1C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智慧平台-智慧环保-太仓港化工园区智慧环保平台-环境质量监控-空气质量管控</w:t>
            </w:r>
          </w:p>
        </w:tc>
        <w:tc>
          <w:tcPr>
            <w:tcW w:w="5052" w:type="dxa"/>
            <w:shd w:val="clear" w:color="auto" w:fill="auto"/>
            <w:noWrap w:val="0"/>
            <w:vAlign w:val="center"/>
          </w:tcPr>
          <w:p w14:paraId="5BAD837A">
            <w:pPr>
              <w:keepNext w:val="0"/>
              <w:keepLines w:val="0"/>
              <w:numPr>
                <w:ilvl w:val="0"/>
                <w:numId w:val="9"/>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实时查看园区大气站点共35个，其中2个超级站，28个微站，5个敏感站空气质量数据，每小时查看一次。</w:t>
            </w:r>
          </w:p>
          <w:p w14:paraId="246B7DED">
            <w:pPr>
              <w:keepNext w:val="0"/>
              <w:keepLines w:val="0"/>
              <w:numPr>
                <w:ilvl w:val="0"/>
                <w:numId w:val="9"/>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如发现监测设备离线2h以上的，记录并及时通知设备运维核查情况并检修，持续跟踪至设备上线。</w:t>
            </w:r>
          </w:p>
          <w:p w14:paraId="17FDB574">
            <w:pPr>
              <w:keepNext w:val="0"/>
              <w:keepLines w:val="0"/>
              <w:numPr>
                <w:ilvl w:val="0"/>
                <w:numId w:val="9"/>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触发超标报警需及时处置，环保负责人联系设备运维核查设备情况，30分钟内反馈现场设备情况，确认是否仪器设备问题，如设备仪器问题则按实际情况填写处理。如确认超标，则分级处理，超标1倍以上1.5倍以下的处理记录后纳入“一园一档”第三方的月度分析报告中；超标1.5倍以上，需要同步通知到环保科与执法中队，处理闭环后纳入“一园一档”第三方的月度分析报告中。</w:t>
            </w:r>
          </w:p>
          <w:p w14:paraId="351148F1">
            <w:pPr>
              <w:keepNext w:val="0"/>
              <w:keepLines w:val="0"/>
              <w:suppressLineNumbers w:val="0"/>
              <w:tabs>
                <w:tab w:val="left" w:pos="312"/>
              </w:tabs>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4.每周一次，统计超标情况并做成汇总报表定期上报。</w:t>
            </w:r>
          </w:p>
        </w:tc>
        <w:tc>
          <w:tcPr>
            <w:tcW w:w="1640" w:type="dxa"/>
            <w:shd w:val="clear" w:color="auto" w:fill="auto"/>
            <w:noWrap w:val="0"/>
            <w:vAlign w:val="center"/>
          </w:tcPr>
          <w:p w14:paraId="2642A74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如遇报警立刻联系相关</w:t>
            </w:r>
            <w:r>
              <w:rPr>
                <w:rFonts w:hint="eastAsia" w:ascii="宋体" w:hAnsi="宋体" w:eastAsia="宋体" w:cs="宋体"/>
                <w:color w:val="auto"/>
                <w:sz w:val="21"/>
                <w:szCs w:val="21"/>
                <w:highlight w:val="none"/>
              </w:rPr>
              <w:t>工程师</w:t>
            </w:r>
            <w:r>
              <w:rPr>
                <w:rFonts w:hint="eastAsia" w:ascii="宋体" w:hAnsi="宋体" w:eastAsia="宋体" w:cs="宋体"/>
                <w:color w:val="auto"/>
                <w:sz w:val="21"/>
                <w:szCs w:val="21"/>
                <w:highlight w:val="none"/>
                <w:lang w:eastAsia="zh-Hans"/>
              </w:rPr>
              <w:t>，需30分钟内反馈现场情况</w:t>
            </w:r>
          </w:p>
          <w:p w14:paraId="16F3F31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eastAsia="zh-Hans"/>
              </w:rPr>
              <w:t>2小时未处理反馈上级领导</w:t>
            </w:r>
          </w:p>
        </w:tc>
      </w:tr>
      <w:tr w14:paraId="125A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54FB6B4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5FC35C5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3.企业废气超标</w:t>
            </w:r>
          </w:p>
        </w:tc>
        <w:tc>
          <w:tcPr>
            <w:tcW w:w="1380" w:type="dxa"/>
            <w:shd w:val="clear" w:color="auto" w:fill="auto"/>
            <w:noWrap w:val="0"/>
            <w:vAlign w:val="center"/>
          </w:tcPr>
          <w:p w14:paraId="7351E9E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智慧平台-智慧环保-太仓港化工园区智慧环保平台-污染源监控-废气监测</w:t>
            </w:r>
          </w:p>
        </w:tc>
        <w:tc>
          <w:tcPr>
            <w:tcW w:w="5052" w:type="dxa"/>
            <w:shd w:val="clear" w:color="auto" w:fill="auto"/>
            <w:noWrap w:val="0"/>
            <w:vAlign w:val="center"/>
          </w:tcPr>
          <w:p w14:paraId="56F45E57">
            <w:pPr>
              <w:keepNext w:val="0"/>
              <w:keepLines w:val="0"/>
              <w:numPr>
                <w:ilvl w:val="0"/>
                <w:numId w:val="1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实时查看园区企业废气在线监测数据，每小时查看一次。</w:t>
            </w:r>
          </w:p>
          <w:p w14:paraId="1E7C2864">
            <w:pPr>
              <w:keepNext w:val="0"/>
              <w:keepLines w:val="0"/>
              <w:numPr>
                <w:ilvl w:val="0"/>
                <w:numId w:val="1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如发现企业废气监测设备离线2h以上的，及时通知企业核查情况，并记录离线情况。</w:t>
            </w:r>
          </w:p>
          <w:p w14:paraId="594DE98E">
            <w:pPr>
              <w:keepNext w:val="0"/>
              <w:keepLines w:val="0"/>
              <w:numPr>
                <w:ilvl w:val="0"/>
                <w:numId w:val="1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触发0.8倍预警，及时通知企业环保负责人；如触发超标报警，联系超标企业核查设备情况，30分钟内反馈现场设备情况。确认是否仪器设备问题，如设备仪器问题则按实际情况填写处理。如确认超标，需立刻通知企业处理并及时反馈超标原因，同步通知到环保科与执法中队，要求企业出具超标情况说明并盖公章，恢复后核实相关情况，存档闭环并上报园区环保科。</w:t>
            </w:r>
          </w:p>
          <w:p w14:paraId="35A20677">
            <w:pPr>
              <w:keepNext w:val="0"/>
              <w:keepLines w:val="0"/>
              <w:numPr>
                <w:ilvl w:val="0"/>
                <w:numId w:val="1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每周一次，统计超标情况并做成汇总报表定期上报。</w:t>
            </w:r>
          </w:p>
          <w:p w14:paraId="2DC02B84">
            <w:pPr>
              <w:keepNext w:val="0"/>
              <w:keepLines w:val="0"/>
              <w:numPr>
                <w:ilvl w:val="0"/>
                <w:numId w:val="10"/>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废气共接入28家企业，共39个监测点（截至</w:t>
            </w:r>
            <w:r>
              <w:rPr>
                <w:rFonts w:hint="eastAsia" w:ascii="宋体" w:hAnsi="宋体" w:eastAsia="宋体" w:cs="宋体"/>
                <w:color w:val="auto"/>
                <w:sz w:val="21"/>
                <w:szCs w:val="21"/>
                <w:highlight w:val="none"/>
                <w:lang w:val="en-US" w:eastAsia="zh-CN"/>
              </w:rPr>
              <w:t>2025年</w:t>
            </w:r>
            <w:r>
              <w:rPr>
                <w:rFonts w:hint="eastAsia" w:ascii="宋体" w:hAnsi="宋体" w:eastAsia="宋体" w:cs="宋体"/>
                <w:color w:val="auto"/>
                <w:sz w:val="21"/>
                <w:szCs w:val="21"/>
                <w:highlight w:val="none"/>
              </w:rPr>
              <w:t>4月3日）。</w:t>
            </w:r>
          </w:p>
        </w:tc>
        <w:tc>
          <w:tcPr>
            <w:tcW w:w="1640" w:type="dxa"/>
            <w:shd w:val="clear" w:color="auto" w:fill="auto"/>
            <w:noWrap w:val="0"/>
            <w:vAlign w:val="center"/>
          </w:tcPr>
          <w:p w14:paraId="53C465E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如遇报警立刻联系</w:t>
            </w:r>
            <w:r>
              <w:rPr>
                <w:rFonts w:hint="eastAsia" w:ascii="宋体" w:hAnsi="宋体" w:eastAsia="宋体" w:cs="宋体"/>
                <w:color w:val="auto"/>
                <w:sz w:val="21"/>
                <w:szCs w:val="21"/>
                <w:highlight w:val="none"/>
              </w:rPr>
              <w:t>企业相关负责人</w:t>
            </w:r>
            <w:r>
              <w:rPr>
                <w:rFonts w:hint="eastAsia" w:ascii="宋体" w:hAnsi="宋体" w:eastAsia="宋体" w:cs="宋体"/>
                <w:color w:val="auto"/>
                <w:sz w:val="21"/>
                <w:szCs w:val="21"/>
                <w:highlight w:val="none"/>
                <w:lang w:eastAsia="zh-Hans"/>
              </w:rPr>
              <w:t>，需30分钟内反馈现场情况</w:t>
            </w:r>
          </w:p>
          <w:p w14:paraId="66C9106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eastAsia="zh-Hans"/>
              </w:rPr>
            </w:pPr>
            <w:r>
              <w:rPr>
                <w:rFonts w:hint="eastAsia" w:ascii="宋体" w:hAnsi="宋体" w:eastAsia="宋体" w:cs="宋体"/>
                <w:color w:val="auto"/>
                <w:sz w:val="21"/>
                <w:szCs w:val="21"/>
                <w:highlight w:val="none"/>
                <w:lang w:eastAsia="zh-Hans"/>
              </w:rPr>
              <w:t>2小时未处理反馈上级领导</w:t>
            </w:r>
          </w:p>
        </w:tc>
      </w:tr>
      <w:tr w14:paraId="7B8C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115E48E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6CACAED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4.企业雨水超标</w:t>
            </w:r>
          </w:p>
        </w:tc>
        <w:tc>
          <w:tcPr>
            <w:tcW w:w="1380" w:type="dxa"/>
            <w:shd w:val="clear" w:color="auto" w:fill="auto"/>
            <w:noWrap w:val="0"/>
            <w:vAlign w:val="center"/>
          </w:tcPr>
          <w:p w14:paraId="53BD8E5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智慧平台-智慧环保-太仓港化工园区智慧环保平台-污染源监控-雨水监测</w:t>
            </w:r>
          </w:p>
        </w:tc>
        <w:tc>
          <w:tcPr>
            <w:tcW w:w="5052" w:type="dxa"/>
            <w:shd w:val="clear" w:color="auto" w:fill="auto"/>
            <w:noWrap w:val="0"/>
            <w:vAlign w:val="center"/>
          </w:tcPr>
          <w:p w14:paraId="6273EE66">
            <w:pPr>
              <w:keepNext w:val="0"/>
              <w:keepLines w:val="0"/>
              <w:numPr>
                <w:ilvl w:val="0"/>
                <w:numId w:val="11"/>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实时查看园区的企业雨水数据，每天查看一次，下雨天重点关注。</w:t>
            </w:r>
          </w:p>
          <w:p w14:paraId="5189E98F">
            <w:pPr>
              <w:keepNext w:val="0"/>
              <w:keepLines w:val="0"/>
              <w:numPr>
                <w:ilvl w:val="0"/>
                <w:numId w:val="11"/>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如发现企业废气监测设备离线2h以上的，及时通知企业核查情况，并记录离线情况。</w:t>
            </w:r>
          </w:p>
          <w:p w14:paraId="05905832">
            <w:pPr>
              <w:keepNext w:val="0"/>
              <w:keepLines w:val="0"/>
              <w:numPr>
                <w:ilvl w:val="0"/>
                <w:numId w:val="11"/>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如发现企业雨水闸控切换到手动模式，及时通知企业环保负责人恢复至自动模式，</w:t>
            </w:r>
            <w:r>
              <w:rPr>
                <w:rFonts w:hint="eastAsia" w:ascii="宋体" w:hAnsi="宋体" w:eastAsia="宋体" w:cs="宋体"/>
                <w:color w:val="auto"/>
                <w:sz w:val="21"/>
                <w:szCs w:val="21"/>
                <w:highlight w:val="none"/>
                <w:lang w:eastAsia="zh-Hans"/>
              </w:rPr>
              <w:t>2小时未及时恢复反馈园区环保科。</w:t>
            </w:r>
          </w:p>
          <w:p w14:paraId="02702AE3">
            <w:pPr>
              <w:keepNext w:val="0"/>
              <w:keepLines w:val="0"/>
              <w:numPr>
                <w:ilvl w:val="0"/>
                <w:numId w:val="11"/>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如果触发超标报警，自动模式切换至园区污水站。如发现超标雨水排放至邻近河道及周边管网，及时通知到环保科与执法中队，要求企业出具情况说明并盖公章，存档闭环并上报园区环保科。</w:t>
            </w:r>
          </w:p>
          <w:p w14:paraId="04ED3518">
            <w:pPr>
              <w:keepNext w:val="0"/>
              <w:keepLines w:val="0"/>
              <w:suppressLineNumbers w:val="0"/>
              <w:tabs>
                <w:tab w:val="left" w:pos="312"/>
              </w:tabs>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5.每周一次，统计超标情况并做成汇总报表定期上报。</w:t>
            </w:r>
          </w:p>
          <w:p w14:paraId="5E01DCCB">
            <w:pPr>
              <w:keepNext w:val="0"/>
              <w:keepLines w:val="0"/>
              <w:suppressLineNumbers w:val="0"/>
              <w:tabs>
                <w:tab w:val="left" w:pos="312"/>
              </w:tabs>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6.雨水共接入35家企业，共40个监测点（截至</w:t>
            </w:r>
            <w:r>
              <w:rPr>
                <w:rFonts w:hint="eastAsia" w:ascii="宋体" w:hAnsi="宋体" w:eastAsia="宋体" w:cs="宋体"/>
                <w:color w:val="auto"/>
                <w:sz w:val="21"/>
                <w:szCs w:val="21"/>
                <w:highlight w:val="none"/>
                <w:lang w:val="en-US" w:eastAsia="zh-CN"/>
              </w:rPr>
              <w:t>2025年</w:t>
            </w:r>
            <w:r>
              <w:rPr>
                <w:rFonts w:hint="eastAsia" w:ascii="宋体" w:hAnsi="宋体" w:eastAsia="宋体" w:cs="宋体"/>
                <w:color w:val="auto"/>
                <w:sz w:val="21"/>
                <w:szCs w:val="21"/>
                <w:highlight w:val="none"/>
              </w:rPr>
              <w:t>4月3日）</w:t>
            </w:r>
            <w:r>
              <w:rPr>
                <w:rFonts w:hint="eastAsia" w:ascii="宋体" w:hAnsi="宋体" w:eastAsia="宋体" w:cs="宋体"/>
                <w:color w:val="auto"/>
                <w:sz w:val="21"/>
                <w:szCs w:val="21"/>
                <w:highlight w:val="none"/>
                <w:lang w:eastAsia="zh-CN"/>
              </w:rPr>
              <w:t>。</w:t>
            </w:r>
          </w:p>
        </w:tc>
        <w:tc>
          <w:tcPr>
            <w:tcW w:w="1640" w:type="dxa"/>
            <w:shd w:val="clear" w:color="auto" w:fill="auto"/>
            <w:noWrap w:val="0"/>
            <w:vAlign w:val="center"/>
          </w:tcPr>
          <w:p w14:paraId="3AB084A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如遇报警立刻联系</w:t>
            </w:r>
            <w:r>
              <w:rPr>
                <w:rFonts w:hint="eastAsia" w:ascii="宋体" w:hAnsi="宋体" w:eastAsia="宋体" w:cs="宋体"/>
                <w:color w:val="auto"/>
                <w:sz w:val="21"/>
                <w:szCs w:val="21"/>
                <w:highlight w:val="none"/>
              </w:rPr>
              <w:t>企业相关负责人</w:t>
            </w:r>
            <w:r>
              <w:rPr>
                <w:rFonts w:hint="eastAsia" w:ascii="宋体" w:hAnsi="宋体" w:eastAsia="宋体" w:cs="宋体"/>
                <w:color w:val="auto"/>
                <w:sz w:val="21"/>
                <w:szCs w:val="21"/>
                <w:highlight w:val="none"/>
                <w:lang w:eastAsia="zh-Hans"/>
              </w:rPr>
              <w:t>，需30分钟内反馈现场情况</w:t>
            </w:r>
          </w:p>
          <w:p w14:paraId="6E9349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eastAsia="zh-Hans"/>
              </w:rPr>
            </w:pPr>
            <w:r>
              <w:rPr>
                <w:rFonts w:hint="eastAsia" w:ascii="宋体" w:hAnsi="宋体" w:eastAsia="宋体" w:cs="宋体"/>
                <w:color w:val="auto"/>
                <w:sz w:val="21"/>
                <w:szCs w:val="21"/>
                <w:highlight w:val="none"/>
                <w:lang w:eastAsia="zh-Hans"/>
              </w:rPr>
              <w:t>2小时未处理反馈上级领导</w:t>
            </w:r>
          </w:p>
        </w:tc>
      </w:tr>
      <w:tr w14:paraId="09C4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0117B9D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30FE161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5.企业污水超标（自动切停）</w:t>
            </w:r>
          </w:p>
        </w:tc>
        <w:tc>
          <w:tcPr>
            <w:tcW w:w="1380" w:type="dxa"/>
            <w:shd w:val="clear" w:color="auto" w:fill="auto"/>
            <w:noWrap w:val="0"/>
            <w:vAlign w:val="center"/>
          </w:tcPr>
          <w:p w14:paraId="0AA3996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智慧平台-智慧环保-太仓港化工园区智慧环保平台-污染源监控-污水监测</w:t>
            </w:r>
          </w:p>
        </w:tc>
        <w:tc>
          <w:tcPr>
            <w:tcW w:w="5052" w:type="dxa"/>
            <w:shd w:val="clear" w:color="auto" w:fill="auto"/>
            <w:noWrap w:val="0"/>
            <w:vAlign w:val="center"/>
          </w:tcPr>
          <w:p w14:paraId="28AA1D09">
            <w:pPr>
              <w:keepNext w:val="0"/>
              <w:keepLines w:val="0"/>
              <w:suppressLineNumbers w:val="0"/>
              <w:tabs>
                <w:tab w:val="left" w:pos="312"/>
              </w:tabs>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1.实时查看园区的企业污水数据，每天查看一次，如发现企业超标被系统自动切停的情况。及时记录并通知到环保科及执法中队，要求企业出具情况说明并盖公章，存档闭环并上报园区环保科。</w:t>
            </w:r>
          </w:p>
        </w:tc>
        <w:tc>
          <w:tcPr>
            <w:tcW w:w="1640" w:type="dxa"/>
            <w:shd w:val="clear" w:color="auto" w:fill="auto"/>
            <w:noWrap w:val="0"/>
            <w:vAlign w:val="center"/>
          </w:tcPr>
          <w:p w14:paraId="4BC99B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lang w:eastAsia="zh-Hans"/>
              </w:rPr>
              <w:t>如遇超标及时记录并反馈上级领导</w:t>
            </w:r>
          </w:p>
        </w:tc>
      </w:tr>
      <w:tr w14:paraId="03CCA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6E450B5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602FE4D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6.企业环保证书临期预警</w:t>
            </w:r>
          </w:p>
        </w:tc>
        <w:tc>
          <w:tcPr>
            <w:tcW w:w="1380" w:type="dxa"/>
            <w:shd w:val="clear" w:color="auto" w:fill="auto"/>
            <w:noWrap w:val="0"/>
            <w:vAlign w:val="center"/>
          </w:tcPr>
          <w:p w14:paraId="6BC9184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智慧平台-智慧环保-太仓港化工园区智慧环保平台-预警报警-档案超期记录</w:t>
            </w:r>
          </w:p>
        </w:tc>
        <w:tc>
          <w:tcPr>
            <w:tcW w:w="5052" w:type="dxa"/>
            <w:shd w:val="clear" w:color="auto" w:fill="auto"/>
            <w:noWrap w:val="0"/>
            <w:vAlign w:val="center"/>
          </w:tcPr>
          <w:p w14:paraId="6DC160D5">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证书临期半年平台通知企业更新相关临期证书。</w:t>
            </w:r>
          </w:p>
          <w:p w14:paraId="69CC80B0">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证书临期一个月平台会生成报警，需联系企业，督促企业更新相关临期证书。</w:t>
            </w:r>
          </w:p>
          <w:p w14:paraId="1CB80EB2">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企业新的证书或报告审核通过后，及时跟进并指导帮助企业在平台上更新相关证书信息。</w:t>
            </w:r>
          </w:p>
        </w:tc>
        <w:tc>
          <w:tcPr>
            <w:tcW w:w="1640" w:type="dxa"/>
            <w:shd w:val="clear" w:color="auto" w:fill="auto"/>
            <w:noWrap w:val="0"/>
            <w:vAlign w:val="center"/>
          </w:tcPr>
          <w:p w14:paraId="2EC42A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临期半年平台自动通知，临期一个月生成报警需人工通知，实时跟进</w:t>
            </w:r>
          </w:p>
        </w:tc>
      </w:tr>
      <w:tr w14:paraId="4D777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353A266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76932D0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7.省厅TVOC平台数据监测</w:t>
            </w:r>
          </w:p>
        </w:tc>
        <w:tc>
          <w:tcPr>
            <w:tcW w:w="1380" w:type="dxa"/>
            <w:shd w:val="clear" w:color="auto" w:fill="auto"/>
            <w:noWrap w:val="0"/>
            <w:vAlign w:val="center"/>
          </w:tcPr>
          <w:p w14:paraId="13BFCFB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省厅TVOC平台-重点化工园区排名（PAMS）</w:t>
            </w:r>
          </w:p>
        </w:tc>
        <w:tc>
          <w:tcPr>
            <w:tcW w:w="5052" w:type="dxa"/>
            <w:shd w:val="clear" w:color="auto" w:fill="auto"/>
            <w:noWrap w:val="0"/>
            <w:vAlign w:val="center"/>
          </w:tcPr>
          <w:p w14:paraId="468DABB3">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每小时查看并记录园区TVOC浓度与排名，如发现浓度位10.0以上或者排名前五的情况及时记录并对组分进行分析比对后汇报给园区环保科。</w:t>
            </w:r>
          </w:p>
        </w:tc>
        <w:tc>
          <w:tcPr>
            <w:tcW w:w="1640" w:type="dxa"/>
            <w:shd w:val="clear" w:color="auto" w:fill="auto"/>
            <w:noWrap w:val="0"/>
            <w:vAlign w:val="center"/>
          </w:tcPr>
          <w:p w14:paraId="67A69D0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每小时一次</w:t>
            </w:r>
          </w:p>
        </w:tc>
      </w:tr>
      <w:tr w14:paraId="19E7F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vMerge w:val="continue"/>
            <w:noWrap w:val="0"/>
            <w:vAlign w:val="center"/>
          </w:tcPr>
          <w:p w14:paraId="702AE9C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65D3021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8.企业危废超期储存监管</w:t>
            </w:r>
          </w:p>
        </w:tc>
        <w:tc>
          <w:tcPr>
            <w:tcW w:w="1380" w:type="dxa"/>
            <w:shd w:val="clear" w:color="auto" w:fill="auto"/>
            <w:noWrap w:val="0"/>
            <w:vAlign w:val="center"/>
          </w:tcPr>
          <w:p w14:paraId="2A5D1C0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江苏省生态环境厅-企业危废超期储存</w:t>
            </w:r>
          </w:p>
        </w:tc>
        <w:tc>
          <w:tcPr>
            <w:tcW w:w="5052" w:type="dxa"/>
            <w:shd w:val="clear" w:color="auto" w:fill="auto"/>
            <w:noWrap w:val="0"/>
            <w:vAlign w:val="center"/>
          </w:tcPr>
          <w:p w14:paraId="7CCB7CE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查看园区内是否有企业有超期储存的危废，每天一次，如有，及时通知企业处理超期储存的危废，并同步通知园区环保科，企业处理完成核实闭环后归档处理</w:t>
            </w:r>
          </w:p>
        </w:tc>
        <w:tc>
          <w:tcPr>
            <w:tcW w:w="1640" w:type="dxa"/>
            <w:shd w:val="clear" w:color="auto" w:fill="auto"/>
            <w:noWrap w:val="0"/>
            <w:vAlign w:val="center"/>
          </w:tcPr>
          <w:p w14:paraId="68027E5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每天一次</w:t>
            </w:r>
          </w:p>
        </w:tc>
      </w:tr>
      <w:tr w14:paraId="5A60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645" w:type="dxa"/>
            <w:vMerge w:val="continue"/>
            <w:noWrap w:val="0"/>
            <w:vAlign w:val="center"/>
          </w:tcPr>
          <w:p w14:paraId="791F798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rPr>
            </w:pPr>
          </w:p>
        </w:tc>
        <w:tc>
          <w:tcPr>
            <w:tcW w:w="1095" w:type="dxa"/>
            <w:shd w:val="clear" w:color="auto" w:fill="auto"/>
            <w:noWrap w:val="0"/>
            <w:vAlign w:val="center"/>
          </w:tcPr>
          <w:p w14:paraId="396CC5A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9.平台内信息填报</w:t>
            </w:r>
          </w:p>
        </w:tc>
        <w:tc>
          <w:tcPr>
            <w:tcW w:w="1380" w:type="dxa"/>
            <w:shd w:val="clear" w:color="auto" w:fill="auto"/>
            <w:noWrap w:val="0"/>
            <w:vAlign w:val="center"/>
          </w:tcPr>
          <w:p w14:paraId="399F5E7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智慧平台-智慧环保-太仓港化工园区智慧环保平台-一企一档</w:t>
            </w:r>
          </w:p>
        </w:tc>
        <w:tc>
          <w:tcPr>
            <w:tcW w:w="5052" w:type="dxa"/>
            <w:shd w:val="clear" w:color="auto" w:fill="auto"/>
            <w:noWrap w:val="0"/>
            <w:vAlign w:val="center"/>
          </w:tcPr>
          <w:p w14:paraId="47C4E1F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根据园区要求，督促并指导企业在平台上填写/完善企业相关环保资料，如清洁生产报告，碳排放核查报告，企业生产管理信息，环保应急预案。建设项目环评报告等等。</w:t>
            </w:r>
          </w:p>
        </w:tc>
        <w:tc>
          <w:tcPr>
            <w:tcW w:w="1640" w:type="dxa"/>
            <w:shd w:val="clear" w:color="auto" w:fill="auto"/>
            <w:noWrap w:val="0"/>
            <w:vAlign w:val="center"/>
          </w:tcPr>
          <w:p w14:paraId="268648D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不定时</w:t>
            </w:r>
          </w:p>
        </w:tc>
      </w:tr>
      <w:tr w14:paraId="1CBE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740" w:type="dxa"/>
            <w:gridSpan w:val="2"/>
            <w:noWrap w:val="0"/>
            <w:vAlign w:val="center"/>
          </w:tcPr>
          <w:p w14:paraId="3753526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p>
        </w:tc>
        <w:tc>
          <w:tcPr>
            <w:tcW w:w="1380" w:type="dxa"/>
            <w:shd w:val="clear" w:color="auto" w:fill="auto"/>
            <w:noWrap w:val="0"/>
            <w:vAlign w:val="center"/>
          </w:tcPr>
          <w:p w14:paraId="3B96C25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5052" w:type="dxa"/>
            <w:shd w:val="clear" w:color="auto" w:fill="auto"/>
            <w:noWrap w:val="0"/>
            <w:vAlign w:val="center"/>
          </w:tcPr>
          <w:p w14:paraId="319C2AA7">
            <w:pPr>
              <w:keepNext w:val="0"/>
              <w:keepLines w:val="0"/>
              <w:suppressLineNumbers w:val="0"/>
              <w:spacing w:before="0" w:beforeAutospacing="0" w:after="0" w:afterAutospacing="0" w:line="360" w:lineRule="auto"/>
              <w:ind w:left="0" w:right="0"/>
              <w:jc w:val="lef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1.及时记录化工园智慧平台在使用过程中的各项错误、漏洞等情况并反馈平台开发单位、园区综合科。</w:t>
            </w:r>
          </w:p>
          <w:p w14:paraId="6EE69FBE">
            <w:pPr>
              <w:keepNext w:val="0"/>
              <w:keepLines w:val="0"/>
              <w:suppressLineNumbers w:val="0"/>
              <w:spacing w:before="0" w:beforeAutospacing="0" w:after="0" w:afterAutospacing="0" w:line="360" w:lineRule="auto"/>
              <w:ind w:left="0" w:right="0"/>
              <w:jc w:val="left"/>
              <w:rPr>
                <w:rFonts w:hint="default"/>
                <w:color w:val="auto"/>
                <w:highlight w:val="none"/>
                <w:lang w:val="en-US" w:eastAsia="zh-CN"/>
              </w:rPr>
            </w:pPr>
            <w:r>
              <w:rPr>
                <w:rFonts w:hint="eastAsia" w:ascii="宋体" w:hAnsi="宋体" w:cs="宋体"/>
                <w:color w:val="auto"/>
                <w:sz w:val="21"/>
                <w:szCs w:val="21"/>
                <w:highlight w:val="none"/>
                <w:lang w:val="en-US" w:eastAsia="zh-CN"/>
              </w:rPr>
              <w:t>2.化工园区智慧</w:t>
            </w:r>
            <w:r>
              <w:rPr>
                <w:rFonts w:hint="eastAsia" w:ascii="宋体" w:hAnsi="宋体" w:eastAsia="宋体" w:cs="宋体"/>
                <w:color w:val="auto"/>
                <w:sz w:val="21"/>
                <w:szCs w:val="21"/>
                <w:highlight w:val="none"/>
                <w:lang w:val="en-US" w:eastAsia="zh-CN"/>
              </w:rPr>
              <w:t>平台</w:t>
            </w:r>
            <w:r>
              <w:rPr>
                <w:rFonts w:hint="eastAsia" w:ascii="宋体" w:hAnsi="宋体" w:cs="宋体"/>
                <w:color w:val="auto"/>
                <w:sz w:val="21"/>
                <w:szCs w:val="21"/>
                <w:highlight w:val="none"/>
                <w:lang w:val="en-US" w:eastAsia="zh-CN"/>
              </w:rPr>
              <w:t>等相关</w:t>
            </w:r>
            <w:r>
              <w:rPr>
                <w:rFonts w:hint="eastAsia" w:ascii="宋体" w:hAnsi="宋体" w:eastAsia="宋体" w:cs="宋体"/>
                <w:color w:val="auto"/>
                <w:sz w:val="21"/>
                <w:szCs w:val="21"/>
                <w:highlight w:val="none"/>
                <w:lang w:val="en-US" w:eastAsia="zh-CN"/>
              </w:rPr>
              <w:t>模块的预警处置、信息更新等工作和化工园区管理办公室安排的其他相关工作</w:t>
            </w:r>
            <w:r>
              <w:rPr>
                <w:rFonts w:hint="eastAsia" w:ascii="宋体" w:hAnsi="宋体" w:cs="宋体"/>
                <w:color w:val="auto"/>
                <w:sz w:val="21"/>
                <w:szCs w:val="21"/>
                <w:highlight w:val="none"/>
                <w:lang w:val="en-US" w:eastAsia="zh-CN"/>
              </w:rPr>
              <w:t>。</w:t>
            </w:r>
          </w:p>
        </w:tc>
        <w:tc>
          <w:tcPr>
            <w:tcW w:w="1640" w:type="dxa"/>
            <w:shd w:val="clear" w:color="auto" w:fill="auto"/>
            <w:noWrap w:val="0"/>
            <w:vAlign w:val="center"/>
          </w:tcPr>
          <w:p w14:paraId="1CB85B8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r>
    </w:tbl>
    <w:p w14:paraId="1479530D">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p>
    <w:p w14:paraId="2E459231">
      <w:pPr>
        <w:keepNext w:val="0"/>
        <w:keepLines w:val="0"/>
        <w:pageBreakBefore w:val="0"/>
        <w:widowControl w:val="0"/>
        <w:numPr>
          <w:ilvl w:val="0"/>
          <w:numId w:val="13"/>
        </w:numPr>
        <w:spacing w:line="360" w:lineRule="auto"/>
        <w:ind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根据目前化工园区认定管理和值班值守有关要求，</w:t>
      </w:r>
      <w:r>
        <w:rPr>
          <w:rFonts w:hint="eastAsia" w:ascii="宋体" w:hAnsi="宋体" w:cs="宋体"/>
          <w:b/>
          <w:bCs/>
          <w:color w:val="auto"/>
          <w:sz w:val="21"/>
          <w:szCs w:val="21"/>
          <w:highlight w:val="none"/>
          <w:lang w:val="en-US" w:eastAsia="zh-CN" w:bidi="ar-SA"/>
        </w:rPr>
        <w:t>须</w:t>
      </w:r>
      <w:r>
        <w:rPr>
          <w:rFonts w:hint="eastAsia" w:ascii="宋体" w:hAnsi="宋体" w:eastAsia="宋体" w:cs="宋体"/>
          <w:b/>
          <w:bCs/>
          <w:color w:val="auto"/>
          <w:sz w:val="21"/>
          <w:szCs w:val="21"/>
          <w:highlight w:val="none"/>
          <w:lang w:val="en-US" w:eastAsia="zh-CN" w:bidi="ar-SA"/>
        </w:rPr>
        <w:t>配备一支</w:t>
      </w:r>
      <w:r>
        <w:rPr>
          <w:rFonts w:hint="eastAsia" w:ascii="宋体" w:hAnsi="宋体" w:cs="宋体"/>
          <w:b/>
          <w:bCs/>
          <w:color w:val="auto"/>
          <w:sz w:val="21"/>
          <w:szCs w:val="21"/>
          <w:highlight w:val="none"/>
          <w:lang w:val="en-US" w:eastAsia="zh-CN" w:bidi="ar-SA"/>
        </w:rPr>
        <w:t>不</w:t>
      </w:r>
      <w:r>
        <w:rPr>
          <w:rFonts w:hint="eastAsia" w:ascii="宋体" w:hAnsi="宋体" w:eastAsia="宋体" w:cs="宋体"/>
          <w:b/>
          <w:bCs/>
          <w:color w:val="auto"/>
          <w:sz w:val="21"/>
          <w:szCs w:val="21"/>
          <w:highlight w:val="none"/>
          <w:lang w:val="en-US" w:eastAsia="zh-CN" w:bidi="ar-SA"/>
        </w:rPr>
        <w:t>少</w:t>
      </w:r>
      <w:r>
        <w:rPr>
          <w:rFonts w:hint="eastAsia" w:ascii="宋体" w:hAnsi="宋体" w:cs="宋体"/>
          <w:b/>
          <w:bCs/>
          <w:color w:val="auto"/>
          <w:sz w:val="21"/>
          <w:szCs w:val="21"/>
          <w:highlight w:val="none"/>
          <w:lang w:val="en-US" w:eastAsia="zh-CN" w:bidi="ar-SA"/>
        </w:rPr>
        <w:t>于</w:t>
      </w:r>
      <w:r>
        <w:rPr>
          <w:rFonts w:hint="eastAsia" w:ascii="宋体" w:hAnsi="宋体" w:eastAsia="宋体" w:cs="宋体"/>
          <w:b/>
          <w:bCs/>
          <w:color w:val="auto"/>
          <w:sz w:val="21"/>
          <w:szCs w:val="21"/>
          <w:highlight w:val="none"/>
          <w:lang w:val="en-US" w:eastAsia="zh-CN" w:bidi="ar-SA"/>
        </w:rPr>
        <w:t>16人的专业化服务团队（包含管理人员和运维值班人员）</w:t>
      </w:r>
      <w:r>
        <w:rPr>
          <w:rFonts w:hint="eastAsia" w:ascii="宋体" w:hAnsi="宋体" w:cs="宋体"/>
          <w:b/>
          <w:bCs/>
          <w:color w:val="auto"/>
          <w:sz w:val="21"/>
          <w:szCs w:val="21"/>
          <w:highlight w:val="none"/>
          <w:lang w:val="en-US" w:eastAsia="zh-CN" w:bidi="ar-SA"/>
        </w:rPr>
        <w:t>，团队</w:t>
      </w:r>
      <w:r>
        <w:rPr>
          <w:rFonts w:hint="eastAsia" w:ascii="宋体" w:hAnsi="宋体" w:cs="宋体"/>
          <w:b/>
          <w:bCs/>
          <w:color w:val="auto"/>
          <w:sz w:val="21"/>
          <w:szCs w:val="21"/>
          <w:highlight w:val="none"/>
          <w:lang w:val="en-US" w:eastAsia="zh-CN"/>
        </w:rPr>
        <w:t>人员须为响应单位正式员工或者承诺中标后</w:t>
      </w:r>
      <w:r>
        <w:rPr>
          <w:rFonts w:hint="eastAsia" w:ascii="宋体" w:hAnsi="宋体" w:cs="宋体"/>
          <w:b/>
          <w:bCs/>
          <w:color w:val="auto"/>
          <w:sz w:val="21"/>
          <w:szCs w:val="21"/>
          <w:highlight w:val="none"/>
          <w:lang w:val="en-US" w:eastAsia="zh-CN" w:bidi="ar-SA"/>
        </w:rPr>
        <w:t>聘请与投标人签订《劳动合同》的服务人员，按要求提供劳动合同或承诺。</w:t>
      </w:r>
      <w:r>
        <w:rPr>
          <w:rFonts w:hint="eastAsia" w:ascii="宋体" w:hAnsi="宋体" w:cs="宋体"/>
          <w:b/>
          <w:bCs/>
          <w:color w:val="auto"/>
          <w:sz w:val="21"/>
          <w:szCs w:val="21"/>
          <w:highlight w:val="none"/>
          <w:lang w:val="en-US" w:eastAsia="zh-CN"/>
        </w:rPr>
        <w:t>该要求</w:t>
      </w:r>
      <w:r>
        <w:rPr>
          <w:rFonts w:hint="eastAsia" w:ascii="宋体" w:hAnsi="宋体" w:eastAsia="宋体" w:cs="宋体"/>
          <w:b/>
          <w:bCs/>
          <w:color w:val="auto"/>
          <w:sz w:val="21"/>
          <w:szCs w:val="21"/>
          <w:highlight w:val="none"/>
          <w:lang w:val="en-US" w:eastAsia="zh-CN" w:bidi="ar-SA"/>
        </w:rPr>
        <w:t>为实质性响应条款，必须响应，否则为无效标。投标单位可以根据自身情况增加人员的配置。</w:t>
      </w:r>
    </w:p>
    <w:p w14:paraId="35079652">
      <w:pPr>
        <w:keepNext w:val="0"/>
        <w:keepLines w:val="0"/>
        <w:pageBreakBefore w:val="0"/>
        <w:widowControl w:val="0"/>
        <w:numPr>
          <w:ilvl w:val="0"/>
          <w:numId w:val="0"/>
        </w:numPr>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值班人员采用24小时3班倒的模式工作</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其他人员采用白班（</w:t>
      </w:r>
      <w:r>
        <w:rPr>
          <w:rFonts w:hint="eastAsia" w:ascii="宋体" w:hAnsi="宋体" w:cs="宋体"/>
          <w:color w:val="auto"/>
          <w:sz w:val="21"/>
          <w:szCs w:val="21"/>
          <w:highlight w:val="none"/>
          <w:lang w:val="en-US" w:eastAsia="zh-CN" w:bidi="ar-SA"/>
        </w:rPr>
        <w:t>法定工作日</w:t>
      </w:r>
      <w:r>
        <w:rPr>
          <w:rFonts w:hint="eastAsia" w:ascii="宋体" w:hAnsi="宋体" w:eastAsia="宋体" w:cs="宋体"/>
          <w:color w:val="auto"/>
          <w:sz w:val="21"/>
          <w:szCs w:val="21"/>
          <w:highlight w:val="none"/>
          <w:lang w:val="en-US" w:eastAsia="zh-CN" w:bidi="ar-SA"/>
        </w:rPr>
        <w:t>9：00-17：00）的模式工作，</w:t>
      </w:r>
      <w:r>
        <w:rPr>
          <w:rFonts w:hint="eastAsia" w:ascii="宋体" w:hAnsi="宋体" w:cs="宋体"/>
          <w:color w:val="auto"/>
          <w:sz w:val="21"/>
          <w:szCs w:val="21"/>
          <w:highlight w:val="none"/>
          <w:lang w:val="en-US" w:eastAsia="zh-CN" w:bidi="ar-SA"/>
        </w:rPr>
        <w:t>每班确立值班长一名，值班长和值班人员名单应提前上报，</w:t>
      </w:r>
      <w:r>
        <w:rPr>
          <w:rFonts w:hint="eastAsia" w:ascii="宋体" w:hAnsi="宋体" w:eastAsia="宋体" w:cs="宋体"/>
          <w:color w:val="auto"/>
          <w:sz w:val="21"/>
          <w:szCs w:val="21"/>
          <w:highlight w:val="none"/>
          <w:lang w:val="en-US" w:eastAsia="zh-CN" w:bidi="ar-SA"/>
        </w:rPr>
        <w:t>具体人员配置与职责分工如下：</w:t>
      </w:r>
    </w:p>
    <w:tbl>
      <w:tblPr>
        <w:tblStyle w:val="57"/>
        <w:tblW w:w="9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829"/>
        <w:gridCol w:w="2820"/>
        <w:gridCol w:w="4740"/>
        <w:gridCol w:w="702"/>
      </w:tblGrid>
      <w:tr w14:paraId="6DA00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426" w:type="dxa"/>
            <w:noWrap w:val="0"/>
            <w:vAlign w:val="center"/>
          </w:tcPr>
          <w:p w14:paraId="28DD5517">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序号</w:t>
            </w:r>
          </w:p>
        </w:tc>
        <w:tc>
          <w:tcPr>
            <w:tcW w:w="829" w:type="dxa"/>
            <w:noWrap w:val="0"/>
            <w:vAlign w:val="center"/>
          </w:tcPr>
          <w:p w14:paraId="6F013D47">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岗位名称</w:t>
            </w:r>
          </w:p>
        </w:tc>
        <w:tc>
          <w:tcPr>
            <w:tcW w:w="2820" w:type="dxa"/>
            <w:noWrap w:val="0"/>
            <w:vAlign w:val="center"/>
          </w:tcPr>
          <w:p w14:paraId="3B38B934">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岗位要求</w:t>
            </w:r>
          </w:p>
        </w:tc>
        <w:tc>
          <w:tcPr>
            <w:tcW w:w="4740" w:type="dxa"/>
            <w:noWrap w:val="0"/>
            <w:vAlign w:val="center"/>
          </w:tcPr>
          <w:p w14:paraId="0CC19A86">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岗位职责</w:t>
            </w:r>
          </w:p>
        </w:tc>
        <w:tc>
          <w:tcPr>
            <w:tcW w:w="702" w:type="dxa"/>
            <w:noWrap w:val="0"/>
            <w:vAlign w:val="center"/>
          </w:tcPr>
          <w:p w14:paraId="3C4544DE">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数量</w:t>
            </w:r>
          </w:p>
        </w:tc>
      </w:tr>
      <w:tr w14:paraId="2080A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426" w:type="dxa"/>
            <w:noWrap w:val="0"/>
            <w:vAlign w:val="center"/>
          </w:tcPr>
          <w:p w14:paraId="7FFF6135">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p>
        </w:tc>
        <w:tc>
          <w:tcPr>
            <w:tcW w:w="829" w:type="dxa"/>
            <w:noWrap w:val="0"/>
            <w:vAlign w:val="center"/>
          </w:tcPr>
          <w:p w14:paraId="29C2408E">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项目经理</w:t>
            </w:r>
          </w:p>
        </w:tc>
        <w:tc>
          <w:tcPr>
            <w:tcW w:w="2820" w:type="dxa"/>
            <w:noWrap w:val="0"/>
          </w:tcPr>
          <w:p w14:paraId="422AD334">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45周岁及以下，本科及以上学历，遵纪守法，作风正派，有较强的组织协调能力和团队意识，具备一定的基层管理经验。</w:t>
            </w:r>
          </w:p>
        </w:tc>
        <w:tc>
          <w:tcPr>
            <w:tcW w:w="4740" w:type="dxa"/>
            <w:noWrap w:val="0"/>
          </w:tcPr>
          <w:p w14:paraId="48EA52BD">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对照项目需求，负责化工园区应急指挥中心日常运维的全面工作</w:t>
            </w:r>
            <w:r>
              <w:rPr>
                <w:rFonts w:hint="eastAsia" w:ascii="宋体" w:hAnsi="宋体" w:eastAsia="宋体" w:cs="宋体"/>
                <w:color w:val="auto"/>
                <w:sz w:val="21"/>
                <w:szCs w:val="21"/>
                <w:highlight w:val="none"/>
                <w:lang w:val="en-US" w:eastAsia="zh-CN" w:bidi="ar"/>
              </w:rPr>
              <w:t>；运维工作制定与维护、人员的团队建设和管理</w:t>
            </w:r>
            <w:r>
              <w:rPr>
                <w:rFonts w:hint="eastAsia" w:ascii="宋体" w:hAnsi="宋体" w:cs="宋体"/>
                <w:color w:val="auto"/>
                <w:sz w:val="21"/>
                <w:szCs w:val="21"/>
                <w:highlight w:val="none"/>
                <w:lang w:val="en-US" w:eastAsia="zh-CN" w:bidi="ar"/>
              </w:rPr>
              <w:t>，包括：每月上报排班计划（含每班值班长等）、</w:t>
            </w:r>
            <w:r>
              <w:rPr>
                <w:rFonts w:hint="eastAsia" w:ascii="宋体" w:hAnsi="宋体" w:eastAsia="宋体" w:cs="宋体"/>
                <w:color w:val="auto"/>
                <w:sz w:val="21"/>
                <w:szCs w:val="21"/>
                <w:highlight w:val="none"/>
                <w:lang w:val="en-US" w:eastAsia="zh-CN" w:bidi="ar"/>
              </w:rPr>
              <w:t>处置应急突发事件</w:t>
            </w:r>
            <w:r>
              <w:rPr>
                <w:rFonts w:hint="eastAsia" w:ascii="宋体" w:hAnsi="宋体" w:cs="宋体"/>
                <w:color w:val="auto"/>
                <w:sz w:val="21"/>
                <w:szCs w:val="21"/>
                <w:highlight w:val="none"/>
                <w:lang w:val="en-US" w:eastAsia="zh-CN" w:bidi="ar"/>
              </w:rPr>
              <w:t>、每周对智慧平台所有模块位置进行一次巡查并形成台账、完成</w:t>
            </w:r>
            <w:r>
              <w:rPr>
                <w:rFonts w:hint="eastAsia" w:ascii="宋体" w:hAnsi="宋体" w:eastAsia="宋体" w:cs="宋体"/>
                <w:color w:val="auto"/>
                <w:sz w:val="21"/>
                <w:szCs w:val="21"/>
                <w:highlight w:val="none"/>
                <w:lang w:val="en-US" w:eastAsia="zh-CN" w:bidi="ar"/>
              </w:rPr>
              <w:t>根据实际工作情况提出相关改进意见和建议</w:t>
            </w:r>
            <w:r>
              <w:rPr>
                <w:rFonts w:hint="eastAsia" w:ascii="宋体" w:hAnsi="宋体" w:cs="宋体"/>
                <w:color w:val="auto"/>
                <w:sz w:val="21"/>
                <w:szCs w:val="21"/>
                <w:highlight w:val="none"/>
                <w:lang w:val="en-US" w:eastAsia="zh-CN" w:bidi="ar"/>
              </w:rPr>
              <w:t>、完成</w:t>
            </w:r>
            <w:r>
              <w:rPr>
                <w:rFonts w:hint="eastAsia" w:ascii="宋体" w:hAnsi="宋体" w:eastAsia="宋体" w:cs="宋体"/>
                <w:color w:val="auto"/>
                <w:sz w:val="21"/>
                <w:szCs w:val="21"/>
                <w:highlight w:val="none"/>
                <w:lang w:val="en-US" w:eastAsia="zh-CN" w:bidi="ar"/>
              </w:rPr>
              <w:t>园区办交办的其他工作任务</w:t>
            </w:r>
            <w:r>
              <w:rPr>
                <w:rFonts w:hint="eastAsia" w:ascii="宋体" w:hAnsi="宋体" w:cs="宋体"/>
                <w:color w:val="auto"/>
                <w:sz w:val="21"/>
                <w:szCs w:val="21"/>
                <w:highlight w:val="none"/>
                <w:lang w:val="en-US" w:eastAsia="zh-CN" w:bidi="ar"/>
              </w:rPr>
              <w:t>等</w:t>
            </w:r>
            <w:r>
              <w:rPr>
                <w:rFonts w:hint="eastAsia" w:ascii="宋体" w:hAnsi="宋体" w:eastAsia="宋体" w:cs="宋体"/>
                <w:color w:val="auto"/>
                <w:sz w:val="21"/>
                <w:szCs w:val="21"/>
                <w:highlight w:val="none"/>
                <w:lang w:val="en-US" w:eastAsia="zh-CN" w:bidi="ar"/>
              </w:rPr>
              <w:t>。</w:t>
            </w:r>
          </w:p>
        </w:tc>
        <w:tc>
          <w:tcPr>
            <w:tcW w:w="702" w:type="dxa"/>
            <w:noWrap w:val="0"/>
            <w:vAlign w:val="center"/>
          </w:tcPr>
          <w:p w14:paraId="09B76EA2">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p>
        </w:tc>
      </w:tr>
      <w:tr w14:paraId="4476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26" w:type="dxa"/>
            <w:noWrap w:val="0"/>
            <w:vAlign w:val="center"/>
          </w:tcPr>
          <w:p w14:paraId="6B03208C">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w:t>
            </w:r>
          </w:p>
        </w:tc>
        <w:tc>
          <w:tcPr>
            <w:tcW w:w="829" w:type="dxa"/>
            <w:noWrap w:val="0"/>
            <w:vAlign w:val="center"/>
          </w:tcPr>
          <w:p w14:paraId="75BC689F">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安全工作专员</w:t>
            </w:r>
          </w:p>
        </w:tc>
        <w:tc>
          <w:tcPr>
            <w:tcW w:w="2820" w:type="dxa"/>
            <w:noWrap w:val="0"/>
          </w:tcPr>
          <w:p w14:paraId="118E6E26">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45周岁及以下，大专及以上学历，安全相关专业或具有一年及以上企业一线安全相关工作经验。</w:t>
            </w:r>
          </w:p>
        </w:tc>
        <w:tc>
          <w:tcPr>
            <w:tcW w:w="4740" w:type="dxa"/>
            <w:noWrap w:val="0"/>
          </w:tcPr>
          <w:p w14:paraId="1398CD07">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负责园区平台安全监管相关工作推进，负责及时对接企业闭环预警内容，更新维护企园区平台安全生产基础数据，对接园区办安全监督科完成安全监管的信息化相关工作，完成园区办交办的其他工作任务。</w:t>
            </w:r>
          </w:p>
        </w:tc>
        <w:tc>
          <w:tcPr>
            <w:tcW w:w="702" w:type="dxa"/>
            <w:noWrap w:val="0"/>
            <w:vAlign w:val="center"/>
          </w:tcPr>
          <w:p w14:paraId="643C8E3B">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p>
        </w:tc>
      </w:tr>
      <w:tr w14:paraId="4466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6" w:type="dxa"/>
            <w:noWrap w:val="0"/>
            <w:vAlign w:val="center"/>
          </w:tcPr>
          <w:p w14:paraId="3B0995D1">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829" w:type="dxa"/>
            <w:noWrap w:val="0"/>
            <w:vAlign w:val="center"/>
          </w:tcPr>
          <w:p w14:paraId="2C7711D9">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环保工作专员</w:t>
            </w:r>
          </w:p>
        </w:tc>
        <w:tc>
          <w:tcPr>
            <w:tcW w:w="2820" w:type="dxa"/>
            <w:noWrap w:val="0"/>
          </w:tcPr>
          <w:p w14:paraId="03F828E6">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45周岁及以下，大专及以上学历，环保相关专业或具有一年及以上企业一线环保相关工作经验。</w:t>
            </w:r>
          </w:p>
        </w:tc>
        <w:tc>
          <w:tcPr>
            <w:tcW w:w="4740" w:type="dxa"/>
            <w:noWrap w:val="0"/>
          </w:tcPr>
          <w:p w14:paraId="7F311464">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对照最新有关环境保护平台建设要求，优化提升环保线上管理内容；平台数据分析和整合，提供化工园区环境保护管理方面的有关要求；突发环境事件的应急处置工作；对接“一园一档”运维管理工作，完成园区办交办的其他工作任务。</w:t>
            </w:r>
          </w:p>
        </w:tc>
        <w:tc>
          <w:tcPr>
            <w:tcW w:w="702" w:type="dxa"/>
            <w:noWrap w:val="0"/>
            <w:vAlign w:val="center"/>
          </w:tcPr>
          <w:p w14:paraId="1F860CEF">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p>
        </w:tc>
      </w:tr>
      <w:tr w14:paraId="604D8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426" w:type="dxa"/>
            <w:noWrap w:val="0"/>
            <w:vAlign w:val="center"/>
          </w:tcPr>
          <w:p w14:paraId="3A4524EE">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w:t>
            </w:r>
          </w:p>
        </w:tc>
        <w:tc>
          <w:tcPr>
            <w:tcW w:w="829" w:type="dxa"/>
            <w:noWrap w:val="0"/>
            <w:vAlign w:val="center"/>
          </w:tcPr>
          <w:p w14:paraId="7858D8F6">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安全运维值班人员</w:t>
            </w:r>
          </w:p>
        </w:tc>
        <w:tc>
          <w:tcPr>
            <w:tcW w:w="2820" w:type="dxa"/>
            <w:noWrap w:val="0"/>
          </w:tcPr>
          <w:p w14:paraId="23208BCB">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40周岁及以下，大专及以上学历，具有较强的沟通和协调能力，计算机水平熟练，具有较强的数据统计和文档编辑能力。</w:t>
            </w:r>
          </w:p>
          <w:p w14:paraId="0775056B">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p>
        </w:tc>
        <w:tc>
          <w:tcPr>
            <w:tcW w:w="4740" w:type="dxa"/>
            <w:noWrap w:val="0"/>
          </w:tcPr>
          <w:p w14:paraId="449B8E65">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负责化工园区安全智能管控一体化平台重大危险源企业检查，线上抽查中控人员是否在岗，关注重大危险源监控异常情况；按照分类分级处置应急平台各类报警信息；平台信息的日常管理、完善、维护和统计分析；突发事件应急处置工作；危化品车辆入园的审核和全流程监管；完成园区办交办的其他工作任务。</w:t>
            </w:r>
          </w:p>
        </w:tc>
        <w:tc>
          <w:tcPr>
            <w:tcW w:w="702" w:type="dxa"/>
            <w:noWrap w:val="0"/>
            <w:vAlign w:val="center"/>
          </w:tcPr>
          <w:p w14:paraId="75963300">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w:t>
            </w:r>
          </w:p>
        </w:tc>
      </w:tr>
      <w:tr w14:paraId="7924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6" w:type="dxa"/>
            <w:noWrap w:val="0"/>
            <w:vAlign w:val="center"/>
          </w:tcPr>
          <w:p w14:paraId="0AB3CC6E">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5</w:t>
            </w:r>
          </w:p>
        </w:tc>
        <w:tc>
          <w:tcPr>
            <w:tcW w:w="829" w:type="dxa"/>
            <w:noWrap w:val="0"/>
            <w:vAlign w:val="center"/>
          </w:tcPr>
          <w:p w14:paraId="538FCE92">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环保运维值班人员</w:t>
            </w:r>
          </w:p>
        </w:tc>
        <w:tc>
          <w:tcPr>
            <w:tcW w:w="2820" w:type="dxa"/>
            <w:noWrap w:val="0"/>
          </w:tcPr>
          <w:p w14:paraId="7C083D45">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40周岁及以下，大专及以上学历，具有较强的沟通和协调能力，计算机水平熟练，具有较强的数据统计和文档编辑能力。</w:t>
            </w:r>
          </w:p>
        </w:tc>
        <w:tc>
          <w:tcPr>
            <w:tcW w:w="4740" w:type="dxa"/>
            <w:noWrap w:val="0"/>
          </w:tcPr>
          <w:p w14:paraId="038F3E8A">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负责化工园区环保相关超标预警处置，排除一级报警，更新相关平台内容，环保平台讲解，平台数据整理整合，完成园区办交办的其他工作任务。</w:t>
            </w:r>
          </w:p>
        </w:tc>
        <w:tc>
          <w:tcPr>
            <w:tcW w:w="702" w:type="dxa"/>
            <w:noWrap w:val="0"/>
            <w:vAlign w:val="center"/>
          </w:tcPr>
          <w:p w14:paraId="0CD6970E">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w:t>
            </w:r>
          </w:p>
        </w:tc>
      </w:tr>
      <w:tr w14:paraId="7BE7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426" w:type="dxa"/>
            <w:noWrap w:val="0"/>
            <w:vAlign w:val="center"/>
          </w:tcPr>
          <w:p w14:paraId="6F2C46A3">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6</w:t>
            </w:r>
          </w:p>
        </w:tc>
        <w:tc>
          <w:tcPr>
            <w:tcW w:w="829" w:type="dxa"/>
            <w:noWrap w:val="0"/>
            <w:vAlign w:val="center"/>
          </w:tcPr>
          <w:p w14:paraId="39AA6569">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综合运维值班人员</w:t>
            </w:r>
          </w:p>
        </w:tc>
        <w:tc>
          <w:tcPr>
            <w:tcW w:w="2820" w:type="dxa"/>
            <w:noWrap w:val="0"/>
          </w:tcPr>
          <w:p w14:paraId="72F186F8">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40周岁及以下，大专及以上学历，具有较强的沟通和协调能力，计算机水平熟练，具有较强的数据统计和文档编辑能力。</w:t>
            </w:r>
          </w:p>
        </w:tc>
        <w:tc>
          <w:tcPr>
            <w:tcW w:w="4740" w:type="dxa"/>
            <w:noWrap w:val="0"/>
          </w:tcPr>
          <w:p w14:paraId="783F0F5A">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负责封闭化平台预警处置，协助卡口保持通行顺畅；办理企业车辆（行人）含第三方出入权限；违章拉黑处理及组织相关学习后解除黑名单；对接封闭化维保工作；完成封闭化管理相关周报、月报等工作；完善园区管理规章制度，完成园区交办的其他任务。</w:t>
            </w:r>
          </w:p>
        </w:tc>
        <w:tc>
          <w:tcPr>
            <w:tcW w:w="702" w:type="dxa"/>
            <w:noWrap w:val="0"/>
            <w:vAlign w:val="center"/>
          </w:tcPr>
          <w:p w14:paraId="3E4A51BF">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w:t>
            </w:r>
          </w:p>
        </w:tc>
      </w:tr>
      <w:tr w14:paraId="69F7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426" w:type="dxa"/>
            <w:noWrap w:val="0"/>
            <w:vAlign w:val="center"/>
          </w:tcPr>
          <w:p w14:paraId="554B1976">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w:t>
            </w:r>
          </w:p>
        </w:tc>
        <w:tc>
          <w:tcPr>
            <w:tcW w:w="829" w:type="dxa"/>
            <w:noWrap w:val="0"/>
            <w:vAlign w:val="center"/>
          </w:tcPr>
          <w:p w14:paraId="05647590">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前台</w:t>
            </w:r>
          </w:p>
        </w:tc>
        <w:tc>
          <w:tcPr>
            <w:tcW w:w="2820" w:type="dxa"/>
            <w:noWrap w:val="0"/>
          </w:tcPr>
          <w:p w14:paraId="016645B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40周岁及以下，大专及以上学历，具有较强的沟通和协调能力，计算机水平熟练，具有较强的数据统计和文档编辑能力。</w:t>
            </w:r>
          </w:p>
        </w:tc>
        <w:tc>
          <w:tcPr>
            <w:tcW w:w="4740" w:type="dxa"/>
            <w:noWrap w:val="0"/>
          </w:tcPr>
          <w:p w14:paraId="225CF77C">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SA"/>
              </w:rPr>
              <w:t>负责封闭化平台预警处置，协助卡口保持通行顺畅；办理企业车辆（行人）含第三方出入权限；违章拉黑处理及组织相关学习后解除黑名单；对接封闭化维保工作；完成封闭化管理相关周报、月报等工作；完善园区管理规章制度，完成园区交办的其他任务。</w:t>
            </w:r>
          </w:p>
        </w:tc>
        <w:tc>
          <w:tcPr>
            <w:tcW w:w="702" w:type="dxa"/>
            <w:noWrap w:val="0"/>
            <w:vAlign w:val="center"/>
          </w:tcPr>
          <w:p w14:paraId="79F8C604">
            <w:pPr>
              <w:keepNext w:val="0"/>
              <w:keepLines w:val="0"/>
              <w:widowControl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p>
        </w:tc>
      </w:tr>
    </w:tbl>
    <w:p w14:paraId="4FA7E674">
      <w:pPr>
        <w:widowControl w:val="0"/>
        <w:spacing w:before="120" w:line="360" w:lineRule="auto"/>
        <w:ind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注：（1）中标供应商人员配置不得低于以上人员数量。</w:t>
      </w:r>
    </w:p>
    <w:p w14:paraId="13A82B77">
      <w:pPr>
        <w:spacing w:line="360" w:lineRule="auto"/>
        <w:ind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2）中标供应商必须遵守劳动法，依法规范用工，职龄内人员需签订劳动合同，按照国家及苏州市的有关规定支付工资和交纳正常的社会保险、公积金等。职龄内人员工资应不低于太仓市最低工资标准，加班费用支付按政策法规规定执行。</w:t>
      </w:r>
    </w:p>
    <w:p w14:paraId="21C4EE74">
      <w:pPr>
        <w:spacing w:line="360" w:lineRule="auto"/>
        <w:ind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（3）人员到岗率100%。中标供应商员工调动或辞职，应事先通知并征求采购人意见，并及时配齐。 </w:t>
      </w:r>
    </w:p>
    <w:p w14:paraId="7FFBA8F6">
      <w:pPr>
        <w:spacing w:line="360" w:lineRule="auto"/>
        <w:ind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（4）员工因病事假而缺勤，中标供应商应主动及时安排人员补岗，并告知采购人。</w:t>
      </w:r>
    </w:p>
    <w:p w14:paraId="6426F3AA">
      <w:pPr>
        <w:spacing w:line="360" w:lineRule="auto"/>
        <w:ind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（5）维护管理区域公共秩序，强化社会公德和安全意识，保护区域内的公共设施和设备，预防各类刑事案件和治安事件的发生。</w:t>
      </w:r>
    </w:p>
    <w:p w14:paraId="3B67A282">
      <w:pPr>
        <w:spacing w:line="360" w:lineRule="auto"/>
        <w:ind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（6）供应商服务人员因履行本项目服务工作而发生自身人身财产损害或造成他人人身财产损害的（包括上下班途中），由中标供应商负责，与采购人无关。</w:t>
      </w:r>
    </w:p>
    <w:p w14:paraId="3B79DE96">
      <w:pPr>
        <w:spacing w:line="360" w:lineRule="auto"/>
        <w:ind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（7）员工上岗前应进行体检，确保无重大疾病。采购人如认为中标供应商配备人员不符合要求的，采购人有权要求中标人更换不称职的员工。</w:t>
      </w:r>
    </w:p>
    <w:p w14:paraId="03FF40C7">
      <w:pPr>
        <w:spacing w:line="360" w:lineRule="auto"/>
        <w:ind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（8）所有一线服务人员均应购买意外医疗、意外伤残、意外身故商业险。</w:t>
      </w:r>
    </w:p>
    <w:p w14:paraId="43673AD6">
      <w:pPr>
        <w:spacing w:line="360" w:lineRule="auto"/>
        <w:ind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（9）工作人员必要时需出外勤，外勤所需车辆、途中所产生的燃油、充电费用均由中标供应商负责。</w:t>
      </w:r>
    </w:p>
    <w:p w14:paraId="142FE38D">
      <w:pPr>
        <w:spacing w:line="360" w:lineRule="auto"/>
        <w:ind w:firstLine="420"/>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（10）中标供应商须在合同期开始两周前按照人员配备要求全部到岗，投标时需提供书面承诺函，否则一律按废标处置。</w:t>
      </w:r>
      <w:r>
        <w:rPr>
          <w:rFonts w:hint="eastAsia" w:ascii="宋体" w:hAnsi="宋体" w:cs="宋体"/>
          <w:bCs/>
          <w:color w:val="auto"/>
          <w:sz w:val="21"/>
          <w:szCs w:val="21"/>
          <w:highlight w:val="none"/>
          <w:lang w:val="en-US" w:eastAsia="zh-CN" w:bidi="ar-SA"/>
        </w:rPr>
        <w:t>合同期内</w:t>
      </w:r>
      <w:r>
        <w:rPr>
          <w:rFonts w:hint="eastAsia" w:ascii="宋体" w:hAnsi="宋体" w:cs="宋体"/>
          <w:color w:val="auto"/>
          <w:sz w:val="21"/>
          <w:szCs w:val="21"/>
          <w:highlight w:val="none"/>
          <w:lang w:val="en-US" w:eastAsia="zh-CN" w:bidi="ar"/>
        </w:rPr>
        <w:t>项目经理、安全工作专员、环保工作专员岗位等如有人员</w:t>
      </w:r>
      <w:r>
        <w:rPr>
          <w:rFonts w:hint="eastAsia" w:ascii="宋体" w:hAnsi="宋体" w:cs="宋体"/>
          <w:bCs/>
          <w:color w:val="auto"/>
          <w:sz w:val="21"/>
          <w:szCs w:val="21"/>
          <w:highlight w:val="none"/>
          <w:lang w:val="en-US" w:eastAsia="zh-CN" w:bidi="ar-SA"/>
        </w:rPr>
        <w:t>调整，需提前向甲方上报，提交情况说明并盖章。</w:t>
      </w:r>
    </w:p>
    <w:p w14:paraId="5253FE03">
      <w:pPr>
        <w:spacing w:line="360" w:lineRule="auto"/>
        <w:ind w:firstLine="422"/>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val="en-US" w:eastAsia="zh-CN" w:bidi="ar"/>
        </w:rPr>
        <w:t>3</w:t>
      </w:r>
      <w:r>
        <w:rPr>
          <w:rFonts w:hint="eastAsia" w:ascii="宋体" w:hAnsi="宋体" w:eastAsia="宋体" w:cs="宋体"/>
          <w:b/>
          <w:color w:val="auto"/>
          <w:sz w:val="21"/>
          <w:szCs w:val="21"/>
          <w:highlight w:val="none"/>
          <w:lang w:bidi="ar"/>
        </w:rPr>
        <w:t>、考核方式：</w:t>
      </w:r>
    </w:p>
    <w:tbl>
      <w:tblPr>
        <w:tblStyle w:val="56"/>
        <w:tblW w:w="9510" w:type="dxa"/>
        <w:tblInd w:w="13" w:type="dxa"/>
        <w:tblLayout w:type="fixed"/>
        <w:tblCellMar>
          <w:top w:w="0" w:type="dxa"/>
          <w:left w:w="108" w:type="dxa"/>
          <w:bottom w:w="0" w:type="dxa"/>
          <w:right w:w="108" w:type="dxa"/>
        </w:tblCellMar>
      </w:tblPr>
      <w:tblGrid>
        <w:gridCol w:w="585"/>
        <w:gridCol w:w="752"/>
        <w:gridCol w:w="3812"/>
        <w:gridCol w:w="3660"/>
        <w:gridCol w:w="701"/>
      </w:tblGrid>
      <w:tr w14:paraId="0E3739BA">
        <w:tblPrEx>
          <w:tblCellMar>
            <w:top w:w="0" w:type="dxa"/>
            <w:left w:w="108" w:type="dxa"/>
            <w:bottom w:w="0" w:type="dxa"/>
            <w:right w:w="108" w:type="dxa"/>
          </w:tblCellMar>
        </w:tblPrEx>
        <w:trPr>
          <w:trHeight w:val="595" w:hRule="atLeast"/>
        </w:trPr>
        <w:tc>
          <w:tcPr>
            <w:tcW w:w="585" w:type="dxa"/>
            <w:tcBorders>
              <w:top w:val="single" w:color="auto" w:sz="4" w:space="0"/>
              <w:left w:val="single" w:color="auto" w:sz="4" w:space="0"/>
              <w:bottom w:val="single" w:color="auto" w:sz="4" w:space="0"/>
              <w:right w:val="single" w:color="auto" w:sz="4" w:space="0"/>
            </w:tcBorders>
            <w:noWrap w:val="0"/>
            <w:vAlign w:val="center"/>
          </w:tcPr>
          <w:p w14:paraId="2882A27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752" w:type="dxa"/>
            <w:tcBorders>
              <w:top w:val="single" w:color="auto" w:sz="4" w:space="0"/>
              <w:left w:val="single" w:color="auto" w:sz="4" w:space="0"/>
              <w:bottom w:val="single" w:color="auto" w:sz="4" w:space="0"/>
              <w:right w:val="single" w:color="auto" w:sz="4" w:space="0"/>
            </w:tcBorders>
            <w:noWrap w:val="0"/>
            <w:vAlign w:val="center"/>
          </w:tcPr>
          <w:p w14:paraId="3CDBEB24">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考核内容 </w:t>
            </w:r>
          </w:p>
        </w:tc>
        <w:tc>
          <w:tcPr>
            <w:tcW w:w="3812" w:type="dxa"/>
            <w:tcBorders>
              <w:top w:val="single" w:color="auto" w:sz="4" w:space="0"/>
              <w:left w:val="single" w:color="auto" w:sz="4" w:space="0"/>
              <w:bottom w:val="single" w:color="auto" w:sz="4" w:space="0"/>
              <w:right w:val="single" w:color="auto" w:sz="4" w:space="0"/>
            </w:tcBorders>
            <w:noWrap w:val="0"/>
            <w:vAlign w:val="center"/>
          </w:tcPr>
          <w:p w14:paraId="5F117F5D">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考核要求</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6DE34D61">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考核细则</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0A93604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考核分数</w:t>
            </w:r>
          </w:p>
        </w:tc>
      </w:tr>
      <w:tr w14:paraId="72A6D0C4">
        <w:tblPrEx>
          <w:tblCellMar>
            <w:top w:w="0" w:type="dxa"/>
            <w:left w:w="108" w:type="dxa"/>
            <w:bottom w:w="0" w:type="dxa"/>
            <w:right w:w="108" w:type="dxa"/>
          </w:tblCellMar>
        </w:tblPrEx>
        <w:trPr>
          <w:trHeight w:val="830" w:hRule="atLeast"/>
        </w:trPr>
        <w:tc>
          <w:tcPr>
            <w:tcW w:w="585" w:type="dxa"/>
            <w:vMerge w:val="restart"/>
            <w:tcBorders>
              <w:top w:val="single" w:color="auto" w:sz="4" w:space="0"/>
              <w:left w:val="single" w:color="auto" w:sz="4" w:space="0"/>
              <w:right w:val="single" w:color="auto" w:sz="4" w:space="0"/>
            </w:tcBorders>
            <w:noWrap w:val="0"/>
            <w:vAlign w:val="center"/>
          </w:tcPr>
          <w:p w14:paraId="64C084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52" w:type="dxa"/>
            <w:vMerge w:val="restart"/>
            <w:tcBorders>
              <w:top w:val="single" w:color="auto" w:sz="4" w:space="0"/>
              <w:left w:val="single" w:color="auto" w:sz="4" w:space="0"/>
              <w:right w:val="single" w:color="auto" w:sz="4" w:space="0"/>
            </w:tcBorders>
            <w:noWrap w:val="0"/>
            <w:vAlign w:val="center"/>
          </w:tcPr>
          <w:p w14:paraId="4C61090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综合管理</w:t>
            </w:r>
          </w:p>
        </w:tc>
        <w:tc>
          <w:tcPr>
            <w:tcW w:w="3812" w:type="dxa"/>
            <w:tcBorders>
              <w:top w:val="single" w:color="auto" w:sz="4" w:space="0"/>
              <w:left w:val="single" w:color="auto" w:sz="4" w:space="0"/>
              <w:bottom w:val="single" w:color="auto" w:sz="4" w:space="0"/>
              <w:right w:val="single" w:color="auto" w:sz="4" w:space="0"/>
            </w:tcBorders>
            <w:noWrap w:val="0"/>
            <w:vAlign w:val="center"/>
          </w:tcPr>
          <w:p w14:paraId="2C8AD20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按照要求配齐人员</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3D80F2C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一经发现用人</w:t>
            </w:r>
            <w:r>
              <w:rPr>
                <w:rFonts w:hint="eastAsia" w:ascii="宋体" w:hAnsi="宋体" w:eastAsia="宋体" w:cs="宋体"/>
                <w:color w:val="auto"/>
                <w:sz w:val="21"/>
                <w:szCs w:val="21"/>
                <w:highlight w:val="none"/>
                <w:lang w:val="en-US" w:eastAsia="zh-CN"/>
              </w:rPr>
              <w:t>数量</w:t>
            </w:r>
            <w:r>
              <w:rPr>
                <w:rFonts w:hint="eastAsia" w:ascii="宋体" w:hAnsi="宋体" w:eastAsia="宋体" w:cs="宋体"/>
                <w:color w:val="auto"/>
                <w:sz w:val="21"/>
                <w:szCs w:val="21"/>
                <w:highlight w:val="none"/>
              </w:rPr>
              <w:t>不满足考招标要求的，</w:t>
            </w:r>
            <w:r>
              <w:rPr>
                <w:rFonts w:hint="eastAsia" w:ascii="宋体" w:hAnsi="宋体" w:eastAsia="宋体" w:cs="宋体"/>
                <w:color w:val="auto"/>
                <w:sz w:val="21"/>
                <w:szCs w:val="21"/>
                <w:highlight w:val="none"/>
                <w:lang w:val="en-US" w:eastAsia="zh-CN"/>
              </w:rPr>
              <w:t>每缺1人月度考核扣10分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2884E00E">
            <w:pPr>
              <w:keepNext w:val="0"/>
              <w:keepLines w:val="0"/>
              <w:widowControl w:val="0"/>
              <w:suppressLineNumbers w:val="0"/>
              <w:spacing w:before="0" w:beforeAutospacing="0" w:after="0" w:afterAutospacing="0" w:line="360" w:lineRule="auto"/>
              <w:ind w:left="480" w:right="0" w:firstLine="210"/>
              <w:jc w:val="both"/>
              <w:rPr>
                <w:rFonts w:hint="eastAsia" w:ascii="宋体" w:hAnsi="宋体" w:eastAsia="宋体" w:cs="宋体"/>
                <w:color w:val="auto"/>
                <w:sz w:val="21"/>
                <w:szCs w:val="21"/>
                <w:highlight w:val="none"/>
                <w:lang w:val="en-US" w:eastAsia="zh-CN" w:bidi="ar-SA"/>
              </w:rPr>
            </w:pPr>
          </w:p>
        </w:tc>
      </w:tr>
      <w:tr w14:paraId="62E4FD09">
        <w:tblPrEx>
          <w:tblCellMar>
            <w:top w:w="0" w:type="dxa"/>
            <w:left w:w="108" w:type="dxa"/>
            <w:bottom w:w="0" w:type="dxa"/>
            <w:right w:w="108" w:type="dxa"/>
          </w:tblCellMar>
        </w:tblPrEx>
        <w:trPr>
          <w:trHeight w:val="842" w:hRule="atLeast"/>
        </w:trPr>
        <w:tc>
          <w:tcPr>
            <w:tcW w:w="585" w:type="dxa"/>
            <w:vMerge w:val="continue"/>
            <w:tcBorders>
              <w:left w:val="single" w:color="auto" w:sz="4" w:space="0"/>
              <w:right w:val="single" w:color="auto" w:sz="4" w:space="0"/>
            </w:tcBorders>
            <w:noWrap w:val="0"/>
            <w:vAlign w:val="center"/>
          </w:tcPr>
          <w:p w14:paraId="48668F5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79BBF7E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CFA24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定岗定人，各岗位人员满足招投标文件要求，对员工开展职工教育、技术培训。</w:t>
            </w:r>
          </w:p>
        </w:tc>
        <w:tc>
          <w:tcPr>
            <w:tcW w:w="36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A3A03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一经发现用人情况不满足考招标要求的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每缺1人</w:t>
            </w:r>
            <w:r>
              <w:rPr>
                <w:rFonts w:hint="eastAsia" w:ascii="宋体" w:hAnsi="宋体" w:eastAsia="宋体" w:cs="宋体"/>
                <w:color w:val="auto"/>
                <w:sz w:val="21"/>
                <w:szCs w:val="21"/>
                <w:highlight w:val="none"/>
              </w:rPr>
              <w:t>月度考核扣5分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4CDBF87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1D48524D">
        <w:tblPrEx>
          <w:tblCellMar>
            <w:top w:w="0" w:type="dxa"/>
            <w:left w:w="108" w:type="dxa"/>
            <w:bottom w:w="0" w:type="dxa"/>
            <w:right w:w="108" w:type="dxa"/>
          </w:tblCellMar>
        </w:tblPrEx>
        <w:trPr>
          <w:trHeight w:val="372" w:hRule="atLeast"/>
        </w:trPr>
        <w:tc>
          <w:tcPr>
            <w:tcW w:w="585" w:type="dxa"/>
            <w:vMerge w:val="continue"/>
            <w:tcBorders>
              <w:left w:val="single" w:color="auto" w:sz="4" w:space="0"/>
              <w:right w:val="single" w:color="auto" w:sz="4" w:space="0"/>
            </w:tcBorders>
            <w:noWrap w:val="0"/>
            <w:vAlign w:val="center"/>
          </w:tcPr>
          <w:p w14:paraId="11D40B3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76FEDDE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noWrap w:val="0"/>
            <w:vAlign w:val="center"/>
          </w:tcPr>
          <w:p w14:paraId="5584CB2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内部考核和自查，提供内部考核资料，做好工作资料和信息保密工作，不对外传播工作相关资料。</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728F315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未做好内部考核资料的，每发现1次扣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分，未做好信息保密工作导致泄密的，</w:t>
            </w:r>
            <w:r>
              <w:rPr>
                <w:rFonts w:hint="eastAsia" w:ascii="宋体" w:hAnsi="宋体" w:eastAsia="宋体" w:cs="宋体"/>
                <w:color w:val="auto"/>
                <w:sz w:val="21"/>
                <w:szCs w:val="21"/>
                <w:highlight w:val="none"/>
                <w:lang w:val="en-US" w:eastAsia="zh-CN"/>
              </w:rPr>
              <w:t>根据保密信息扣10-40分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514CC4B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792E630F">
        <w:tblPrEx>
          <w:tblCellMar>
            <w:top w:w="0" w:type="dxa"/>
            <w:left w:w="108" w:type="dxa"/>
            <w:bottom w:w="0" w:type="dxa"/>
            <w:right w:w="108" w:type="dxa"/>
          </w:tblCellMar>
        </w:tblPrEx>
        <w:trPr>
          <w:trHeight w:val="840" w:hRule="atLeast"/>
        </w:trPr>
        <w:tc>
          <w:tcPr>
            <w:tcW w:w="585" w:type="dxa"/>
            <w:vMerge w:val="continue"/>
            <w:tcBorders>
              <w:left w:val="single" w:color="auto" w:sz="4" w:space="0"/>
              <w:right w:val="single" w:color="auto" w:sz="4" w:space="0"/>
            </w:tcBorders>
            <w:noWrap w:val="0"/>
            <w:vAlign w:val="center"/>
          </w:tcPr>
          <w:p w14:paraId="00638FE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5059ADB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noWrap w:val="0"/>
            <w:vAlign w:val="center"/>
          </w:tcPr>
          <w:p w14:paraId="6A7B77B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制度明确、遵章守纪，人员上岗必须穿工作服，不得无故缺岗，工作期间文明开展咨询答复工作。</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7643C53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工作期间不遵守规章制度或回复咨询电话不文明礼貌的，每发现1次扣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分，无故缺岗不尊重规章制度的，每发现1次扣</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3C4579E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0508FAC7">
        <w:tblPrEx>
          <w:tblCellMar>
            <w:top w:w="0" w:type="dxa"/>
            <w:left w:w="108" w:type="dxa"/>
            <w:bottom w:w="0" w:type="dxa"/>
            <w:right w:w="108" w:type="dxa"/>
          </w:tblCellMar>
        </w:tblPrEx>
        <w:trPr>
          <w:trHeight w:val="836" w:hRule="atLeast"/>
        </w:trPr>
        <w:tc>
          <w:tcPr>
            <w:tcW w:w="585" w:type="dxa"/>
            <w:vMerge w:val="restart"/>
            <w:tcBorders>
              <w:top w:val="single" w:color="auto" w:sz="4" w:space="0"/>
              <w:left w:val="single" w:color="auto" w:sz="4" w:space="0"/>
              <w:right w:val="single" w:color="auto" w:sz="4" w:space="0"/>
            </w:tcBorders>
            <w:noWrap w:val="0"/>
            <w:vAlign w:val="center"/>
          </w:tcPr>
          <w:p w14:paraId="7036A95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52" w:type="dxa"/>
            <w:vMerge w:val="restart"/>
            <w:tcBorders>
              <w:top w:val="single" w:color="auto" w:sz="4" w:space="0"/>
              <w:left w:val="single" w:color="auto" w:sz="4" w:space="0"/>
              <w:right w:val="single" w:color="auto" w:sz="4" w:space="0"/>
            </w:tcBorders>
            <w:noWrap w:val="0"/>
            <w:vAlign w:val="center"/>
          </w:tcPr>
          <w:p w14:paraId="451F58E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安全管理</w:t>
            </w:r>
          </w:p>
        </w:tc>
        <w:tc>
          <w:tcPr>
            <w:tcW w:w="3812" w:type="dxa"/>
            <w:tcBorders>
              <w:top w:val="single" w:color="auto" w:sz="4" w:space="0"/>
              <w:left w:val="single" w:color="auto" w:sz="4" w:space="0"/>
              <w:bottom w:val="single" w:color="auto" w:sz="4" w:space="0"/>
              <w:right w:val="single" w:color="auto" w:sz="4" w:space="0"/>
            </w:tcBorders>
            <w:noWrap w:val="0"/>
            <w:vAlign w:val="center"/>
          </w:tcPr>
          <w:p w14:paraId="10618CAF">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按照安全监督科要求每日定期对企业线上检查，定期抽查线上抽查重大危险源企业中控室人员是否在岗并形成台账，随时关注化工园区化工（危险化学品）企业异常情况，督促企业落实安全生产主体责任。</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0CEE5B1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未按要求对企业进行检查或记录的，每发现一次扣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分，未开展检查或制作虚假台账的，每发现一次扣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43D7890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72FC94FA">
        <w:tblPrEx>
          <w:tblCellMar>
            <w:top w:w="0" w:type="dxa"/>
            <w:left w:w="108" w:type="dxa"/>
            <w:bottom w:w="0" w:type="dxa"/>
            <w:right w:w="108" w:type="dxa"/>
          </w:tblCellMar>
        </w:tblPrEx>
        <w:trPr>
          <w:trHeight w:val="848" w:hRule="atLeast"/>
        </w:trPr>
        <w:tc>
          <w:tcPr>
            <w:tcW w:w="585" w:type="dxa"/>
            <w:vMerge w:val="continue"/>
            <w:tcBorders>
              <w:left w:val="single" w:color="auto" w:sz="4" w:space="0"/>
              <w:right w:val="single" w:color="auto" w:sz="4" w:space="0"/>
            </w:tcBorders>
            <w:noWrap w:val="0"/>
            <w:vAlign w:val="center"/>
          </w:tcPr>
          <w:p w14:paraId="1F9EFFB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06C1ED1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noWrap w:val="0"/>
            <w:vAlign w:val="center"/>
          </w:tcPr>
          <w:p w14:paraId="4BC9C67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处置应急平台各类报警信息，按照规定进行报警信息分类分级进行处置和闭环。</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3D910D6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未按照要求或未及时处理报警信息的，每发现一次扣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分；未在规定时间内闭环的，发现一次扣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17B2C668">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4EEDECA2">
        <w:tblPrEx>
          <w:tblCellMar>
            <w:top w:w="0" w:type="dxa"/>
            <w:left w:w="108" w:type="dxa"/>
            <w:bottom w:w="0" w:type="dxa"/>
            <w:right w:w="108" w:type="dxa"/>
          </w:tblCellMar>
        </w:tblPrEx>
        <w:trPr>
          <w:trHeight w:val="90" w:hRule="atLeast"/>
        </w:trPr>
        <w:tc>
          <w:tcPr>
            <w:tcW w:w="585" w:type="dxa"/>
            <w:vMerge w:val="continue"/>
            <w:tcBorders>
              <w:left w:val="single" w:color="auto" w:sz="4" w:space="0"/>
              <w:right w:val="single" w:color="auto" w:sz="4" w:space="0"/>
            </w:tcBorders>
            <w:noWrap w:val="0"/>
            <w:vAlign w:val="center"/>
          </w:tcPr>
          <w:p w14:paraId="1EEBA51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7736F60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noWrap w:val="0"/>
            <w:vAlign w:val="center"/>
          </w:tcPr>
          <w:p w14:paraId="6147F67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化工园区应急平台信息的日常管理、完善和维护，按要求对平台基础信息、报警等进行数据统计及分析，完成周报月报和季度年度统计报表。</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5FD64A7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次周完成周报，次月完成月报，及时上交季度年度报表，未按要求进行统计分析或未及时上交报表的，每发现一次扣1分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07CFB0F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p>
        </w:tc>
      </w:tr>
      <w:tr w14:paraId="2C35E43E">
        <w:tblPrEx>
          <w:tblCellMar>
            <w:top w:w="0" w:type="dxa"/>
            <w:left w:w="108" w:type="dxa"/>
            <w:bottom w:w="0" w:type="dxa"/>
            <w:right w:w="108" w:type="dxa"/>
          </w:tblCellMar>
        </w:tblPrEx>
        <w:trPr>
          <w:trHeight w:val="741" w:hRule="atLeast"/>
        </w:trPr>
        <w:tc>
          <w:tcPr>
            <w:tcW w:w="585" w:type="dxa"/>
            <w:vMerge w:val="continue"/>
            <w:tcBorders>
              <w:left w:val="single" w:color="auto" w:sz="4" w:space="0"/>
              <w:right w:val="single" w:color="auto" w:sz="4" w:space="0"/>
            </w:tcBorders>
            <w:noWrap w:val="0"/>
            <w:vAlign w:val="center"/>
          </w:tcPr>
          <w:p w14:paraId="6568B5E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51DCCBE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noWrap w:val="0"/>
            <w:vAlign w:val="center"/>
          </w:tcPr>
          <w:p w14:paraId="2830AFE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化工园区应急指挥中心日常管理和突发事件应急处置。</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592DED7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5分钟内未报告突发事件（以电话收到时间为准）或者漏报、谎报、瞒报等对突发事件处置不力的，月度考核扣10分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1109AB5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262CB544">
        <w:tblPrEx>
          <w:tblCellMar>
            <w:top w:w="0" w:type="dxa"/>
            <w:left w:w="108" w:type="dxa"/>
            <w:bottom w:w="0" w:type="dxa"/>
            <w:right w:w="108" w:type="dxa"/>
          </w:tblCellMar>
        </w:tblPrEx>
        <w:trPr>
          <w:trHeight w:val="121" w:hRule="atLeast"/>
        </w:trPr>
        <w:tc>
          <w:tcPr>
            <w:tcW w:w="585" w:type="dxa"/>
            <w:vMerge w:val="continue"/>
            <w:tcBorders>
              <w:left w:val="single" w:color="auto" w:sz="4" w:space="0"/>
              <w:right w:val="single" w:color="auto" w:sz="4" w:space="0"/>
            </w:tcBorders>
            <w:noWrap w:val="0"/>
            <w:vAlign w:val="center"/>
          </w:tcPr>
          <w:p w14:paraId="3886E50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29429FA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92B9A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危运车辆入园的复核，按照化工园区智慧平台规定的要求对危运车辆监管。</w:t>
            </w:r>
          </w:p>
        </w:tc>
        <w:tc>
          <w:tcPr>
            <w:tcW w:w="36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88122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未及时审核危运车辆或未按化工园区智慧平台要求对危运车辆进行监管的，每发现一次扣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2A11BA4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6BF54453">
        <w:tblPrEx>
          <w:tblCellMar>
            <w:top w:w="0" w:type="dxa"/>
            <w:left w:w="108" w:type="dxa"/>
            <w:bottom w:w="0" w:type="dxa"/>
            <w:right w:w="108" w:type="dxa"/>
          </w:tblCellMar>
        </w:tblPrEx>
        <w:trPr>
          <w:trHeight w:val="121" w:hRule="atLeast"/>
        </w:trPr>
        <w:tc>
          <w:tcPr>
            <w:tcW w:w="585" w:type="dxa"/>
            <w:vMerge w:val="continue"/>
            <w:tcBorders>
              <w:left w:val="single" w:color="auto" w:sz="4" w:space="0"/>
              <w:right w:val="single" w:color="auto" w:sz="4" w:space="0"/>
            </w:tcBorders>
            <w:noWrap w:val="0"/>
            <w:vAlign w:val="center"/>
          </w:tcPr>
          <w:p w14:paraId="59DED4A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67655C1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96671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按照项目采购内容安全模块工作事项开展工作。</w:t>
            </w:r>
          </w:p>
        </w:tc>
        <w:tc>
          <w:tcPr>
            <w:tcW w:w="36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61DAE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对照采购内容工作事项，每发现1次未按时或按要求完成工作的，扣2分。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21C3318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19D55516">
        <w:tblPrEx>
          <w:tblCellMar>
            <w:top w:w="0" w:type="dxa"/>
            <w:left w:w="108" w:type="dxa"/>
            <w:bottom w:w="0" w:type="dxa"/>
            <w:right w:w="108" w:type="dxa"/>
          </w:tblCellMar>
        </w:tblPrEx>
        <w:trPr>
          <w:trHeight w:val="685" w:hRule="atLeast"/>
        </w:trPr>
        <w:tc>
          <w:tcPr>
            <w:tcW w:w="585" w:type="dxa"/>
            <w:vMerge w:val="restart"/>
            <w:tcBorders>
              <w:top w:val="single" w:color="auto" w:sz="4" w:space="0"/>
              <w:left w:val="single" w:color="auto" w:sz="4" w:space="0"/>
              <w:right w:val="single" w:color="auto" w:sz="4" w:space="0"/>
            </w:tcBorders>
            <w:noWrap w:val="0"/>
            <w:vAlign w:val="center"/>
          </w:tcPr>
          <w:p w14:paraId="29FB6B2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752" w:type="dxa"/>
            <w:vMerge w:val="restart"/>
            <w:tcBorders>
              <w:top w:val="single" w:color="auto" w:sz="4" w:space="0"/>
              <w:left w:val="single" w:color="auto" w:sz="4" w:space="0"/>
              <w:right w:val="single" w:color="auto" w:sz="4" w:space="0"/>
            </w:tcBorders>
            <w:noWrap w:val="0"/>
            <w:vAlign w:val="center"/>
          </w:tcPr>
          <w:p w14:paraId="0F819F3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环保管理</w:t>
            </w:r>
          </w:p>
        </w:tc>
        <w:tc>
          <w:tcPr>
            <w:tcW w:w="3812" w:type="dxa"/>
            <w:tcBorders>
              <w:top w:val="single" w:color="auto" w:sz="4" w:space="0"/>
              <w:left w:val="single" w:color="auto" w:sz="4" w:space="0"/>
              <w:bottom w:val="single" w:color="auto" w:sz="4" w:space="0"/>
              <w:right w:val="single" w:color="auto" w:sz="4" w:space="0"/>
            </w:tcBorders>
            <w:noWrap w:val="0"/>
            <w:vAlign w:val="center"/>
          </w:tcPr>
          <w:p w14:paraId="238455F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做好有关环境保护方面的超标预警处置工作，排除一级报警。</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2FC58EF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未及时处置超标预警信息的，每发现一次扣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分；未在规定时间内闭环的，发现一次扣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86DF6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p>
        </w:tc>
      </w:tr>
      <w:tr w14:paraId="66929BEA">
        <w:tblPrEx>
          <w:tblCellMar>
            <w:top w:w="0" w:type="dxa"/>
            <w:left w:w="108" w:type="dxa"/>
            <w:bottom w:w="0" w:type="dxa"/>
            <w:right w:w="108" w:type="dxa"/>
          </w:tblCellMar>
        </w:tblPrEx>
        <w:trPr>
          <w:trHeight w:val="90" w:hRule="atLeast"/>
        </w:trPr>
        <w:tc>
          <w:tcPr>
            <w:tcW w:w="585" w:type="dxa"/>
            <w:vMerge w:val="continue"/>
            <w:tcBorders>
              <w:left w:val="single" w:color="auto" w:sz="4" w:space="0"/>
              <w:right w:val="single" w:color="auto" w:sz="4" w:space="0"/>
            </w:tcBorders>
            <w:noWrap w:val="0"/>
            <w:vAlign w:val="center"/>
          </w:tcPr>
          <w:p w14:paraId="37FB6D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47066B0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noWrap w:val="0"/>
            <w:vAlign w:val="center"/>
          </w:tcPr>
          <w:p w14:paraId="01CF178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按照环境保护科的要求更新环保相关平台内容。</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5108489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未及时更新内容的，每发现一次扣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4A582F">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p>
        </w:tc>
      </w:tr>
      <w:tr w14:paraId="0F74989C">
        <w:tblPrEx>
          <w:tblCellMar>
            <w:top w:w="0" w:type="dxa"/>
            <w:left w:w="108" w:type="dxa"/>
            <w:bottom w:w="0" w:type="dxa"/>
            <w:right w:w="108" w:type="dxa"/>
          </w:tblCellMar>
        </w:tblPrEx>
        <w:trPr>
          <w:trHeight w:val="90" w:hRule="atLeast"/>
        </w:trPr>
        <w:tc>
          <w:tcPr>
            <w:tcW w:w="585" w:type="dxa"/>
            <w:vMerge w:val="continue"/>
            <w:tcBorders>
              <w:left w:val="single" w:color="auto" w:sz="4" w:space="0"/>
              <w:right w:val="single" w:color="auto" w:sz="4" w:space="0"/>
            </w:tcBorders>
            <w:noWrap w:val="0"/>
            <w:vAlign w:val="center"/>
          </w:tcPr>
          <w:p w14:paraId="0C8F7B5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10B1B6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noWrap w:val="0"/>
            <w:vAlign w:val="center"/>
          </w:tcPr>
          <w:p w14:paraId="6EDCD55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环保平台的讲解工作。</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3301D2A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未按要求讲解的，每发现一次扣</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BC2A2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p>
        </w:tc>
      </w:tr>
      <w:tr w14:paraId="3EDEF5A4">
        <w:tblPrEx>
          <w:tblCellMar>
            <w:top w:w="0" w:type="dxa"/>
            <w:left w:w="108" w:type="dxa"/>
            <w:bottom w:w="0" w:type="dxa"/>
            <w:right w:w="108" w:type="dxa"/>
          </w:tblCellMar>
        </w:tblPrEx>
        <w:trPr>
          <w:trHeight w:val="90" w:hRule="atLeast"/>
        </w:trPr>
        <w:tc>
          <w:tcPr>
            <w:tcW w:w="585" w:type="dxa"/>
            <w:vMerge w:val="continue"/>
            <w:tcBorders>
              <w:left w:val="single" w:color="auto" w:sz="4" w:space="0"/>
              <w:bottom w:val="single" w:color="auto" w:sz="4" w:space="0"/>
              <w:right w:val="single" w:color="auto" w:sz="4" w:space="0"/>
            </w:tcBorders>
            <w:noWrap w:val="0"/>
            <w:vAlign w:val="center"/>
          </w:tcPr>
          <w:p w14:paraId="471C9A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bottom w:val="single" w:color="auto" w:sz="4" w:space="0"/>
              <w:right w:val="single" w:color="auto" w:sz="4" w:space="0"/>
            </w:tcBorders>
            <w:noWrap w:val="0"/>
            <w:vAlign w:val="center"/>
          </w:tcPr>
          <w:p w14:paraId="3C22173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C9057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按照环境保护科的要求进行平台数据整理整合。</w:t>
            </w:r>
          </w:p>
        </w:tc>
        <w:tc>
          <w:tcPr>
            <w:tcW w:w="36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8A204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未按要求进行数据整理整合的，每发现一次扣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9785E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p>
        </w:tc>
      </w:tr>
      <w:tr w14:paraId="5D3CB64E">
        <w:tblPrEx>
          <w:tblCellMar>
            <w:top w:w="0" w:type="dxa"/>
            <w:left w:w="108" w:type="dxa"/>
            <w:bottom w:w="0" w:type="dxa"/>
            <w:right w:w="108" w:type="dxa"/>
          </w:tblCellMar>
        </w:tblPrEx>
        <w:trPr>
          <w:trHeight w:val="90" w:hRule="atLeast"/>
        </w:trPr>
        <w:tc>
          <w:tcPr>
            <w:tcW w:w="585" w:type="dxa"/>
            <w:vMerge w:val="continue"/>
            <w:tcBorders>
              <w:left w:val="single" w:color="auto" w:sz="4" w:space="0"/>
              <w:bottom w:val="single" w:color="auto" w:sz="4" w:space="0"/>
              <w:right w:val="single" w:color="auto" w:sz="4" w:space="0"/>
            </w:tcBorders>
            <w:noWrap w:val="0"/>
            <w:vAlign w:val="center"/>
          </w:tcPr>
          <w:p w14:paraId="0F45237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bottom w:val="single" w:color="auto" w:sz="4" w:space="0"/>
              <w:right w:val="single" w:color="auto" w:sz="4" w:space="0"/>
            </w:tcBorders>
            <w:noWrap w:val="0"/>
            <w:vAlign w:val="center"/>
          </w:tcPr>
          <w:p w14:paraId="5255D1E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37885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按照项目采购内容环保模块工作事项开展工作。</w:t>
            </w:r>
          </w:p>
        </w:tc>
        <w:tc>
          <w:tcPr>
            <w:tcW w:w="36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7CC32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对照采购内容工作事项，每发现1次未按时或按要求完成工作的，扣2分。</w:t>
            </w:r>
          </w:p>
        </w:tc>
        <w:tc>
          <w:tcPr>
            <w:tcW w:w="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154B1F">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p>
        </w:tc>
      </w:tr>
      <w:tr w14:paraId="2484E83F">
        <w:tblPrEx>
          <w:tblCellMar>
            <w:top w:w="0" w:type="dxa"/>
            <w:left w:w="108" w:type="dxa"/>
            <w:bottom w:w="0" w:type="dxa"/>
            <w:right w:w="108" w:type="dxa"/>
          </w:tblCellMar>
        </w:tblPrEx>
        <w:trPr>
          <w:trHeight w:val="768" w:hRule="atLeast"/>
        </w:trPr>
        <w:tc>
          <w:tcPr>
            <w:tcW w:w="585" w:type="dxa"/>
            <w:vMerge w:val="restart"/>
            <w:tcBorders>
              <w:left w:val="single" w:color="auto" w:sz="4" w:space="0"/>
              <w:right w:val="single" w:color="auto" w:sz="4" w:space="0"/>
            </w:tcBorders>
            <w:noWrap w:val="0"/>
            <w:vAlign w:val="center"/>
          </w:tcPr>
          <w:p w14:paraId="51A3BF8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752" w:type="dxa"/>
            <w:vMerge w:val="restart"/>
            <w:tcBorders>
              <w:left w:val="single" w:color="auto" w:sz="4" w:space="0"/>
              <w:right w:val="single" w:color="auto" w:sz="4" w:space="0"/>
            </w:tcBorders>
            <w:noWrap w:val="0"/>
            <w:vAlign w:val="center"/>
          </w:tcPr>
          <w:p w14:paraId="46EA164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封闭化管理</w:t>
            </w:r>
          </w:p>
        </w:tc>
        <w:tc>
          <w:tcPr>
            <w:tcW w:w="3812" w:type="dxa"/>
            <w:tcBorders>
              <w:top w:val="single" w:color="auto" w:sz="4" w:space="0"/>
              <w:left w:val="single" w:color="auto" w:sz="4" w:space="0"/>
              <w:bottom w:val="single" w:color="auto" w:sz="4" w:space="0"/>
              <w:right w:val="single" w:color="auto" w:sz="4" w:space="0"/>
            </w:tcBorders>
            <w:noWrap w:val="0"/>
            <w:vAlign w:val="center"/>
          </w:tcPr>
          <w:p w14:paraId="5091F416">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利用封闭化系统保持卡口通行顺畅，办理企业车辆（行人）、第三方出入权限，加强与卡口互动配合，确保化工园区卡口通行有序。</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7EA1F1F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因工作失误或配合不力导致卡口通行不畅（堵塞5min以上）或引起投诉（经查实）的，每发现一次扣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分，导致卡口堵塞30min以上的，每发现一次扣</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2E080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p>
        </w:tc>
      </w:tr>
      <w:tr w14:paraId="71FA7197">
        <w:tblPrEx>
          <w:tblCellMar>
            <w:top w:w="0" w:type="dxa"/>
            <w:left w:w="108" w:type="dxa"/>
            <w:bottom w:w="0" w:type="dxa"/>
            <w:right w:w="108" w:type="dxa"/>
          </w:tblCellMar>
        </w:tblPrEx>
        <w:trPr>
          <w:trHeight w:val="768" w:hRule="atLeast"/>
        </w:trPr>
        <w:tc>
          <w:tcPr>
            <w:tcW w:w="585" w:type="dxa"/>
            <w:vMerge w:val="continue"/>
            <w:tcBorders>
              <w:left w:val="single" w:color="auto" w:sz="4" w:space="0"/>
              <w:right w:val="single" w:color="auto" w:sz="4" w:space="0"/>
            </w:tcBorders>
            <w:noWrap w:val="0"/>
            <w:vAlign w:val="center"/>
          </w:tcPr>
          <w:p w14:paraId="58D5CF1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6102A02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right w:val="single" w:color="auto" w:sz="4" w:space="0"/>
            </w:tcBorders>
            <w:noWrap w:val="0"/>
            <w:vAlign w:val="center"/>
          </w:tcPr>
          <w:p w14:paraId="2AE32C90">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处置封闭化管理平台各类报警信息，按照规定进行报警信息分类分级进行处置和闭环。</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2D75D548">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未按照要求或未及时处理报警信息的，每发现一次扣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分；未在规定时间内闭环的，发现一次扣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0EA810">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p>
        </w:tc>
      </w:tr>
      <w:tr w14:paraId="77C2B4EF">
        <w:tblPrEx>
          <w:tblCellMar>
            <w:top w:w="0" w:type="dxa"/>
            <w:left w:w="108" w:type="dxa"/>
            <w:bottom w:w="0" w:type="dxa"/>
            <w:right w:w="108" w:type="dxa"/>
          </w:tblCellMar>
        </w:tblPrEx>
        <w:trPr>
          <w:trHeight w:val="238" w:hRule="atLeast"/>
        </w:trPr>
        <w:tc>
          <w:tcPr>
            <w:tcW w:w="585" w:type="dxa"/>
            <w:vMerge w:val="continue"/>
            <w:tcBorders>
              <w:left w:val="single" w:color="auto" w:sz="4" w:space="0"/>
              <w:right w:val="single" w:color="auto" w:sz="4" w:space="0"/>
            </w:tcBorders>
            <w:noWrap w:val="0"/>
            <w:vAlign w:val="center"/>
          </w:tcPr>
          <w:p w14:paraId="531C323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4FDF158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right w:val="single" w:color="auto" w:sz="4" w:space="0"/>
            </w:tcBorders>
            <w:noWrap w:val="0"/>
            <w:vAlign w:val="center"/>
          </w:tcPr>
          <w:p w14:paraId="7DC60508">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对接封闭化有关维保工作，确保应急指挥中心工作正常开展。</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2C6F3E03">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配合不力导致维保未及时完成的，每发现一次扣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31980AE8">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564333CD">
        <w:tblPrEx>
          <w:tblCellMar>
            <w:top w:w="0" w:type="dxa"/>
            <w:left w:w="108" w:type="dxa"/>
            <w:bottom w:w="0" w:type="dxa"/>
            <w:right w:w="108" w:type="dxa"/>
          </w:tblCellMar>
        </w:tblPrEx>
        <w:trPr>
          <w:trHeight w:val="90" w:hRule="atLeast"/>
        </w:trPr>
        <w:tc>
          <w:tcPr>
            <w:tcW w:w="585" w:type="dxa"/>
            <w:vMerge w:val="continue"/>
            <w:tcBorders>
              <w:left w:val="single" w:color="auto" w:sz="4" w:space="0"/>
              <w:right w:val="single" w:color="auto" w:sz="4" w:space="0"/>
            </w:tcBorders>
            <w:noWrap w:val="0"/>
            <w:vAlign w:val="center"/>
          </w:tcPr>
          <w:p w14:paraId="06722C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758BED3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right w:val="single" w:color="auto" w:sz="4" w:space="0"/>
            </w:tcBorders>
            <w:noWrap w:val="0"/>
            <w:vAlign w:val="center"/>
          </w:tcPr>
          <w:p w14:paraId="211D24C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按园区办要求对封闭化管理有关的数据进行统计和分析。</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23BD118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次周完成周报，次月完成月报，未及时进行统计分析或未上交周报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月报的，每发现一次</w:t>
            </w:r>
            <w:r>
              <w:rPr>
                <w:rFonts w:hint="eastAsia" w:ascii="宋体" w:hAnsi="宋体" w:eastAsia="宋体" w:cs="宋体"/>
                <w:color w:val="auto"/>
                <w:sz w:val="21"/>
                <w:szCs w:val="21"/>
                <w:highlight w:val="none"/>
                <w:lang w:val="en-US" w:eastAsia="zh-CN"/>
              </w:rPr>
              <w:t>分别</w:t>
            </w:r>
            <w:r>
              <w:rPr>
                <w:rFonts w:hint="eastAsia" w:ascii="宋体" w:hAnsi="宋体" w:eastAsia="宋体" w:cs="宋体"/>
                <w:color w:val="auto"/>
                <w:sz w:val="21"/>
                <w:szCs w:val="21"/>
                <w:highlight w:val="none"/>
              </w:rPr>
              <w:t>扣</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68BF7F1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3C8C4E90">
        <w:tblPrEx>
          <w:tblCellMar>
            <w:top w:w="0" w:type="dxa"/>
            <w:left w:w="108" w:type="dxa"/>
            <w:bottom w:w="0" w:type="dxa"/>
            <w:right w:w="108" w:type="dxa"/>
          </w:tblCellMar>
        </w:tblPrEx>
        <w:trPr>
          <w:trHeight w:val="90" w:hRule="atLeast"/>
        </w:trPr>
        <w:tc>
          <w:tcPr>
            <w:tcW w:w="585" w:type="dxa"/>
            <w:vMerge w:val="continue"/>
            <w:tcBorders>
              <w:left w:val="single" w:color="auto" w:sz="4" w:space="0"/>
              <w:right w:val="single" w:color="auto" w:sz="4" w:space="0"/>
            </w:tcBorders>
            <w:noWrap w:val="0"/>
            <w:vAlign w:val="center"/>
          </w:tcPr>
          <w:p w14:paraId="75C6023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348DFBA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right w:val="single" w:color="auto" w:sz="4" w:space="0"/>
            </w:tcBorders>
            <w:noWrap w:val="0"/>
            <w:vAlign w:val="center"/>
          </w:tcPr>
          <w:p w14:paraId="7691AB1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违规拉黑处理、组织相关学习后解除黑名单。</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4262019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未及时处理车辆违规信息的，每发现一次扣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3ABF70F3">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3E218620">
        <w:tblPrEx>
          <w:tblCellMar>
            <w:top w:w="0" w:type="dxa"/>
            <w:left w:w="108" w:type="dxa"/>
            <w:bottom w:w="0" w:type="dxa"/>
            <w:right w:w="108" w:type="dxa"/>
          </w:tblCellMar>
        </w:tblPrEx>
        <w:trPr>
          <w:trHeight w:val="90" w:hRule="atLeast"/>
        </w:trPr>
        <w:tc>
          <w:tcPr>
            <w:tcW w:w="585" w:type="dxa"/>
            <w:vMerge w:val="continue"/>
            <w:tcBorders>
              <w:left w:val="single" w:color="auto" w:sz="4" w:space="0"/>
              <w:right w:val="single" w:color="auto" w:sz="4" w:space="0"/>
            </w:tcBorders>
            <w:noWrap w:val="0"/>
            <w:vAlign w:val="center"/>
          </w:tcPr>
          <w:p w14:paraId="61B718E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66DE9C4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right w:val="single" w:color="auto" w:sz="4" w:space="0"/>
            </w:tcBorders>
            <w:shd w:val="clear" w:color="auto" w:fill="auto"/>
            <w:noWrap w:val="0"/>
            <w:vAlign w:val="center"/>
          </w:tcPr>
          <w:p w14:paraId="2E4AAA56">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配合园区办完善和落实化工园区封闭化管理有关规章制度。</w:t>
            </w:r>
          </w:p>
        </w:tc>
        <w:tc>
          <w:tcPr>
            <w:tcW w:w="36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2D4C70">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未按要求落实园区规章制度或不配合园区办工作的，每发现一次扣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0EB92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p>
        </w:tc>
      </w:tr>
      <w:tr w14:paraId="2633D1FA">
        <w:tblPrEx>
          <w:tblCellMar>
            <w:top w:w="0" w:type="dxa"/>
            <w:left w:w="108" w:type="dxa"/>
            <w:bottom w:w="0" w:type="dxa"/>
            <w:right w:w="108" w:type="dxa"/>
          </w:tblCellMar>
        </w:tblPrEx>
        <w:trPr>
          <w:trHeight w:val="90" w:hRule="atLeast"/>
        </w:trPr>
        <w:tc>
          <w:tcPr>
            <w:tcW w:w="585" w:type="dxa"/>
            <w:vMerge w:val="continue"/>
            <w:tcBorders>
              <w:left w:val="single" w:color="auto" w:sz="4" w:space="0"/>
              <w:right w:val="single" w:color="auto" w:sz="4" w:space="0"/>
            </w:tcBorders>
            <w:noWrap w:val="0"/>
            <w:vAlign w:val="center"/>
          </w:tcPr>
          <w:p w14:paraId="7C84EAA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508D834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right w:val="single" w:color="auto" w:sz="4" w:space="0"/>
            </w:tcBorders>
            <w:shd w:val="clear" w:color="auto" w:fill="auto"/>
            <w:noWrap w:val="0"/>
            <w:vAlign w:val="center"/>
          </w:tcPr>
          <w:p w14:paraId="1AE3D30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按照项目采购内容封闭化模块工作事项开展工作。</w:t>
            </w:r>
          </w:p>
        </w:tc>
        <w:tc>
          <w:tcPr>
            <w:tcW w:w="36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63E31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对照采购内容工作事项，每发现1次未按时或按要求完成工作的，扣2分。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7E0F437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5A8063CD">
        <w:tblPrEx>
          <w:tblCellMar>
            <w:top w:w="0" w:type="dxa"/>
            <w:left w:w="108" w:type="dxa"/>
            <w:bottom w:w="0" w:type="dxa"/>
            <w:right w:w="108" w:type="dxa"/>
          </w:tblCellMar>
        </w:tblPrEx>
        <w:trPr>
          <w:trHeight w:val="685" w:hRule="atLeast"/>
        </w:trPr>
        <w:tc>
          <w:tcPr>
            <w:tcW w:w="585" w:type="dxa"/>
            <w:vMerge w:val="restart"/>
            <w:tcBorders>
              <w:top w:val="single" w:color="auto" w:sz="4" w:space="0"/>
              <w:left w:val="single" w:color="auto" w:sz="4" w:space="0"/>
              <w:right w:val="single" w:color="auto" w:sz="4" w:space="0"/>
            </w:tcBorders>
            <w:noWrap w:val="0"/>
            <w:vAlign w:val="center"/>
          </w:tcPr>
          <w:p w14:paraId="5CD2875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752" w:type="dxa"/>
            <w:vMerge w:val="restart"/>
            <w:tcBorders>
              <w:top w:val="single" w:color="auto" w:sz="4" w:space="0"/>
              <w:left w:val="single" w:color="auto" w:sz="4" w:space="0"/>
              <w:right w:val="single" w:color="auto" w:sz="4" w:space="0"/>
            </w:tcBorders>
            <w:noWrap w:val="0"/>
            <w:vAlign w:val="center"/>
          </w:tcPr>
          <w:p w14:paraId="39E56FA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硬件设施</w:t>
            </w:r>
          </w:p>
        </w:tc>
        <w:tc>
          <w:tcPr>
            <w:tcW w:w="3812" w:type="dxa"/>
            <w:tcBorders>
              <w:top w:val="single" w:color="auto" w:sz="4" w:space="0"/>
              <w:left w:val="single" w:color="auto" w:sz="4" w:space="0"/>
              <w:bottom w:val="single" w:color="auto" w:sz="4" w:space="0"/>
              <w:right w:val="single" w:color="auto" w:sz="4" w:space="0"/>
            </w:tcBorders>
            <w:noWrap w:val="0"/>
            <w:vAlign w:val="center"/>
          </w:tcPr>
          <w:p w14:paraId="496C211F">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制定应急指挥中心排查计划，排查指挥中心相关设备（含指挥中心大厅、机房、会议室等），排查发现的</w:t>
            </w:r>
            <w:r>
              <w:rPr>
                <w:rFonts w:hint="eastAsia" w:ascii="宋体" w:hAnsi="宋体" w:eastAsia="宋体" w:cs="宋体"/>
                <w:color w:val="auto"/>
                <w:sz w:val="21"/>
                <w:szCs w:val="21"/>
                <w:highlight w:val="none"/>
              </w:rPr>
              <w:t>问题</w:t>
            </w:r>
            <w:r>
              <w:rPr>
                <w:rFonts w:hint="eastAsia" w:ascii="宋体" w:hAnsi="宋体" w:cs="宋体"/>
                <w:color w:val="auto"/>
                <w:sz w:val="21"/>
                <w:szCs w:val="21"/>
                <w:highlight w:val="none"/>
                <w:lang w:val="en-US" w:eastAsia="zh-CN"/>
              </w:rPr>
              <w:t>及时向维保报修。</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054E93C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发现问题未及时上报的，每发现一次扣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未做排查、</w:t>
            </w:r>
            <w:r>
              <w:rPr>
                <w:rFonts w:hint="eastAsia" w:ascii="宋体" w:hAnsi="宋体" w:eastAsia="宋体" w:cs="宋体"/>
                <w:color w:val="auto"/>
                <w:sz w:val="21"/>
                <w:szCs w:val="21"/>
                <w:highlight w:val="none"/>
              </w:rPr>
              <w:t>发现问题瞒报、谎报的，每发现一次扣</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1F86553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65351D40">
        <w:tblPrEx>
          <w:tblCellMar>
            <w:top w:w="0" w:type="dxa"/>
            <w:left w:w="108" w:type="dxa"/>
            <w:bottom w:w="0" w:type="dxa"/>
            <w:right w:w="108" w:type="dxa"/>
          </w:tblCellMar>
        </w:tblPrEx>
        <w:trPr>
          <w:trHeight w:val="685" w:hRule="atLeast"/>
        </w:trPr>
        <w:tc>
          <w:tcPr>
            <w:tcW w:w="585" w:type="dxa"/>
            <w:vMerge w:val="continue"/>
            <w:tcBorders>
              <w:top w:val="single" w:color="auto" w:sz="4" w:space="0"/>
              <w:left w:val="single" w:color="auto" w:sz="4" w:space="0"/>
              <w:right w:val="single" w:color="auto" w:sz="4" w:space="0"/>
            </w:tcBorders>
            <w:noWrap w:val="0"/>
            <w:vAlign w:val="center"/>
          </w:tcPr>
          <w:p w14:paraId="3D655EC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top w:val="single" w:color="auto" w:sz="4" w:space="0"/>
              <w:left w:val="single" w:color="auto" w:sz="4" w:space="0"/>
              <w:right w:val="single" w:color="auto" w:sz="4" w:space="0"/>
            </w:tcBorders>
            <w:noWrap w:val="0"/>
            <w:vAlign w:val="center"/>
          </w:tcPr>
          <w:p w14:paraId="69DEBC0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noWrap w:val="0"/>
            <w:vAlign w:val="center"/>
          </w:tcPr>
          <w:p w14:paraId="105FD64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协调维保、安保做好信息化平台有关的硬件的检查工作，包括卡口、周界围网、报摄像头等。</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0EB9A088">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制定检查方案，未及时检查或提交检查记录的，每发现一次扣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3446BC16">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p>
        </w:tc>
      </w:tr>
      <w:tr w14:paraId="34B7C02C">
        <w:tblPrEx>
          <w:tblCellMar>
            <w:top w:w="0" w:type="dxa"/>
            <w:left w:w="108" w:type="dxa"/>
            <w:bottom w:w="0" w:type="dxa"/>
            <w:right w:w="108" w:type="dxa"/>
          </w:tblCellMar>
        </w:tblPrEx>
        <w:trPr>
          <w:trHeight w:val="90" w:hRule="atLeast"/>
        </w:trPr>
        <w:tc>
          <w:tcPr>
            <w:tcW w:w="585" w:type="dxa"/>
            <w:vMerge w:val="continue"/>
            <w:tcBorders>
              <w:left w:val="single" w:color="auto" w:sz="4" w:space="0"/>
              <w:right w:val="single" w:color="auto" w:sz="4" w:space="0"/>
            </w:tcBorders>
            <w:noWrap w:val="0"/>
            <w:vAlign w:val="center"/>
          </w:tcPr>
          <w:p w14:paraId="3B3F7DD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752" w:type="dxa"/>
            <w:vMerge w:val="continue"/>
            <w:tcBorders>
              <w:left w:val="single" w:color="auto" w:sz="4" w:space="0"/>
              <w:right w:val="single" w:color="auto" w:sz="4" w:space="0"/>
            </w:tcBorders>
            <w:noWrap w:val="0"/>
            <w:vAlign w:val="center"/>
          </w:tcPr>
          <w:p w14:paraId="086DD6B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3812" w:type="dxa"/>
            <w:tcBorders>
              <w:top w:val="single" w:color="auto" w:sz="4" w:space="0"/>
              <w:left w:val="single" w:color="auto" w:sz="4" w:space="0"/>
              <w:bottom w:val="single" w:color="auto" w:sz="4" w:space="0"/>
              <w:right w:val="single" w:color="auto" w:sz="4" w:space="0"/>
            </w:tcBorders>
            <w:noWrap w:val="0"/>
            <w:vAlign w:val="center"/>
          </w:tcPr>
          <w:p w14:paraId="338D895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及时对接维保确保常用耗材、易损件、备用件的定期补充和更换。</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6727060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未及时对接维保换导致工作未及时完成的，每发现一次扣</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577426F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0EAA01A1">
        <w:tblPrEx>
          <w:tblCellMar>
            <w:top w:w="0" w:type="dxa"/>
            <w:left w:w="108" w:type="dxa"/>
            <w:bottom w:w="0" w:type="dxa"/>
            <w:right w:w="108" w:type="dxa"/>
          </w:tblCellMar>
        </w:tblPrEx>
        <w:trPr>
          <w:trHeight w:val="588" w:hRule="atLeast"/>
        </w:trPr>
        <w:tc>
          <w:tcPr>
            <w:tcW w:w="585" w:type="dxa"/>
            <w:tcBorders>
              <w:top w:val="single" w:color="auto" w:sz="4" w:space="0"/>
              <w:left w:val="single" w:color="auto" w:sz="4" w:space="0"/>
              <w:bottom w:val="single" w:color="auto" w:sz="4" w:space="0"/>
              <w:right w:val="single" w:color="auto" w:sz="4" w:space="0"/>
            </w:tcBorders>
            <w:noWrap w:val="0"/>
            <w:vAlign w:val="center"/>
          </w:tcPr>
          <w:p w14:paraId="6E727B5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52" w:type="dxa"/>
            <w:tcBorders>
              <w:top w:val="single" w:color="auto" w:sz="4" w:space="0"/>
              <w:left w:val="single" w:color="auto" w:sz="4" w:space="0"/>
              <w:bottom w:val="single" w:color="auto" w:sz="4" w:space="0"/>
              <w:right w:val="single" w:color="auto" w:sz="4" w:space="0"/>
            </w:tcBorders>
            <w:noWrap w:val="0"/>
            <w:vAlign w:val="center"/>
          </w:tcPr>
          <w:p w14:paraId="02B1E87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社会监督</w:t>
            </w:r>
          </w:p>
        </w:tc>
        <w:tc>
          <w:tcPr>
            <w:tcW w:w="3812" w:type="dxa"/>
            <w:tcBorders>
              <w:top w:val="single" w:color="auto" w:sz="4" w:space="0"/>
              <w:left w:val="single" w:color="auto" w:sz="4" w:space="0"/>
              <w:bottom w:val="single" w:color="auto" w:sz="4" w:space="0"/>
              <w:right w:val="single" w:color="auto" w:sz="4" w:space="0"/>
            </w:tcBorders>
            <w:noWrap w:val="0"/>
            <w:vAlign w:val="center"/>
          </w:tcPr>
          <w:p w14:paraId="2AB34A5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有信访来电、媒体曝光工作不力，经查属实的。</w:t>
            </w:r>
          </w:p>
        </w:tc>
        <w:tc>
          <w:tcPr>
            <w:tcW w:w="3660" w:type="dxa"/>
            <w:tcBorders>
              <w:top w:val="single" w:color="auto" w:sz="4" w:space="0"/>
              <w:left w:val="single" w:color="auto" w:sz="4" w:space="0"/>
              <w:bottom w:val="single" w:color="auto" w:sz="4" w:space="0"/>
              <w:right w:val="single" w:color="auto" w:sz="4" w:space="0"/>
            </w:tcBorders>
            <w:noWrap w:val="0"/>
            <w:vAlign w:val="center"/>
          </w:tcPr>
          <w:p w14:paraId="25565AE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经查实视情节严重扣</w:t>
            </w:r>
            <w:r>
              <w:rPr>
                <w:rFonts w:hint="eastAsia" w:ascii="宋体" w:hAnsi="宋体" w:eastAsia="宋体" w:cs="宋体"/>
                <w:color w:val="auto"/>
                <w:sz w:val="21"/>
                <w:szCs w:val="21"/>
                <w:highlight w:val="none"/>
                <w:lang w:val="en-US" w:eastAsia="zh-CN"/>
              </w:rPr>
              <w:t>10-40</w:t>
            </w:r>
            <w:r>
              <w:rPr>
                <w:rFonts w:hint="eastAsia" w:ascii="宋体" w:hAnsi="宋体" w:eastAsia="宋体" w:cs="宋体"/>
                <w:color w:val="auto"/>
                <w:sz w:val="21"/>
                <w:szCs w:val="21"/>
                <w:highlight w:val="none"/>
              </w:rPr>
              <w:t>分</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66060126">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r w14:paraId="48C35FCF">
        <w:tblPrEx>
          <w:tblCellMar>
            <w:top w:w="0" w:type="dxa"/>
            <w:left w:w="108" w:type="dxa"/>
            <w:bottom w:w="0" w:type="dxa"/>
            <w:right w:w="108" w:type="dxa"/>
          </w:tblCellMar>
        </w:tblPrEx>
        <w:trPr>
          <w:trHeight w:val="439" w:hRule="atLeast"/>
        </w:trPr>
        <w:tc>
          <w:tcPr>
            <w:tcW w:w="585" w:type="dxa"/>
            <w:tcBorders>
              <w:top w:val="single" w:color="auto" w:sz="4" w:space="0"/>
              <w:left w:val="single" w:color="auto" w:sz="4" w:space="0"/>
              <w:bottom w:val="single" w:color="auto" w:sz="4" w:space="0"/>
              <w:right w:val="single" w:color="auto" w:sz="4" w:space="0"/>
            </w:tcBorders>
            <w:noWrap w:val="0"/>
            <w:vAlign w:val="center"/>
          </w:tcPr>
          <w:p w14:paraId="0165E3C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752" w:type="dxa"/>
            <w:tcBorders>
              <w:top w:val="single" w:color="auto" w:sz="4" w:space="0"/>
              <w:left w:val="single" w:color="auto" w:sz="4" w:space="0"/>
              <w:bottom w:val="single" w:color="auto" w:sz="4" w:space="0"/>
              <w:right w:val="single" w:color="auto" w:sz="4" w:space="0"/>
            </w:tcBorders>
            <w:noWrap w:val="0"/>
            <w:vAlign w:val="center"/>
          </w:tcPr>
          <w:p w14:paraId="2504236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其他情况</w:t>
            </w:r>
          </w:p>
        </w:tc>
        <w:tc>
          <w:tcPr>
            <w:tcW w:w="7472" w:type="dxa"/>
            <w:gridSpan w:val="2"/>
            <w:tcBorders>
              <w:top w:val="single" w:color="auto" w:sz="4" w:space="0"/>
              <w:left w:val="single" w:color="auto" w:sz="4" w:space="0"/>
              <w:bottom w:val="single" w:color="auto" w:sz="4" w:space="0"/>
              <w:right w:val="single" w:color="auto" w:sz="4" w:space="0"/>
            </w:tcBorders>
            <w:noWrap w:val="0"/>
            <w:vAlign w:val="center"/>
          </w:tcPr>
          <w:p w14:paraId="0598A27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（1）不服从园区办管理，未及时配合或完成园区办交办工作的，视情节严重扣2-10分。屡次出现相同问题，可根据情况加倍扣分。</w:t>
            </w:r>
          </w:p>
          <w:p w14:paraId="32CD388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（2）未按要求配齐人员的，每缺1人扣10分。</w:t>
            </w:r>
          </w:p>
          <w:p w14:paraId="0425FC2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（3）每班配备</w:t>
            </w:r>
            <w:r>
              <w:rPr>
                <w:rFonts w:hint="eastAsia" w:ascii="宋体" w:hAnsi="宋体" w:cs="宋体"/>
                <w:color w:val="auto"/>
                <w:sz w:val="21"/>
                <w:szCs w:val="21"/>
                <w:highlight w:val="none"/>
                <w:lang w:val="en-US" w:eastAsia="zh-CN"/>
              </w:rPr>
              <w:t>值班长</w:t>
            </w:r>
            <w:r>
              <w:rPr>
                <w:rFonts w:hint="eastAsia" w:ascii="宋体" w:hAnsi="宋体" w:eastAsia="宋体" w:cs="宋体"/>
                <w:color w:val="auto"/>
                <w:sz w:val="21"/>
                <w:szCs w:val="21"/>
                <w:highlight w:val="none"/>
                <w:lang w:val="en-US" w:eastAsia="zh-CN"/>
              </w:rPr>
              <w:t>一名，</w:t>
            </w:r>
            <w:r>
              <w:rPr>
                <w:rFonts w:hint="eastAsia" w:ascii="宋体" w:hAnsi="宋体" w:cs="宋体"/>
                <w:color w:val="auto"/>
                <w:sz w:val="21"/>
                <w:szCs w:val="21"/>
                <w:highlight w:val="none"/>
                <w:lang w:val="en-US" w:eastAsia="zh-CN"/>
              </w:rPr>
              <w:t>值班长</w:t>
            </w:r>
            <w:r>
              <w:rPr>
                <w:rFonts w:hint="eastAsia" w:ascii="宋体" w:hAnsi="宋体" w:eastAsia="宋体" w:cs="宋体"/>
                <w:color w:val="auto"/>
                <w:sz w:val="21"/>
                <w:szCs w:val="21"/>
                <w:highlight w:val="none"/>
                <w:lang w:val="en-US" w:eastAsia="zh-CN"/>
              </w:rPr>
              <w:t>应熟悉当班所有岗位业务；运维单位应做到制度上墙，对运维人员工作制定并发布标准化流程。</w:t>
            </w:r>
          </w:p>
          <w:p w14:paraId="209C7EB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（4）每</w:t>
            </w:r>
            <w:r>
              <w:rPr>
                <w:rFonts w:hint="eastAsia" w:ascii="宋体" w:hAnsi="宋体" w:cs="宋体"/>
                <w:color w:val="auto"/>
                <w:sz w:val="21"/>
                <w:szCs w:val="21"/>
                <w:highlight w:val="none"/>
                <w:lang w:val="en-US" w:eastAsia="zh-CN"/>
              </w:rPr>
              <w:t>6个月</w:t>
            </w:r>
            <w:r>
              <w:rPr>
                <w:rFonts w:hint="eastAsia" w:ascii="宋体" w:hAnsi="宋体" w:eastAsia="宋体" w:cs="宋体"/>
                <w:color w:val="auto"/>
                <w:sz w:val="21"/>
                <w:szCs w:val="21"/>
                <w:highlight w:val="none"/>
                <w:lang w:val="en-US" w:eastAsia="zh-CN"/>
              </w:rPr>
              <w:t>提交一次分析研判报告，年度合同结束后提交一次总结报告，未按要求提交的，当月考核扣6分。</w:t>
            </w:r>
          </w:p>
          <w:p w14:paraId="1710B03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（5）运维单位违反国家法律法规经查属实的，视情节严重扣20-40分，如导致甲方受到重大损失或严重影响甲方声誉的，作废标处理，损失由运维单位承担。</w:t>
            </w:r>
          </w:p>
          <w:p w14:paraId="07E7E10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（6）其他影响管理的未尽事项，甲方可根据具体情况进行扣2-10分。</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（7）得到港区或上级部门表扬，或在相关考核中表现出色的根据实际情况加2-10分。</w:t>
            </w:r>
          </w:p>
          <w:p w14:paraId="189A24F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（8）得到企业、群众公开表扬的，根据实际情况酌情加分2-10分。</w:t>
            </w:r>
          </w:p>
          <w:p w14:paraId="413E00C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（9）运维单位因管理不当对甲方造成的损失由运维单位承担，直接在合同金额扣除。</w:t>
            </w:r>
          </w:p>
        </w:tc>
        <w:tc>
          <w:tcPr>
            <w:tcW w:w="701" w:type="dxa"/>
            <w:tcBorders>
              <w:top w:val="single" w:color="auto" w:sz="4" w:space="0"/>
              <w:left w:val="single" w:color="auto" w:sz="4" w:space="0"/>
              <w:bottom w:val="single" w:color="auto" w:sz="4" w:space="0"/>
              <w:right w:val="single" w:color="auto" w:sz="4" w:space="0"/>
            </w:tcBorders>
            <w:noWrap w:val="0"/>
            <w:vAlign w:val="center"/>
          </w:tcPr>
          <w:p w14:paraId="366381C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r>
    </w:tbl>
    <w:p w14:paraId="6DE137BA">
      <w:pPr>
        <w:spacing w:line="360" w:lineRule="auto"/>
        <w:ind w:firstLine="42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根据综合考核得分，考核分数90分以上（包含90分），得当月考核费的全额；低于90分，每扣1分扣除1%的月度考核费，不满60分的月度考核不合格，扣除当月全部考核费。具体考核情况见考核表，考核表根据实际运行情况可对考核内容、标准进行调整。（化工园区办由安全监督科负责安全管理方面考核，环境保护科负责环保管理相关考核，综合科负责综合管理和其他方面考核。）月度考核不满60分时，采购方有权解约合同。</w:t>
      </w:r>
    </w:p>
    <w:p w14:paraId="26798C57">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、付款方式：</w:t>
      </w:r>
    </w:p>
    <w:p w14:paraId="40D922AF">
      <w:pPr>
        <w:spacing w:line="360" w:lineRule="auto"/>
        <w:ind w:firstLine="422"/>
        <w:jc w:val="lef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运维服务自合同签订之日算起，每个月进行考核，每6个月支付一次服务费，费用为中标金额的</w:t>
      </w:r>
      <w:r>
        <w:rPr>
          <w:rFonts w:hint="eastAsia" w:ascii="宋体" w:hAnsi="宋体" w:eastAsia="宋体" w:cs="宋体"/>
          <w:b/>
          <w:bCs w:val="0"/>
          <w:color w:val="auto"/>
          <w:sz w:val="21"/>
          <w:szCs w:val="21"/>
          <w:highlight w:val="none"/>
          <w:lang w:val="en-US" w:eastAsia="zh-CN"/>
        </w:rPr>
        <w:t>5</w:t>
      </w:r>
      <w:r>
        <w:rPr>
          <w:rFonts w:hint="eastAsia" w:ascii="宋体" w:hAnsi="宋体" w:eastAsia="宋体" w:cs="宋体"/>
          <w:b/>
          <w:bCs w:val="0"/>
          <w:color w:val="auto"/>
          <w:sz w:val="21"/>
          <w:szCs w:val="21"/>
          <w:highlight w:val="none"/>
        </w:rPr>
        <w:t>0%</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如有预付款，第一次支付金额为</w:t>
      </w:r>
      <w:r>
        <w:rPr>
          <w:rFonts w:hint="eastAsia" w:ascii="宋体" w:hAnsi="宋体" w:eastAsia="宋体" w:cs="宋体"/>
          <w:color w:val="auto"/>
          <w:szCs w:val="21"/>
          <w:highlight w:val="none"/>
        </w:rPr>
        <w:t>中标金额的</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0%</w:t>
      </w:r>
      <w:r>
        <w:rPr>
          <w:rFonts w:hint="eastAsia" w:ascii="宋体" w:hAnsi="宋体" w:cs="宋体"/>
          <w:color w:val="auto"/>
          <w:szCs w:val="21"/>
          <w:highlight w:val="none"/>
          <w:lang w:val="en-US" w:eastAsia="zh-CN"/>
        </w:rPr>
        <w:t>减去预付金额</w:t>
      </w:r>
      <w:r>
        <w:rPr>
          <w:rFonts w:hint="eastAsia" w:ascii="宋体" w:hAnsi="宋体" w:cs="宋体"/>
          <w:color w:val="auto"/>
          <w:szCs w:val="21"/>
          <w:highlight w:val="none"/>
          <w:lang w:eastAsia="zh-CN"/>
        </w:rPr>
        <w:t>）</w:t>
      </w:r>
      <w:r>
        <w:rPr>
          <w:rFonts w:hint="eastAsia" w:ascii="宋体" w:hAnsi="宋体" w:eastAsia="宋体" w:cs="宋体"/>
          <w:b/>
          <w:bCs w:val="0"/>
          <w:color w:val="auto"/>
          <w:sz w:val="21"/>
          <w:szCs w:val="21"/>
          <w:highlight w:val="none"/>
          <w:lang w:eastAsia="zh-CN"/>
        </w:rPr>
        <w:t>，并扣除相应考核费用</w:t>
      </w:r>
      <w:r>
        <w:rPr>
          <w:rFonts w:hint="eastAsia" w:ascii="宋体" w:hAnsi="宋体" w:eastAsia="宋体" w:cs="宋体"/>
          <w:b/>
          <w:bCs w:val="0"/>
          <w:color w:val="auto"/>
          <w:sz w:val="21"/>
          <w:szCs w:val="21"/>
          <w:highlight w:val="none"/>
        </w:rPr>
        <w:t>。</w:t>
      </w:r>
    </w:p>
    <w:p w14:paraId="591B1C35">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三</w:t>
      </w:r>
      <w:r>
        <w:rPr>
          <w:rFonts w:hint="eastAsia" w:ascii="宋体" w:hAnsi="宋体" w:eastAsia="宋体" w:cs="宋体"/>
          <w:b/>
          <w:color w:val="auto"/>
          <w:sz w:val="21"/>
          <w:szCs w:val="21"/>
          <w:highlight w:val="none"/>
        </w:rPr>
        <w:t>、项目验收：</w:t>
      </w:r>
    </w:p>
    <w:p w14:paraId="56C189A2">
      <w:pPr>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1、履约验收的实施主体：</w:t>
      </w:r>
      <w:r>
        <w:rPr>
          <w:rFonts w:hint="eastAsia" w:ascii="宋体" w:hAnsi="宋体" w:eastAsia="宋体" w:cs="宋体"/>
          <w:color w:val="auto"/>
          <w:sz w:val="21"/>
          <w:szCs w:val="21"/>
          <w:highlight w:val="none"/>
          <w:lang w:eastAsia="zh-CN"/>
        </w:rPr>
        <w:t>太仓港经济技术开发区管理委员会</w:t>
      </w:r>
      <w:r>
        <w:rPr>
          <w:rFonts w:hint="eastAsia" w:ascii="宋体" w:hAnsi="宋体" w:eastAsia="宋体" w:cs="宋体"/>
          <w:bCs/>
          <w:color w:val="auto"/>
          <w:sz w:val="21"/>
          <w:szCs w:val="21"/>
          <w:highlight w:val="none"/>
        </w:rPr>
        <w:t>。</w:t>
      </w:r>
    </w:p>
    <w:p w14:paraId="701AE7F8">
      <w:pPr>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2、履约验收：</w:t>
      </w:r>
      <w:r>
        <w:rPr>
          <w:rFonts w:hint="eastAsia" w:ascii="宋体" w:hAnsi="宋体" w:eastAsia="宋体" w:cs="宋体"/>
          <w:bCs/>
          <w:color w:val="auto"/>
          <w:sz w:val="21"/>
          <w:szCs w:val="21"/>
          <w:highlight w:val="none"/>
          <w:lang w:val="en-US" w:eastAsia="zh-CN"/>
        </w:rPr>
        <w:t>项目服务期结束后组织验收会议</w:t>
      </w:r>
      <w:r>
        <w:rPr>
          <w:rFonts w:hint="eastAsia" w:ascii="宋体" w:hAnsi="宋体" w:eastAsia="宋体" w:cs="宋体"/>
          <w:bCs/>
          <w:color w:val="auto"/>
          <w:sz w:val="21"/>
          <w:szCs w:val="21"/>
          <w:highlight w:val="none"/>
        </w:rPr>
        <w:t>。</w:t>
      </w:r>
    </w:p>
    <w:p w14:paraId="3174E913">
      <w:pPr>
        <w:spacing w:line="360" w:lineRule="auto"/>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3、验收步骤</w:t>
      </w:r>
    </w:p>
    <w:p w14:paraId="5169F3F3">
      <w:pPr>
        <w:keepNext w:val="0"/>
        <w:keepLines w:val="0"/>
        <w:pageBreakBefore w:val="0"/>
        <w:numPr>
          <w:ilvl w:val="0"/>
          <w:numId w:val="14"/>
        </w:numPr>
        <w:spacing w:line="360" w:lineRule="auto"/>
        <w:ind w:left="0" w:firstLine="21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验收内容‌</w:t>
      </w:r>
    </w:p>
    <w:p w14:paraId="534C299C">
      <w:pPr>
        <w:keepNext w:val="0"/>
        <w:keepLines w:val="0"/>
        <w:pageBreakBefore w:val="0"/>
        <w:numPr>
          <w:ilvl w:val="0"/>
          <w:numId w:val="15"/>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对服务合同中约定的服务内容进行验收，确保各项服务均得到履行。</w:t>
      </w:r>
    </w:p>
    <w:p w14:paraId="76562EB0">
      <w:pPr>
        <w:keepNext w:val="0"/>
        <w:keepLines w:val="0"/>
        <w:pageBreakBefore w:val="0"/>
        <w:numPr>
          <w:ilvl w:val="0"/>
          <w:numId w:val="15"/>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评估人员的岗位培训和业务水平，检查其是否具备相应的专业能力和素质。</w:t>
      </w:r>
    </w:p>
    <w:p w14:paraId="6C64E46B">
      <w:pPr>
        <w:keepNext w:val="0"/>
        <w:keepLines w:val="0"/>
        <w:pageBreakBefore w:val="0"/>
        <w:numPr>
          <w:ilvl w:val="0"/>
          <w:numId w:val="15"/>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检查技术设备的完好性和有效性，确保设备能够正常使用并发挥应有的作用。</w:t>
      </w:r>
    </w:p>
    <w:p w14:paraId="5241F335">
      <w:pPr>
        <w:keepNext w:val="0"/>
        <w:keepLines w:val="0"/>
        <w:pageBreakBefore w:val="0"/>
        <w:numPr>
          <w:ilvl w:val="0"/>
          <w:numId w:val="15"/>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对服务期间发生的突发事件处理情况进行评估，分析处理是否及时、有效。</w:t>
      </w:r>
    </w:p>
    <w:p w14:paraId="0E410DD8">
      <w:pPr>
        <w:keepNext w:val="0"/>
        <w:keepLines w:val="0"/>
        <w:pageBreakBefore w:val="0"/>
        <w:numPr>
          <w:ilvl w:val="0"/>
          <w:numId w:val="14"/>
        </w:numPr>
        <w:spacing w:line="360" w:lineRule="auto"/>
        <w:ind w:left="0" w:firstLine="21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制定验收方法‌</w:t>
      </w:r>
    </w:p>
    <w:p w14:paraId="2CC56ECF">
      <w:pPr>
        <w:keepNext w:val="0"/>
        <w:keepLines w:val="0"/>
        <w:pageBreakBefore w:val="0"/>
        <w:numPr>
          <w:ilvl w:val="0"/>
          <w:numId w:val="16"/>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根据服务合同的约定，对服务的内容进行逐项检查，确保无遗漏。</w:t>
      </w:r>
    </w:p>
    <w:p w14:paraId="236F5325">
      <w:pPr>
        <w:keepNext w:val="0"/>
        <w:keepLines w:val="0"/>
        <w:pageBreakBefore w:val="0"/>
        <w:numPr>
          <w:ilvl w:val="0"/>
          <w:numId w:val="16"/>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对人员进行岗位业务考核，包括实际操作、应急处理等方面的能力测试。</w:t>
      </w:r>
    </w:p>
    <w:p w14:paraId="4FB3B406">
      <w:pPr>
        <w:keepNext w:val="0"/>
        <w:keepLines w:val="0"/>
        <w:pageBreakBefore w:val="0"/>
        <w:numPr>
          <w:ilvl w:val="0"/>
          <w:numId w:val="16"/>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对技术设备进行操作演示和实际使用检查，验证其性能和效果。</w:t>
      </w:r>
    </w:p>
    <w:p w14:paraId="643A5EB1">
      <w:pPr>
        <w:keepNext w:val="0"/>
        <w:keepLines w:val="0"/>
        <w:pageBreakBefore w:val="0"/>
        <w:numPr>
          <w:ilvl w:val="0"/>
          <w:numId w:val="16"/>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通过案例分析和评估，对服务期间处理的突发事件进行复盘和总结。</w:t>
      </w:r>
    </w:p>
    <w:p w14:paraId="561D2273">
      <w:pPr>
        <w:keepNext w:val="0"/>
        <w:keepLines w:val="0"/>
        <w:pageBreakBefore w:val="0"/>
        <w:numPr>
          <w:ilvl w:val="0"/>
          <w:numId w:val="14"/>
        </w:numPr>
        <w:spacing w:line="360" w:lineRule="auto"/>
        <w:ind w:left="0" w:firstLine="21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设定验收标准‌</w:t>
      </w:r>
    </w:p>
    <w:p w14:paraId="0F79D4CF">
      <w:pPr>
        <w:keepNext w:val="0"/>
        <w:keepLines w:val="0"/>
        <w:pageBreakBefore w:val="0"/>
        <w:numPr>
          <w:ilvl w:val="0"/>
          <w:numId w:val="17"/>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服务内容的完成情况必须符合合同约定，达到预期的服务效果。</w:t>
      </w:r>
    </w:p>
    <w:p w14:paraId="7500D418">
      <w:pPr>
        <w:keepNext w:val="0"/>
        <w:keepLines w:val="0"/>
        <w:pageBreakBefore w:val="0"/>
        <w:numPr>
          <w:ilvl w:val="0"/>
          <w:numId w:val="17"/>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人员的岗位培训和业务水平必须符合要求，具备相应的专业技能和素质。</w:t>
      </w:r>
    </w:p>
    <w:p w14:paraId="2C1EF807">
      <w:pPr>
        <w:keepNext w:val="0"/>
        <w:keepLines w:val="0"/>
        <w:pageBreakBefore w:val="0"/>
        <w:numPr>
          <w:ilvl w:val="0"/>
          <w:numId w:val="17"/>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技术设备必须完好无损，使用效果良好，能够满足安全保卫的需求。</w:t>
      </w:r>
    </w:p>
    <w:p w14:paraId="79DF7A2C">
      <w:pPr>
        <w:keepNext w:val="0"/>
        <w:keepLines w:val="0"/>
        <w:pageBreakBefore w:val="0"/>
        <w:numPr>
          <w:ilvl w:val="0"/>
          <w:numId w:val="17"/>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服务期间突发事件必须得到及时有效的处理，确保安全稳定。</w:t>
      </w:r>
    </w:p>
    <w:p w14:paraId="63376440">
      <w:pPr>
        <w:keepNext w:val="0"/>
        <w:keepLines w:val="0"/>
        <w:pageBreakBefore w:val="0"/>
        <w:numPr>
          <w:ilvl w:val="0"/>
          <w:numId w:val="14"/>
        </w:numPr>
        <w:spacing w:line="360" w:lineRule="auto"/>
        <w:ind w:left="0" w:firstLine="21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实施验收流程‌</w:t>
      </w:r>
    </w:p>
    <w:p w14:paraId="39C0DF90">
      <w:pPr>
        <w:keepNext w:val="0"/>
        <w:keepLines w:val="0"/>
        <w:pageBreakBefore w:val="0"/>
        <w:numPr>
          <w:ilvl w:val="0"/>
          <w:numId w:val="18"/>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组建验收小组，明确各成员的职责和任务‌。</w:t>
      </w:r>
    </w:p>
    <w:p w14:paraId="2B614536">
      <w:pPr>
        <w:keepNext w:val="0"/>
        <w:keepLines w:val="0"/>
        <w:pageBreakBefore w:val="0"/>
        <w:numPr>
          <w:ilvl w:val="0"/>
          <w:numId w:val="18"/>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按照验收内容和标准，对服务进行全面、细致的验收检查‌。</w:t>
      </w:r>
    </w:p>
    <w:p w14:paraId="73D859E1">
      <w:pPr>
        <w:keepNext w:val="0"/>
        <w:keepLines w:val="0"/>
        <w:pageBreakBefore w:val="0"/>
        <w:numPr>
          <w:ilvl w:val="0"/>
          <w:numId w:val="18"/>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记录验收过程中发现的问题和不足，与服务提供方进行沟通并督促其整改。</w:t>
      </w:r>
    </w:p>
    <w:p w14:paraId="026A17DD">
      <w:pPr>
        <w:keepNext w:val="0"/>
        <w:keepLines w:val="0"/>
        <w:pageBreakBefore w:val="0"/>
        <w:numPr>
          <w:ilvl w:val="0"/>
          <w:numId w:val="18"/>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根据验收结果，撰写验收报告，对服务的整体表现进行评价和总结。</w:t>
      </w:r>
    </w:p>
    <w:p w14:paraId="676DE7FF">
      <w:pPr>
        <w:keepNext w:val="0"/>
        <w:keepLines w:val="0"/>
        <w:pageBreakBefore w:val="0"/>
        <w:numPr>
          <w:ilvl w:val="0"/>
          <w:numId w:val="14"/>
        </w:numPr>
        <w:spacing w:line="360" w:lineRule="auto"/>
        <w:ind w:left="0" w:firstLine="21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后续跟进与管理‌</w:t>
      </w:r>
    </w:p>
    <w:p w14:paraId="4721ACD2">
      <w:pPr>
        <w:keepNext w:val="0"/>
        <w:keepLines w:val="0"/>
        <w:pageBreakBefore w:val="0"/>
        <w:numPr>
          <w:ilvl w:val="0"/>
          <w:numId w:val="19"/>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对验收中发现的问题进行持续跟踪和复查，确保问题得到彻底解决。</w:t>
      </w:r>
    </w:p>
    <w:p w14:paraId="5750EF28">
      <w:pPr>
        <w:keepNext w:val="0"/>
        <w:keepLines w:val="0"/>
        <w:pageBreakBefore w:val="0"/>
        <w:numPr>
          <w:ilvl w:val="0"/>
          <w:numId w:val="19"/>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定期对服务进行复评，确保服务质量持续稳定并不断提升。</w:t>
      </w:r>
    </w:p>
    <w:p w14:paraId="62FCB139">
      <w:pPr>
        <w:keepNext w:val="0"/>
        <w:keepLines w:val="0"/>
        <w:pageBreakBefore w:val="0"/>
        <w:numPr>
          <w:ilvl w:val="0"/>
          <w:numId w:val="19"/>
        </w:numPr>
        <w:spacing w:line="360" w:lineRule="auto"/>
        <w:ind w:left="0"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根据验收和复评结果，对服务提供方进行奖惩或合同续签等后续管理。</w:t>
      </w:r>
    </w:p>
    <w:p w14:paraId="73D5F7E9">
      <w:pPr>
        <w:keepNext w:val="0"/>
        <w:keepLines w:val="0"/>
        <w:pageBreakBefore w:val="0"/>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、履约验收内容和标准见</w:t>
      </w:r>
      <w:r>
        <w:rPr>
          <w:rFonts w:hint="eastAsia" w:ascii="宋体" w:hAnsi="宋体" w:eastAsia="宋体" w:cs="宋体"/>
          <w:bCs/>
          <w:color w:val="auto"/>
          <w:sz w:val="21"/>
          <w:szCs w:val="21"/>
          <w:highlight w:val="none"/>
          <w:lang w:val="en-US" w:eastAsia="zh-CN"/>
        </w:rPr>
        <w:t>合同附件</w:t>
      </w:r>
      <w:r>
        <w:rPr>
          <w:rFonts w:hint="eastAsia" w:ascii="宋体" w:hAnsi="宋体" w:eastAsia="宋体" w:cs="宋体"/>
          <w:bCs/>
          <w:color w:val="auto"/>
          <w:sz w:val="21"/>
          <w:szCs w:val="21"/>
          <w:highlight w:val="none"/>
        </w:rPr>
        <w:t>。</w:t>
      </w:r>
    </w:p>
    <w:p w14:paraId="3B7E713A">
      <w:pPr>
        <w:keepNext w:val="0"/>
        <w:keepLines w:val="0"/>
        <w:pageBreakBefore w:val="0"/>
        <w:spacing w:line="360"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5、政府采购履约验收书格式见合同附件。</w:t>
      </w:r>
    </w:p>
    <w:p w14:paraId="7EDC45A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四</w:t>
      </w:r>
      <w:r>
        <w:rPr>
          <w:rFonts w:hint="eastAsia" w:ascii="宋体" w:hAnsi="宋体" w:eastAsia="宋体" w:cs="宋体"/>
          <w:b/>
          <w:bCs/>
          <w:color w:val="auto"/>
          <w:sz w:val="21"/>
          <w:szCs w:val="21"/>
          <w:highlight w:val="none"/>
        </w:rPr>
        <w:t>、综合服务方案要求</w:t>
      </w:r>
    </w:p>
    <w:p w14:paraId="21123F60">
      <w:pPr>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根据本项目的服务特点，需供应商制定针对性强、操作性高的各项服务方案。</w:t>
      </w:r>
    </w:p>
    <w:p w14:paraId="514BAB96">
      <w:pPr>
        <w:spacing w:line="360" w:lineRule="auto"/>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1、总体架构设计方案</w:t>
      </w:r>
    </w:p>
    <w:p w14:paraId="53966DC1">
      <w:pPr>
        <w:spacing w:line="360" w:lineRule="auto"/>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供应商针对化工园区综合平台（卡口车辆）管理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化工园区智慧平台重大危险源管理及预警处置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化工园区智慧平台环保、安全、消防等模块管理及预警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化工园区突发事件响应机制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保密管理措施</w:t>
      </w:r>
      <w:r>
        <w:rPr>
          <w:rFonts w:hint="eastAsia" w:ascii="宋体" w:hAnsi="宋体" w:eastAsia="宋体" w:cs="宋体"/>
          <w:color w:val="auto"/>
          <w:sz w:val="21"/>
          <w:szCs w:val="21"/>
          <w:highlight w:val="none"/>
          <w:lang w:eastAsia="zh-CN"/>
        </w:rPr>
        <w:t>制定</w:t>
      </w:r>
      <w:r>
        <w:rPr>
          <w:rFonts w:hint="eastAsia" w:ascii="宋体" w:hAnsi="宋体" w:eastAsia="宋体" w:cs="宋体"/>
          <w:color w:val="auto"/>
          <w:sz w:val="21"/>
          <w:szCs w:val="21"/>
          <w:highlight w:val="none"/>
          <w:lang w:val="en-US" w:eastAsia="zh-CN"/>
        </w:rPr>
        <w:t>设计方案</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w:t>
      </w:r>
    </w:p>
    <w:p w14:paraId="2FBBF0A2">
      <w:pPr>
        <w:spacing w:line="360" w:lineRule="auto"/>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运维质量及管理</w:t>
      </w:r>
      <w:r>
        <w:rPr>
          <w:rFonts w:hint="eastAsia" w:ascii="宋体" w:hAnsi="宋体" w:eastAsia="宋体" w:cs="宋体"/>
          <w:color w:val="auto"/>
          <w:sz w:val="21"/>
          <w:szCs w:val="21"/>
          <w:highlight w:val="none"/>
          <w:lang w:val="en-US" w:eastAsia="zh-CN"/>
        </w:rPr>
        <w:t>服务方案</w:t>
      </w:r>
    </w:p>
    <w:p w14:paraId="54D04668">
      <w:pPr>
        <w:spacing w:line="360" w:lineRule="auto"/>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供应商针对本项目的管理服务标准、考核标准，建立详细的制度管理措施</w:t>
      </w:r>
      <w:r>
        <w:rPr>
          <w:rFonts w:hint="eastAsia" w:ascii="宋体" w:hAnsi="宋体" w:cs="宋体"/>
          <w:color w:val="auto"/>
          <w:sz w:val="21"/>
          <w:szCs w:val="21"/>
          <w:highlight w:val="none"/>
          <w:lang w:val="en-US" w:eastAsia="zh-CN"/>
        </w:rPr>
        <w:t>、应急处置流程及制定运维人员培训计划。制度管理措施</w:t>
      </w:r>
      <w:r>
        <w:rPr>
          <w:rFonts w:hint="eastAsia" w:ascii="宋体" w:hAnsi="宋体" w:eastAsia="宋体" w:cs="宋体"/>
          <w:color w:val="auto"/>
          <w:sz w:val="21"/>
          <w:szCs w:val="21"/>
          <w:highlight w:val="none"/>
          <w:lang w:val="en-US" w:eastAsia="zh-CN"/>
        </w:rPr>
        <w:t>包括</w:t>
      </w:r>
      <w:r>
        <w:rPr>
          <w:rFonts w:hint="eastAsia" w:ascii="宋体" w:hAnsi="宋体" w:eastAsia="宋体" w:cs="宋体"/>
          <w:color w:val="auto"/>
          <w:sz w:val="21"/>
          <w:szCs w:val="21"/>
          <w:highlight w:val="none"/>
          <w:lang w:eastAsia="zh-CN"/>
        </w:rPr>
        <w:t>考勤、人员班次、巡检记录、资产及备用件清单管理等各种运维质量及管理的方案</w:t>
      </w:r>
      <w:r>
        <w:rPr>
          <w:rFonts w:hint="eastAsia" w:ascii="宋体" w:hAnsi="宋体" w:eastAsia="宋体" w:cs="宋体"/>
          <w:color w:val="auto"/>
          <w:sz w:val="21"/>
          <w:szCs w:val="21"/>
          <w:highlight w:val="none"/>
          <w:lang w:val="en-US" w:eastAsia="zh-CN"/>
        </w:rPr>
        <w:t>。人事管理制度需体现对服务方案的有效保障，各岗位职责要明确，责任义务清晰，工作范围具体详细。绩效考核、奖惩制度要体现优胜劣汰，体现效率优先，有明确的考核细则和奖励明细，给予优秀员工较为合理的奖励，达到调动员工积极性的目标。档案管理制度要有详细的规则制度，有详细的日台账记录，包括岗位执勤记录，供应商监管内部检查记录等。此外消防协管制度也是工作的重要职责，协助采购人对管辖区域内的消防设施进行检查与管理，认真排查、处理与报告存在的各类消防安全隐患，并做好相关台账记录。</w:t>
      </w:r>
    </w:p>
    <w:p w14:paraId="0DB5CE91">
      <w:pPr>
        <w:spacing w:line="360" w:lineRule="auto"/>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3、人员培训方案</w:t>
      </w:r>
    </w:p>
    <w:p w14:paraId="7D1F93F4">
      <w:pPr>
        <w:spacing w:line="360" w:lineRule="auto"/>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供应商需加强对员工的培训，</w:t>
      </w:r>
      <w:r>
        <w:rPr>
          <w:rFonts w:hint="eastAsia" w:ascii="宋体" w:hAnsi="宋体" w:cs="宋体"/>
          <w:color w:val="auto"/>
          <w:sz w:val="21"/>
          <w:szCs w:val="21"/>
          <w:highlight w:val="none"/>
          <w:lang w:val="en-US" w:eastAsia="zh-CN"/>
        </w:rPr>
        <w:t>跟据</w:t>
      </w:r>
      <w:r>
        <w:rPr>
          <w:rFonts w:hint="eastAsia" w:ascii="宋体" w:hAnsi="宋体" w:eastAsia="宋体" w:cs="宋体"/>
          <w:color w:val="auto"/>
          <w:sz w:val="21"/>
          <w:szCs w:val="21"/>
          <w:highlight w:val="none"/>
          <w:lang w:val="en-US" w:eastAsia="zh-CN"/>
        </w:rPr>
        <w:t>培训计划</w:t>
      </w:r>
      <w:r>
        <w:rPr>
          <w:rFonts w:hint="eastAsia" w:ascii="宋体" w:hAnsi="宋体" w:cs="宋体"/>
          <w:color w:val="auto"/>
          <w:sz w:val="21"/>
          <w:szCs w:val="21"/>
          <w:highlight w:val="none"/>
          <w:lang w:val="en-US" w:eastAsia="zh-CN"/>
        </w:rPr>
        <w:t>制定详细的培训方案</w:t>
      </w:r>
      <w:r>
        <w:rPr>
          <w:rFonts w:hint="eastAsia" w:ascii="宋体" w:hAnsi="宋体" w:eastAsia="宋体" w:cs="宋体"/>
          <w:color w:val="auto"/>
          <w:sz w:val="21"/>
          <w:szCs w:val="21"/>
          <w:highlight w:val="none"/>
          <w:lang w:val="en-US" w:eastAsia="zh-CN"/>
        </w:rPr>
        <w:t>，明确培训的相关内容</w:t>
      </w:r>
      <w:r>
        <w:rPr>
          <w:rFonts w:hint="eastAsia" w:ascii="宋体" w:hAnsi="宋体" w:cs="宋体"/>
          <w:color w:val="auto"/>
          <w:sz w:val="21"/>
          <w:szCs w:val="21"/>
          <w:highlight w:val="none"/>
          <w:lang w:val="en-US" w:eastAsia="zh-CN"/>
        </w:rPr>
        <w:t>并按</w:t>
      </w:r>
      <w:r>
        <w:rPr>
          <w:rFonts w:hint="eastAsia" w:ascii="宋体" w:hAnsi="宋体" w:eastAsia="宋体" w:cs="宋体"/>
          <w:color w:val="auto"/>
          <w:sz w:val="21"/>
          <w:szCs w:val="21"/>
          <w:highlight w:val="none"/>
          <w:lang w:val="en-US" w:eastAsia="zh-CN"/>
        </w:rPr>
        <w:t>计划实施。培训内容除基本的岗位知识培训以外，还需包含配合采购人对相关安全知识和环保知识的培训，了解采购人的实际需求，配合完成好采购人的日常管理工作。</w:t>
      </w:r>
    </w:p>
    <w:p w14:paraId="5A302ED3">
      <w:pPr>
        <w:spacing w:line="360" w:lineRule="auto"/>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4、应急处理预案</w:t>
      </w:r>
    </w:p>
    <w:p w14:paraId="59186FBB">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项目要具有应对突发情况的处理预案，包括突发事件、人员伤亡、应急设备等突发情况的应急处理预案。预案中需体现应急人员的结构组成，应急设施设备的配置，应急措施的具体操作流程，与采购人的沟通汇报机制，以及处理结果的反馈总结。</w:t>
      </w:r>
    </w:p>
    <w:p w14:paraId="7D02F8AF">
      <w:pPr>
        <w:spacing w:line="360" w:lineRule="auto"/>
        <w:jc w:val="lef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、投标报价</w:t>
      </w:r>
    </w:p>
    <w:p w14:paraId="196924C0">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固定总价包干，投标单位所报价格应包括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p>
    <w:p w14:paraId="51A3644C">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2、投标人应对所投项目的全部内容进行报价，只投其中部分内容者或出现选择性报价的，其投标文件将被拒绝。</w:t>
      </w:r>
    </w:p>
    <w:p w14:paraId="1A66485B">
      <w:pPr>
        <w:spacing w:line="360" w:lineRule="auto"/>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六</w:t>
      </w:r>
      <w:r>
        <w:rPr>
          <w:rFonts w:hint="eastAsia" w:ascii="宋体" w:hAnsi="宋体" w:eastAsia="宋体" w:cs="宋体"/>
          <w:b/>
          <w:color w:val="auto"/>
          <w:sz w:val="21"/>
          <w:szCs w:val="21"/>
          <w:highlight w:val="none"/>
        </w:rPr>
        <w:t>、投标说明</w:t>
      </w:r>
    </w:p>
    <w:p w14:paraId="4380B43C">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1、投标人所投服务内容应能够至少达到或优于以上服务要求，同时明确服务内容、人员配备及交通工具等设备的投入。</w:t>
      </w:r>
      <w:r>
        <w:rPr>
          <w:rFonts w:hint="eastAsia" w:ascii="宋体" w:hAnsi="宋体" w:eastAsia="宋体" w:cs="宋体"/>
          <w:color w:val="auto"/>
          <w:sz w:val="21"/>
          <w:szCs w:val="21"/>
          <w:highlight w:val="none"/>
        </w:rPr>
        <w:br w:type="textWrapping"/>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bidi="ar-SA"/>
        </w:rPr>
        <w:t>投标供应商须保证所提供的投标文件真实有效，如因投标单位的投标文件不实而造成的后果由各投标单位自行承担。有虚假应标行为经查实的投标文件，评标小组有权予以其废标。</w:t>
      </w:r>
    </w:p>
    <w:p w14:paraId="47803789">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、投标人必须承诺招标文件中提出的服务与要求。如果以其中某些条款不响应时，应在文件中逐条列出，未列出的视同响应。</w:t>
      </w:r>
    </w:p>
    <w:p w14:paraId="16CD4B98">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、中标人有责任配合采购人接受上级领导部门的监督、检查，提供必须的资料。</w:t>
      </w:r>
    </w:p>
    <w:p w14:paraId="5F8A343C">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p>
    <w:p w14:paraId="63E5F83F">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、采购人不接受投标人任何因遗漏报价而发生的费用追加，因投标人违反《劳动法》等法律法规而造成采购人的连带责任和损失全部由中标人承担。</w:t>
      </w:r>
    </w:p>
    <w:p w14:paraId="23470D46">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、本项目不允许转包、分包，中标单位不得部分或全部转让其应履行的合同义务。中标单位擅自转让合同、转包或分包的，采购单位有权解除本合同，转包或分包造成采购人损失的，由中标单位承担。</w:t>
      </w:r>
    </w:p>
    <w:p w14:paraId="329CFE70">
      <w:pPr>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、中标单位向采购单位提供完整派驻人员与中标单位工作签订的合同。</w:t>
      </w:r>
    </w:p>
    <w:p w14:paraId="2C72DFCA">
      <w:pPr>
        <w:keepNext w:val="0"/>
        <w:keepLines w:val="0"/>
        <w:pageBreakBefore w:val="0"/>
        <w:widowControl w:val="0"/>
        <w:spacing w:line="360" w:lineRule="auto"/>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9、如遇采购范围内有大的调整情况，采购人将提前告知中标单位，合同内容经双方协商调整。</w:t>
      </w:r>
    </w:p>
    <w:p w14:paraId="2FA76678">
      <w:pPr>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中标单位在合同履行期间因保安人员配置未到位或其他未按采购要求及合同履行职责的情况，导致任何安全问题，均由中标单位承担责任，给采购单位及第三方造成的一切后果及损失，由中标单位承担，后果严重的采购单位有权解除合同。</w:t>
      </w:r>
    </w:p>
    <w:p w14:paraId="25A6200B">
      <w:pPr>
        <w:spacing w:line="360" w:lineRule="auto"/>
        <w:rPr>
          <w:rFonts w:hint="eastAsia" w:asciiTheme="minorEastAsia" w:hAnsiTheme="minorEastAsia" w:eastAsiaTheme="minorEastAsia"/>
          <w:b/>
          <w:color w:val="auto"/>
          <w:highlight w:val="none"/>
          <w:lang w:val="en-US" w:eastAsia="zh-CN"/>
        </w:rPr>
      </w:pPr>
      <w:r>
        <w:rPr>
          <w:rFonts w:hint="eastAsia" w:asciiTheme="minorEastAsia" w:hAnsiTheme="minorEastAsia"/>
          <w:b/>
          <w:color w:val="auto"/>
          <w:highlight w:val="none"/>
          <w:lang w:val="en-US" w:eastAsia="zh-CN"/>
        </w:rPr>
        <w:t>七</w:t>
      </w:r>
      <w:r>
        <w:rPr>
          <w:rFonts w:hint="eastAsia" w:asciiTheme="minorEastAsia" w:hAnsiTheme="minorEastAsia" w:eastAsiaTheme="minorEastAsia"/>
          <w:b/>
          <w:color w:val="auto"/>
          <w:highlight w:val="none"/>
        </w:rPr>
        <w:t>、政府采购政策</w:t>
      </w:r>
    </w:p>
    <w:p w14:paraId="3FAA81A2">
      <w:pPr>
        <w:spacing w:line="400" w:lineRule="exact"/>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1、节能产品和环境标志产品</w:t>
      </w:r>
    </w:p>
    <w:p w14:paraId="46155427">
      <w:pPr>
        <w:spacing w:line="400" w:lineRule="exact"/>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根据《关于调整优化节能产品、环境标志产品政府采购执行机制的通知》（财库〔2019〕9号）、《关于贯彻执行绿色采购、促进残疾人就业和支持监狱企业发展有关政策的通知》（苏财购〔2019〕10号）的文件规定，采购产品中如有属于国家节能环保品目清单的强制采购产品的，响应人应当选择强制采购产品，并提供由国家确定的认证机构出具的、处于有效期之内的节能产品或环境标志产品认证证书，否则视为未实质响应。</w:t>
      </w:r>
    </w:p>
    <w:p w14:paraId="6B4963C2">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2、</w:t>
      </w:r>
      <w:r>
        <w:rPr>
          <w:rFonts w:hint="eastAsia" w:asciiTheme="minorEastAsia" w:hAnsiTheme="minorEastAsia" w:eastAsiaTheme="minorEastAsia"/>
          <w:color w:val="auto"/>
          <w:highlight w:val="none"/>
        </w:rPr>
        <w:t>中小（微）企业相关政策：</w:t>
      </w:r>
      <w:r>
        <w:rPr>
          <w:rFonts w:hint="eastAsia" w:asciiTheme="minorEastAsia" w:hAnsiTheme="minorEastAsia" w:eastAsiaTheme="minorEastAsia"/>
          <w:b/>
          <w:bCs/>
          <w:color w:val="auto"/>
          <w:highlight w:val="none"/>
        </w:rPr>
        <w:t>本项目为专门面向中小企业采购的项目。投标供应商应提供中小企业声明函，否则视为投标无效</w:t>
      </w:r>
      <w:r>
        <w:rPr>
          <w:rFonts w:hint="eastAsia" w:asciiTheme="minorEastAsia" w:hAnsiTheme="minorEastAsia" w:eastAsiaTheme="minorEastAsia"/>
          <w:color w:val="auto"/>
          <w:highlight w:val="none"/>
        </w:rPr>
        <w:t>。</w:t>
      </w:r>
    </w:p>
    <w:p w14:paraId="05F41A86">
      <w:pPr>
        <w:spacing w:line="400" w:lineRule="exact"/>
        <w:ind w:firstLine="420"/>
        <w:rPr>
          <w:rFonts w:hint="eastAsia" w:asciiTheme="minorEastAsia" w:hAnsiTheme="minorEastAsia" w:eastAsiaTheme="minorEastAsia"/>
          <w:color w:val="auto"/>
          <w:highlight w:val="none"/>
          <w:lang w:val="en-US" w:eastAsia="zh-CN"/>
        </w:rPr>
      </w:pPr>
      <w:r>
        <w:rPr>
          <w:rFonts w:hint="eastAsia" w:asciiTheme="minorEastAsia" w:hAnsiTheme="minorEastAsia" w:eastAsiaTheme="minorEastAsia"/>
          <w:color w:val="auto"/>
          <w:highlight w:val="none"/>
          <w:lang w:val="en-US"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p>
    <w:p w14:paraId="450EA0C9">
      <w:pPr>
        <w:spacing w:line="400" w:lineRule="exact"/>
        <w:ind w:firstLine="420"/>
        <w:rPr>
          <w:rFonts w:hint="eastAsia" w:asciiTheme="minorEastAsia" w:hAnsiTheme="minorEastAsia" w:eastAsiaTheme="minorEastAsia"/>
          <w:color w:val="auto"/>
          <w:highlight w:val="none"/>
        </w:rPr>
      </w:pPr>
      <w:r>
        <w:rPr>
          <w:rFonts w:hint="eastAsia" w:ascii="宋体" w:hAnsi="宋体"/>
          <w:color w:val="auto"/>
          <w:szCs w:val="21"/>
          <w:highlight w:val="none"/>
        </w:rPr>
        <w:t>依据《政府采购促进中小企业发展管理办法》规定享受扶持政策获得政府采购合同的，小微企业不得将合同分包给大中型企业，中型企业不得将合同分包给大型企业</w:t>
      </w:r>
    </w:p>
    <w:p w14:paraId="78A66938">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2.1中小企业划分：</w:t>
      </w:r>
    </w:p>
    <w:p w14:paraId="2D5A902B">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（1）符合中小企业划分标准的个体工商户，在政府采购活动中视同中小企业。</w:t>
      </w:r>
    </w:p>
    <w:p w14:paraId="717145D9">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（2）中小企业划分标准详见“工信部联企业〔2011〕300号通知”</w:t>
      </w:r>
    </w:p>
    <w:p w14:paraId="198212C3">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3、残疾人福利性单位政策：</w:t>
      </w:r>
    </w:p>
    <w:p w14:paraId="4194E5B0">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545A23F8">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4、监狱企业发展政策：</w:t>
      </w:r>
    </w:p>
    <w:p w14:paraId="416BED17">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483BBE55">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5、中标、成交供应商享受规定的中小企业扶持政策的，其声明函及相关证明材料应当随中标、成交结果同时公告，接受社会监督。</w:t>
      </w:r>
    </w:p>
    <w:p w14:paraId="4F19665D">
      <w:pPr>
        <w:spacing w:line="400" w:lineRule="exact"/>
        <w:ind w:firstLine="42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6</w:t>
      </w:r>
      <w:r>
        <w:rPr>
          <w:rFonts w:hint="eastAsia" w:asciiTheme="minorEastAsia" w:hAnsiTheme="minorEastAsia" w:eastAsiaTheme="minorEastAsia"/>
          <w:color w:val="auto"/>
          <w:highlight w:val="none"/>
          <w:lang w:val="en-US" w:eastAsia="en-US"/>
        </w:rPr>
        <w:t>、专门面向中小企业采购的项目，不再执行价格评审优惠的扶持政策。</w:t>
      </w:r>
    </w:p>
    <w:p w14:paraId="64FC05C8">
      <w:pPr>
        <w:spacing w:line="400" w:lineRule="exact"/>
        <w:jc w:val="both"/>
        <w:rPr>
          <w:rFonts w:hint="eastAsia" w:ascii="宋体" w:hAnsi="宋体" w:cs="宋体"/>
          <w:color w:val="auto"/>
          <w:highlight w:val="none"/>
        </w:rPr>
      </w:pPr>
      <w:r>
        <w:rPr>
          <w:rFonts w:hint="eastAsia"/>
          <w:b/>
          <w:color w:val="auto"/>
          <w:highlight w:val="none"/>
          <w:lang w:val="en-US" w:eastAsia="zh-CN"/>
        </w:rPr>
        <w:t>七</w:t>
      </w:r>
      <w:r>
        <w:rPr>
          <w:rFonts w:hint="eastAsia"/>
          <w:b/>
          <w:color w:val="auto"/>
          <w:highlight w:val="none"/>
        </w:rPr>
        <w:t>、凡涉及招标文件的补充说明和修改，均以苏州市政府采购网上发布的通知为准。</w:t>
      </w:r>
    </w:p>
    <w:p w14:paraId="40F7F22B">
      <w:pPr>
        <w:numPr>
          <w:ilvl w:val="0"/>
          <w:numId w:val="0"/>
        </w:numPr>
        <w:spacing w:line="240" w:lineRule="auto"/>
        <w:ind w:left="0"/>
        <w:rPr>
          <w:rFonts w:hint="eastAsia" w:ascii="宋体" w:hAnsi="宋体"/>
          <w:color w:val="auto"/>
          <w:highlight w:val="none"/>
          <w:lang w:val="en-US" w:eastAsia="zh-CN"/>
        </w:rPr>
      </w:pPr>
      <w:r>
        <w:rPr>
          <w:rFonts w:hint="eastAsia" w:ascii="宋体" w:hAnsi="宋体"/>
          <w:color w:val="auto"/>
          <w:highlight w:val="none"/>
          <w:lang w:val="en-US" w:eastAsia="zh-CN"/>
        </w:rPr>
        <w:br w:type="page" w:clear="all"/>
      </w:r>
    </w:p>
    <w:p w14:paraId="3B348D44">
      <w:pPr>
        <w:spacing w:line="500" w:lineRule="exact"/>
        <w:jc w:val="center"/>
        <w:rPr>
          <w:rFonts w:hint="default"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附件：服务类</w:t>
      </w:r>
      <w:r>
        <w:rPr>
          <w:rFonts w:hint="default" w:ascii="宋体" w:hAnsi="宋体" w:eastAsia="宋体" w:cs="Times New Roman"/>
          <w:b/>
          <w:bCs/>
          <w:color w:val="auto"/>
          <w:sz w:val="21"/>
          <w:szCs w:val="21"/>
          <w:highlight w:val="none"/>
          <w:lang w:eastAsia="zh-CN"/>
        </w:rPr>
        <w:t>项目履约验收方案</w:t>
      </w:r>
    </w:p>
    <w:p w14:paraId="36494BF0">
      <w:pPr>
        <w:widowControl w:val="0"/>
        <w:spacing w:line="480" w:lineRule="exact"/>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一、</w:t>
      </w:r>
      <w:r>
        <w:rPr>
          <w:rFonts w:hint="eastAsia" w:ascii="宋体" w:hAnsi="宋体" w:eastAsia="宋体" w:cs="微软雅黑"/>
          <w:b/>
          <w:bCs/>
          <w:color w:val="auto"/>
          <w:sz w:val="21"/>
          <w:szCs w:val="21"/>
          <w:highlight w:val="none"/>
          <w:lang w:val="en-US" w:eastAsia="zh-CN" w:bidi="ar-SA"/>
        </w:rPr>
        <w:t>项</w:t>
      </w:r>
      <w:r>
        <w:rPr>
          <w:rFonts w:hint="eastAsia" w:ascii="宋体" w:hAnsi="宋体" w:eastAsia="宋体" w:cs="MS Gothic"/>
          <w:b/>
          <w:bCs/>
          <w:color w:val="auto"/>
          <w:sz w:val="21"/>
          <w:szCs w:val="21"/>
          <w:highlight w:val="none"/>
          <w:lang w:val="en-US" w:eastAsia="zh-CN" w:bidi="ar-SA"/>
        </w:rPr>
        <w:t>目概况</w:t>
      </w:r>
    </w:p>
    <w:p w14:paraId="428C072A">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项</w:t>
      </w:r>
      <w:r>
        <w:rPr>
          <w:rFonts w:hint="eastAsia" w:ascii="宋体" w:hAnsi="宋体" w:eastAsia="宋体" w:cs="MS Gothic"/>
          <w:color w:val="auto"/>
          <w:sz w:val="21"/>
          <w:szCs w:val="21"/>
          <w:highlight w:val="none"/>
          <w:lang w:val="en-US" w:eastAsia="zh-CN" w:bidi="ar-SA"/>
        </w:rPr>
        <w:t>目</w:t>
      </w:r>
      <w:r>
        <w:rPr>
          <w:rFonts w:hint="eastAsia" w:ascii="宋体" w:hAnsi="宋体" w:eastAsia="宋体" w:cs="微软雅黑"/>
          <w:color w:val="auto"/>
          <w:sz w:val="21"/>
          <w:szCs w:val="21"/>
          <w:highlight w:val="none"/>
          <w:lang w:val="en-US" w:eastAsia="zh-CN" w:bidi="ar-SA"/>
        </w:rPr>
        <w:t>编</w:t>
      </w:r>
      <w:r>
        <w:rPr>
          <w:rFonts w:hint="eastAsia" w:ascii="宋体" w:hAnsi="宋体" w:eastAsia="宋体" w:cs="MS Gothic"/>
          <w:color w:val="auto"/>
          <w:sz w:val="21"/>
          <w:szCs w:val="21"/>
          <w:highlight w:val="none"/>
          <w:lang w:val="en-US" w:eastAsia="zh-CN" w:bidi="ar-SA"/>
        </w:rPr>
        <w:t>号：</w:t>
      </w:r>
    </w:p>
    <w:p w14:paraId="1CF360D4">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项</w:t>
      </w:r>
      <w:r>
        <w:rPr>
          <w:rFonts w:hint="eastAsia" w:ascii="宋体" w:hAnsi="宋体" w:eastAsia="宋体" w:cs="MS Gothic"/>
          <w:color w:val="auto"/>
          <w:sz w:val="21"/>
          <w:szCs w:val="21"/>
          <w:highlight w:val="none"/>
          <w:lang w:val="en-US" w:eastAsia="zh-CN" w:bidi="ar-SA"/>
        </w:rPr>
        <w:t>目名称：</w:t>
      </w:r>
    </w:p>
    <w:p w14:paraId="318FEDD2">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商名称：</w:t>
      </w:r>
    </w:p>
    <w:p w14:paraId="455C330F">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合同金</w:t>
      </w:r>
      <w:r>
        <w:rPr>
          <w:rFonts w:hint="eastAsia" w:ascii="宋体" w:hAnsi="宋体" w:eastAsia="宋体" w:cs="微软雅黑"/>
          <w:color w:val="auto"/>
          <w:sz w:val="21"/>
          <w:szCs w:val="21"/>
          <w:highlight w:val="none"/>
          <w:lang w:val="en-US" w:eastAsia="zh-CN" w:bidi="ar-SA"/>
        </w:rPr>
        <w:t>额</w:t>
      </w:r>
      <w:r>
        <w:rPr>
          <w:rFonts w:hint="eastAsia" w:ascii="宋体" w:hAnsi="宋体" w:eastAsia="宋体" w:cs="MS Gothic"/>
          <w:color w:val="auto"/>
          <w:sz w:val="21"/>
          <w:szCs w:val="21"/>
          <w:highlight w:val="none"/>
          <w:lang w:val="en-US" w:eastAsia="zh-CN" w:bidi="ar-SA"/>
        </w:rPr>
        <w:t>：</w:t>
      </w:r>
    </w:p>
    <w:p w14:paraId="2FA33EE9">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收主体：</w:t>
      </w:r>
    </w:p>
    <w:p w14:paraId="466B9642">
      <w:pPr>
        <w:widowControl w:val="0"/>
        <w:spacing w:line="480" w:lineRule="exact"/>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二、</w:t>
      </w:r>
      <w:r>
        <w:rPr>
          <w:rFonts w:hint="eastAsia" w:ascii="宋体" w:hAnsi="宋体" w:eastAsia="宋体" w:cs="微软雅黑"/>
          <w:b/>
          <w:bCs/>
          <w:color w:val="auto"/>
          <w:sz w:val="21"/>
          <w:szCs w:val="21"/>
          <w:highlight w:val="none"/>
          <w:lang w:val="en-US" w:eastAsia="zh-CN" w:bidi="ar-SA"/>
        </w:rPr>
        <w:t>验</w:t>
      </w:r>
      <w:r>
        <w:rPr>
          <w:rFonts w:hint="eastAsia" w:ascii="宋体" w:hAnsi="宋体" w:eastAsia="宋体" w:cs="MS Gothic"/>
          <w:b/>
          <w:bCs/>
          <w:color w:val="auto"/>
          <w:sz w:val="21"/>
          <w:szCs w:val="21"/>
          <w:highlight w:val="none"/>
          <w:lang w:val="en-US" w:eastAsia="zh-CN" w:bidi="ar-SA"/>
        </w:rPr>
        <w:t>收目的</w:t>
      </w:r>
    </w:p>
    <w:p w14:paraId="47857786">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政府采</w:t>
      </w:r>
      <w:r>
        <w:rPr>
          <w:rFonts w:hint="eastAsia" w:ascii="宋体" w:hAnsi="宋体" w:eastAsia="宋体" w:cs="微软雅黑"/>
          <w:color w:val="auto"/>
          <w:sz w:val="21"/>
          <w:szCs w:val="21"/>
          <w:highlight w:val="none"/>
          <w:lang w:val="en-US" w:eastAsia="zh-CN" w:bidi="ar-SA"/>
        </w:rPr>
        <w:t>购项</w:t>
      </w:r>
      <w:r>
        <w:rPr>
          <w:rFonts w:hint="eastAsia" w:ascii="宋体" w:hAnsi="宋体" w:eastAsia="宋体" w:cs="MS Gothic"/>
          <w:color w:val="auto"/>
          <w:sz w:val="21"/>
          <w:szCs w:val="21"/>
          <w:highlight w:val="none"/>
          <w:lang w:val="en-US" w:eastAsia="zh-CN" w:bidi="ar-SA"/>
        </w:rPr>
        <w:t>目履</w:t>
      </w:r>
      <w:r>
        <w:rPr>
          <w:rFonts w:hint="eastAsia" w:ascii="宋体" w:hAnsi="宋体" w:eastAsia="宋体" w:cs="微软雅黑"/>
          <w:color w:val="auto"/>
          <w:sz w:val="21"/>
          <w:szCs w:val="21"/>
          <w:highlight w:val="none"/>
          <w:lang w:val="en-US" w:eastAsia="zh-CN" w:bidi="ar-SA"/>
        </w:rPr>
        <w:t>约验</w:t>
      </w:r>
      <w:r>
        <w:rPr>
          <w:rFonts w:hint="eastAsia" w:ascii="宋体" w:hAnsi="宋体" w:eastAsia="宋体" w:cs="MS Gothic"/>
          <w:color w:val="auto"/>
          <w:sz w:val="21"/>
          <w:szCs w:val="21"/>
          <w:highlight w:val="none"/>
          <w:lang w:val="en-US" w:eastAsia="zh-CN" w:bidi="ar-SA"/>
        </w:rPr>
        <w:t>收是指采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人或其委托的采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代理机构，</w:t>
      </w:r>
      <w:r>
        <w:rPr>
          <w:rFonts w:hint="eastAsia" w:ascii="宋体" w:hAnsi="宋体" w:eastAsia="宋体" w:cs="微软雅黑"/>
          <w:color w:val="auto"/>
          <w:sz w:val="21"/>
          <w:szCs w:val="21"/>
          <w:highlight w:val="none"/>
          <w:lang w:val="en-US" w:eastAsia="zh-CN" w:bidi="ar-SA"/>
        </w:rPr>
        <w:t>组织验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组对</w:t>
      </w:r>
      <w:r>
        <w:rPr>
          <w:rFonts w:hint="eastAsia" w:ascii="宋体" w:hAnsi="宋体" w:eastAsia="宋体" w:cs="MS Gothic"/>
          <w:color w:val="auto"/>
          <w:sz w:val="21"/>
          <w:szCs w:val="21"/>
          <w:highlight w:val="none"/>
          <w:lang w:val="en-US" w:eastAsia="zh-CN" w:bidi="ar-SA"/>
        </w:rPr>
        <w:t>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商履行政府采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合同情况及</w:t>
      </w:r>
      <w:r>
        <w:rPr>
          <w:rFonts w:hint="eastAsia" w:ascii="宋体" w:hAnsi="宋体" w:eastAsia="宋体" w:cs="微软雅黑"/>
          <w:color w:val="auto"/>
          <w:sz w:val="21"/>
          <w:szCs w:val="21"/>
          <w:highlight w:val="none"/>
          <w:lang w:val="en-US" w:eastAsia="zh-CN" w:bidi="ar-SA"/>
        </w:rPr>
        <w:t>结</w:t>
      </w:r>
      <w:r>
        <w:rPr>
          <w:rFonts w:hint="eastAsia" w:ascii="宋体" w:hAnsi="宋体" w:eastAsia="宋体" w:cs="MS Gothic"/>
          <w:color w:val="auto"/>
          <w:sz w:val="21"/>
          <w:szCs w:val="21"/>
          <w:highlight w:val="none"/>
          <w:lang w:val="en-US" w:eastAsia="zh-CN" w:bidi="ar-SA"/>
        </w:rPr>
        <w:t>果</w:t>
      </w:r>
      <w:r>
        <w:rPr>
          <w:rFonts w:hint="eastAsia" w:ascii="宋体" w:hAnsi="宋体" w:eastAsia="宋体" w:cs="微软雅黑"/>
          <w:color w:val="auto"/>
          <w:sz w:val="21"/>
          <w:szCs w:val="21"/>
          <w:highlight w:val="none"/>
          <w:lang w:val="en-US" w:eastAsia="zh-CN" w:bidi="ar-SA"/>
        </w:rPr>
        <w:t>进</w:t>
      </w:r>
      <w:r>
        <w:rPr>
          <w:rFonts w:hint="eastAsia" w:ascii="宋体" w:hAnsi="宋体" w:eastAsia="宋体" w:cs="MS Gothic"/>
          <w:color w:val="auto"/>
          <w:sz w:val="21"/>
          <w:szCs w:val="21"/>
          <w:highlight w:val="none"/>
          <w:lang w:val="en-US" w:eastAsia="zh-CN" w:bidi="ar-SA"/>
        </w:rPr>
        <w:t>行</w:t>
      </w:r>
      <w:r>
        <w:rPr>
          <w:rFonts w:hint="eastAsia" w:ascii="宋体" w:hAnsi="宋体" w:eastAsia="宋体" w:cs="微软雅黑"/>
          <w:color w:val="auto"/>
          <w:sz w:val="21"/>
          <w:szCs w:val="21"/>
          <w:highlight w:val="none"/>
          <w:lang w:val="en-US" w:eastAsia="zh-CN" w:bidi="ar-SA"/>
        </w:rPr>
        <w:t>检查</w:t>
      </w:r>
      <w:r>
        <w:rPr>
          <w:rFonts w:hint="eastAsia" w:ascii="宋体" w:hAnsi="宋体" w:eastAsia="宋体" w:cs="MS Gothic"/>
          <w:color w:val="auto"/>
          <w:sz w:val="21"/>
          <w:szCs w:val="21"/>
          <w:highlight w:val="none"/>
          <w:lang w:val="en-US" w:eastAsia="zh-CN" w:bidi="ar-SA"/>
        </w:rPr>
        <w:t>、核</w:t>
      </w:r>
      <w:r>
        <w:rPr>
          <w:rFonts w:hint="eastAsia" w:ascii="宋体" w:hAnsi="宋体" w:eastAsia="宋体" w:cs="微软雅黑"/>
          <w:color w:val="auto"/>
          <w:sz w:val="21"/>
          <w:szCs w:val="21"/>
          <w:highlight w:val="none"/>
          <w:lang w:val="en-US" w:eastAsia="zh-CN" w:bidi="ar-SA"/>
        </w:rPr>
        <w:t>实</w:t>
      </w:r>
      <w:r>
        <w:rPr>
          <w:rFonts w:hint="eastAsia" w:ascii="宋体" w:hAnsi="宋体" w:eastAsia="宋体" w:cs="MS Gothic"/>
          <w:color w:val="auto"/>
          <w:sz w:val="21"/>
          <w:szCs w:val="21"/>
          <w:highlight w:val="none"/>
          <w:lang w:val="en-US" w:eastAsia="zh-CN" w:bidi="ar-SA"/>
        </w:rPr>
        <w:t>和</w:t>
      </w:r>
      <w:r>
        <w:rPr>
          <w:rFonts w:hint="eastAsia" w:ascii="宋体" w:hAnsi="宋体" w:eastAsia="宋体" w:cs="微软雅黑"/>
          <w:color w:val="auto"/>
          <w:sz w:val="21"/>
          <w:szCs w:val="21"/>
          <w:highlight w:val="none"/>
          <w:lang w:val="en-US" w:eastAsia="zh-CN" w:bidi="ar-SA"/>
        </w:rPr>
        <w:t>评</w:t>
      </w:r>
      <w:r>
        <w:rPr>
          <w:rFonts w:hint="eastAsia" w:ascii="宋体" w:hAnsi="宋体" w:eastAsia="宋体" w:cs="MS Gothic"/>
          <w:color w:val="auto"/>
          <w:sz w:val="21"/>
          <w:szCs w:val="21"/>
          <w:highlight w:val="none"/>
          <w:lang w:val="en-US" w:eastAsia="zh-CN" w:bidi="ar-SA"/>
        </w:rPr>
        <w:t>估等，以确</w:t>
      </w:r>
      <w:r>
        <w:rPr>
          <w:rFonts w:hint="eastAsia" w:ascii="宋体" w:hAnsi="宋体" w:eastAsia="宋体" w:cs="微软雅黑"/>
          <w:color w:val="auto"/>
          <w:sz w:val="21"/>
          <w:szCs w:val="21"/>
          <w:highlight w:val="none"/>
          <w:lang w:val="en-US" w:eastAsia="zh-CN" w:bidi="ar-SA"/>
        </w:rPr>
        <w:t>认</w:t>
      </w:r>
      <w:r>
        <w:rPr>
          <w:rFonts w:hint="eastAsia" w:ascii="宋体" w:hAnsi="宋体" w:eastAsia="宋体" w:cs="MS Gothic"/>
          <w:color w:val="auto"/>
          <w:sz w:val="21"/>
          <w:szCs w:val="21"/>
          <w:highlight w:val="none"/>
          <w:lang w:val="en-US" w:eastAsia="zh-CN" w:bidi="ar-SA"/>
        </w:rPr>
        <w:t>其提供的</w:t>
      </w:r>
      <w:r>
        <w:rPr>
          <w:rFonts w:hint="eastAsia" w:ascii="宋体" w:hAnsi="宋体" w:eastAsia="宋体" w:cs="微软雅黑"/>
          <w:color w:val="auto"/>
          <w:sz w:val="21"/>
          <w:szCs w:val="21"/>
          <w:highlight w:val="none"/>
          <w:lang w:val="en-US" w:eastAsia="zh-CN" w:bidi="ar-SA"/>
        </w:rPr>
        <w:t>货</w:t>
      </w:r>
      <w:r>
        <w:rPr>
          <w:rFonts w:hint="eastAsia" w:ascii="宋体" w:hAnsi="宋体" w:eastAsia="宋体" w:cs="MS Gothic"/>
          <w:color w:val="auto"/>
          <w:sz w:val="21"/>
          <w:szCs w:val="21"/>
          <w:highlight w:val="none"/>
          <w:lang w:val="en-US" w:eastAsia="zh-CN" w:bidi="ar-SA"/>
        </w:rPr>
        <w:t>物或者服</w:t>
      </w:r>
      <w:r>
        <w:rPr>
          <w:rFonts w:hint="eastAsia" w:ascii="宋体" w:hAnsi="宋体" w:eastAsia="宋体" w:cs="微软雅黑"/>
          <w:color w:val="auto"/>
          <w:sz w:val="21"/>
          <w:szCs w:val="21"/>
          <w:highlight w:val="none"/>
          <w:lang w:val="en-US" w:eastAsia="zh-CN" w:bidi="ar-SA"/>
        </w:rPr>
        <w:t>务</w:t>
      </w:r>
      <w:r>
        <w:rPr>
          <w:rFonts w:hint="eastAsia" w:ascii="宋体" w:hAnsi="宋体" w:eastAsia="宋体" w:cs="MS Gothic"/>
          <w:color w:val="auto"/>
          <w:sz w:val="21"/>
          <w:szCs w:val="21"/>
          <w:highlight w:val="none"/>
          <w:lang w:val="en-US" w:eastAsia="zh-CN" w:bidi="ar-SA"/>
        </w:rPr>
        <w:t>是否符合政府采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合同</w:t>
      </w:r>
      <w:r>
        <w:rPr>
          <w:rFonts w:hint="eastAsia" w:ascii="宋体" w:hAnsi="宋体" w:eastAsia="宋体" w:cs="微软雅黑"/>
          <w:color w:val="auto"/>
          <w:sz w:val="21"/>
          <w:szCs w:val="21"/>
          <w:highlight w:val="none"/>
          <w:lang w:val="en-US" w:eastAsia="zh-CN" w:bidi="ar-SA"/>
        </w:rPr>
        <w:t>约</w:t>
      </w:r>
      <w:r>
        <w:rPr>
          <w:rFonts w:hint="eastAsia" w:ascii="宋体" w:hAnsi="宋体" w:eastAsia="宋体" w:cs="MS Gothic"/>
          <w:color w:val="auto"/>
          <w:sz w:val="21"/>
          <w:szCs w:val="21"/>
          <w:highlight w:val="none"/>
          <w:lang w:val="en-US" w:eastAsia="zh-CN" w:bidi="ar-SA"/>
        </w:rPr>
        <w:t>定要求的活</w:t>
      </w:r>
      <w:r>
        <w:rPr>
          <w:rFonts w:hint="eastAsia" w:ascii="宋体" w:hAnsi="宋体" w:eastAsia="宋体" w:cs="微软雅黑"/>
          <w:color w:val="auto"/>
          <w:sz w:val="21"/>
          <w:szCs w:val="21"/>
          <w:highlight w:val="none"/>
          <w:lang w:val="en-US" w:eastAsia="zh-CN" w:bidi="ar-SA"/>
        </w:rPr>
        <w:t>动</w:t>
      </w:r>
      <w:r>
        <w:rPr>
          <w:rFonts w:hint="eastAsia" w:ascii="宋体" w:hAnsi="宋体" w:eastAsia="宋体" w:cs="MS Gothic"/>
          <w:color w:val="auto"/>
          <w:sz w:val="21"/>
          <w:szCs w:val="21"/>
          <w:highlight w:val="none"/>
          <w:lang w:val="en-US" w:eastAsia="zh-CN" w:bidi="ar-SA"/>
        </w:rPr>
        <w:t>，</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结</w:t>
      </w:r>
      <w:r>
        <w:rPr>
          <w:rFonts w:hint="eastAsia" w:ascii="宋体" w:hAnsi="宋体" w:eastAsia="宋体" w:cs="MS Gothic"/>
          <w:color w:val="auto"/>
          <w:sz w:val="21"/>
          <w:szCs w:val="21"/>
          <w:highlight w:val="none"/>
          <w:lang w:val="en-US" w:eastAsia="zh-CN" w:bidi="ar-SA"/>
        </w:rPr>
        <w:t>果是政府采</w:t>
      </w:r>
      <w:r>
        <w:rPr>
          <w:rFonts w:hint="eastAsia" w:ascii="宋体" w:hAnsi="宋体" w:eastAsia="宋体" w:cs="微软雅黑"/>
          <w:color w:val="auto"/>
          <w:sz w:val="21"/>
          <w:szCs w:val="21"/>
          <w:highlight w:val="none"/>
          <w:lang w:val="en-US" w:eastAsia="zh-CN" w:bidi="ar-SA"/>
        </w:rPr>
        <w:t>购项</w:t>
      </w:r>
      <w:r>
        <w:rPr>
          <w:rFonts w:hint="eastAsia" w:ascii="宋体" w:hAnsi="宋体" w:eastAsia="宋体" w:cs="MS Gothic"/>
          <w:color w:val="auto"/>
          <w:sz w:val="21"/>
          <w:szCs w:val="21"/>
          <w:highlight w:val="none"/>
          <w:lang w:val="en-US" w:eastAsia="zh-CN" w:bidi="ar-SA"/>
        </w:rPr>
        <w:t>目</w:t>
      </w:r>
      <w:r>
        <w:rPr>
          <w:rFonts w:hint="eastAsia" w:ascii="宋体" w:hAnsi="宋体" w:eastAsia="宋体" w:cs="微软雅黑"/>
          <w:color w:val="auto"/>
          <w:sz w:val="21"/>
          <w:szCs w:val="21"/>
          <w:highlight w:val="none"/>
          <w:lang w:val="en-US" w:eastAsia="zh-CN" w:bidi="ar-SA"/>
        </w:rPr>
        <w:t>资</w:t>
      </w:r>
      <w:r>
        <w:rPr>
          <w:rFonts w:hint="eastAsia" w:ascii="宋体" w:hAnsi="宋体" w:eastAsia="宋体" w:cs="MS Gothic"/>
          <w:color w:val="auto"/>
          <w:sz w:val="21"/>
          <w:szCs w:val="21"/>
          <w:highlight w:val="none"/>
          <w:lang w:val="en-US" w:eastAsia="zh-CN" w:bidi="ar-SA"/>
        </w:rPr>
        <w:t>金支付的重要依据。</w:t>
      </w:r>
    </w:p>
    <w:p w14:paraId="246DBF09">
      <w:pPr>
        <w:widowControl w:val="0"/>
        <w:spacing w:line="480" w:lineRule="exact"/>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三、</w:t>
      </w:r>
      <w:r>
        <w:rPr>
          <w:rFonts w:hint="eastAsia" w:ascii="宋体" w:hAnsi="宋体" w:eastAsia="宋体" w:cs="微软雅黑"/>
          <w:b/>
          <w:bCs/>
          <w:color w:val="auto"/>
          <w:sz w:val="21"/>
          <w:szCs w:val="21"/>
          <w:highlight w:val="none"/>
          <w:lang w:val="en-US" w:eastAsia="zh-CN" w:bidi="ar-SA"/>
        </w:rPr>
        <w:t>验</w:t>
      </w:r>
      <w:r>
        <w:rPr>
          <w:rFonts w:hint="eastAsia" w:ascii="宋体" w:hAnsi="宋体" w:eastAsia="宋体" w:cs="MS Gothic"/>
          <w:b/>
          <w:bCs/>
          <w:color w:val="auto"/>
          <w:sz w:val="21"/>
          <w:szCs w:val="21"/>
          <w:highlight w:val="none"/>
          <w:lang w:val="en-US" w:eastAsia="zh-CN" w:bidi="ar-SA"/>
        </w:rPr>
        <w:t>收依据</w:t>
      </w:r>
    </w:p>
    <w:p w14:paraId="353893CA">
      <w:pPr>
        <w:widowControl w:val="0"/>
        <w:spacing w:line="480" w:lineRule="exact"/>
        <w:ind w:firstLine="480"/>
        <w:jc w:val="both"/>
        <w:rPr>
          <w:rFonts w:hint="default" w:ascii="宋体" w:hAnsi="宋体" w:eastAsia="宋体" w:cs="MS Gothic"/>
          <w:color w:val="auto"/>
          <w:sz w:val="21"/>
          <w:szCs w:val="21"/>
          <w:highlight w:val="none"/>
          <w:lang w:val="en-US" w:eastAsia="zh-CN" w:bidi="ar-SA"/>
        </w:rPr>
      </w:pPr>
      <w:r>
        <w:rPr>
          <w:rFonts w:hint="eastAsia" w:ascii="宋体" w:hAnsi="宋体" w:eastAsia="宋体" w:cs="MS Gothic"/>
          <w:color w:val="auto"/>
          <w:sz w:val="21"/>
          <w:szCs w:val="21"/>
          <w:highlight w:val="none"/>
          <w:lang w:val="en-US" w:eastAsia="zh-CN" w:bidi="ar-SA"/>
        </w:rPr>
        <w:t>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人通</w:t>
      </w:r>
      <w:r>
        <w:rPr>
          <w:rFonts w:hint="eastAsia" w:ascii="宋体" w:hAnsi="宋体" w:eastAsia="宋体" w:cs="微软雅黑"/>
          <w:color w:val="auto"/>
          <w:sz w:val="21"/>
          <w:szCs w:val="21"/>
          <w:highlight w:val="none"/>
          <w:lang w:val="en-US" w:eastAsia="zh-CN" w:bidi="ar-SA"/>
        </w:rPr>
        <w:t>过</w:t>
      </w:r>
      <w:r>
        <w:rPr>
          <w:rFonts w:hint="eastAsia" w:ascii="宋体" w:hAnsi="宋体" w:eastAsia="宋体" w:cs="MS Gothic"/>
          <w:color w:val="auto"/>
          <w:sz w:val="21"/>
          <w:szCs w:val="21"/>
          <w:highlight w:val="none"/>
          <w:lang w:val="en-US" w:eastAsia="zh-CN" w:bidi="ar-SA"/>
        </w:rPr>
        <w:t>政府采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029F8312">
      <w:pPr>
        <w:widowControl w:val="0"/>
        <w:spacing w:line="480" w:lineRule="exact"/>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四、</w:t>
      </w:r>
      <w:r>
        <w:rPr>
          <w:rFonts w:hint="eastAsia" w:ascii="宋体" w:hAnsi="宋体" w:eastAsia="宋体" w:cs="微软雅黑"/>
          <w:b/>
          <w:bCs/>
          <w:color w:val="auto"/>
          <w:sz w:val="21"/>
          <w:szCs w:val="21"/>
          <w:highlight w:val="none"/>
          <w:lang w:val="en-US" w:eastAsia="zh-CN" w:bidi="ar-SA"/>
        </w:rPr>
        <w:t>验</w:t>
      </w:r>
      <w:r>
        <w:rPr>
          <w:rFonts w:hint="eastAsia" w:ascii="宋体" w:hAnsi="宋体" w:eastAsia="宋体" w:cs="MS Gothic"/>
          <w:b/>
          <w:bCs/>
          <w:color w:val="auto"/>
          <w:sz w:val="21"/>
          <w:szCs w:val="21"/>
          <w:highlight w:val="none"/>
          <w:lang w:val="en-US" w:eastAsia="zh-CN" w:bidi="ar-SA"/>
        </w:rPr>
        <w:t>收</w:t>
      </w:r>
      <w:r>
        <w:rPr>
          <w:rFonts w:hint="eastAsia" w:ascii="宋体" w:hAnsi="宋体" w:eastAsia="宋体" w:cs="微软雅黑"/>
          <w:b/>
          <w:bCs/>
          <w:color w:val="auto"/>
          <w:sz w:val="21"/>
          <w:szCs w:val="21"/>
          <w:highlight w:val="none"/>
          <w:lang w:val="en-US" w:eastAsia="zh-CN" w:bidi="ar-SA"/>
        </w:rPr>
        <w:t>责</w:t>
      </w:r>
      <w:r>
        <w:rPr>
          <w:rFonts w:hint="eastAsia" w:ascii="宋体" w:hAnsi="宋体" w:eastAsia="宋体" w:cs="MS Gothic"/>
          <w:b/>
          <w:bCs/>
          <w:color w:val="auto"/>
          <w:sz w:val="21"/>
          <w:szCs w:val="21"/>
          <w:highlight w:val="none"/>
          <w:lang w:val="en-US" w:eastAsia="zh-CN" w:bidi="ar-SA"/>
        </w:rPr>
        <w:t>任主体</w:t>
      </w:r>
    </w:p>
    <w:p w14:paraId="4FD51D57">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人是政府采</w:t>
      </w:r>
      <w:r>
        <w:rPr>
          <w:rFonts w:hint="eastAsia" w:ascii="宋体" w:hAnsi="宋体" w:eastAsia="宋体" w:cs="微软雅黑"/>
          <w:color w:val="auto"/>
          <w:sz w:val="21"/>
          <w:szCs w:val="21"/>
          <w:highlight w:val="none"/>
          <w:lang w:val="en-US" w:eastAsia="zh-CN" w:bidi="ar-SA"/>
        </w:rPr>
        <w:t>购项</w:t>
      </w:r>
      <w:r>
        <w:rPr>
          <w:rFonts w:hint="eastAsia" w:ascii="宋体" w:hAnsi="宋体" w:eastAsia="宋体" w:cs="MS Gothic"/>
          <w:color w:val="auto"/>
          <w:sz w:val="21"/>
          <w:szCs w:val="21"/>
          <w:highlight w:val="none"/>
          <w:lang w:val="en-US" w:eastAsia="zh-CN" w:bidi="ar-SA"/>
        </w:rPr>
        <w:t>目履</w:t>
      </w:r>
      <w:r>
        <w:rPr>
          <w:rFonts w:hint="eastAsia" w:ascii="宋体" w:hAnsi="宋体" w:eastAsia="宋体" w:cs="微软雅黑"/>
          <w:color w:val="auto"/>
          <w:sz w:val="21"/>
          <w:szCs w:val="21"/>
          <w:highlight w:val="none"/>
          <w:lang w:val="en-US" w:eastAsia="zh-CN" w:bidi="ar-SA"/>
        </w:rPr>
        <w:t>约验</w:t>
      </w:r>
      <w:r>
        <w:rPr>
          <w:rFonts w:hint="eastAsia" w:ascii="宋体" w:hAnsi="宋体" w:eastAsia="宋体" w:cs="MS Gothic"/>
          <w:color w:val="auto"/>
          <w:sz w:val="21"/>
          <w:szCs w:val="21"/>
          <w:highlight w:val="none"/>
          <w:lang w:val="en-US" w:eastAsia="zh-CN" w:bidi="ar-SA"/>
        </w:rPr>
        <w:t>收工作的</w:t>
      </w:r>
      <w:r>
        <w:rPr>
          <w:rFonts w:hint="eastAsia" w:ascii="宋体" w:hAnsi="宋体" w:eastAsia="宋体" w:cs="微软雅黑"/>
          <w:color w:val="auto"/>
          <w:sz w:val="21"/>
          <w:szCs w:val="21"/>
          <w:highlight w:val="none"/>
          <w:lang w:val="en-US" w:eastAsia="zh-CN" w:bidi="ar-SA"/>
        </w:rPr>
        <w:t>责</w:t>
      </w:r>
      <w:r>
        <w:rPr>
          <w:rFonts w:hint="eastAsia" w:ascii="宋体" w:hAnsi="宋体" w:eastAsia="宋体" w:cs="MS Gothic"/>
          <w:color w:val="auto"/>
          <w:sz w:val="21"/>
          <w:szCs w:val="21"/>
          <w:highlight w:val="none"/>
          <w:lang w:val="en-US" w:eastAsia="zh-CN" w:bidi="ar-SA"/>
        </w:rPr>
        <w:t>任主体。采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当加</w:t>
      </w:r>
      <w:r>
        <w:rPr>
          <w:rFonts w:hint="eastAsia" w:ascii="宋体" w:hAnsi="宋体" w:eastAsia="宋体" w:cs="微软雅黑"/>
          <w:color w:val="auto"/>
          <w:sz w:val="21"/>
          <w:szCs w:val="21"/>
          <w:highlight w:val="none"/>
          <w:lang w:val="en-US" w:eastAsia="zh-CN" w:bidi="ar-SA"/>
        </w:rPr>
        <w:t>强</w:t>
      </w:r>
      <w:r>
        <w:rPr>
          <w:rFonts w:hint="eastAsia" w:ascii="宋体" w:hAnsi="宋体" w:eastAsia="宋体" w:cs="MS Gothic"/>
          <w:color w:val="auto"/>
          <w:sz w:val="21"/>
          <w:szCs w:val="21"/>
          <w:highlight w:val="none"/>
          <w:lang w:val="en-US" w:eastAsia="zh-CN" w:bidi="ar-SA"/>
        </w:rPr>
        <w:t>内控管理，明确</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收机制，按照合同</w:t>
      </w:r>
      <w:r>
        <w:rPr>
          <w:rFonts w:hint="eastAsia" w:ascii="宋体" w:hAnsi="宋体" w:eastAsia="宋体" w:cs="微软雅黑"/>
          <w:color w:val="auto"/>
          <w:sz w:val="21"/>
          <w:szCs w:val="21"/>
          <w:highlight w:val="none"/>
          <w:lang w:val="en-US" w:eastAsia="zh-CN" w:bidi="ar-SA"/>
        </w:rPr>
        <w:t>约</w:t>
      </w:r>
      <w:r>
        <w:rPr>
          <w:rFonts w:hint="eastAsia" w:ascii="宋体" w:hAnsi="宋体" w:eastAsia="宋体" w:cs="MS Gothic"/>
          <w:color w:val="auto"/>
          <w:sz w:val="21"/>
          <w:szCs w:val="21"/>
          <w:highlight w:val="none"/>
          <w:lang w:val="en-US" w:eastAsia="zh-CN" w:bidi="ar-SA"/>
        </w:rPr>
        <w:t>定及</w:t>
      </w:r>
      <w:r>
        <w:rPr>
          <w:rFonts w:hint="eastAsia" w:ascii="宋体" w:hAnsi="宋体" w:eastAsia="宋体" w:cs="微软雅黑"/>
          <w:color w:val="auto"/>
          <w:sz w:val="21"/>
          <w:szCs w:val="21"/>
          <w:highlight w:val="none"/>
          <w:lang w:val="en-US" w:eastAsia="zh-CN" w:bidi="ar-SA"/>
        </w:rPr>
        <w:t>时验</w:t>
      </w:r>
      <w:r>
        <w:rPr>
          <w:rFonts w:hint="eastAsia" w:ascii="宋体" w:hAnsi="宋体" w:eastAsia="宋体" w:cs="MS Gothic"/>
          <w:color w:val="auto"/>
          <w:sz w:val="21"/>
          <w:szCs w:val="21"/>
          <w:highlight w:val="none"/>
          <w:lang w:val="en-US" w:eastAsia="zh-CN" w:bidi="ar-SA"/>
        </w:rPr>
        <w:t>收，确定</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结论</w:t>
      </w:r>
      <w:r>
        <w:rPr>
          <w:rFonts w:hint="eastAsia" w:ascii="宋体" w:hAnsi="宋体" w:eastAsia="宋体" w:cs="MS Gothic"/>
          <w:color w:val="auto"/>
          <w:sz w:val="21"/>
          <w:szCs w:val="21"/>
          <w:highlight w:val="none"/>
          <w:lang w:val="en-US" w:eastAsia="zh-CN" w:bidi="ar-SA"/>
        </w:rPr>
        <w:t>，履行</w:t>
      </w:r>
      <w:r>
        <w:rPr>
          <w:rFonts w:hint="eastAsia" w:ascii="宋体" w:hAnsi="宋体" w:eastAsia="宋体" w:cs="微软雅黑"/>
          <w:color w:val="auto"/>
          <w:sz w:val="21"/>
          <w:szCs w:val="21"/>
          <w:highlight w:val="none"/>
          <w:lang w:val="en-US" w:eastAsia="zh-CN" w:bidi="ar-SA"/>
        </w:rPr>
        <w:t>资</w:t>
      </w:r>
      <w:r>
        <w:rPr>
          <w:rFonts w:hint="eastAsia" w:ascii="宋体" w:hAnsi="宋体" w:eastAsia="宋体" w:cs="MS Gothic"/>
          <w:color w:val="auto"/>
          <w:sz w:val="21"/>
          <w:szCs w:val="21"/>
          <w:highlight w:val="none"/>
          <w:lang w:val="en-US" w:eastAsia="zh-CN" w:bidi="ar-SA"/>
        </w:rPr>
        <w:t>金支付</w:t>
      </w:r>
      <w:r>
        <w:rPr>
          <w:rFonts w:hint="eastAsia" w:ascii="宋体" w:hAnsi="宋体" w:eastAsia="宋体" w:cs="微软雅黑"/>
          <w:color w:val="auto"/>
          <w:sz w:val="21"/>
          <w:szCs w:val="21"/>
          <w:highlight w:val="none"/>
          <w:lang w:val="en-US" w:eastAsia="zh-CN" w:bidi="ar-SA"/>
        </w:rPr>
        <w:t>义务</w:t>
      </w:r>
      <w:r>
        <w:rPr>
          <w:rFonts w:hint="eastAsia" w:ascii="宋体" w:hAnsi="宋体" w:eastAsia="宋体" w:cs="MS Gothic"/>
          <w:color w:val="auto"/>
          <w:sz w:val="21"/>
          <w:szCs w:val="21"/>
          <w:highlight w:val="none"/>
          <w:lang w:val="en-US" w:eastAsia="zh-CN" w:bidi="ar-SA"/>
        </w:rPr>
        <w:t>，遵循履</w:t>
      </w:r>
      <w:r>
        <w:rPr>
          <w:rFonts w:hint="eastAsia" w:ascii="宋体" w:hAnsi="宋体" w:eastAsia="宋体" w:cs="微软雅黑"/>
          <w:color w:val="auto"/>
          <w:sz w:val="21"/>
          <w:szCs w:val="21"/>
          <w:highlight w:val="none"/>
          <w:lang w:val="en-US" w:eastAsia="zh-CN" w:bidi="ar-SA"/>
        </w:rPr>
        <w:t>约验</w:t>
      </w:r>
      <w:r>
        <w:rPr>
          <w:rFonts w:hint="eastAsia" w:ascii="宋体" w:hAnsi="宋体" w:eastAsia="宋体" w:cs="MS Gothic"/>
          <w:color w:val="auto"/>
          <w:sz w:val="21"/>
          <w:szCs w:val="21"/>
          <w:highlight w:val="none"/>
          <w:lang w:val="en-US" w:eastAsia="zh-CN" w:bidi="ar-SA"/>
        </w:rPr>
        <w:t>收工作程序及相关要求。采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当及</w:t>
      </w:r>
      <w:r>
        <w:rPr>
          <w:rFonts w:hint="eastAsia" w:ascii="宋体" w:hAnsi="宋体" w:eastAsia="宋体" w:cs="微软雅黑"/>
          <w:color w:val="auto"/>
          <w:sz w:val="21"/>
          <w:szCs w:val="21"/>
          <w:highlight w:val="none"/>
          <w:lang w:val="en-US" w:eastAsia="zh-CN" w:bidi="ar-SA"/>
        </w:rPr>
        <w:t>时处</w:t>
      </w:r>
      <w:r>
        <w:rPr>
          <w:rFonts w:hint="eastAsia" w:ascii="宋体" w:hAnsi="宋体" w:eastAsia="宋体" w:cs="MS Gothic"/>
          <w:color w:val="auto"/>
          <w:sz w:val="21"/>
          <w:szCs w:val="21"/>
          <w:highlight w:val="none"/>
          <w:lang w:val="en-US" w:eastAsia="zh-CN" w:bidi="ar-SA"/>
        </w:rPr>
        <w:t>理履</w:t>
      </w:r>
      <w:r>
        <w:rPr>
          <w:rFonts w:hint="eastAsia" w:ascii="宋体" w:hAnsi="宋体" w:eastAsia="宋体" w:cs="微软雅黑"/>
          <w:color w:val="auto"/>
          <w:sz w:val="21"/>
          <w:szCs w:val="21"/>
          <w:highlight w:val="none"/>
          <w:lang w:val="en-US" w:eastAsia="zh-CN" w:bidi="ar-SA"/>
        </w:rPr>
        <w:t>约验</w:t>
      </w:r>
      <w:r>
        <w:rPr>
          <w:rFonts w:hint="eastAsia" w:ascii="宋体" w:hAnsi="宋体" w:eastAsia="宋体" w:cs="MS Gothic"/>
          <w:color w:val="auto"/>
          <w:sz w:val="21"/>
          <w:szCs w:val="21"/>
          <w:highlight w:val="none"/>
          <w:lang w:val="en-US" w:eastAsia="zh-CN" w:bidi="ar-SA"/>
        </w:rPr>
        <w:t>收中</w:t>
      </w:r>
      <w:r>
        <w:rPr>
          <w:rFonts w:hint="eastAsia" w:ascii="宋体" w:hAnsi="宋体" w:eastAsia="宋体" w:cs="微软雅黑"/>
          <w:color w:val="auto"/>
          <w:sz w:val="21"/>
          <w:szCs w:val="21"/>
          <w:highlight w:val="none"/>
          <w:lang w:val="en-US" w:eastAsia="zh-CN" w:bidi="ar-SA"/>
        </w:rPr>
        <w:t>发现</w:t>
      </w:r>
      <w:r>
        <w:rPr>
          <w:rFonts w:hint="eastAsia" w:ascii="宋体" w:hAnsi="宋体" w:eastAsia="宋体" w:cs="MS Gothic"/>
          <w:color w:val="auto"/>
          <w:sz w:val="21"/>
          <w:szCs w:val="21"/>
          <w:highlight w:val="none"/>
          <w:lang w:val="en-US" w:eastAsia="zh-CN" w:bidi="ar-SA"/>
        </w:rPr>
        <w:t>的</w:t>
      </w:r>
      <w:r>
        <w:rPr>
          <w:rFonts w:hint="eastAsia" w:ascii="宋体" w:hAnsi="宋体" w:eastAsia="宋体" w:cs="微软雅黑"/>
          <w:color w:val="auto"/>
          <w:sz w:val="21"/>
          <w:szCs w:val="21"/>
          <w:highlight w:val="none"/>
          <w:lang w:val="en-US" w:eastAsia="zh-CN" w:bidi="ar-SA"/>
        </w:rPr>
        <w:t>问题</w:t>
      </w:r>
      <w:r>
        <w:rPr>
          <w:rFonts w:hint="eastAsia" w:ascii="宋体" w:hAnsi="宋体" w:eastAsia="宋体" w:cs="MS Gothic"/>
          <w:color w:val="auto"/>
          <w:sz w:val="21"/>
          <w:szCs w:val="21"/>
          <w:highlight w:val="none"/>
          <w:lang w:val="en-US" w:eastAsia="zh-CN" w:bidi="ar-SA"/>
        </w:rPr>
        <w:t>，依法追究供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w:t>
      </w:r>
      <w:r>
        <w:rPr>
          <w:rFonts w:hint="eastAsia" w:ascii="宋体" w:hAnsi="宋体" w:eastAsia="宋体" w:cs="微软雅黑"/>
          <w:color w:val="auto"/>
          <w:sz w:val="21"/>
          <w:szCs w:val="21"/>
          <w:highlight w:val="none"/>
          <w:lang w:val="en-US" w:eastAsia="zh-CN" w:bidi="ar-SA"/>
        </w:rPr>
        <w:t>违约责</w:t>
      </w:r>
      <w:r>
        <w:rPr>
          <w:rFonts w:hint="eastAsia" w:ascii="宋体" w:hAnsi="宋体" w:eastAsia="宋体" w:cs="MS Gothic"/>
          <w:color w:val="auto"/>
          <w:sz w:val="21"/>
          <w:szCs w:val="21"/>
          <w:highlight w:val="none"/>
          <w:lang w:val="en-US" w:eastAsia="zh-CN" w:bidi="ar-SA"/>
        </w:rPr>
        <w:t>任，并将</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收和追</w:t>
      </w:r>
      <w:r>
        <w:rPr>
          <w:rFonts w:hint="eastAsia" w:ascii="宋体" w:hAnsi="宋体" w:eastAsia="宋体" w:cs="微软雅黑"/>
          <w:color w:val="auto"/>
          <w:sz w:val="21"/>
          <w:szCs w:val="21"/>
          <w:highlight w:val="none"/>
          <w:lang w:val="en-US" w:eastAsia="zh-CN" w:bidi="ar-SA"/>
        </w:rPr>
        <w:t>责</w:t>
      </w:r>
      <w:r>
        <w:rPr>
          <w:rFonts w:hint="eastAsia" w:ascii="宋体" w:hAnsi="宋体" w:eastAsia="宋体" w:cs="MS Gothic"/>
          <w:color w:val="auto"/>
          <w:sz w:val="21"/>
          <w:szCs w:val="21"/>
          <w:highlight w:val="none"/>
          <w:lang w:val="en-US" w:eastAsia="zh-CN" w:bidi="ar-SA"/>
        </w:rPr>
        <w:t>的相关情况及</w:t>
      </w:r>
      <w:r>
        <w:rPr>
          <w:rFonts w:hint="eastAsia" w:ascii="宋体" w:hAnsi="宋体" w:eastAsia="宋体" w:cs="微软雅黑"/>
          <w:color w:val="auto"/>
          <w:sz w:val="21"/>
          <w:szCs w:val="21"/>
          <w:highlight w:val="none"/>
          <w:lang w:val="en-US" w:eastAsia="zh-CN" w:bidi="ar-SA"/>
        </w:rPr>
        <w:t>时</w:t>
      </w:r>
      <w:r>
        <w:rPr>
          <w:rFonts w:hint="eastAsia" w:ascii="宋体" w:hAnsi="宋体" w:eastAsia="宋体" w:cs="MS Gothic"/>
          <w:color w:val="auto"/>
          <w:sz w:val="21"/>
          <w:szCs w:val="21"/>
          <w:highlight w:val="none"/>
          <w:lang w:val="en-US" w:eastAsia="zh-CN" w:bidi="ar-SA"/>
        </w:rPr>
        <w:t>向本</w:t>
      </w:r>
      <w:r>
        <w:rPr>
          <w:rFonts w:hint="eastAsia" w:ascii="宋体" w:hAnsi="宋体" w:eastAsia="宋体" w:cs="微软雅黑"/>
          <w:color w:val="auto"/>
          <w:sz w:val="21"/>
          <w:szCs w:val="21"/>
          <w:highlight w:val="none"/>
          <w:lang w:val="en-US" w:eastAsia="zh-CN" w:bidi="ar-SA"/>
        </w:rPr>
        <w:t>级财</w:t>
      </w:r>
      <w:r>
        <w:rPr>
          <w:rFonts w:hint="eastAsia" w:ascii="宋体" w:hAnsi="宋体" w:eastAsia="宋体" w:cs="MS Gothic"/>
          <w:color w:val="auto"/>
          <w:sz w:val="21"/>
          <w:szCs w:val="21"/>
          <w:highlight w:val="none"/>
          <w:lang w:val="en-US" w:eastAsia="zh-CN" w:bidi="ar-SA"/>
        </w:rPr>
        <w:t>政部</w:t>
      </w:r>
      <w:r>
        <w:rPr>
          <w:rFonts w:hint="eastAsia" w:ascii="宋体" w:hAnsi="宋体" w:eastAsia="宋体" w:cs="微软雅黑"/>
          <w:color w:val="auto"/>
          <w:sz w:val="21"/>
          <w:szCs w:val="21"/>
          <w:highlight w:val="none"/>
          <w:lang w:val="en-US" w:eastAsia="zh-CN" w:bidi="ar-SA"/>
        </w:rPr>
        <w:t>门</w:t>
      </w:r>
      <w:r>
        <w:rPr>
          <w:rFonts w:hint="eastAsia" w:ascii="宋体" w:hAnsi="宋体" w:eastAsia="宋体" w:cs="MS Gothic"/>
          <w:color w:val="auto"/>
          <w:sz w:val="21"/>
          <w:szCs w:val="21"/>
          <w:highlight w:val="none"/>
          <w:lang w:val="en-US" w:eastAsia="zh-CN" w:bidi="ar-SA"/>
        </w:rPr>
        <w:t>反映。</w:t>
      </w:r>
    </w:p>
    <w:p w14:paraId="4B1BAE5C">
      <w:pPr>
        <w:widowControl w:val="0"/>
        <w:spacing w:line="480" w:lineRule="exact"/>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五、</w:t>
      </w:r>
      <w:r>
        <w:rPr>
          <w:rFonts w:hint="eastAsia" w:ascii="宋体" w:hAnsi="宋体" w:eastAsia="宋体" w:cs="微软雅黑"/>
          <w:b/>
          <w:bCs/>
          <w:color w:val="auto"/>
          <w:sz w:val="21"/>
          <w:szCs w:val="21"/>
          <w:highlight w:val="none"/>
          <w:lang w:val="en-US" w:eastAsia="zh-CN" w:bidi="ar-SA"/>
        </w:rPr>
        <w:t>验</w:t>
      </w:r>
      <w:r>
        <w:rPr>
          <w:rFonts w:hint="eastAsia" w:ascii="宋体" w:hAnsi="宋体" w:eastAsia="宋体" w:cs="MS Gothic"/>
          <w:b/>
          <w:bCs/>
          <w:color w:val="auto"/>
          <w:sz w:val="21"/>
          <w:szCs w:val="21"/>
          <w:highlight w:val="none"/>
          <w:lang w:val="en-US" w:eastAsia="zh-CN" w:bidi="ar-SA"/>
        </w:rPr>
        <w:t>收方式（形式）</w:t>
      </w:r>
    </w:p>
    <w:p w14:paraId="783ADFDF">
      <w:pPr>
        <w:widowControl w:val="0"/>
        <w:spacing w:line="480" w:lineRule="exact"/>
        <w:ind w:firstLine="482"/>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5.1日常考核、分段验收</w:t>
      </w:r>
    </w:p>
    <w:p w14:paraId="119780CB">
      <w:pPr>
        <w:widowControl w:val="0"/>
        <w:spacing w:line="480" w:lineRule="exact"/>
        <w:ind w:firstLine="480"/>
        <w:jc w:val="both"/>
        <w:rPr>
          <w:rFonts w:hint="default" w:ascii="宋体" w:hAnsi="宋体" w:eastAsia="宋体" w:cs="MS Gothic"/>
          <w:color w:val="auto"/>
          <w:sz w:val="21"/>
          <w:szCs w:val="21"/>
          <w:highlight w:val="none"/>
          <w:lang w:val="en-US" w:eastAsia="zh-CN" w:bidi="ar-SA"/>
        </w:rPr>
      </w:pPr>
      <w:r>
        <w:rPr>
          <w:rFonts w:hint="eastAsia" w:ascii="宋体" w:hAnsi="宋体" w:eastAsia="宋体" w:cs="MS Gothic"/>
          <w:color w:val="auto"/>
          <w:sz w:val="21"/>
          <w:szCs w:val="21"/>
          <w:highlight w:val="none"/>
          <w:lang w:val="en-US" w:eastAsia="zh-CN" w:bidi="ar-SA"/>
        </w:rPr>
        <w:t>对于一次性整体验收不能反映履约情况的服务类项目，需要在服务期内对供应商服务实施情况进行日常考核、分段验收，应科学确定检查周期或分段节点，指派具体考核人员，分别实施验收。</w:t>
      </w:r>
    </w:p>
    <w:p w14:paraId="281D1F2F">
      <w:pPr>
        <w:widowControl w:val="0"/>
        <w:spacing w:line="480" w:lineRule="exact"/>
        <w:ind w:firstLine="482"/>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5.2最终验收</w:t>
      </w:r>
    </w:p>
    <w:p w14:paraId="669DFA21">
      <w:pPr>
        <w:widowControl w:val="0"/>
        <w:spacing w:line="480" w:lineRule="exact"/>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六、验收内容：</w:t>
      </w:r>
    </w:p>
    <w:p w14:paraId="1206AEB8">
      <w:pPr>
        <w:widowControl w:val="0"/>
        <w:spacing w:line="480" w:lineRule="exact"/>
        <w:ind w:firstLine="480"/>
        <w:jc w:val="both"/>
        <w:rPr>
          <w:rFonts w:hint="default" w:ascii="宋体" w:hAnsi="宋体" w:eastAsia="宋体" w:cs="MS Gothic"/>
          <w:color w:val="auto"/>
          <w:sz w:val="21"/>
          <w:szCs w:val="21"/>
          <w:highlight w:val="none"/>
          <w:lang w:val="en-US" w:eastAsia="zh-CN" w:bidi="ar-SA"/>
        </w:rPr>
      </w:pPr>
      <w:r>
        <w:rPr>
          <w:rFonts w:hint="eastAsia" w:ascii="宋体" w:hAnsi="宋体" w:eastAsia="宋体" w:cs="MS Gothic"/>
          <w:color w:val="auto"/>
          <w:sz w:val="21"/>
          <w:szCs w:val="21"/>
          <w:highlight w:val="none"/>
          <w:lang w:val="en-US" w:eastAsia="zh-CN" w:bidi="ar-SA"/>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60CE35AF">
      <w:pPr>
        <w:widowControl w:val="0"/>
        <w:spacing w:line="480" w:lineRule="exact"/>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七、验收程序：</w:t>
      </w:r>
    </w:p>
    <w:p w14:paraId="7DDE418B">
      <w:pPr>
        <w:widowControl w:val="0"/>
        <w:spacing w:line="480" w:lineRule="exact"/>
        <w:ind w:firstLine="482"/>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7.1</w:t>
      </w:r>
      <w:r>
        <w:rPr>
          <w:rFonts w:hint="eastAsia" w:ascii="宋体" w:hAnsi="宋体" w:eastAsia="宋体" w:cs="微软雅黑"/>
          <w:b/>
          <w:bCs/>
          <w:color w:val="auto"/>
          <w:sz w:val="21"/>
          <w:szCs w:val="21"/>
          <w:highlight w:val="none"/>
          <w:lang w:val="en-US" w:eastAsia="zh-CN" w:bidi="ar-SA"/>
        </w:rPr>
        <w:t>验</w:t>
      </w:r>
      <w:r>
        <w:rPr>
          <w:rFonts w:hint="eastAsia" w:ascii="宋体" w:hAnsi="宋体" w:eastAsia="宋体" w:cs="MS Gothic"/>
          <w:b/>
          <w:bCs/>
          <w:color w:val="auto"/>
          <w:sz w:val="21"/>
          <w:szCs w:val="21"/>
          <w:highlight w:val="none"/>
          <w:lang w:val="en-US" w:eastAsia="zh-CN" w:bidi="ar-SA"/>
        </w:rPr>
        <w:t>收准</w:t>
      </w:r>
      <w:r>
        <w:rPr>
          <w:rFonts w:hint="eastAsia" w:ascii="宋体" w:hAnsi="宋体" w:eastAsia="宋体" w:cs="微软雅黑"/>
          <w:b/>
          <w:bCs/>
          <w:color w:val="auto"/>
          <w:sz w:val="21"/>
          <w:szCs w:val="21"/>
          <w:highlight w:val="none"/>
          <w:lang w:val="en-US" w:eastAsia="zh-CN" w:bidi="ar-SA"/>
        </w:rPr>
        <w:t>备</w:t>
      </w:r>
    </w:p>
    <w:p w14:paraId="5502C89C">
      <w:pPr>
        <w:widowControl w:val="0"/>
        <w:spacing w:line="480" w:lineRule="exact"/>
        <w:ind w:firstLine="480"/>
        <w:jc w:val="both"/>
        <w:rPr>
          <w:rFonts w:hint="default" w:ascii="宋体" w:hAnsi="宋体" w:eastAsia="宋体" w:cs="MS Gothic"/>
          <w:b/>
          <w:bCs/>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7.1.1</w:t>
      </w:r>
      <w:r>
        <w:rPr>
          <w:rFonts w:hint="eastAsia" w:ascii="宋体" w:hAnsi="宋体" w:eastAsia="宋体" w:cs="MS Gothic"/>
          <w:color w:val="auto"/>
          <w:sz w:val="21"/>
          <w:szCs w:val="21"/>
          <w:highlight w:val="none"/>
          <w:lang w:val="en-US" w:eastAsia="zh-CN" w:bidi="ar-SA"/>
        </w:rPr>
        <w:t>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MS Gothic"/>
          <w:b/>
          <w:bCs/>
          <w:color w:val="auto"/>
          <w:sz w:val="21"/>
          <w:szCs w:val="21"/>
          <w:highlight w:val="none"/>
          <w:lang w:val="en-US" w:eastAsia="zh-CN" w:bidi="ar-SA"/>
        </w:rPr>
        <w:t>供应商在收到催告后五个工作日内拒不配合的，采购人应依照合同约定追究其责任。</w:t>
      </w:r>
    </w:p>
    <w:p w14:paraId="1BF3639A">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7.1.2供应商应当配合采购人、采购代理机构做好项目验收工作，及时提供与项目验收相关的生产、技术、服务、数量、质量、安全、合格证明及验收所必须具备的其他材料</w:t>
      </w:r>
      <w:r>
        <w:rPr>
          <w:rFonts w:hint="eastAsia" w:ascii="宋体" w:hAnsi="宋体" w:eastAsia="宋体" w:cs="MS Gothic"/>
          <w:color w:val="auto"/>
          <w:sz w:val="21"/>
          <w:szCs w:val="21"/>
          <w:highlight w:val="none"/>
          <w:lang w:val="en-US" w:eastAsia="zh-CN" w:bidi="ar-SA"/>
        </w:rPr>
        <w:t>。</w:t>
      </w:r>
    </w:p>
    <w:p w14:paraId="7C061301">
      <w:pPr>
        <w:widowControl w:val="0"/>
        <w:spacing w:line="480" w:lineRule="exact"/>
        <w:ind w:firstLine="480"/>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7.1.3采购人应及时全面准备验收，自收到验收</w:t>
      </w:r>
      <w:r>
        <w:rPr>
          <w:rFonts w:hint="eastAsia" w:ascii="宋体" w:hAnsi="宋体" w:eastAsia="宋体" w:cs="Times New Roman"/>
          <w:b/>
          <w:bCs/>
          <w:color w:val="auto"/>
          <w:sz w:val="21"/>
          <w:szCs w:val="21"/>
          <w:highlight w:val="none"/>
          <w:lang w:val="en-US" w:eastAsia="zh-CN" w:bidi="ar-SA"/>
        </w:rPr>
        <w:t>申请之日起五个工作日内</w:t>
      </w:r>
      <w:r>
        <w:rPr>
          <w:rFonts w:hint="eastAsia" w:ascii="宋体" w:hAnsi="宋体" w:eastAsia="宋体" w:cs="Times New Roman"/>
          <w:color w:val="auto"/>
          <w:sz w:val="21"/>
          <w:szCs w:val="21"/>
          <w:highlight w:val="none"/>
          <w:lang w:val="en-US" w:eastAsia="zh-CN" w:bidi="ar-SA"/>
        </w:rPr>
        <w:t>做好通水、通电、准备验收工具等必要的验收准备工作、启动项目验收、通知供应商。</w:t>
      </w:r>
    </w:p>
    <w:p w14:paraId="1BA04EED">
      <w:pPr>
        <w:widowControl w:val="0"/>
        <w:spacing w:line="480" w:lineRule="exact"/>
        <w:ind w:firstLine="482"/>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7.2</w:t>
      </w:r>
      <w:r>
        <w:rPr>
          <w:rFonts w:hint="eastAsia" w:ascii="宋体" w:hAnsi="宋体" w:eastAsia="宋体" w:cs="微软雅黑"/>
          <w:b/>
          <w:bCs/>
          <w:color w:val="auto"/>
          <w:sz w:val="21"/>
          <w:szCs w:val="21"/>
          <w:highlight w:val="none"/>
          <w:lang w:val="en-US" w:eastAsia="zh-CN" w:bidi="ar-SA"/>
        </w:rPr>
        <w:t>验</w:t>
      </w:r>
      <w:r>
        <w:rPr>
          <w:rFonts w:hint="eastAsia" w:ascii="宋体" w:hAnsi="宋体" w:eastAsia="宋体" w:cs="MS Gothic"/>
          <w:b/>
          <w:bCs/>
          <w:color w:val="auto"/>
          <w:sz w:val="21"/>
          <w:szCs w:val="21"/>
          <w:highlight w:val="none"/>
          <w:lang w:val="en-US" w:eastAsia="zh-CN" w:bidi="ar-SA"/>
        </w:rPr>
        <w:t>收小</w:t>
      </w:r>
      <w:r>
        <w:rPr>
          <w:rFonts w:hint="eastAsia" w:ascii="宋体" w:hAnsi="宋体" w:eastAsia="宋体" w:cs="微软雅黑"/>
          <w:b/>
          <w:bCs/>
          <w:color w:val="auto"/>
          <w:sz w:val="21"/>
          <w:szCs w:val="21"/>
          <w:highlight w:val="none"/>
          <w:lang w:val="en-US" w:eastAsia="zh-CN" w:bidi="ar-SA"/>
        </w:rPr>
        <w:t>组</w:t>
      </w:r>
    </w:p>
    <w:p w14:paraId="56ED3C58">
      <w:pPr>
        <w:widowControl w:val="0"/>
        <w:spacing w:line="480" w:lineRule="exact"/>
        <w:ind w:firstLine="480"/>
        <w:jc w:val="both"/>
        <w:rPr>
          <w:rFonts w:hint="default" w:ascii="宋体" w:hAnsi="宋体" w:eastAsia="宋体" w:cs="微软雅黑"/>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7.2.1采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当成立</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组，负责采购项目履约验收具体工作，验收小组一般由采购人指定的本单位</w:t>
      </w:r>
      <w:r>
        <w:rPr>
          <w:rFonts w:hint="default" w:ascii="宋体" w:hAnsi="宋体" w:eastAsia="宋体" w:cs="微软雅黑"/>
          <w:color w:val="auto"/>
          <w:sz w:val="21"/>
          <w:szCs w:val="21"/>
          <w:highlight w:val="none"/>
          <w:lang w:val="en-US" w:eastAsia="zh-CN" w:bidi="ar-SA"/>
        </w:rPr>
        <w:t>3</w:t>
      </w:r>
      <w:r>
        <w:rPr>
          <w:rFonts w:hint="eastAsia" w:ascii="宋体" w:hAnsi="宋体" w:eastAsia="宋体" w:cs="微软雅黑"/>
          <w:color w:val="auto"/>
          <w:sz w:val="21"/>
          <w:szCs w:val="21"/>
          <w:highlight w:val="none"/>
          <w:lang w:val="en-US" w:eastAsia="zh-CN" w:bidi="ar-SA"/>
        </w:rPr>
        <w:t>名（含）以上单数工作人员组成，并确定一名负责人。参与本项目评审的采购人代表不能作为负责人，分期（分段）验收的负责人原则上应当保持一致，负责人不得无故更换。</w:t>
      </w:r>
    </w:p>
    <w:p w14:paraId="6B268B8E">
      <w:pPr>
        <w:widowControl w:val="0"/>
        <w:spacing w:line="480" w:lineRule="exact"/>
        <w:ind w:firstLine="480"/>
        <w:jc w:val="both"/>
        <w:rPr>
          <w:rFonts w:hint="default" w:ascii="宋体" w:hAnsi="宋体" w:eastAsia="宋体" w:cs="微软雅黑"/>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7.2.2</w:t>
      </w:r>
      <w:r>
        <w:rPr>
          <w:rFonts w:hint="eastAsia" w:ascii="宋体" w:hAnsi="宋体" w:eastAsia="宋体" w:cs="微软雅黑"/>
          <w:color w:val="auto"/>
          <w:sz w:val="21"/>
          <w:szCs w:val="21"/>
          <w:highlight w:val="none"/>
          <w:lang w:val="en-US" w:eastAsia="zh-CN" w:bidi="ar-SA"/>
        </w:rPr>
        <w:t>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4413199">
      <w:pPr>
        <w:widowControl w:val="0"/>
        <w:spacing w:line="480" w:lineRule="exact"/>
        <w:ind w:firstLine="482"/>
        <w:jc w:val="both"/>
        <w:rPr>
          <w:rFonts w:hint="default" w:ascii="宋体" w:hAnsi="宋体" w:eastAsia="宋体" w:cs="微软雅黑"/>
          <w:b/>
          <w:bCs/>
          <w:color w:val="auto"/>
          <w:sz w:val="21"/>
          <w:szCs w:val="21"/>
          <w:highlight w:val="none"/>
          <w:lang w:val="en-US" w:eastAsia="zh-CN" w:bidi="ar-SA"/>
        </w:rPr>
      </w:pPr>
      <w:r>
        <w:rPr>
          <w:rFonts w:hint="eastAsia" w:ascii="宋体" w:hAnsi="宋体" w:eastAsia="宋体" w:cs="微软雅黑"/>
          <w:b/>
          <w:bCs/>
          <w:color w:val="auto"/>
          <w:sz w:val="21"/>
          <w:szCs w:val="21"/>
          <w:highlight w:val="none"/>
          <w:lang w:val="en-US" w:eastAsia="zh-CN" w:bidi="ar-SA"/>
        </w:rPr>
        <w:t>7.3参与验收人员</w:t>
      </w:r>
    </w:p>
    <w:p w14:paraId="182F728D">
      <w:pPr>
        <w:widowControl w:val="0"/>
        <w:spacing w:line="480" w:lineRule="exact"/>
        <w:ind w:firstLine="480"/>
        <w:jc w:val="both"/>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7.3.1技术复杂或专业性强的政府采购项目，可以邀请有资质的第三方专业机构参加验收并出具专业意见。</w:t>
      </w:r>
    </w:p>
    <w:p w14:paraId="0A2D7ABD">
      <w:pPr>
        <w:widowControl w:val="0"/>
        <w:spacing w:line="480" w:lineRule="exact"/>
        <w:ind w:firstLine="480"/>
        <w:jc w:val="both"/>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7.3.2对于采购人和使用人分离的采购项目，采购人或其委托的采购代理机构应当邀请实际使用人参与验收</w:t>
      </w:r>
    </w:p>
    <w:p w14:paraId="69B25A9B">
      <w:pPr>
        <w:widowControl w:val="0"/>
        <w:spacing w:line="480" w:lineRule="exact"/>
        <w:ind w:firstLine="480"/>
        <w:jc w:val="both"/>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7.3.3政府向社会公众提供的公共服务项目，验收时应当邀请服务对象进行公共服务项目满意度评价，评价结果作为履约验收的参考依据。</w:t>
      </w:r>
    </w:p>
    <w:p w14:paraId="45DD3A40">
      <w:pPr>
        <w:widowControl w:val="0"/>
        <w:spacing w:line="480" w:lineRule="exact"/>
        <w:ind w:firstLine="482"/>
        <w:jc w:val="both"/>
        <w:rPr>
          <w:rFonts w:hint="default" w:ascii="宋体" w:hAnsi="宋体" w:eastAsia="宋体" w:cs="微软雅黑"/>
          <w:b/>
          <w:bCs/>
          <w:color w:val="auto"/>
          <w:sz w:val="21"/>
          <w:szCs w:val="21"/>
          <w:highlight w:val="none"/>
          <w:lang w:val="en-US" w:eastAsia="zh-CN" w:bidi="ar-SA"/>
        </w:rPr>
      </w:pPr>
      <w:r>
        <w:rPr>
          <w:rFonts w:hint="eastAsia" w:ascii="宋体" w:hAnsi="宋体" w:eastAsia="宋体" w:cs="微软雅黑"/>
          <w:b/>
          <w:bCs/>
          <w:color w:val="auto"/>
          <w:sz w:val="21"/>
          <w:szCs w:val="21"/>
          <w:highlight w:val="none"/>
          <w:lang w:val="en-US" w:eastAsia="zh-CN" w:bidi="ar-SA"/>
        </w:rPr>
        <w:t>7.4验收原则</w:t>
      </w:r>
    </w:p>
    <w:p w14:paraId="369EF56C">
      <w:pPr>
        <w:widowControl w:val="0"/>
        <w:spacing w:line="480" w:lineRule="exact"/>
        <w:ind w:firstLine="480"/>
        <w:jc w:val="both"/>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政府采购履约验收应当遵循全面完整、客观真实、诚实信用的原则，坚持公开透明、应验必验、验收必严、违约必究。</w:t>
      </w:r>
    </w:p>
    <w:p w14:paraId="48CFF7EB">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3045F445">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7.4.2项目验收范围应当完整，与采购合同一致，不得省略、遗漏和缺失，也不得擅自扩大范围。</w:t>
      </w:r>
    </w:p>
    <w:p w14:paraId="170397E0">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7.4.3项目验收方式应当符合项目特点，不能明确客观标准、涉及主观判断的，可以通过在采购人、使用人中开展问卷调查等方式予以客观、量化。</w:t>
      </w:r>
    </w:p>
    <w:p w14:paraId="2315D511">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7.4.4项目验收标准应包括所有客观、量化指标，符合采购合同约定，未进行相应约定的，应当符合法律法规、政策要求、国家标准、行业标准，地方标准或企业标准等有关标准。</w:t>
      </w:r>
    </w:p>
    <w:p w14:paraId="1321110C">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7.4.5项目验收意见应当客观真实。验收小组成员意见不一致时，按照少数服从多数的原则作出验收意见。</w:t>
      </w:r>
    </w:p>
    <w:p w14:paraId="46CB6B72">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7.4.6验收方法主要包括全部查验核对和抽查核对。</w:t>
      </w:r>
    </w:p>
    <w:p w14:paraId="596F5ECA">
      <w:pPr>
        <w:widowControl w:val="0"/>
        <w:spacing w:line="480" w:lineRule="exact"/>
        <w:ind w:firstLine="482"/>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7.5</w:t>
      </w:r>
      <w:r>
        <w:rPr>
          <w:rFonts w:hint="eastAsia" w:ascii="宋体" w:hAnsi="宋体" w:eastAsia="宋体" w:cs="微软雅黑"/>
          <w:b/>
          <w:bCs/>
          <w:color w:val="auto"/>
          <w:sz w:val="21"/>
          <w:szCs w:val="21"/>
          <w:highlight w:val="none"/>
          <w:lang w:val="en-US" w:eastAsia="zh-CN" w:bidi="ar-SA"/>
        </w:rPr>
        <w:t>验</w:t>
      </w:r>
      <w:r>
        <w:rPr>
          <w:rFonts w:hint="eastAsia" w:ascii="宋体" w:hAnsi="宋体" w:eastAsia="宋体" w:cs="MS Gothic"/>
          <w:b/>
          <w:bCs/>
          <w:color w:val="auto"/>
          <w:sz w:val="21"/>
          <w:szCs w:val="21"/>
          <w:highlight w:val="none"/>
          <w:lang w:val="en-US" w:eastAsia="zh-CN" w:bidi="ar-SA"/>
        </w:rPr>
        <w:t>收</w:t>
      </w:r>
      <w:r>
        <w:rPr>
          <w:rFonts w:hint="eastAsia" w:ascii="宋体" w:hAnsi="宋体" w:eastAsia="宋体" w:cs="微软雅黑"/>
          <w:b/>
          <w:bCs/>
          <w:color w:val="auto"/>
          <w:sz w:val="21"/>
          <w:szCs w:val="21"/>
          <w:highlight w:val="none"/>
          <w:lang w:val="en-US" w:eastAsia="zh-CN" w:bidi="ar-SA"/>
        </w:rPr>
        <w:t>记录</w:t>
      </w:r>
    </w:p>
    <w:p w14:paraId="3056F324">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7.5.1</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组应</w:t>
      </w:r>
      <w:r>
        <w:rPr>
          <w:rFonts w:hint="eastAsia" w:ascii="宋体" w:hAnsi="宋体" w:eastAsia="宋体" w:cs="MS Gothic"/>
          <w:color w:val="auto"/>
          <w:sz w:val="21"/>
          <w:szCs w:val="21"/>
          <w:highlight w:val="none"/>
          <w:lang w:val="en-US" w:eastAsia="zh-CN" w:bidi="ar-SA"/>
        </w:rPr>
        <w:t>当要求参与</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收的供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w:t>
      </w:r>
      <w:r>
        <w:rPr>
          <w:rFonts w:hint="eastAsia" w:ascii="宋体" w:hAnsi="宋体" w:eastAsia="宋体" w:cs="微软雅黑"/>
          <w:color w:val="auto"/>
          <w:sz w:val="21"/>
          <w:szCs w:val="21"/>
          <w:highlight w:val="none"/>
          <w:lang w:val="en-US" w:eastAsia="zh-CN" w:bidi="ar-SA"/>
        </w:rPr>
        <w:t>专业</w:t>
      </w:r>
      <w:r>
        <w:rPr>
          <w:rFonts w:hint="eastAsia" w:ascii="宋体" w:hAnsi="宋体" w:eastAsia="宋体" w:cs="MS Gothic"/>
          <w:color w:val="auto"/>
          <w:sz w:val="21"/>
          <w:szCs w:val="21"/>
          <w:highlight w:val="none"/>
          <w:lang w:val="en-US" w:eastAsia="zh-CN" w:bidi="ar-SA"/>
        </w:rPr>
        <w:t>机构、</w:t>
      </w:r>
      <w:r>
        <w:rPr>
          <w:rFonts w:hint="eastAsia" w:ascii="宋体" w:hAnsi="宋体" w:eastAsia="宋体" w:cs="微软雅黑"/>
          <w:color w:val="auto"/>
          <w:sz w:val="21"/>
          <w:szCs w:val="21"/>
          <w:highlight w:val="none"/>
          <w:lang w:val="en-US" w:eastAsia="zh-CN" w:bidi="ar-SA"/>
        </w:rPr>
        <w:t>专</w:t>
      </w:r>
      <w:r>
        <w:rPr>
          <w:rFonts w:hint="eastAsia" w:ascii="宋体" w:hAnsi="宋体" w:eastAsia="宋体" w:cs="MS Gothic"/>
          <w:color w:val="auto"/>
          <w:sz w:val="21"/>
          <w:szCs w:val="21"/>
          <w:highlight w:val="none"/>
          <w:lang w:val="en-US" w:eastAsia="zh-CN" w:bidi="ar-SA"/>
        </w:rPr>
        <w:t>家和服</w:t>
      </w:r>
      <w:r>
        <w:rPr>
          <w:rFonts w:hint="eastAsia" w:ascii="宋体" w:hAnsi="宋体" w:eastAsia="宋体" w:cs="微软雅黑"/>
          <w:color w:val="auto"/>
          <w:sz w:val="21"/>
          <w:szCs w:val="21"/>
          <w:highlight w:val="none"/>
          <w:lang w:val="en-US" w:eastAsia="zh-CN" w:bidi="ar-SA"/>
        </w:rPr>
        <w:t>务对</w:t>
      </w:r>
      <w:r>
        <w:rPr>
          <w:rFonts w:hint="eastAsia" w:ascii="宋体" w:hAnsi="宋体" w:eastAsia="宋体" w:cs="MS Gothic"/>
          <w:color w:val="auto"/>
          <w:sz w:val="21"/>
          <w:szCs w:val="21"/>
          <w:highlight w:val="none"/>
          <w:lang w:val="en-US" w:eastAsia="zh-CN" w:bidi="ar-SA"/>
        </w:rPr>
        <w:t>象等出具</w:t>
      </w:r>
      <w:r>
        <w:rPr>
          <w:rFonts w:hint="eastAsia" w:ascii="宋体" w:hAnsi="宋体" w:eastAsia="宋体" w:cs="微软雅黑"/>
          <w:color w:val="auto"/>
          <w:sz w:val="21"/>
          <w:szCs w:val="21"/>
          <w:highlight w:val="none"/>
          <w:lang w:val="en-US" w:eastAsia="zh-CN" w:bidi="ar-SA"/>
        </w:rPr>
        <w:t>书</w:t>
      </w:r>
      <w:r>
        <w:rPr>
          <w:rFonts w:hint="eastAsia" w:ascii="宋体" w:hAnsi="宋体" w:eastAsia="宋体" w:cs="MS Gothic"/>
          <w:color w:val="auto"/>
          <w:sz w:val="21"/>
          <w:szCs w:val="21"/>
          <w:highlight w:val="none"/>
          <w:lang w:val="en-US" w:eastAsia="zh-CN" w:bidi="ar-SA"/>
        </w:rPr>
        <w:t>面意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，作</w:t>
      </w:r>
      <w:r>
        <w:rPr>
          <w:rFonts w:hint="eastAsia" w:ascii="宋体" w:hAnsi="宋体" w:eastAsia="宋体" w:cs="微软雅黑"/>
          <w:color w:val="auto"/>
          <w:sz w:val="21"/>
          <w:szCs w:val="21"/>
          <w:highlight w:val="none"/>
          <w:lang w:val="en-US" w:eastAsia="zh-CN" w:bidi="ar-SA"/>
        </w:rPr>
        <w:t>为验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书</w:t>
      </w:r>
      <w:r>
        <w:rPr>
          <w:rFonts w:hint="eastAsia" w:ascii="宋体" w:hAnsi="宋体" w:eastAsia="宋体" w:cs="MS Gothic"/>
          <w:color w:val="auto"/>
          <w:sz w:val="21"/>
          <w:szCs w:val="21"/>
          <w:highlight w:val="none"/>
          <w:lang w:val="en-US" w:eastAsia="zh-CN" w:bidi="ar-SA"/>
        </w:rPr>
        <w:t>的重要</w:t>
      </w:r>
      <w:r>
        <w:rPr>
          <w:rFonts w:hint="eastAsia" w:ascii="宋体" w:hAnsi="宋体" w:eastAsia="宋体" w:cs="微软雅黑"/>
          <w:color w:val="auto"/>
          <w:sz w:val="21"/>
          <w:szCs w:val="21"/>
          <w:highlight w:val="none"/>
          <w:lang w:val="en-US" w:eastAsia="zh-CN" w:bidi="ar-SA"/>
        </w:rPr>
        <w:t>组</w:t>
      </w:r>
      <w:r>
        <w:rPr>
          <w:rFonts w:hint="eastAsia" w:ascii="宋体" w:hAnsi="宋体" w:eastAsia="宋体" w:cs="MS Gothic"/>
          <w:color w:val="auto"/>
          <w:sz w:val="21"/>
          <w:szCs w:val="21"/>
          <w:highlight w:val="none"/>
          <w:lang w:val="en-US" w:eastAsia="zh-CN" w:bidi="ar-SA"/>
        </w:rPr>
        <w:t>成部分。</w:t>
      </w:r>
    </w:p>
    <w:p w14:paraId="5F5BACA0">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7.5.2</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组应</w:t>
      </w:r>
      <w:r>
        <w:rPr>
          <w:rFonts w:hint="eastAsia" w:ascii="宋体" w:hAnsi="宋体" w:eastAsia="宋体" w:cs="MS Gothic"/>
          <w:color w:val="auto"/>
          <w:sz w:val="21"/>
          <w:szCs w:val="21"/>
          <w:highlight w:val="none"/>
          <w:lang w:val="en-US" w:eastAsia="zh-CN" w:bidi="ar-SA"/>
        </w:rPr>
        <w:t>当</w:t>
      </w:r>
      <w:r>
        <w:rPr>
          <w:rFonts w:hint="eastAsia" w:ascii="宋体" w:hAnsi="宋体" w:eastAsia="宋体" w:cs="微软雅黑"/>
          <w:color w:val="auto"/>
          <w:sz w:val="21"/>
          <w:szCs w:val="21"/>
          <w:highlight w:val="none"/>
          <w:lang w:val="en-US" w:eastAsia="zh-CN" w:bidi="ar-SA"/>
        </w:rPr>
        <w:t>认</w:t>
      </w:r>
      <w:r>
        <w:rPr>
          <w:rFonts w:hint="eastAsia" w:ascii="宋体" w:hAnsi="宋体" w:eastAsia="宋体" w:cs="MS Gothic"/>
          <w:color w:val="auto"/>
          <w:sz w:val="21"/>
          <w:szCs w:val="21"/>
          <w:highlight w:val="none"/>
          <w:lang w:val="en-US" w:eastAsia="zh-CN" w:bidi="ar-SA"/>
        </w:rPr>
        <w:t>真履行</w:t>
      </w:r>
      <w:r>
        <w:rPr>
          <w:rFonts w:hint="eastAsia" w:ascii="宋体" w:hAnsi="宋体" w:eastAsia="宋体" w:cs="微软雅黑"/>
          <w:color w:val="auto"/>
          <w:sz w:val="21"/>
          <w:szCs w:val="21"/>
          <w:highlight w:val="none"/>
          <w:lang w:val="en-US" w:eastAsia="zh-CN" w:bidi="ar-SA"/>
        </w:rPr>
        <w:t>项</w:t>
      </w:r>
      <w:r>
        <w:rPr>
          <w:rFonts w:hint="eastAsia" w:ascii="宋体" w:hAnsi="宋体" w:eastAsia="宋体" w:cs="MS Gothic"/>
          <w:color w:val="auto"/>
          <w:sz w:val="21"/>
          <w:szCs w:val="21"/>
          <w:highlight w:val="none"/>
          <w:lang w:val="en-US" w:eastAsia="zh-CN" w:bidi="ar-SA"/>
        </w:rPr>
        <w:t>目</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职责</w:t>
      </w:r>
      <w:r>
        <w:rPr>
          <w:rFonts w:hint="eastAsia" w:ascii="宋体" w:hAnsi="宋体" w:eastAsia="宋体" w:cs="MS Gothic"/>
          <w:color w:val="auto"/>
          <w:sz w:val="21"/>
          <w:szCs w:val="21"/>
          <w:highlight w:val="none"/>
          <w:lang w:val="en-US" w:eastAsia="zh-CN" w:bidi="ar-SA"/>
        </w:rPr>
        <w:t>，做好</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记录</w:t>
      </w:r>
      <w:r>
        <w:rPr>
          <w:rFonts w:hint="eastAsia" w:ascii="宋体" w:hAnsi="宋体" w:eastAsia="宋体" w:cs="MS Gothic"/>
          <w:color w:val="auto"/>
          <w:sz w:val="21"/>
          <w:szCs w:val="21"/>
          <w:highlight w:val="none"/>
          <w:lang w:val="en-US" w:eastAsia="zh-CN" w:bidi="ar-SA"/>
        </w:rPr>
        <w:t>，确保</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客</w:t>
      </w:r>
      <w:r>
        <w:rPr>
          <w:rFonts w:hint="eastAsia" w:ascii="宋体" w:hAnsi="宋体" w:eastAsia="宋体" w:cs="微软雅黑"/>
          <w:color w:val="auto"/>
          <w:sz w:val="21"/>
          <w:szCs w:val="21"/>
          <w:highlight w:val="none"/>
          <w:lang w:val="en-US" w:eastAsia="zh-CN" w:bidi="ar-SA"/>
        </w:rPr>
        <w:t>观</w:t>
      </w:r>
      <w:r>
        <w:rPr>
          <w:rFonts w:hint="eastAsia" w:ascii="宋体" w:hAnsi="宋体" w:eastAsia="宋体" w:cs="MS Gothic"/>
          <w:color w:val="auto"/>
          <w:sz w:val="21"/>
          <w:szCs w:val="21"/>
          <w:highlight w:val="none"/>
          <w:lang w:val="en-US" w:eastAsia="zh-CN" w:bidi="ar-SA"/>
        </w:rPr>
        <w:t>真</w:t>
      </w:r>
      <w:r>
        <w:rPr>
          <w:rFonts w:hint="eastAsia" w:ascii="宋体" w:hAnsi="宋体" w:eastAsia="宋体" w:cs="微软雅黑"/>
          <w:color w:val="auto"/>
          <w:sz w:val="21"/>
          <w:szCs w:val="21"/>
          <w:highlight w:val="none"/>
          <w:lang w:val="en-US" w:eastAsia="zh-CN" w:bidi="ar-SA"/>
        </w:rPr>
        <w:t>实</w:t>
      </w:r>
      <w:r>
        <w:rPr>
          <w:rFonts w:hint="eastAsia" w:ascii="宋体" w:hAnsi="宋体" w:eastAsia="宋体" w:cs="MS Gothic"/>
          <w:color w:val="auto"/>
          <w:sz w:val="21"/>
          <w:szCs w:val="21"/>
          <w:highlight w:val="none"/>
          <w:lang w:val="en-US" w:eastAsia="zh-CN" w:bidi="ar-SA"/>
        </w:rPr>
        <w:t>反映供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w:t>
      </w:r>
      <w:r>
        <w:rPr>
          <w:rFonts w:hint="eastAsia" w:ascii="宋体" w:hAnsi="宋体" w:eastAsia="宋体" w:cs="微软雅黑"/>
          <w:color w:val="auto"/>
          <w:sz w:val="21"/>
          <w:szCs w:val="21"/>
          <w:highlight w:val="none"/>
          <w:lang w:val="en-US" w:eastAsia="zh-CN" w:bidi="ar-SA"/>
        </w:rPr>
        <w:t>对</w:t>
      </w:r>
      <w:r>
        <w:rPr>
          <w:rFonts w:hint="eastAsia" w:ascii="宋体" w:hAnsi="宋体" w:eastAsia="宋体" w:cs="MS Gothic"/>
          <w:color w:val="auto"/>
          <w:sz w:val="21"/>
          <w:szCs w:val="21"/>
          <w:highlight w:val="none"/>
          <w:lang w:val="en-US" w:eastAsia="zh-CN" w:bidi="ar-SA"/>
        </w:rPr>
        <w:t>合同的履行情况。</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组应</w:t>
      </w:r>
      <w:r>
        <w:rPr>
          <w:rFonts w:hint="eastAsia" w:ascii="宋体" w:hAnsi="宋体" w:eastAsia="宋体" w:cs="MS Gothic"/>
          <w:color w:val="auto"/>
          <w:sz w:val="21"/>
          <w:szCs w:val="21"/>
          <w:highlight w:val="none"/>
          <w:lang w:val="en-US" w:eastAsia="zh-CN" w:bidi="ar-SA"/>
        </w:rPr>
        <w:t>当要求供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商提供能</w:t>
      </w:r>
      <w:r>
        <w:rPr>
          <w:rFonts w:hint="eastAsia" w:ascii="宋体" w:hAnsi="宋体" w:eastAsia="宋体" w:cs="微软雅黑"/>
          <w:color w:val="auto"/>
          <w:sz w:val="21"/>
          <w:szCs w:val="21"/>
          <w:highlight w:val="none"/>
          <w:lang w:val="en-US" w:eastAsia="zh-CN" w:bidi="ar-SA"/>
        </w:rPr>
        <w:t>证</w:t>
      </w:r>
      <w:r>
        <w:rPr>
          <w:rFonts w:hint="eastAsia" w:ascii="宋体" w:hAnsi="宋体" w:eastAsia="宋体" w:cs="MS Gothic"/>
          <w:color w:val="auto"/>
          <w:sz w:val="21"/>
          <w:szCs w:val="21"/>
          <w:highlight w:val="none"/>
          <w:lang w:val="en-US" w:eastAsia="zh-CN" w:bidi="ar-SA"/>
        </w:rPr>
        <w:t>明其按照合同</w:t>
      </w:r>
      <w:r>
        <w:rPr>
          <w:rFonts w:hint="eastAsia" w:ascii="宋体" w:hAnsi="宋体" w:eastAsia="宋体" w:cs="微软雅黑"/>
          <w:color w:val="auto"/>
          <w:sz w:val="21"/>
          <w:szCs w:val="21"/>
          <w:highlight w:val="none"/>
          <w:lang w:val="en-US" w:eastAsia="zh-CN" w:bidi="ar-SA"/>
        </w:rPr>
        <w:t>约</w:t>
      </w:r>
      <w:r>
        <w:rPr>
          <w:rFonts w:hint="eastAsia" w:ascii="宋体" w:hAnsi="宋体" w:eastAsia="宋体" w:cs="MS Gothic"/>
          <w:color w:val="auto"/>
          <w:sz w:val="21"/>
          <w:szCs w:val="21"/>
          <w:highlight w:val="none"/>
          <w:lang w:val="en-US" w:eastAsia="zh-CN" w:bidi="ar-SA"/>
        </w:rPr>
        <w:t>定数量或工作量清</w:t>
      </w:r>
      <w:r>
        <w:rPr>
          <w:rFonts w:hint="eastAsia" w:ascii="宋体" w:hAnsi="宋体" w:eastAsia="宋体" w:cs="微软雅黑"/>
          <w:color w:val="auto"/>
          <w:sz w:val="21"/>
          <w:szCs w:val="21"/>
          <w:highlight w:val="none"/>
          <w:lang w:val="en-US" w:eastAsia="zh-CN" w:bidi="ar-SA"/>
        </w:rPr>
        <w:t>单</w:t>
      </w:r>
      <w:r>
        <w:rPr>
          <w:rFonts w:hint="eastAsia" w:ascii="宋体" w:hAnsi="宋体" w:eastAsia="宋体" w:cs="MS Gothic"/>
          <w:color w:val="auto"/>
          <w:sz w:val="21"/>
          <w:szCs w:val="21"/>
          <w:highlight w:val="none"/>
          <w:lang w:val="en-US" w:eastAsia="zh-CN" w:bidi="ar-SA"/>
        </w:rPr>
        <w:t>履</w:t>
      </w:r>
      <w:r>
        <w:rPr>
          <w:rFonts w:hint="eastAsia" w:ascii="宋体" w:hAnsi="宋体" w:eastAsia="宋体" w:cs="微软雅黑"/>
          <w:color w:val="auto"/>
          <w:sz w:val="21"/>
          <w:szCs w:val="21"/>
          <w:highlight w:val="none"/>
          <w:lang w:val="en-US" w:eastAsia="zh-CN" w:bidi="ar-SA"/>
        </w:rPr>
        <w:t>约</w:t>
      </w:r>
      <w:r>
        <w:rPr>
          <w:rFonts w:hint="eastAsia" w:ascii="宋体" w:hAnsi="宋体" w:eastAsia="宋体" w:cs="MS Gothic"/>
          <w:color w:val="auto"/>
          <w:sz w:val="21"/>
          <w:szCs w:val="21"/>
          <w:highlight w:val="none"/>
          <w:lang w:val="en-US" w:eastAsia="zh-CN" w:bidi="ar-SA"/>
        </w:rPr>
        <w:t>的相关</w:t>
      </w:r>
      <w:r>
        <w:rPr>
          <w:rFonts w:hint="eastAsia" w:ascii="宋体" w:hAnsi="宋体" w:eastAsia="宋体" w:cs="微软雅黑"/>
          <w:color w:val="auto"/>
          <w:sz w:val="21"/>
          <w:szCs w:val="21"/>
          <w:highlight w:val="none"/>
          <w:lang w:val="en-US" w:eastAsia="zh-CN" w:bidi="ar-SA"/>
        </w:rPr>
        <w:t>记录</w:t>
      </w:r>
      <w:r>
        <w:rPr>
          <w:rFonts w:hint="eastAsia" w:ascii="宋体" w:hAnsi="宋体" w:eastAsia="宋体" w:cs="MS Gothic"/>
          <w:color w:val="auto"/>
          <w:sz w:val="21"/>
          <w:szCs w:val="21"/>
          <w:highlight w:val="none"/>
          <w:lang w:val="en-US" w:eastAsia="zh-CN" w:bidi="ar-SA"/>
        </w:rPr>
        <w:t>或者凭</w:t>
      </w:r>
      <w:r>
        <w:rPr>
          <w:rFonts w:hint="eastAsia" w:ascii="宋体" w:hAnsi="宋体" w:eastAsia="宋体" w:cs="微软雅黑"/>
          <w:color w:val="auto"/>
          <w:sz w:val="21"/>
          <w:szCs w:val="21"/>
          <w:highlight w:val="none"/>
          <w:lang w:val="en-US" w:eastAsia="zh-CN" w:bidi="ar-SA"/>
        </w:rPr>
        <w:t>证</w:t>
      </w:r>
      <w:r>
        <w:rPr>
          <w:rFonts w:hint="eastAsia" w:ascii="宋体" w:hAnsi="宋体" w:eastAsia="宋体" w:cs="MS Gothic"/>
          <w:color w:val="auto"/>
          <w:sz w:val="21"/>
          <w:szCs w:val="21"/>
          <w:highlight w:val="none"/>
          <w:lang w:val="en-US" w:eastAsia="zh-CN" w:bidi="ar-SA"/>
        </w:rPr>
        <w:t>，根据履</w:t>
      </w:r>
      <w:r>
        <w:rPr>
          <w:rFonts w:hint="eastAsia" w:ascii="宋体" w:hAnsi="宋体" w:eastAsia="宋体" w:cs="微软雅黑"/>
          <w:color w:val="auto"/>
          <w:sz w:val="21"/>
          <w:szCs w:val="21"/>
          <w:highlight w:val="none"/>
          <w:lang w:val="en-US" w:eastAsia="zh-CN" w:bidi="ar-SA"/>
        </w:rPr>
        <w:t>约验</w:t>
      </w:r>
      <w:r>
        <w:rPr>
          <w:rFonts w:hint="eastAsia" w:ascii="宋体" w:hAnsi="宋体" w:eastAsia="宋体" w:cs="MS Gothic"/>
          <w:color w:val="auto"/>
          <w:sz w:val="21"/>
          <w:szCs w:val="21"/>
          <w:highlight w:val="none"/>
          <w:lang w:val="en-US" w:eastAsia="zh-CN" w:bidi="ar-SA"/>
        </w:rPr>
        <w:t>收方案，</w:t>
      </w:r>
      <w:r>
        <w:rPr>
          <w:rFonts w:hint="eastAsia" w:ascii="宋体" w:hAnsi="宋体" w:eastAsia="宋体" w:cs="微软雅黑"/>
          <w:color w:val="auto"/>
          <w:sz w:val="21"/>
          <w:szCs w:val="21"/>
          <w:highlight w:val="none"/>
          <w:lang w:val="en-US" w:eastAsia="zh-CN" w:bidi="ar-SA"/>
        </w:rPr>
        <w:t>对</w:t>
      </w:r>
      <w:r>
        <w:rPr>
          <w:rFonts w:hint="eastAsia" w:ascii="宋体" w:hAnsi="宋体" w:eastAsia="宋体" w:cs="MS Gothic"/>
          <w:color w:val="auto"/>
          <w:sz w:val="21"/>
          <w:szCs w:val="21"/>
          <w:highlight w:val="none"/>
          <w:lang w:val="en-US" w:eastAsia="zh-CN" w:bidi="ar-SA"/>
        </w:rPr>
        <w:t>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商提供的</w:t>
      </w:r>
      <w:r>
        <w:rPr>
          <w:rFonts w:hint="eastAsia" w:ascii="宋体" w:hAnsi="宋体" w:eastAsia="宋体" w:cs="微软雅黑"/>
          <w:color w:val="auto"/>
          <w:sz w:val="21"/>
          <w:szCs w:val="21"/>
          <w:highlight w:val="none"/>
          <w:lang w:val="en-US" w:eastAsia="zh-CN" w:bidi="ar-SA"/>
        </w:rPr>
        <w:t>货</w:t>
      </w:r>
      <w:r>
        <w:rPr>
          <w:rFonts w:hint="eastAsia" w:ascii="宋体" w:hAnsi="宋体" w:eastAsia="宋体" w:cs="MS Gothic"/>
          <w:color w:val="auto"/>
          <w:sz w:val="21"/>
          <w:szCs w:val="21"/>
          <w:highlight w:val="none"/>
          <w:lang w:val="en-US" w:eastAsia="zh-CN" w:bidi="ar-SA"/>
        </w:rPr>
        <w:t>物或者服</w:t>
      </w:r>
      <w:r>
        <w:rPr>
          <w:rFonts w:hint="eastAsia" w:ascii="宋体" w:hAnsi="宋体" w:eastAsia="宋体" w:cs="微软雅黑"/>
          <w:color w:val="auto"/>
          <w:sz w:val="21"/>
          <w:szCs w:val="21"/>
          <w:highlight w:val="none"/>
          <w:lang w:val="en-US" w:eastAsia="zh-CN" w:bidi="ar-SA"/>
        </w:rPr>
        <w:t>务</w:t>
      </w:r>
      <w:r>
        <w:rPr>
          <w:rFonts w:hint="eastAsia" w:ascii="宋体" w:hAnsi="宋体" w:eastAsia="宋体" w:cs="MS Gothic"/>
          <w:color w:val="auto"/>
          <w:sz w:val="21"/>
          <w:szCs w:val="21"/>
          <w:highlight w:val="none"/>
          <w:lang w:val="en-US" w:eastAsia="zh-CN" w:bidi="ar-SA"/>
        </w:rPr>
        <w:t>按照采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文件、投</w:t>
      </w:r>
      <w:r>
        <w:rPr>
          <w:rFonts w:hint="eastAsia" w:ascii="宋体" w:hAnsi="宋体" w:eastAsia="宋体" w:cs="微软雅黑"/>
          <w:color w:val="auto"/>
          <w:sz w:val="21"/>
          <w:szCs w:val="21"/>
          <w:highlight w:val="none"/>
          <w:lang w:val="en-US" w:eastAsia="zh-CN" w:bidi="ar-SA"/>
        </w:rPr>
        <w:t>标</w:t>
      </w:r>
      <w:r>
        <w:rPr>
          <w:rFonts w:hint="eastAsia" w:ascii="宋体" w:hAnsi="宋体" w:eastAsia="宋体" w:cs="MS Gothic"/>
          <w:color w:val="auto"/>
          <w:sz w:val="21"/>
          <w:szCs w:val="21"/>
          <w:highlight w:val="none"/>
          <w:lang w:val="en-US" w:eastAsia="zh-CN" w:bidi="ar-SA"/>
        </w:rPr>
        <w:t>（响</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）文件、政府采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合同等逐一</w:t>
      </w:r>
      <w:r>
        <w:rPr>
          <w:rFonts w:hint="eastAsia" w:ascii="宋体" w:hAnsi="宋体" w:eastAsia="宋体" w:cs="微软雅黑"/>
          <w:color w:val="auto"/>
          <w:sz w:val="21"/>
          <w:szCs w:val="21"/>
          <w:highlight w:val="none"/>
          <w:lang w:val="en-US" w:eastAsia="zh-CN" w:bidi="ar-SA"/>
        </w:rPr>
        <w:t>进</w:t>
      </w:r>
      <w:r>
        <w:rPr>
          <w:rFonts w:hint="eastAsia" w:ascii="宋体" w:hAnsi="宋体" w:eastAsia="宋体" w:cs="MS Gothic"/>
          <w:color w:val="auto"/>
          <w:sz w:val="21"/>
          <w:szCs w:val="21"/>
          <w:highlight w:val="none"/>
          <w:lang w:val="en-US" w:eastAsia="zh-CN" w:bidi="ar-SA"/>
        </w:rPr>
        <w:t>行</w:t>
      </w:r>
      <w:r>
        <w:rPr>
          <w:rFonts w:hint="eastAsia" w:ascii="宋体" w:hAnsi="宋体" w:eastAsia="宋体" w:cs="微软雅黑"/>
          <w:color w:val="auto"/>
          <w:sz w:val="21"/>
          <w:szCs w:val="21"/>
          <w:highlight w:val="none"/>
          <w:lang w:val="en-US" w:eastAsia="zh-CN" w:bidi="ar-SA"/>
        </w:rPr>
        <w:t>检验</w:t>
      </w:r>
      <w:r>
        <w:rPr>
          <w:rFonts w:hint="eastAsia" w:ascii="宋体" w:hAnsi="宋体" w:eastAsia="宋体" w:cs="MS Gothic"/>
          <w:color w:val="auto"/>
          <w:sz w:val="21"/>
          <w:szCs w:val="21"/>
          <w:highlight w:val="none"/>
          <w:lang w:val="en-US" w:eastAsia="zh-CN" w:bidi="ar-SA"/>
        </w:rPr>
        <w:t>、核</w:t>
      </w:r>
      <w:r>
        <w:rPr>
          <w:rFonts w:hint="eastAsia" w:ascii="宋体" w:hAnsi="宋体" w:eastAsia="宋体" w:cs="微软雅黑"/>
          <w:color w:val="auto"/>
          <w:sz w:val="21"/>
          <w:szCs w:val="21"/>
          <w:highlight w:val="none"/>
          <w:lang w:val="en-US" w:eastAsia="zh-CN" w:bidi="ar-SA"/>
        </w:rPr>
        <w:t>实</w:t>
      </w:r>
      <w:r>
        <w:rPr>
          <w:rFonts w:hint="eastAsia" w:ascii="宋体" w:hAnsi="宋体" w:eastAsia="宋体" w:cs="MS Gothic"/>
          <w:color w:val="auto"/>
          <w:sz w:val="21"/>
          <w:szCs w:val="21"/>
          <w:highlight w:val="none"/>
          <w:lang w:val="en-US" w:eastAsia="zh-CN" w:bidi="ar-SA"/>
        </w:rPr>
        <w:t>、</w:t>
      </w:r>
      <w:r>
        <w:rPr>
          <w:rFonts w:hint="eastAsia" w:ascii="宋体" w:hAnsi="宋体" w:eastAsia="宋体" w:cs="微软雅黑"/>
          <w:color w:val="auto"/>
          <w:sz w:val="21"/>
          <w:szCs w:val="21"/>
          <w:highlight w:val="none"/>
          <w:lang w:val="en-US" w:eastAsia="zh-CN" w:bidi="ar-SA"/>
        </w:rPr>
        <w:t>评</w:t>
      </w:r>
      <w:r>
        <w:rPr>
          <w:rFonts w:hint="eastAsia" w:ascii="宋体" w:hAnsi="宋体" w:eastAsia="宋体" w:cs="MS Gothic"/>
          <w:color w:val="auto"/>
          <w:sz w:val="21"/>
          <w:szCs w:val="21"/>
          <w:highlight w:val="none"/>
          <w:lang w:val="en-US" w:eastAsia="zh-CN" w:bidi="ar-SA"/>
        </w:rPr>
        <w:t>估等工作，使用音</w:t>
      </w:r>
      <w:r>
        <w:rPr>
          <w:rFonts w:hint="eastAsia" w:ascii="宋体" w:hAnsi="宋体" w:eastAsia="宋体" w:cs="微软雅黑"/>
          <w:color w:val="auto"/>
          <w:sz w:val="21"/>
          <w:szCs w:val="21"/>
          <w:highlight w:val="none"/>
          <w:lang w:val="en-US" w:eastAsia="zh-CN" w:bidi="ar-SA"/>
        </w:rPr>
        <w:t>视频</w:t>
      </w:r>
      <w:r>
        <w:rPr>
          <w:rFonts w:hint="eastAsia" w:ascii="宋体" w:hAnsi="宋体" w:eastAsia="宋体" w:cs="MS Gothic"/>
          <w:color w:val="auto"/>
          <w:sz w:val="21"/>
          <w:szCs w:val="21"/>
          <w:highlight w:val="none"/>
          <w:lang w:val="en-US" w:eastAsia="zh-CN" w:bidi="ar-SA"/>
        </w:rPr>
        <w:t>、</w:t>
      </w:r>
      <w:r>
        <w:rPr>
          <w:rFonts w:hint="eastAsia" w:ascii="宋体" w:hAnsi="宋体" w:eastAsia="宋体" w:cs="微软雅黑"/>
          <w:color w:val="auto"/>
          <w:sz w:val="21"/>
          <w:szCs w:val="21"/>
          <w:highlight w:val="none"/>
          <w:lang w:val="en-US" w:eastAsia="zh-CN" w:bidi="ar-SA"/>
        </w:rPr>
        <w:t>对现场</w:t>
      </w:r>
      <w:r>
        <w:rPr>
          <w:rFonts w:hint="eastAsia" w:ascii="宋体" w:hAnsi="宋体" w:eastAsia="宋体" w:cs="MS Gothic"/>
          <w:color w:val="auto"/>
          <w:sz w:val="21"/>
          <w:szCs w:val="21"/>
          <w:highlight w:val="none"/>
          <w:lang w:val="en-US" w:eastAsia="zh-CN" w:bidi="ar-SA"/>
        </w:rPr>
        <w:t>情况描述且</w:t>
      </w:r>
      <w:r>
        <w:rPr>
          <w:rFonts w:hint="eastAsia" w:ascii="宋体" w:hAnsi="宋体" w:eastAsia="宋体" w:cs="微软雅黑"/>
          <w:color w:val="auto"/>
          <w:sz w:val="21"/>
          <w:szCs w:val="21"/>
          <w:highlight w:val="none"/>
          <w:lang w:val="en-US" w:eastAsia="zh-CN" w:bidi="ar-SA"/>
        </w:rPr>
        <w:t>签</w:t>
      </w:r>
      <w:r>
        <w:rPr>
          <w:rFonts w:hint="eastAsia" w:ascii="宋体" w:hAnsi="宋体" w:eastAsia="宋体" w:cs="MS Gothic"/>
          <w:color w:val="auto"/>
          <w:sz w:val="21"/>
          <w:szCs w:val="21"/>
          <w:highlight w:val="none"/>
          <w:lang w:val="en-US" w:eastAsia="zh-CN" w:bidi="ar-SA"/>
        </w:rPr>
        <w:t>字等方式留存</w:t>
      </w:r>
      <w:r>
        <w:rPr>
          <w:rFonts w:hint="eastAsia" w:ascii="宋体" w:hAnsi="宋体" w:eastAsia="宋体" w:cs="微软雅黑"/>
          <w:color w:val="auto"/>
          <w:sz w:val="21"/>
          <w:szCs w:val="21"/>
          <w:highlight w:val="none"/>
          <w:lang w:val="en-US" w:eastAsia="zh-CN" w:bidi="ar-SA"/>
        </w:rPr>
        <w:t>证</w:t>
      </w:r>
      <w:r>
        <w:rPr>
          <w:rFonts w:hint="eastAsia" w:ascii="宋体" w:hAnsi="宋体" w:eastAsia="宋体" w:cs="MS Gothic"/>
          <w:color w:val="auto"/>
          <w:sz w:val="21"/>
          <w:szCs w:val="21"/>
          <w:highlight w:val="none"/>
          <w:lang w:val="en-US" w:eastAsia="zh-CN" w:bidi="ar-SA"/>
        </w:rPr>
        <w:t>明材料，由供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商确</w:t>
      </w:r>
      <w:r>
        <w:rPr>
          <w:rFonts w:hint="eastAsia" w:ascii="宋体" w:hAnsi="宋体" w:eastAsia="宋体" w:cs="微软雅黑"/>
          <w:color w:val="auto"/>
          <w:sz w:val="21"/>
          <w:szCs w:val="21"/>
          <w:highlight w:val="none"/>
          <w:lang w:val="en-US" w:eastAsia="zh-CN" w:bidi="ar-SA"/>
        </w:rPr>
        <w:t>认</w:t>
      </w:r>
      <w:r>
        <w:rPr>
          <w:rFonts w:hint="eastAsia" w:ascii="宋体" w:hAnsi="宋体" w:eastAsia="宋体" w:cs="MS Gothic"/>
          <w:color w:val="auto"/>
          <w:sz w:val="21"/>
          <w:szCs w:val="21"/>
          <w:highlight w:val="none"/>
          <w:lang w:val="en-US" w:eastAsia="zh-CN" w:bidi="ar-SA"/>
        </w:rPr>
        <w:t>，作</w:t>
      </w:r>
      <w:r>
        <w:rPr>
          <w:rFonts w:hint="eastAsia" w:ascii="宋体" w:hAnsi="宋体" w:eastAsia="宋体" w:cs="微软雅黑"/>
          <w:color w:val="auto"/>
          <w:sz w:val="21"/>
          <w:szCs w:val="21"/>
          <w:highlight w:val="none"/>
          <w:lang w:val="en-US" w:eastAsia="zh-CN" w:bidi="ar-SA"/>
        </w:rPr>
        <w:t>为</w:t>
      </w:r>
      <w:r>
        <w:rPr>
          <w:rFonts w:hint="eastAsia" w:ascii="宋体" w:hAnsi="宋体" w:eastAsia="宋体" w:cs="MS Gothic"/>
          <w:color w:val="auto"/>
          <w:sz w:val="21"/>
          <w:szCs w:val="21"/>
          <w:highlight w:val="none"/>
          <w:lang w:val="en-US" w:eastAsia="zh-CN" w:bidi="ar-SA"/>
        </w:rPr>
        <w:t>履</w:t>
      </w:r>
      <w:r>
        <w:rPr>
          <w:rFonts w:hint="eastAsia" w:ascii="宋体" w:hAnsi="宋体" w:eastAsia="宋体" w:cs="微软雅黑"/>
          <w:color w:val="auto"/>
          <w:sz w:val="21"/>
          <w:szCs w:val="21"/>
          <w:highlight w:val="none"/>
          <w:lang w:val="en-US" w:eastAsia="zh-CN" w:bidi="ar-SA"/>
        </w:rPr>
        <w:t>约验</w:t>
      </w:r>
      <w:r>
        <w:rPr>
          <w:rFonts w:hint="eastAsia" w:ascii="宋体" w:hAnsi="宋体" w:eastAsia="宋体" w:cs="MS Gothic"/>
          <w:color w:val="auto"/>
          <w:sz w:val="21"/>
          <w:szCs w:val="21"/>
          <w:highlight w:val="none"/>
          <w:lang w:val="en-US" w:eastAsia="zh-CN" w:bidi="ar-SA"/>
        </w:rPr>
        <w:t>收的重要凭据。</w:t>
      </w:r>
    </w:p>
    <w:p w14:paraId="5B847EAA">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7.5.3</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结</w:t>
      </w:r>
      <w:r>
        <w:rPr>
          <w:rFonts w:hint="eastAsia" w:ascii="宋体" w:hAnsi="宋体" w:eastAsia="宋体" w:cs="MS Gothic"/>
          <w:color w:val="auto"/>
          <w:sz w:val="21"/>
          <w:szCs w:val="21"/>
          <w:highlight w:val="none"/>
          <w:lang w:val="en-US" w:eastAsia="zh-CN" w:bidi="ar-SA"/>
        </w:rPr>
        <w:t>束后，</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组应</w:t>
      </w:r>
      <w:r>
        <w:rPr>
          <w:rFonts w:hint="eastAsia" w:ascii="宋体" w:hAnsi="宋体" w:eastAsia="宋体" w:cs="MS Gothic"/>
          <w:color w:val="auto"/>
          <w:sz w:val="21"/>
          <w:szCs w:val="21"/>
          <w:highlight w:val="none"/>
          <w:lang w:val="en-US" w:eastAsia="zh-CN" w:bidi="ar-SA"/>
        </w:rPr>
        <w:t>在</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书</w:t>
      </w:r>
      <w:r>
        <w:rPr>
          <w:rFonts w:hint="eastAsia" w:ascii="宋体" w:hAnsi="宋体" w:eastAsia="宋体" w:cs="MS Gothic"/>
          <w:color w:val="auto"/>
          <w:sz w:val="21"/>
          <w:szCs w:val="21"/>
          <w:highlight w:val="none"/>
          <w:lang w:val="en-US" w:eastAsia="zh-CN" w:bidi="ar-SA"/>
        </w:rPr>
        <w:t>中作出最</w:t>
      </w:r>
      <w:r>
        <w:rPr>
          <w:rFonts w:hint="eastAsia" w:ascii="宋体" w:hAnsi="宋体" w:eastAsia="宋体" w:cs="微软雅黑"/>
          <w:color w:val="auto"/>
          <w:sz w:val="21"/>
          <w:szCs w:val="21"/>
          <w:highlight w:val="none"/>
          <w:lang w:val="en-US" w:eastAsia="zh-CN" w:bidi="ar-SA"/>
        </w:rPr>
        <w:t>终验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w:t>
      </w:r>
      <w:r>
        <w:rPr>
          <w:rFonts w:hint="eastAsia" w:ascii="宋体" w:hAnsi="宋体" w:eastAsia="宋体" w:cs="MS Gothic"/>
          <w:color w:val="auto"/>
          <w:sz w:val="21"/>
          <w:szCs w:val="21"/>
          <w:highlight w:val="none"/>
          <w:lang w:val="en-US" w:eastAsia="zh-CN" w:bidi="ar-SA"/>
        </w:rPr>
        <w:t>成</w:t>
      </w:r>
      <w:r>
        <w:rPr>
          <w:rFonts w:hint="eastAsia" w:ascii="宋体" w:hAnsi="宋体" w:eastAsia="宋体" w:cs="微软雅黑"/>
          <w:color w:val="auto"/>
          <w:sz w:val="21"/>
          <w:szCs w:val="21"/>
          <w:highlight w:val="none"/>
          <w:lang w:val="en-US" w:eastAsia="zh-CN" w:bidi="ar-SA"/>
        </w:rPr>
        <w:t>员对验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有异</w:t>
      </w:r>
      <w:r>
        <w:rPr>
          <w:rFonts w:hint="eastAsia" w:ascii="宋体" w:hAnsi="宋体" w:eastAsia="宋体" w:cs="微软雅黑"/>
          <w:color w:val="auto"/>
          <w:sz w:val="21"/>
          <w:szCs w:val="21"/>
          <w:highlight w:val="none"/>
          <w:lang w:val="en-US" w:eastAsia="zh-CN" w:bidi="ar-SA"/>
        </w:rPr>
        <w:t>议</w:t>
      </w:r>
      <w:r>
        <w:rPr>
          <w:rFonts w:hint="eastAsia" w:ascii="宋体" w:hAnsi="宋体" w:eastAsia="宋体" w:cs="MS Gothic"/>
          <w:color w:val="auto"/>
          <w:sz w:val="21"/>
          <w:szCs w:val="21"/>
          <w:highlight w:val="none"/>
          <w:lang w:val="en-US" w:eastAsia="zh-CN" w:bidi="ar-SA"/>
        </w:rPr>
        <w:t>的，</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当在</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见栏签</w:t>
      </w:r>
      <w:r>
        <w:rPr>
          <w:rFonts w:hint="eastAsia" w:ascii="宋体" w:hAnsi="宋体" w:eastAsia="宋体" w:cs="MS Gothic"/>
          <w:color w:val="auto"/>
          <w:sz w:val="21"/>
          <w:szCs w:val="21"/>
          <w:highlight w:val="none"/>
          <w:lang w:val="en-US" w:eastAsia="zh-CN" w:bidi="ar-SA"/>
        </w:rPr>
        <w:t>署不同意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并</w:t>
      </w:r>
      <w:r>
        <w:rPr>
          <w:rFonts w:hint="eastAsia" w:ascii="宋体" w:hAnsi="宋体" w:eastAsia="宋体" w:cs="微软雅黑"/>
          <w:color w:val="auto"/>
          <w:sz w:val="21"/>
          <w:szCs w:val="21"/>
          <w:highlight w:val="none"/>
          <w:lang w:val="en-US" w:eastAsia="zh-CN" w:bidi="ar-SA"/>
        </w:rPr>
        <w:t>说</w:t>
      </w:r>
      <w:r>
        <w:rPr>
          <w:rFonts w:hint="eastAsia" w:ascii="宋体" w:hAnsi="宋体" w:eastAsia="宋体" w:cs="MS Gothic"/>
          <w:color w:val="auto"/>
          <w:sz w:val="21"/>
          <w:szCs w:val="21"/>
          <w:highlight w:val="none"/>
          <w:lang w:val="en-US" w:eastAsia="zh-CN" w:bidi="ar-SA"/>
        </w:rPr>
        <w:t>明理由，否</w:t>
      </w:r>
      <w:r>
        <w:rPr>
          <w:rFonts w:hint="eastAsia" w:ascii="宋体" w:hAnsi="宋体" w:eastAsia="宋体" w:cs="微软雅黑"/>
          <w:color w:val="auto"/>
          <w:sz w:val="21"/>
          <w:szCs w:val="21"/>
          <w:highlight w:val="none"/>
          <w:lang w:val="en-US" w:eastAsia="zh-CN" w:bidi="ar-SA"/>
        </w:rPr>
        <w:t>则视为</w:t>
      </w:r>
      <w:r>
        <w:rPr>
          <w:rFonts w:hint="eastAsia" w:ascii="宋体" w:hAnsi="宋体" w:eastAsia="宋体" w:cs="MS Gothic"/>
          <w:color w:val="auto"/>
          <w:sz w:val="21"/>
          <w:szCs w:val="21"/>
          <w:highlight w:val="none"/>
          <w:lang w:val="en-US" w:eastAsia="zh-CN" w:bidi="ar-SA"/>
        </w:rPr>
        <w:t>同意</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由供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商盖章确</w:t>
      </w:r>
      <w:r>
        <w:rPr>
          <w:rFonts w:hint="eastAsia" w:ascii="宋体" w:hAnsi="宋体" w:eastAsia="宋体" w:cs="微软雅黑"/>
          <w:color w:val="auto"/>
          <w:sz w:val="21"/>
          <w:szCs w:val="21"/>
          <w:highlight w:val="none"/>
          <w:lang w:val="en-US" w:eastAsia="zh-CN" w:bidi="ar-SA"/>
        </w:rPr>
        <w:t>认</w:t>
      </w:r>
      <w:r>
        <w:rPr>
          <w:rFonts w:hint="eastAsia" w:ascii="宋体" w:hAnsi="宋体" w:eastAsia="宋体" w:cs="MS Gothic"/>
          <w:color w:val="auto"/>
          <w:sz w:val="21"/>
          <w:szCs w:val="21"/>
          <w:highlight w:val="none"/>
          <w:lang w:val="en-US" w:eastAsia="zh-CN" w:bidi="ar-SA"/>
        </w:rPr>
        <w:t>后</w:t>
      </w:r>
      <w:r>
        <w:rPr>
          <w:rFonts w:hint="eastAsia" w:ascii="宋体" w:hAnsi="宋体" w:eastAsia="宋体" w:cs="微软雅黑"/>
          <w:color w:val="auto"/>
          <w:sz w:val="21"/>
          <w:szCs w:val="21"/>
          <w:highlight w:val="none"/>
          <w:lang w:val="en-US" w:eastAsia="zh-CN" w:bidi="ar-SA"/>
        </w:rPr>
        <w:t>报</w:t>
      </w:r>
      <w:r>
        <w:rPr>
          <w:rFonts w:hint="eastAsia" w:ascii="宋体" w:hAnsi="宋体" w:eastAsia="宋体" w:cs="MS Gothic"/>
          <w:color w:val="auto"/>
          <w:sz w:val="21"/>
          <w:szCs w:val="21"/>
          <w:highlight w:val="none"/>
          <w:lang w:val="en-US" w:eastAsia="zh-CN" w:bidi="ar-SA"/>
        </w:rPr>
        <w:t>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p>
    <w:p w14:paraId="43BE03AE">
      <w:pPr>
        <w:widowControl w:val="0"/>
        <w:spacing w:line="480" w:lineRule="exact"/>
        <w:ind w:firstLine="482"/>
        <w:jc w:val="both"/>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八、</w:t>
      </w:r>
      <w:r>
        <w:rPr>
          <w:rFonts w:hint="eastAsia" w:ascii="宋体" w:hAnsi="宋体" w:eastAsia="宋体" w:cs="微软雅黑"/>
          <w:b/>
          <w:bCs/>
          <w:color w:val="auto"/>
          <w:sz w:val="21"/>
          <w:szCs w:val="21"/>
          <w:highlight w:val="none"/>
          <w:lang w:val="en-US" w:eastAsia="zh-CN" w:bidi="ar-SA"/>
        </w:rPr>
        <w:t>验</w:t>
      </w:r>
      <w:r>
        <w:rPr>
          <w:rFonts w:hint="eastAsia" w:ascii="宋体" w:hAnsi="宋体" w:eastAsia="宋体" w:cs="MS Gothic"/>
          <w:b/>
          <w:bCs/>
          <w:color w:val="auto"/>
          <w:sz w:val="21"/>
          <w:szCs w:val="21"/>
          <w:highlight w:val="none"/>
          <w:lang w:val="en-US" w:eastAsia="zh-CN" w:bidi="ar-SA"/>
        </w:rPr>
        <w:t>收</w:t>
      </w:r>
      <w:r>
        <w:rPr>
          <w:rFonts w:hint="eastAsia" w:ascii="宋体" w:hAnsi="宋体" w:eastAsia="宋体" w:cs="微软雅黑"/>
          <w:b/>
          <w:bCs/>
          <w:color w:val="auto"/>
          <w:sz w:val="21"/>
          <w:szCs w:val="21"/>
          <w:highlight w:val="none"/>
          <w:lang w:val="en-US" w:eastAsia="zh-CN" w:bidi="ar-SA"/>
        </w:rPr>
        <w:t>结</w:t>
      </w:r>
      <w:r>
        <w:rPr>
          <w:rFonts w:hint="eastAsia" w:ascii="宋体" w:hAnsi="宋体" w:eastAsia="宋体" w:cs="MS Gothic"/>
          <w:b/>
          <w:bCs/>
          <w:color w:val="auto"/>
          <w:sz w:val="21"/>
          <w:szCs w:val="21"/>
          <w:highlight w:val="none"/>
          <w:lang w:val="en-US" w:eastAsia="zh-CN" w:bidi="ar-SA"/>
        </w:rPr>
        <w:t>果</w:t>
      </w:r>
    </w:p>
    <w:p w14:paraId="08DA366D">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8.1、采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w:t>
      </w:r>
      <w:r>
        <w:rPr>
          <w:rFonts w:hint="eastAsia" w:ascii="宋体" w:hAnsi="宋体" w:eastAsia="宋体" w:cs="微软雅黑"/>
          <w:color w:val="auto"/>
          <w:sz w:val="21"/>
          <w:szCs w:val="21"/>
          <w:highlight w:val="none"/>
          <w:lang w:val="en-US" w:eastAsia="zh-CN" w:bidi="ar-SA"/>
        </w:rPr>
        <w:t>对验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w:t>
      </w:r>
      <w:r>
        <w:rPr>
          <w:rFonts w:hint="eastAsia" w:ascii="宋体" w:hAnsi="宋体" w:eastAsia="宋体" w:cs="MS Gothic"/>
          <w:color w:val="auto"/>
          <w:sz w:val="21"/>
          <w:szCs w:val="21"/>
          <w:highlight w:val="none"/>
          <w:lang w:val="en-US" w:eastAsia="zh-CN" w:bidi="ar-SA"/>
        </w:rPr>
        <w:t>的</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见进</w:t>
      </w:r>
      <w:r>
        <w:rPr>
          <w:rFonts w:hint="eastAsia" w:ascii="宋体" w:hAnsi="宋体" w:eastAsia="宋体" w:cs="MS Gothic"/>
          <w:color w:val="auto"/>
          <w:sz w:val="21"/>
          <w:szCs w:val="21"/>
          <w:highlight w:val="none"/>
          <w:lang w:val="en-US" w:eastAsia="zh-CN" w:bidi="ar-SA"/>
        </w:rPr>
        <w:t>行确</w:t>
      </w:r>
      <w:r>
        <w:rPr>
          <w:rFonts w:hint="eastAsia" w:ascii="宋体" w:hAnsi="宋体" w:eastAsia="宋体" w:cs="微软雅黑"/>
          <w:color w:val="auto"/>
          <w:sz w:val="21"/>
          <w:szCs w:val="21"/>
          <w:highlight w:val="none"/>
          <w:lang w:val="en-US" w:eastAsia="zh-CN" w:bidi="ar-SA"/>
        </w:rPr>
        <w:t>认</w:t>
      </w:r>
      <w:r>
        <w:rPr>
          <w:rFonts w:hint="eastAsia" w:ascii="宋体" w:hAnsi="宋体" w:eastAsia="宋体" w:cs="MS Gothic"/>
          <w:color w:val="auto"/>
          <w:sz w:val="21"/>
          <w:szCs w:val="21"/>
          <w:highlight w:val="none"/>
          <w:lang w:val="en-US" w:eastAsia="zh-CN" w:bidi="ar-SA"/>
        </w:rPr>
        <w:t>并盖章。确</w:t>
      </w:r>
      <w:r>
        <w:rPr>
          <w:rFonts w:hint="eastAsia" w:ascii="宋体" w:hAnsi="宋体" w:eastAsia="宋体" w:cs="微软雅黑"/>
          <w:color w:val="auto"/>
          <w:sz w:val="21"/>
          <w:szCs w:val="21"/>
          <w:highlight w:val="none"/>
          <w:lang w:val="en-US" w:eastAsia="zh-CN" w:bidi="ar-SA"/>
        </w:rPr>
        <w:t>认验</w:t>
      </w:r>
      <w:r>
        <w:rPr>
          <w:rFonts w:hint="eastAsia" w:ascii="宋体" w:hAnsi="宋体" w:eastAsia="宋体" w:cs="MS Gothic"/>
          <w:color w:val="auto"/>
          <w:sz w:val="21"/>
          <w:szCs w:val="21"/>
          <w:highlight w:val="none"/>
          <w:lang w:val="en-US" w:eastAsia="zh-CN" w:bidi="ar-SA"/>
        </w:rPr>
        <w:t>收合格的，采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人在</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书</w:t>
      </w:r>
      <w:r>
        <w:rPr>
          <w:rFonts w:hint="eastAsia" w:ascii="宋体" w:hAnsi="宋体" w:eastAsia="宋体" w:cs="MS Gothic"/>
          <w:color w:val="auto"/>
          <w:sz w:val="21"/>
          <w:szCs w:val="21"/>
          <w:highlight w:val="none"/>
          <w:lang w:val="en-US" w:eastAsia="zh-CN" w:bidi="ar-SA"/>
        </w:rPr>
        <w:t>上加盖</w:t>
      </w:r>
      <w:r>
        <w:rPr>
          <w:rFonts w:hint="eastAsia" w:ascii="宋体" w:hAnsi="宋体" w:eastAsia="宋体" w:cs="微软雅黑"/>
          <w:color w:val="auto"/>
          <w:sz w:val="21"/>
          <w:szCs w:val="21"/>
          <w:highlight w:val="none"/>
          <w:lang w:val="en-US" w:eastAsia="zh-CN" w:bidi="ar-SA"/>
        </w:rPr>
        <w:t>单</w:t>
      </w:r>
      <w:r>
        <w:rPr>
          <w:rFonts w:hint="eastAsia" w:ascii="宋体" w:hAnsi="宋体" w:eastAsia="宋体" w:cs="MS Gothic"/>
          <w:color w:val="auto"/>
          <w:sz w:val="21"/>
          <w:szCs w:val="21"/>
          <w:highlight w:val="none"/>
          <w:lang w:val="en-US" w:eastAsia="zh-CN" w:bidi="ar-SA"/>
        </w:rPr>
        <w:t>位公章；</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结</w:t>
      </w:r>
      <w:r>
        <w:rPr>
          <w:rFonts w:hint="eastAsia" w:ascii="宋体" w:hAnsi="宋体" w:eastAsia="宋体" w:cs="MS Gothic"/>
          <w:color w:val="auto"/>
          <w:sz w:val="21"/>
          <w:szCs w:val="21"/>
          <w:highlight w:val="none"/>
          <w:lang w:val="en-US" w:eastAsia="zh-CN" w:bidi="ar-SA"/>
        </w:rPr>
        <w:t>果与采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合同不一致的，采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当根据</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中</w:t>
      </w:r>
      <w:r>
        <w:rPr>
          <w:rFonts w:hint="eastAsia" w:ascii="宋体" w:hAnsi="宋体" w:eastAsia="宋体" w:cs="微软雅黑"/>
          <w:color w:val="auto"/>
          <w:sz w:val="21"/>
          <w:szCs w:val="21"/>
          <w:highlight w:val="none"/>
          <w:lang w:val="en-US" w:eastAsia="zh-CN" w:bidi="ar-SA"/>
        </w:rPr>
        <w:t>载</w:t>
      </w:r>
      <w:r>
        <w:rPr>
          <w:rFonts w:hint="eastAsia" w:ascii="宋体" w:hAnsi="宋体" w:eastAsia="宋体" w:cs="MS Gothic"/>
          <w:color w:val="auto"/>
          <w:sz w:val="21"/>
          <w:szCs w:val="21"/>
          <w:highlight w:val="none"/>
          <w:lang w:val="en-US" w:eastAsia="zh-CN" w:bidi="ar-SA"/>
        </w:rPr>
        <w:t>明的具体偏差内容和</w:t>
      </w:r>
      <w:r>
        <w:rPr>
          <w:rFonts w:hint="eastAsia" w:ascii="宋体" w:hAnsi="宋体" w:eastAsia="宋体" w:cs="微软雅黑"/>
          <w:color w:val="auto"/>
          <w:sz w:val="21"/>
          <w:szCs w:val="21"/>
          <w:highlight w:val="none"/>
          <w:lang w:val="en-US" w:eastAsia="zh-CN" w:bidi="ar-SA"/>
        </w:rPr>
        <w:t>处</w:t>
      </w:r>
      <w:r>
        <w:rPr>
          <w:rFonts w:hint="eastAsia" w:ascii="宋体" w:hAnsi="宋体" w:eastAsia="宋体" w:cs="MS Gothic"/>
          <w:color w:val="auto"/>
          <w:sz w:val="21"/>
          <w:szCs w:val="21"/>
          <w:highlight w:val="none"/>
          <w:lang w:val="en-US" w:eastAsia="zh-CN" w:bidi="ar-SA"/>
        </w:rPr>
        <w:t>置建</w:t>
      </w:r>
      <w:r>
        <w:rPr>
          <w:rFonts w:hint="eastAsia" w:ascii="宋体" w:hAnsi="宋体" w:eastAsia="宋体" w:cs="微软雅黑"/>
          <w:color w:val="auto"/>
          <w:sz w:val="21"/>
          <w:szCs w:val="21"/>
          <w:highlight w:val="none"/>
          <w:lang w:val="en-US" w:eastAsia="zh-CN" w:bidi="ar-SA"/>
        </w:rPr>
        <w:t>议</w:t>
      </w:r>
      <w:r>
        <w:rPr>
          <w:rFonts w:hint="eastAsia" w:ascii="宋体" w:hAnsi="宋体" w:eastAsia="宋体" w:cs="MS Gothic"/>
          <w:color w:val="auto"/>
          <w:sz w:val="21"/>
          <w:szCs w:val="21"/>
          <w:highlight w:val="none"/>
          <w:lang w:val="en-US" w:eastAsia="zh-CN" w:bidi="ar-SA"/>
        </w:rPr>
        <w:t>，研究确定</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结论</w:t>
      </w:r>
      <w:r>
        <w:rPr>
          <w:rFonts w:hint="eastAsia" w:ascii="宋体" w:hAnsi="宋体" w:eastAsia="宋体" w:cs="MS Gothic"/>
          <w:color w:val="auto"/>
          <w:sz w:val="21"/>
          <w:szCs w:val="21"/>
          <w:highlight w:val="none"/>
          <w:lang w:val="en-US" w:eastAsia="zh-CN" w:bidi="ar-SA"/>
        </w:rPr>
        <w:t>并加盖公章；</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w:t>
      </w:r>
      <w:r>
        <w:rPr>
          <w:rFonts w:hint="eastAsia" w:ascii="宋体" w:hAnsi="宋体" w:eastAsia="宋体" w:cs="MS Gothic"/>
          <w:color w:val="auto"/>
          <w:sz w:val="21"/>
          <w:szCs w:val="21"/>
          <w:highlight w:val="none"/>
          <w:lang w:val="en-US" w:eastAsia="zh-CN" w:bidi="ar-SA"/>
        </w:rPr>
        <w:t>成</w:t>
      </w:r>
      <w:r>
        <w:rPr>
          <w:rFonts w:hint="eastAsia" w:ascii="宋体" w:hAnsi="宋体" w:eastAsia="宋体" w:cs="微软雅黑"/>
          <w:color w:val="auto"/>
          <w:sz w:val="21"/>
          <w:szCs w:val="21"/>
          <w:highlight w:val="none"/>
          <w:lang w:val="en-US" w:eastAsia="zh-CN" w:bidi="ar-SA"/>
        </w:rPr>
        <w:t>员</w:t>
      </w:r>
      <w:r>
        <w:rPr>
          <w:rFonts w:hint="eastAsia" w:ascii="宋体" w:hAnsi="宋体" w:eastAsia="宋体" w:cs="MS Gothic"/>
          <w:color w:val="auto"/>
          <w:sz w:val="21"/>
          <w:szCs w:val="21"/>
          <w:highlight w:val="none"/>
          <w:lang w:val="en-US" w:eastAsia="zh-CN" w:bidi="ar-SA"/>
        </w:rPr>
        <w:t>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存在分歧的，采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w:t>
      </w:r>
      <w:r>
        <w:rPr>
          <w:rFonts w:hint="eastAsia" w:ascii="宋体" w:hAnsi="宋体" w:eastAsia="宋体" w:cs="微软雅黑"/>
          <w:color w:val="auto"/>
          <w:sz w:val="21"/>
          <w:szCs w:val="21"/>
          <w:highlight w:val="none"/>
          <w:lang w:val="en-US" w:eastAsia="zh-CN" w:bidi="ar-SA"/>
        </w:rPr>
        <w:t>对</w:t>
      </w:r>
      <w:r>
        <w:rPr>
          <w:rFonts w:hint="eastAsia" w:ascii="宋体" w:hAnsi="宋体" w:eastAsia="宋体" w:cs="MS Gothic"/>
          <w:color w:val="auto"/>
          <w:sz w:val="21"/>
          <w:szCs w:val="21"/>
          <w:highlight w:val="none"/>
          <w:lang w:val="en-US" w:eastAsia="zh-CN" w:bidi="ar-SA"/>
        </w:rPr>
        <w:t>异</w:t>
      </w:r>
      <w:r>
        <w:rPr>
          <w:rFonts w:hint="eastAsia" w:ascii="宋体" w:hAnsi="宋体" w:eastAsia="宋体" w:cs="微软雅黑"/>
          <w:color w:val="auto"/>
          <w:sz w:val="21"/>
          <w:szCs w:val="21"/>
          <w:highlight w:val="none"/>
          <w:lang w:val="en-US" w:eastAsia="zh-CN" w:bidi="ar-SA"/>
        </w:rPr>
        <w:t>议</w:t>
      </w:r>
      <w:r>
        <w:rPr>
          <w:rFonts w:hint="eastAsia" w:ascii="宋体" w:hAnsi="宋体" w:eastAsia="宋体" w:cs="MS Gothic"/>
          <w:color w:val="auto"/>
          <w:sz w:val="21"/>
          <w:szCs w:val="21"/>
          <w:highlight w:val="none"/>
          <w:lang w:val="en-US" w:eastAsia="zh-CN" w:bidi="ar-SA"/>
        </w:rPr>
        <w:t>事</w:t>
      </w:r>
      <w:r>
        <w:rPr>
          <w:rFonts w:hint="eastAsia" w:ascii="宋体" w:hAnsi="宋体" w:eastAsia="宋体" w:cs="微软雅黑"/>
          <w:color w:val="auto"/>
          <w:sz w:val="21"/>
          <w:szCs w:val="21"/>
          <w:highlight w:val="none"/>
          <w:lang w:val="en-US" w:eastAsia="zh-CN" w:bidi="ar-SA"/>
        </w:rPr>
        <w:t>项进</w:t>
      </w:r>
      <w:r>
        <w:rPr>
          <w:rFonts w:hint="eastAsia" w:ascii="宋体" w:hAnsi="宋体" w:eastAsia="宋体" w:cs="MS Gothic"/>
          <w:color w:val="auto"/>
          <w:sz w:val="21"/>
          <w:szCs w:val="21"/>
          <w:highlight w:val="none"/>
          <w:lang w:val="en-US" w:eastAsia="zh-CN" w:bidi="ar-SA"/>
        </w:rPr>
        <w:t>行复核，妥善</w:t>
      </w:r>
      <w:r>
        <w:rPr>
          <w:rFonts w:hint="eastAsia" w:ascii="宋体" w:hAnsi="宋体" w:eastAsia="宋体" w:cs="微软雅黑"/>
          <w:color w:val="auto"/>
          <w:sz w:val="21"/>
          <w:szCs w:val="21"/>
          <w:highlight w:val="none"/>
          <w:lang w:val="en-US" w:eastAsia="zh-CN" w:bidi="ar-SA"/>
        </w:rPr>
        <w:t>处</w:t>
      </w:r>
      <w:r>
        <w:rPr>
          <w:rFonts w:hint="eastAsia" w:ascii="宋体" w:hAnsi="宋体" w:eastAsia="宋体" w:cs="MS Gothic"/>
          <w:color w:val="auto"/>
          <w:sz w:val="21"/>
          <w:szCs w:val="21"/>
          <w:highlight w:val="none"/>
          <w:lang w:val="en-US" w:eastAsia="zh-CN" w:bidi="ar-SA"/>
        </w:rPr>
        <w:t>置。</w:t>
      </w:r>
    </w:p>
    <w:p w14:paraId="37E52163">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8.2在</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收中</w:t>
      </w:r>
      <w:r>
        <w:rPr>
          <w:rFonts w:hint="eastAsia" w:ascii="宋体" w:hAnsi="宋体" w:eastAsia="宋体" w:cs="微软雅黑"/>
          <w:color w:val="auto"/>
          <w:sz w:val="21"/>
          <w:szCs w:val="21"/>
          <w:highlight w:val="none"/>
          <w:lang w:val="en-US" w:eastAsia="zh-CN" w:bidi="ar-SA"/>
        </w:rPr>
        <w:t>发现</w:t>
      </w:r>
      <w:r>
        <w:rPr>
          <w:rFonts w:hint="eastAsia" w:ascii="宋体" w:hAnsi="宋体" w:eastAsia="宋体" w:cs="MS Gothic"/>
          <w:color w:val="auto"/>
          <w:sz w:val="21"/>
          <w:szCs w:val="21"/>
          <w:highlight w:val="none"/>
          <w:lang w:val="en-US" w:eastAsia="zh-CN" w:bidi="ar-SA"/>
        </w:rPr>
        <w:t>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商未按照合同履</w:t>
      </w:r>
      <w:r>
        <w:rPr>
          <w:rFonts w:hint="eastAsia" w:ascii="宋体" w:hAnsi="宋体" w:eastAsia="宋体" w:cs="微软雅黑"/>
          <w:color w:val="auto"/>
          <w:sz w:val="21"/>
          <w:szCs w:val="21"/>
          <w:highlight w:val="none"/>
          <w:lang w:val="en-US" w:eastAsia="zh-CN" w:bidi="ar-SA"/>
        </w:rPr>
        <w:t>约</w:t>
      </w:r>
      <w:r>
        <w:rPr>
          <w:rFonts w:hint="eastAsia" w:ascii="宋体" w:hAnsi="宋体" w:eastAsia="宋体" w:cs="MS Gothic"/>
          <w:color w:val="auto"/>
          <w:sz w:val="21"/>
          <w:szCs w:val="21"/>
          <w:highlight w:val="none"/>
          <w:lang w:val="en-US" w:eastAsia="zh-CN" w:bidi="ar-SA"/>
        </w:rPr>
        <w:t>的，具</w:t>
      </w:r>
      <w:r>
        <w:rPr>
          <w:rFonts w:hint="eastAsia" w:ascii="宋体" w:hAnsi="宋体" w:eastAsia="宋体" w:cs="微软雅黑"/>
          <w:color w:val="auto"/>
          <w:sz w:val="21"/>
          <w:szCs w:val="21"/>
          <w:highlight w:val="none"/>
          <w:lang w:val="en-US" w:eastAsia="zh-CN" w:bidi="ar-SA"/>
        </w:rPr>
        <w:t>备</w:t>
      </w:r>
      <w:r>
        <w:rPr>
          <w:rFonts w:hint="eastAsia" w:ascii="宋体" w:hAnsi="宋体" w:eastAsia="宋体" w:cs="MS Gothic"/>
          <w:color w:val="auto"/>
          <w:sz w:val="21"/>
          <w:szCs w:val="21"/>
          <w:highlight w:val="none"/>
          <w:lang w:val="en-US" w:eastAsia="zh-CN" w:bidi="ar-SA"/>
        </w:rPr>
        <w:t>限期整改条件的，采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w:t>
      </w:r>
      <w:r>
        <w:rPr>
          <w:rFonts w:hint="eastAsia" w:ascii="宋体" w:hAnsi="宋体" w:eastAsia="宋体" w:cs="微软雅黑"/>
          <w:color w:val="auto"/>
          <w:sz w:val="21"/>
          <w:szCs w:val="21"/>
          <w:highlight w:val="none"/>
          <w:lang w:val="en-US" w:eastAsia="zh-CN" w:bidi="ar-SA"/>
        </w:rPr>
        <w:t>书</w:t>
      </w:r>
      <w:r>
        <w:rPr>
          <w:rFonts w:hint="eastAsia" w:ascii="宋体" w:hAnsi="宋体" w:eastAsia="宋体" w:cs="MS Gothic"/>
          <w:color w:val="auto"/>
          <w:sz w:val="21"/>
          <w:szCs w:val="21"/>
          <w:highlight w:val="none"/>
          <w:lang w:val="en-US" w:eastAsia="zh-CN" w:bidi="ar-SA"/>
        </w:rPr>
        <w:t>面要求供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商限期整改，整改期</w:t>
      </w:r>
      <w:r>
        <w:rPr>
          <w:rFonts w:hint="eastAsia" w:ascii="宋体" w:hAnsi="宋体" w:eastAsia="宋体" w:cs="微软雅黑"/>
          <w:color w:val="auto"/>
          <w:sz w:val="21"/>
          <w:szCs w:val="21"/>
          <w:highlight w:val="none"/>
          <w:lang w:val="en-US" w:eastAsia="zh-CN" w:bidi="ar-SA"/>
        </w:rPr>
        <w:t>满</w:t>
      </w:r>
      <w:r>
        <w:rPr>
          <w:rFonts w:hint="eastAsia" w:ascii="宋体" w:hAnsi="宋体" w:eastAsia="宋体" w:cs="MS Gothic"/>
          <w:color w:val="auto"/>
          <w:sz w:val="21"/>
          <w:szCs w:val="21"/>
          <w:highlight w:val="none"/>
          <w:lang w:val="en-US" w:eastAsia="zh-CN" w:bidi="ar-SA"/>
        </w:rPr>
        <w:t>后重新</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收整改事</w:t>
      </w:r>
      <w:r>
        <w:rPr>
          <w:rFonts w:hint="eastAsia" w:ascii="宋体" w:hAnsi="宋体" w:eastAsia="宋体" w:cs="微软雅黑"/>
          <w:color w:val="auto"/>
          <w:sz w:val="21"/>
          <w:szCs w:val="21"/>
          <w:highlight w:val="none"/>
          <w:lang w:val="en-US" w:eastAsia="zh-CN" w:bidi="ar-SA"/>
        </w:rPr>
        <w:t>项</w:t>
      </w:r>
      <w:r>
        <w:rPr>
          <w:rFonts w:hint="eastAsia" w:ascii="宋体" w:hAnsi="宋体" w:eastAsia="宋体" w:cs="MS Gothic"/>
          <w:color w:val="auto"/>
          <w:sz w:val="21"/>
          <w:szCs w:val="21"/>
          <w:highlight w:val="none"/>
          <w:lang w:val="en-US" w:eastAsia="zh-CN" w:bidi="ar-SA"/>
        </w:rPr>
        <w:t>。不具</w:t>
      </w:r>
      <w:r>
        <w:rPr>
          <w:rFonts w:hint="eastAsia" w:ascii="宋体" w:hAnsi="宋体" w:eastAsia="宋体" w:cs="微软雅黑"/>
          <w:color w:val="auto"/>
          <w:sz w:val="21"/>
          <w:szCs w:val="21"/>
          <w:highlight w:val="none"/>
          <w:lang w:val="en-US" w:eastAsia="zh-CN" w:bidi="ar-SA"/>
        </w:rPr>
        <w:t>备</w:t>
      </w:r>
      <w:r>
        <w:rPr>
          <w:rFonts w:hint="eastAsia" w:ascii="宋体" w:hAnsi="宋体" w:eastAsia="宋体" w:cs="MS Gothic"/>
          <w:color w:val="auto"/>
          <w:sz w:val="21"/>
          <w:szCs w:val="21"/>
          <w:highlight w:val="none"/>
          <w:lang w:val="en-US" w:eastAsia="zh-CN" w:bidi="ar-SA"/>
        </w:rPr>
        <w:t>整改条件或供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商未按要求整改的，采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当依法追究供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商的</w:t>
      </w:r>
      <w:r>
        <w:rPr>
          <w:rFonts w:hint="eastAsia" w:ascii="宋体" w:hAnsi="宋体" w:eastAsia="宋体" w:cs="微软雅黑"/>
          <w:color w:val="auto"/>
          <w:sz w:val="21"/>
          <w:szCs w:val="21"/>
          <w:highlight w:val="none"/>
          <w:lang w:val="en-US" w:eastAsia="zh-CN" w:bidi="ar-SA"/>
        </w:rPr>
        <w:t>违约责</w:t>
      </w:r>
      <w:r>
        <w:rPr>
          <w:rFonts w:hint="eastAsia" w:ascii="宋体" w:hAnsi="宋体" w:eastAsia="宋体" w:cs="MS Gothic"/>
          <w:color w:val="auto"/>
          <w:sz w:val="21"/>
          <w:szCs w:val="21"/>
          <w:highlight w:val="none"/>
          <w:lang w:val="en-US" w:eastAsia="zh-CN" w:bidi="ar-SA"/>
        </w:rPr>
        <w:t>任并根据生效的裁判文</w:t>
      </w:r>
      <w:r>
        <w:rPr>
          <w:rFonts w:hint="eastAsia" w:ascii="宋体" w:hAnsi="宋体" w:eastAsia="宋体" w:cs="微软雅黑"/>
          <w:color w:val="auto"/>
          <w:sz w:val="21"/>
          <w:szCs w:val="21"/>
          <w:highlight w:val="none"/>
          <w:lang w:val="en-US" w:eastAsia="zh-CN" w:bidi="ar-SA"/>
        </w:rPr>
        <w:t>书</w:t>
      </w:r>
      <w:r>
        <w:rPr>
          <w:rFonts w:hint="eastAsia" w:ascii="宋体" w:hAnsi="宋体" w:eastAsia="宋体" w:cs="MS Gothic"/>
          <w:color w:val="auto"/>
          <w:sz w:val="21"/>
          <w:szCs w:val="21"/>
          <w:highlight w:val="none"/>
          <w:lang w:val="en-US" w:eastAsia="zh-CN" w:bidi="ar-SA"/>
        </w:rPr>
        <w:t>支付</w:t>
      </w:r>
      <w:r>
        <w:rPr>
          <w:rFonts w:hint="eastAsia" w:ascii="宋体" w:hAnsi="宋体" w:eastAsia="宋体" w:cs="微软雅黑"/>
          <w:color w:val="auto"/>
          <w:sz w:val="21"/>
          <w:szCs w:val="21"/>
          <w:highlight w:val="none"/>
          <w:lang w:val="en-US" w:eastAsia="zh-CN" w:bidi="ar-SA"/>
        </w:rPr>
        <w:t>资</w:t>
      </w:r>
      <w:r>
        <w:rPr>
          <w:rFonts w:hint="eastAsia" w:ascii="宋体" w:hAnsi="宋体" w:eastAsia="宋体" w:cs="MS Gothic"/>
          <w:color w:val="auto"/>
          <w:sz w:val="21"/>
          <w:szCs w:val="21"/>
          <w:highlight w:val="none"/>
          <w:lang w:val="en-US" w:eastAsia="zh-CN" w:bidi="ar-SA"/>
        </w:rPr>
        <w:t>金。供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商不</w:t>
      </w:r>
      <w:r>
        <w:rPr>
          <w:rFonts w:hint="eastAsia" w:ascii="宋体" w:hAnsi="宋体" w:eastAsia="宋体" w:cs="微软雅黑"/>
          <w:color w:val="auto"/>
          <w:sz w:val="21"/>
          <w:szCs w:val="21"/>
          <w:highlight w:val="none"/>
          <w:lang w:val="en-US" w:eastAsia="zh-CN" w:bidi="ar-SA"/>
        </w:rPr>
        <w:t>认</w:t>
      </w:r>
      <w:r>
        <w:rPr>
          <w:rFonts w:hint="eastAsia" w:ascii="宋体" w:hAnsi="宋体" w:eastAsia="宋体" w:cs="MS Gothic"/>
          <w:color w:val="auto"/>
          <w:sz w:val="21"/>
          <w:szCs w:val="21"/>
          <w:highlight w:val="none"/>
          <w:lang w:val="en-US" w:eastAsia="zh-CN" w:bidi="ar-SA"/>
        </w:rPr>
        <w:t>可</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的，按照采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合同</w:t>
      </w:r>
      <w:r>
        <w:rPr>
          <w:rFonts w:hint="eastAsia" w:ascii="宋体" w:hAnsi="宋体" w:eastAsia="宋体" w:cs="微软雅黑"/>
          <w:color w:val="auto"/>
          <w:sz w:val="21"/>
          <w:szCs w:val="21"/>
          <w:highlight w:val="none"/>
          <w:lang w:val="en-US" w:eastAsia="zh-CN" w:bidi="ar-SA"/>
        </w:rPr>
        <w:t>约</w:t>
      </w:r>
      <w:r>
        <w:rPr>
          <w:rFonts w:hint="eastAsia" w:ascii="宋体" w:hAnsi="宋体" w:eastAsia="宋体" w:cs="MS Gothic"/>
          <w:color w:val="auto"/>
          <w:sz w:val="21"/>
          <w:szCs w:val="21"/>
          <w:highlight w:val="none"/>
          <w:lang w:val="en-US" w:eastAsia="zh-CN" w:bidi="ar-SA"/>
        </w:rPr>
        <w:t>定的方式解决；合同中</w:t>
      </w:r>
      <w:r>
        <w:rPr>
          <w:rFonts w:hint="eastAsia" w:ascii="宋体" w:hAnsi="宋体" w:eastAsia="宋体" w:cs="微软雅黑"/>
          <w:color w:val="auto"/>
          <w:sz w:val="21"/>
          <w:szCs w:val="21"/>
          <w:highlight w:val="none"/>
          <w:lang w:val="en-US" w:eastAsia="zh-CN" w:bidi="ar-SA"/>
        </w:rPr>
        <w:t>约</w:t>
      </w:r>
      <w:r>
        <w:rPr>
          <w:rFonts w:hint="eastAsia" w:ascii="宋体" w:hAnsi="宋体" w:eastAsia="宋体" w:cs="MS Gothic"/>
          <w:color w:val="auto"/>
          <w:sz w:val="21"/>
          <w:szCs w:val="21"/>
          <w:highlight w:val="none"/>
          <w:lang w:val="en-US" w:eastAsia="zh-CN" w:bidi="ar-SA"/>
        </w:rPr>
        <w:t>定的方式未能解决的，按照《中</w:t>
      </w:r>
      <w:r>
        <w:rPr>
          <w:rFonts w:hint="eastAsia" w:ascii="宋体" w:hAnsi="宋体" w:eastAsia="宋体" w:cs="微软雅黑"/>
          <w:color w:val="auto"/>
          <w:sz w:val="21"/>
          <w:szCs w:val="21"/>
          <w:highlight w:val="none"/>
          <w:lang w:val="en-US" w:eastAsia="zh-CN" w:bidi="ar-SA"/>
        </w:rPr>
        <w:t>华</w:t>
      </w:r>
      <w:r>
        <w:rPr>
          <w:rFonts w:hint="eastAsia" w:ascii="宋体" w:hAnsi="宋体" w:eastAsia="宋体" w:cs="MS Gothic"/>
          <w:color w:val="auto"/>
          <w:sz w:val="21"/>
          <w:szCs w:val="21"/>
          <w:highlight w:val="none"/>
          <w:lang w:val="en-US" w:eastAsia="zh-CN" w:bidi="ar-SA"/>
        </w:rPr>
        <w:t>人民共和国民法典》等法律法</w:t>
      </w:r>
      <w:r>
        <w:rPr>
          <w:rFonts w:hint="eastAsia" w:ascii="宋体" w:hAnsi="宋体" w:eastAsia="宋体" w:cs="微软雅黑"/>
          <w:color w:val="auto"/>
          <w:sz w:val="21"/>
          <w:szCs w:val="21"/>
          <w:highlight w:val="none"/>
          <w:lang w:val="en-US" w:eastAsia="zh-CN" w:bidi="ar-SA"/>
        </w:rPr>
        <w:t>规规</w:t>
      </w:r>
      <w:r>
        <w:rPr>
          <w:rFonts w:hint="eastAsia" w:ascii="宋体" w:hAnsi="宋体" w:eastAsia="宋体" w:cs="MS Gothic"/>
          <w:color w:val="auto"/>
          <w:sz w:val="21"/>
          <w:szCs w:val="21"/>
          <w:highlight w:val="none"/>
          <w:lang w:val="en-US" w:eastAsia="zh-CN" w:bidi="ar-SA"/>
        </w:rPr>
        <w:t>定</w:t>
      </w:r>
      <w:r>
        <w:rPr>
          <w:rFonts w:hint="eastAsia" w:ascii="宋体" w:hAnsi="宋体" w:eastAsia="宋体" w:cs="微软雅黑"/>
          <w:color w:val="auto"/>
          <w:sz w:val="21"/>
          <w:szCs w:val="21"/>
          <w:highlight w:val="none"/>
          <w:lang w:val="en-US" w:eastAsia="zh-CN" w:bidi="ar-SA"/>
        </w:rPr>
        <w:t>处</w:t>
      </w:r>
      <w:r>
        <w:rPr>
          <w:rFonts w:hint="eastAsia" w:ascii="宋体" w:hAnsi="宋体" w:eastAsia="宋体" w:cs="MS Gothic"/>
          <w:color w:val="auto"/>
          <w:sz w:val="21"/>
          <w:szCs w:val="21"/>
          <w:highlight w:val="none"/>
          <w:lang w:val="en-US" w:eastAsia="zh-CN" w:bidi="ar-SA"/>
        </w:rPr>
        <w:t>理。</w:t>
      </w:r>
    </w:p>
    <w:p w14:paraId="3BB5F0EB">
      <w:pPr>
        <w:widowControl w:val="0"/>
        <w:spacing w:line="480" w:lineRule="exact"/>
        <w:ind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8.3《政府采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履</w:t>
      </w:r>
      <w:r>
        <w:rPr>
          <w:rFonts w:hint="eastAsia" w:ascii="宋体" w:hAnsi="宋体" w:eastAsia="宋体" w:cs="微软雅黑"/>
          <w:color w:val="auto"/>
          <w:sz w:val="21"/>
          <w:szCs w:val="21"/>
          <w:highlight w:val="none"/>
          <w:lang w:val="en-US" w:eastAsia="zh-CN" w:bidi="ar-SA"/>
        </w:rPr>
        <w:t>约验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书</w:t>
      </w:r>
      <w:r>
        <w:rPr>
          <w:rFonts w:hint="eastAsia" w:ascii="宋体" w:hAnsi="宋体" w:eastAsia="宋体" w:cs="MS Gothic"/>
          <w:color w:val="auto"/>
          <w:sz w:val="21"/>
          <w:szCs w:val="21"/>
          <w:highlight w:val="none"/>
          <w:lang w:val="en-US" w:eastAsia="zh-CN" w:bidi="ar-SA"/>
        </w:rPr>
        <w:t>》（</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下表</w:t>
      </w:r>
      <w:r>
        <w:rPr>
          <w:rFonts w:hint="eastAsia" w:ascii="宋体" w:hAnsi="宋体" w:eastAsia="宋体" w:cs="Times New Roman"/>
          <w:color w:val="auto"/>
          <w:sz w:val="21"/>
          <w:szCs w:val="21"/>
          <w:highlight w:val="none"/>
          <w:lang w:val="en-US" w:eastAsia="zh-CN" w:bidi="ar-SA"/>
        </w:rPr>
        <w:t>1）、合同是申</w:t>
      </w:r>
      <w:r>
        <w:rPr>
          <w:rFonts w:hint="eastAsia" w:ascii="宋体" w:hAnsi="宋体" w:eastAsia="宋体" w:cs="微软雅黑"/>
          <w:color w:val="auto"/>
          <w:sz w:val="21"/>
          <w:szCs w:val="21"/>
          <w:highlight w:val="none"/>
          <w:lang w:val="en-US" w:eastAsia="zh-CN" w:bidi="ar-SA"/>
        </w:rPr>
        <w:t>请</w:t>
      </w:r>
      <w:r>
        <w:rPr>
          <w:rFonts w:hint="eastAsia" w:ascii="宋体" w:hAnsi="宋体" w:eastAsia="宋体" w:cs="MS Gothic"/>
          <w:color w:val="auto"/>
          <w:sz w:val="21"/>
          <w:szCs w:val="21"/>
          <w:highlight w:val="none"/>
          <w:lang w:val="en-US" w:eastAsia="zh-CN" w:bidi="ar-SA"/>
        </w:rPr>
        <w:t>支付政府采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合同价款的必</w:t>
      </w:r>
      <w:r>
        <w:rPr>
          <w:rFonts w:hint="eastAsia" w:ascii="宋体" w:hAnsi="宋体" w:eastAsia="宋体" w:cs="微软雅黑"/>
          <w:color w:val="auto"/>
          <w:sz w:val="21"/>
          <w:szCs w:val="21"/>
          <w:highlight w:val="none"/>
          <w:lang w:val="en-US" w:eastAsia="zh-CN" w:bidi="ar-SA"/>
        </w:rPr>
        <w:t>备资</w:t>
      </w:r>
      <w:r>
        <w:rPr>
          <w:rFonts w:hint="eastAsia" w:ascii="宋体" w:hAnsi="宋体" w:eastAsia="宋体" w:cs="MS Gothic"/>
          <w:color w:val="auto"/>
          <w:sz w:val="21"/>
          <w:szCs w:val="21"/>
          <w:highlight w:val="none"/>
          <w:lang w:val="en-US" w:eastAsia="zh-CN" w:bidi="ar-SA"/>
        </w:rPr>
        <w:t>料。</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收合格后采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人申</w:t>
      </w:r>
      <w:r>
        <w:rPr>
          <w:rFonts w:hint="eastAsia" w:ascii="宋体" w:hAnsi="宋体" w:eastAsia="宋体" w:cs="微软雅黑"/>
          <w:color w:val="auto"/>
          <w:sz w:val="21"/>
          <w:szCs w:val="21"/>
          <w:highlight w:val="none"/>
          <w:lang w:val="en-US" w:eastAsia="zh-CN" w:bidi="ar-SA"/>
        </w:rPr>
        <w:t>请财</w:t>
      </w:r>
      <w:r>
        <w:rPr>
          <w:rFonts w:hint="eastAsia" w:ascii="宋体" w:hAnsi="宋体" w:eastAsia="宋体" w:cs="MS Gothic"/>
          <w:color w:val="auto"/>
          <w:sz w:val="21"/>
          <w:szCs w:val="21"/>
          <w:highlight w:val="none"/>
          <w:lang w:val="en-US" w:eastAsia="zh-CN" w:bidi="ar-SA"/>
        </w:rPr>
        <w:t>政性</w:t>
      </w:r>
      <w:r>
        <w:rPr>
          <w:rFonts w:hint="eastAsia" w:ascii="宋体" w:hAnsi="宋体" w:eastAsia="宋体" w:cs="微软雅黑"/>
          <w:color w:val="auto"/>
          <w:sz w:val="21"/>
          <w:szCs w:val="21"/>
          <w:highlight w:val="none"/>
          <w:lang w:val="en-US" w:eastAsia="zh-CN" w:bidi="ar-SA"/>
        </w:rPr>
        <w:t>资</w:t>
      </w:r>
      <w:r>
        <w:rPr>
          <w:rFonts w:hint="eastAsia" w:ascii="宋体" w:hAnsi="宋体" w:eastAsia="宋体" w:cs="MS Gothic"/>
          <w:color w:val="auto"/>
          <w:sz w:val="21"/>
          <w:szCs w:val="21"/>
          <w:highlight w:val="none"/>
          <w:lang w:val="en-US" w:eastAsia="zh-CN" w:bidi="ar-SA"/>
        </w:rPr>
        <w:t>金支付</w:t>
      </w:r>
      <w:r>
        <w:rPr>
          <w:rFonts w:hint="eastAsia" w:ascii="宋体" w:hAnsi="宋体" w:eastAsia="宋体" w:cs="微软雅黑"/>
          <w:color w:val="auto"/>
          <w:sz w:val="21"/>
          <w:szCs w:val="21"/>
          <w:highlight w:val="none"/>
          <w:lang w:val="en-US" w:eastAsia="zh-CN" w:bidi="ar-SA"/>
        </w:rPr>
        <w:t>时</w:t>
      </w:r>
      <w:r>
        <w:rPr>
          <w:rFonts w:hint="eastAsia" w:ascii="宋体" w:hAnsi="宋体" w:eastAsia="宋体" w:cs="MS Gothic"/>
          <w:color w:val="auto"/>
          <w:sz w:val="21"/>
          <w:szCs w:val="21"/>
          <w:highlight w:val="none"/>
          <w:lang w:val="en-US" w:eastAsia="zh-CN" w:bidi="ar-SA"/>
        </w:rPr>
        <w:t>，</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当在相</w:t>
      </w:r>
      <w:r>
        <w:rPr>
          <w:rFonts w:hint="eastAsia" w:ascii="宋体" w:hAnsi="宋体" w:eastAsia="宋体" w:cs="微软雅黑"/>
          <w:color w:val="auto"/>
          <w:sz w:val="21"/>
          <w:szCs w:val="21"/>
          <w:highlight w:val="none"/>
          <w:lang w:val="en-US" w:eastAsia="zh-CN" w:bidi="ar-SA"/>
        </w:rPr>
        <w:t>应电</w:t>
      </w:r>
      <w:r>
        <w:rPr>
          <w:rFonts w:hint="eastAsia" w:ascii="宋体" w:hAnsi="宋体" w:eastAsia="宋体" w:cs="MS Gothic"/>
          <w:color w:val="auto"/>
          <w:sz w:val="21"/>
          <w:szCs w:val="21"/>
          <w:highlight w:val="none"/>
          <w:lang w:val="en-US" w:eastAsia="zh-CN" w:bidi="ar-SA"/>
        </w:rPr>
        <w:t>子化系</w:t>
      </w:r>
      <w:r>
        <w:rPr>
          <w:rFonts w:hint="eastAsia" w:ascii="宋体" w:hAnsi="宋体" w:eastAsia="宋体" w:cs="微软雅黑"/>
          <w:color w:val="auto"/>
          <w:sz w:val="21"/>
          <w:szCs w:val="21"/>
          <w:highlight w:val="none"/>
          <w:lang w:val="en-US" w:eastAsia="zh-CN" w:bidi="ar-SA"/>
        </w:rPr>
        <w:t>统</w:t>
      </w:r>
      <w:r>
        <w:rPr>
          <w:rFonts w:hint="eastAsia" w:ascii="宋体" w:hAnsi="宋体" w:eastAsia="宋体" w:cs="MS Gothic"/>
          <w:color w:val="auto"/>
          <w:sz w:val="21"/>
          <w:szCs w:val="21"/>
          <w:highlight w:val="none"/>
          <w:lang w:val="en-US" w:eastAsia="zh-CN" w:bidi="ar-SA"/>
        </w:rPr>
        <w:t>上</w:t>
      </w:r>
      <w:r>
        <w:rPr>
          <w:rFonts w:hint="eastAsia" w:ascii="宋体" w:hAnsi="宋体" w:eastAsia="宋体" w:cs="微软雅黑"/>
          <w:color w:val="auto"/>
          <w:sz w:val="21"/>
          <w:szCs w:val="21"/>
          <w:highlight w:val="none"/>
          <w:lang w:val="en-US" w:eastAsia="zh-CN" w:bidi="ar-SA"/>
        </w:rPr>
        <w:t>传</w:t>
      </w:r>
      <w:r>
        <w:rPr>
          <w:rFonts w:hint="eastAsia" w:ascii="宋体" w:hAnsi="宋体" w:eastAsia="宋体" w:cs="MS Gothic"/>
          <w:color w:val="auto"/>
          <w:sz w:val="21"/>
          <w:szCs w:val="21"/>
          <w:highlight w:val="none"/>
          <w:lang w:val="en-US" w:eastAsia="zh-CN" w:bidi="ar-SA"/>
        </w:rPr>
        <w:t>《政府采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履</w:t>
      </w:r>
      <w:r>
        <w:rPr>
          <w:rFonts w:hint="eastAsia" w:ascii="宋体" w:hAnsi="宋体" w:eastAsia="宋体" w:cs="微软雅黑"/>
          <w:color w:val="auto"/>
          <w:sz w:val="21"/>
          <w:szCs w:val="21"/>
          <w:highlight w:val="none"/>
          <w:lang w:val="en-US" w:eastAsia="zh-CN" w:bidi="ar-SA"/>
        </w:rPr>
        <w:t>约验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书</w:t>
      </w:r>
      <w:r>
        <w:rPr>
          <w:rFonts w:hint="eastAsia" w:ascii="宋体" w:hAnsi="宋体" w:eastAsia="宋体" w:cs="MS Gothic"/>
          <w:color w:val="auto"/>
          <w:sz w:val="21"/>
          <w:szCs w:val="21"/>
          <w:highlight w:val="none"/>
          <w:lang w:val="en-US" w:eastAsia="zh-CN" w:bidi="ar-SA"/>
        </w:rPr>
        <w:t>》、合同等</w:t>
      </w:r>
      <w:r>
        <w:rPr>
          <w:rFonts w:hint="eastAsia" w:ascii="宋体" w:hAnsi="宋体" w:eastAsia="宋体" w:cs="微软雅黑"/>
          <w:color w:val="auto"/>
          <w:sz w:val="21"/>
          <w:szCs w:val="21"/>
          <w:highlight w:val="none"/>
          <w:lang w:val="en-US" w:eastAsia="zh-CN" w:bidi="ar-SA"/>
        </w:rPr>
        <w:t>证</w:t>
      </w:r>
      <w:r>
        <w:rPr>
          <w:rFonts w:hint="eastAsia" w:ascii="宋体" w:hAnsi="宋体" w:eastAsia="宋体" w:cs="MS Gothic"/>
          <w:color w:val="auto"/>
          <w:sz w:val="21"/>
          <w:szCs w:val="21"/>
          <w:highlight w:val="none"/>
          <w:lang w:val="en-US" w:eastAsia="zh-CN" w:bidi="ar-SA"/>
        </w:rPr>
        <w:t>明性材料。涉及分段</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收付款的</w:t>
      </w:r>
      <w:r>
        <w:rPr>
          <w:rFonts w:hint="eastAsia" w:ascii="宋体" w:hAnsi="宋体" w:eastAsia="宋体" w:cs="微软雅黑"/>
          <w:color w:val="auto"/>
          <w:sz w:val="21"/>
          <w:szCs w:val="21"/>
          <w:highlight w:val="none"/>
          <w:lang w:val="en-US" w:eastAsia="zh-CN" w:bidi="ar-SA"/>
        </w:rPr>
        <w:t>项</w:t>
      </w:r>
      <w:r>
        <w:rPr>
          <w:rFonts w:hint="eastAsia" w:ascii="宋体" w:hAnsi="宋体" w:eastAsia="宋体" w:cs="MS Gothic"/>
          <w:color w:val="auto"/>
          <w:sz w:val="21"/>
          <w:szCs w:val="21"/>
          <w:highlight w:val="none"/>
          <w:lang w:val="en-US" w:eastAsia="zh-CN" w:bidi="ar-SA"/>
        </w:rPr>
        <w:t>目，</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具</w:t>
      </w:r>
      <w:r>
        <w:rPr>
          <w:rFonts w:hint="eastAsia" w:ascii="宋体" w:hAnsi="宋体" w:eastAsia="宋体" w:cs="微软雅黑"/>
          <w:color w:val="auto"/>
          <w:sz w:val="21"/>
          <w:szCs w:val="21"/>
          <w:highlight w:val="none"/>
          <w:lang w:val="en-US" w:eastAsia="zh-CN" w:bidi="ar-SA"/>
        </w:rPr>
        <w:t>备</w:t>
      </w:r>
      <w:r>
        <w:rPr>
          <w:rFonts w:hint="eastAsia" w:ascii="宋体" w:hAnsi="宋体" w:eastAsia="宋体" w:cs="MS Gothic"/>
          <w:color w:val="auto"/>
          <w:sz w:val="21"/>
          <w:szCs w:val="21"/>
          <w:highlight w:val="none"/>
          <w:lang w:val="en-US" w:eastAsia="zh-CN" w:bidi="ar-SA"/>
        </w:rPr>
        <w:t>符合合同</w:t>
      </w:r>
      <w:r>
        <w:rPr>
          <w:rFonts w:hint="eastAsia" w:ascii="宋体" w:hAnsi="宋体" w:eastAsia="宋体" w:cs="微软雅黑"/>
          <w:color w:val="auto"/>
          <w:sz w:val="21"/>
          <w:szCs w:val="21"/>
          <w:highlight w:val="none"/>
          <w:lang w:val="en-US" w:eastAsia="zh-CN" w:bidi="ar-SA"/>
        </w:rPr>
        <w:t>约</w:t>
      </w:r>
      <w:r>
        <w:rPr>
          <w:rFonts w:hint="eastAsia" w:ascii="宋体" w:hAnsi="宋体" w:eastAsia="宋体" w:cs="MS Gothic"/>
          <w:color w:val="auto"/>
          <w:sz w:val="21"/>
          <w:szCs w:val="21"/>
          <w:highlight w:val="none"/>
          <w:lang w:val="en-US" w:eastAsia="zh-CN" w:bidi="ar-SA"/>
        </w:rPr>
        <w:t>定内容的</w:t>
      </w:r>
      <w:r>
        <w:rPr>
          <w:rFonts w:hint="eastAsia" w:ascii="宋体" w:hAnsi="宋体" w:eastAsia="宋体" w:cs="微软雅黑"/>
          <w:color w:val="auto"/>
          <w:sz w:val="21"/>
          <w:szCs w:val="21"/>
          <w:highlight w:val="none"/>
          <w:lang w:val="en-US" w:eastAsia="zh-CN" w:bidi="ar-SA"/>
        </w:rPr>
        <w:t>阶</w:t>
      </w:r>
      <w:r>
        <w:rPr>
          <w:rFonts w:hint="eastAsia" w:ascii="宋体" w:hAnsi="宋体" w:eastAsia="宋体" w:cs="MS Gothic"/>
          <w:color w:val="auto"/>
          <w:sz w:val="21"/>
          <w:szCs w:val="21"/>
          <w:highlight w:val="none"/>
          <w:lang w:val="en-US" w:eastAsia="zh-CN" w:bidi="ar-SA"/>
        </w:rPr>
        <w:t>段性</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收意</w:t>
      </w:r>
      <w:r>
        <w:rPr>
          <w:rFonts w:hint="eastAsia" w:ascii="宋体" w:hAnsi="宋体" w:eastAsia="宋体" w:cs="微软雅黑"/>
          <w:color w:val="auto"/>
          <w:sz w:val="21"/>
          <w:szCs w:val="21"/>
          <w:highlight w:val="none"/>
          <w:lang w:val="en-US" w:eastAsia="zh-CN" w:bidi="ar-SA"/>
        </w:rPr>
        <w:t>见</w:t>
      </w:r>
      <w:r>
        <w:rPr>
          <w:rFonts w:hint="eastAsia" w:ascii="宋体" w:hAnsi="宋体" w:eastAsia="宋体" w:cs="MS Gothic"/>
          <w:color w:val="auto"/>
          <w:sz w:val="21"/>
          <w:szCs w:val="21"/>
          <w:highlight w:val="none"/>
          <w:lang w:val="en-US" w:eastAsia="zh-CN" w:bidi="ar-SA"/>
        </w:rPr>
        <w:t>，分段</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收不合格的，不予支付</w:t>
      </w:r>
      <w:r>
        <w:rPr>
          <w:rFonts w:hint="eastAsia" w:ascii="宋体" w:hAnsi="宋体" w:eastAsia="宋体" w:cs="微软雅黑"/>
          <w:color w:val="auto"/>
          <w:sz w:val="21"/>
          <w:szCs w:val="21"/>
          <w:highlight w:val="none"/>
          <w:lang w:val="en-US" w:eastAsia="zh-CN" w:bidi="ar-SA"/>
        </w:rPr>
        <w:t>该阶</w:t>
      </w:r>
      <w:r>
        <w:rPr>
          <w:rFonts w:hint="eastAsia" w:ascii="宋体" w:hAnsi="宋体" w:eastAsia="宋体" w:cs="MS Gothic"/>
          <w:color w:val="auto"/>
          <w:sz w:val="21"/>
          <w:szCs w:val="21"/>
          <w:highlight w:val="none"/>
          <w:lang w:val="en-US" w:eastAsia="zh-CN" w:bidi="ar-SA"/>
        </w:rPr>
        <w:t>段的</w:t>
      </w:r>
      <w:r>
        <w:rPr>
          <w:rFonts w:hint="eastAsia" w:ascii="宋体" w:hAnsi="宋体" w:eastAsia="宋体" w:cs="微软雅黑"/>
          <w:color w:val="auto"/>
          <w:sz w:val="21"/>
          <w:szCs w:val="21"/>
          <w:highlight w:val="none"/>
          <w:lang w:val="en-US" w:eastAsia="zh-CN" w:bidi="ar-SA"/>
        </w:rPr>
        <w:t>资</w:t>
      </w:r>
      <w:r>
        <w:rPr>
          <w:rFonts w:hint="eastAsia" w:ascii="宋体" w:hAnsi="宋体" w:eastAsia="宋体" w:cs="MS Gothic"/>
          <w:color w:val="auto"/>
          <w:sz w:val="21"/>
          <w:szCs w:val="21"/>
          <w:highlight w:val="none"/>
          <w:lang w:val="en-US" w:eastAsia="zh-CN" w:bidi="ar-SA"/>
        </w:rPr>
        <w:t>金或根据采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文件予以相</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扣减。</w:t>
      </w:r>
    </w:p>
    <w:p w14:paraId="3901B152">
      <w:pPr>
        <w:widowControl w:val="0"/>
        <w:spacing w:line="480" w:lineRule="exact"/>
        <w:ind w:firstLine="482"/>
        <w:jc w:val="both"/>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九、验收资料归档</w:t>
      </w:r>
    </w:p>
    <w:p w14:paraId="06C35AC0">
      <w:pPr>
        <w:widowControl w:val="0"/>
        <w:spacing w:line="480" w:lineRule="exact"/>
        <w:ind w:firstLine="480"/>
        <w:jc w:val="both"/>
        <w:rPr>
          <w:rFonts w:hint="eastAsia" w:ascii="宋体" w:hAnsi="宋体" w:eastAsia="宋体" w:cs="MS Gothic"/>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项</w:t>
      </w:r>
      <w:r>
        <w:rPr>
          <w:rFonts w:hint="eastAsia" w:ascii="宋体" w:hAnsi="宋体" w:eastAsia="宋体" w:cs="MS Gothic"/>
          <w:color w:val="auto"/>
          <w:sz w:val="21"/>
          <w:szCs w:val="21"/>
          <w:highlight w:val="none"/>
          <w:lang w:val="en-US" w:eastAsia="zh-CN" w:bidi="ar-SA"/>
        </w:rPr>
        <w:t>目</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收完</w:t>
      </w:r>
      <w:r>
        <w:rPr>
          <w:rFonts w:hint="eastAsia" w:ascii="宋体" w:hAnsi="宋体" w:eastAsia="宋体" w:cs="微软雅黑"/>
          <w:color w:val="auto"/>
          <w:sz w:val="21"/>
          <w:szCs w:val="21"/>
          <w:highlight w:val="none"/>
          <w:lang w:val="en-US" w:eastAsia="zh-CN" w:bidi="ar-SA"/>
        </w:rPr>
        <w:t>结</w:t>
      </w:r>
      <w:r>
        <w:rPr>
          <w:rFonts w:hint="eastAsia" w:ascii="宋体" w:hAnsi="宋体" w:eastAsia="宋体" w:cs="MS Gothic"/>
          <w:color w:val="auto"/>
          <w:sz w:val="21"/>
          <w:szCs w:val="21"/>
          <w:highlight w:val="none"/>
          <w:lang w:val="en-US" w:eastAsia="zh-CN" w:bidi="ar-SA"/>
        </w:rPr>
        <w:t>后，采</w:t>
      </w:r>
      <w:r>
        <w:rPr>
          <w:rFonts w:hint="eastAsia" w:ascii="宋体" w:hAnsi="宋体" w:eastAsia="宋体" w:cs="微软雅黑"/>
          <w:color w:val="auto"/>
          <w:sz w:val="21"/>
          <w:szCs w:val="21"/>
          <w:highlight w:val="none"/>
          <w:lang w:val="en-US" w:eastAsia="zh-CN" w:bidi="ar-SA"/>
        </w:rPr>
        <w:t>购</w:t>
      </w:r>
      <w:r>
        <w:rPr>
          <w:rFonts w:hint="eastAsia" w:ascii="宋体" w:hAnsi="宋体" w:eastAsia="宋体" w:cs="MS Gothic"/>
          <w:color w:val="auto"/>
          <w:sz w:val="21"/>
          <w:szCs w:val="21"/>
          <w:highlight w:val="none"/>
          <w:lang w:val="en-US" w:eastAsia="zh-CN" w:bidi="ar-SA"/>
        </w:rPr>
        <w:t>人</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当将</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收小</w:t>
      </w:r>
      <w:r>
        <w:rPr>
          <w:rFonts w:hint="eastAsia" w:ascii="宋体" w:hAnsi="宋体" w:eastAsia="宋体" w:cs="微软雅黑"/>
          <w:color w:val="auto"/>
          <w:sz w:val="21"/>
          <w:szCs w:val="21"/>
          <w:highlight w:val="none"/>
          <w:lang w:val="en-US" w:eastAsia="zh-CN" w:bidi="ar-SA"/>
        </w:rPr>
        <w:t>组</w:t>
      </w:r>
      <w:r>
        <w:rPr>
          <w:rFonts w:hint="eastAsia" w:ascii="宋体" w:hAnsi="宋体" w:eastAsia="宋体" w:cs="MS Gothic"/>
          <w:color w:val="auto"/>
          <w:sz w:val="21"/>
          <w:szCs w:val="21"/>
          <w:highlight w:val="none"/>
          <w:lang w:val="en-US" w:eastAsia="zh-CN" w:bidi="ar-SA"/>
        </w:rPr>
        <w:t>名</w:t>
      </w:r>
      <w:r>
        <w:rPr>
          <w:rFonts w:hint="eastAsia" w:ascii="宋体" w:hAnsi="宋体" w:eastAsia="宋体" w:cs="微软雅黑"/>
          <w:color w:val="auto"/>
          <w:sz w:val="21"/>
          <w:szCs w:val="21"/>
          <w:highlight w:val="none"/>
          <w:lang w:val="en-US" w:eastAsia="zh-CN" w:bidi="ar-SA"/>
        </w:rPr>
        <w:t>单</w:t>
      </w:r>
      <w:r>
        <w:rPr>
          <w:rFonts w:hint="eastAsia" w:ascii="宋体" w:hAnsi="宋体" w:eastAsia="宋体" w:cs="MS Gothic"/>
          <w:color w:val="auto"/>
          <w:sz w:val="21"/>
          <w:szCs w:val="21"/>
          <w:highlight w:val="none"/>
          <w:lang w:val="en-US" w:eastAsia="zh-CN" w:bidi="ar-SA"/>
        </w:rPr>
        <w:t>、</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收方案、</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收原始</w:t>
      </w:r>
      <w:r>
        <w:rPr>
          <w:rFonts w:hint="eastAsia" w:ascii="宋体" w:hAnsi="宋体" w:eastAsia="宋体" w:cs="微软雅黑"/>
          <w:color w:val="auto"/>
          <w:sz w:val="21"/>
          <w:szCs w:val="21"/>
          <w:highlight w:val="none"/>
          <w:lang w:val="en-US" w:eastAsia="zh-CN" w:bidi="ar-SA"/>
        </w:rPr>
        <w:t>记录</w:t>
      </w:r>
      <w:r>
        <w:rPr>
          <w:rFonts w:hint="eastAsia" w:ascii="宋体" w:hAnsi="宋体" w:eastAsia="宋体" w:cs="MS Gothic"/>
          <w:color w:val="auto"/>
          <w:sz w:val="21"/>
          <w:szCs w:val="21"/>
          <w:highlight w:val="none"/>
          <w:lang w:val="en-US" w:eastAsia="zh-CN" w:bidi="ar-SA"/>
        </w:rPr>
        <w:t>、</w:t>
      </w:r>
      <w:r>
        <w:rPr>
          <w:rFonts w:hint="eastAsia" w:ascii="宋体" w:hAnsi="宋体" w:eastAsia="宋体" w:cs="微软雅黑"/>
          <w:color w:val="auto"/>
          <w:sz w:val="21"/>
          <w:szCs w:val="21"/>
          <w:highlight w:val="none"/>
          <w:lang w:val="en-US" w:eastAsia="zh-CN" w:bidi="ar-SA"/>
        </w:rPr>
        <w:t>验</w:t>
      </w:r>
      <w:r>
        <w:rPr>
          <w:rFonts w:hint="eastAsia" w:ascii="宋体" w:hAnsi="宋体" w:eastAsia="宋体" w:cs="MS Gothic"/>
          <w:color w:val="auto"/>
          <w:sz w:val="21"/>
          <w:szCs w:val="21"/>
          <w:highlight w:val="none"/>
          <w:lang w:val="en-US" w:eastAsia="zh-CN" w:bidi="ar-SA"/>
        </w:rPr>
        <w:t>收</w:t>
      </w:r>
      <w:r>
        <w:rPr>
          <w:rFonts w:hint="eastAsia" w:ascii="宋体" w:hAnsi="宋体" w:eastAsia="宋体" w:cs="微软雅黑"/>
          <w:color w:val="auto"/>
          <w:sz w:val="21"/>
          <w:szCs w:val="21"/>
          <w:highlight w:val="none"/>
          <w:lang w:val="en-US" w:eastAsia="zh-CN" w:bidi="ar-SA"/>
        </w:rPr>
        <w:t>结</w:t>
      </w:r>
      <w:r>
        <w:rPr>
          <w:rFonts w:hint="eastAsia" w:ascii="宋体" w:hAnsi="宋体" w:eastAsia="宋体" w:cs="MS Gothic"/>
          <w:color w:val="auto"/>
          <w:sz w:val="21"/>
          <w:szCs w:val="21"/>
          <w:highlight w:val="none"/>
          <w:lang w:val="en-US" w:eastAsia="zh-CN" w:bidi="ar-SA"/>
        </w:rPr>
        <w:t>果、</w:t>
      </w:r>
      <w:r>
        <w:rPr>
          <w:rFonts w:hint="eastAsia" w:ascii="宋体" w:hAnsi="宋体" w:eastAsia="宋体" w:cs="微软雅黑"/>
          <w:color w:val="auto"/>
          <w:sz w:val="21"/>
          <w:szCs w:val="21"/>
          <w:highlight w:val="none"/>
          <w:lang w:val="en-US" w:eastAsia="zh-CN" w:bidi="ar-SA"/>
        </w:rPr>
        <w:t>资</w:t>
      </w:r>
      <w:r>
        <w:rPr>
          <w:rFonts w:hint="eastAsia" w:ascii="宋体" w:hAnsi="宋体" w:eastAsia="宋体" w:cs="MS Gothic"/>
          <w:color w:val="auto"/>
          <w:sz w:val="21"/>
          <w:szCs w:val="21"/>
          <w:highlight w:val="none"/>
          <w:lang w:val="en-US" w:eastAsia="zh-CN" w:bidi="ar-SA"/>
        </w:rPr>
        <w:t>金支付情况、追究供</w:t>
      </w:r>
      <w:r>
        <w:rPr>
          <w:rFonts w:hint="eastAsia" w:ascii="宋体" w:hAnsi="宋体" w:eastAsia="宋体" w:cs="微软雅黑"/>
          <w:color w:val="auto"/>
          <w:sz w:val="21"/>
          <w:szCs w:val="21"/>
          <w:highlight w:val="none"/>
          <w:lang w:val="en-US" w:eastAsia="zh-CN" w:bidi="ar-SA"/>
        </w:rPr>
        <w:t>应</w:t>
      </w:r>
      <w:r>
        <w:rPr>
          <w:rFonts w:hint="eastAsia" w:ascii="宋体" w:hAnsi="宋体" w:eastAsia="宋体" w:cs="MS Gothic"/>
          <w:color w:val="auto"/>
          <w:sz w:val="21"/>
          <w:szCs w:val="21"/>
          <w:highlight w:val="none"/>
          <w:lang w:val="en-US" w:eastAsia="zh-CN" w:bidi="ar-SA"/>
        </w:rPr>
        <w:t>商</w:t>
      </w:r>
      <w:r>
        <w:rPr>
          <w:rFonts w:hint="eastAsia" w:ascii="宋体" w:hAnsi="宋体" w:eastAsia="宋体" w:cs="微软雅黑"/>
          <w:color w:val="auto"/>
          <w:sz w:val="21"/>
          <w:szCs w:val="21"/>
          <w:highlight w:val="none"/>
          <w:lang w:val="en-US" w:eastAsia="zh-CN" w:bidi="ar-SA"/>
        </w:rPr>
        <w:t>违约责</w:t>
      </w:r>
      <w:r>
        <w:rPr>
          <w:rFonts w:hint="eastAsia" w:ascii="宋体" w:hAnsi="宋体" w:eastAsia="宋体" w:cs="MS Gothic"/>
          <w:color w:val="auto"/>
          <w:sz w:val="21"/>
          <w:szCs w:val="21"/>
          <w:highlight w:val="none"/>
          <w:lang w:val="en-US" w:eastAsia="zh-CN" w:bidi="ar-SA"/>
        </w:rPr>
        <w:t>任的情况、合同</w:t>
      </w:r>
      <w:r>
        <w:rPr>
          <w:rFonts w:hint="eastAsia" w:ascii="宋体" w:hAnsi="宋体" w:eastAsia="宋体" w:cs="微软雅黑"/>
          <w:color w:val="auto"/>
          <w:sz w:val="21"/>
          <w:szCs w:val="21"/>
          <w:highlight w:val="none"/>
          <w:lang w:val="en-US" w:eastAsia="zh-CN" w:bidi="ar-SA"/>
        </w:rPr>
        <w:t>变</w:t>
      </w:r>
      <w:r>
        <w:rPr>
          <w:rFonts w:hint="eastAsia" w:ascii="宋体" w:hAnsi="宋体" w:eastAsia="宋体" w:cs="MS Gothic"/>
          <w:color w:val="auto"/>
          <w:sz w:val="21"/>
          <w:szCs w:val="21"/>
          <w:highlight w:val="none"/>
          <w:lang w:val="en-US" w:eastAsia="zh-CN" w:bidi="ar-SA"/>
        </w:rPr>
        <w:t>更、中止或</w:t>
      </w:r>
      <w:r>
        <w:rPr>
          <w:rFonts w:hint="eastAsia" w:ascii="宋体" w:hAnsi="宋体" w:eastAsia="宋体" w:cs="微软雅黑"/>
          <w:color w:val="auto"/>
          <w:sz w:val="21"/>
          <w:szCs w:val="21"/>
          <w:highlight w:val="none"/>
          <w:lang w:val="en-US" w:eastAsia="zh-CN" w:bidi="ar-SA"/>
        </w:rPr>
        <w:t>终</w:t>
      </w:r>
      <w:r>
        <w:rPr>
          <w:rFonts w:hint="eastAsia" w:ascii="宋体" w:hAnsi="宋体" w:eastAsia="宋体" w:cs="MS Gothic"/>
          <w:color w:val="auto"/>
          <w:sz w:val="21"/>
          <w:szCs w:val="21"/>
          <w:highlight w:val="none"/>
          <w:lang w:val="en-US" w:eastAsia="zh-CN" w:bidi="ar-SA"/>
        </w:rPr>
        <w:t>止相关</w:t>
      </w:r>
      <w:r>
        <w:rPr>
          <w:rFonts w:hint="eastAsia" w:ascii="宋体" w:hAnsi="宋体" w:eastAsia="宋体" w:cs="微软雅黑"/>
          <w:color w:val="auto"/>
          <w:sz w:val="21"/>
          <w:szCs w:val="21"/>
          <w:highlight w:val="none"/>
          <w:lang w:val="en-US" w:eastAsia="zh-CN" w:bidi="ar-SA"/>
        </w:rPr>
        <w:t>资</w:t>
      </w:r>
      <w:r>
        <w:rPr>
          <w:rFonts w:hint="eastAsia" w:ascii="宋体" w:hAnsi="宋体" w:eastAsia="宋体" w:cs="MS Gothic"/>
          <w:color w:val="auto"/>
          <w:sz w:val="21"/>
          <w:szCs w:val="21"/>
          <w:highlight w:val="none"/>
          <w:lang w:val="en-US" w:eastAsia="zh-CN" w:bidi="ar-SA"/>
        </w:rPr>
        <w:t>料（若有）等作</w:t>
      </w:r>
      <w:r>
        <w:rPr>
          <w:rFonts w:hint="eastAsia" w:ascii="宋体" w:hAnsi="宋体" w:eastAsia="宋体" w:cs="微软雅黑"/>
          <w:color w:val="auto"/>
          <w:sz w:val="21"/>
          <w:szCs w:val="21"/>
          <w:highlight w:val="none"/>
          <w:lang w:val="en-US" w:eastAsia="zh-CN" w:bidi="ar-SA"/>
        </w:rPr>
        <w:t>为</w:t>
      </w:r>
      <w:r>
        <w:rPr>
          <w:rFonts w:hint="eastAsia" w:ascii="宋体" w:hAnsi="宋体" w:eastAsia="宋体" w:cs="MS Gothic"/>
          <w:color w:val="auto"/>
          <w:sz w:val="21"/>
          <w:szCs w:val="21"/>
          <w:highlight w:val="none"/>
          <w:lang w:val="en-US" w:eastAsia="zh-CN" w:bidi="ar-SA"/>
        </w:rPr>
        <w:t>采</w:t>
      </w:r>
      <w:r>
        <w:rPr>
          <w:rFonts w:hint="eastAsia" w:ascii="宋体" w:hAnsi="宋体" w:eastAsia="宋体" w:cs="微软雅黑"/>
          <w:color w:val="auto"/>
          <w:sz w:val="21"/>
          <w:szCs w:val="21"/>
          <w:highlight w:val="none"/>
          <w:lang w:val="en-US" w:eastAsia="zh-CN" w:bidi="ar-SA"/>
        </w:rPr>
        <w:t>购项</w:t>
      </w:r>
      <w:r>
        <w:rPr>
          <w:rFonts w:hint="eastAsia" w:ascii="宋体" w:hAnsi="宋体" w:eastAsia="宋体" w:cs="MS Gothic"/>
          <w:color w:val="auto"/>
          <w:sz w:val="21"/>
          <w:szCs w:val="21"/>
          <w:highlight w:val="none"/>
          <w:lang w:val="en-US" w:eastAsia="zh-CN" w:bidi="ar-SA"/>
        </w:rPr>
        <w:t>目档案妥善保管，不得</w:t>
      </w:r>
      <w:r>
        <w:rPr>
          <w:rFonts w:hint="eastAsia" w:ascii="宋体" w:hAnsi="宋体" w:eastAsia="宋体" w:cs="微软雅黑"/>
          <w:color w:val="auto"/>
          <w:sz w:val="21"/>
          <w:szCs w:val="21"/>
          <w:highlight w:val="none"/>
          <w:lang w:val="en-US" w:eastAsia="zh-CN" w:bidi="ar-SA"/>
        </w:rPr>
        <w:t>伪</w:t>
      </w:r>
      <w:r>
        <w:rPr>
          <w:rFonts w:hint="eastAsia" w:ascii="宋体" w:hAnsi="宋体" w:eastAsia="宋体" w:cs="MS Gothic"/>
          <w:color w:val="auto"/>
          <w:sz w:val="21"/>
          <w:szCs w:val="21"/>
          <w:highlight w:val="none"/>
          <w:lang w:val="en-US" w:eastAsia="zh-CN" w:bidi="ar-SA"/>
        </w:rPr>
        <w:t>造、</w:t>
      </w:r>
      <w:r>
        <w:rPr>
          <w:rFonts w:hint="eastAsia" w:ascii="宋体" w:hAnsi="宋体" w:eastAsia="宋体" w:cs="微软雅黑"/>
          <w:color w:val="auto"/>
          <w:sz w:val="21"/>
          <w:szCs w:val="21"/>
          <w:highlight w:val="none"/>
          <w:lang w:val="en-US" w:eastAsia="zh-CN" w:bidi="ar-SA"/>
        </w:rPr>
        <w:t>编</w:t>
      </w:r>
      <w:r>
        <w:rPr>
          <w:rFonts w:hint="eastAsia" w:ascii="宋体" w:hAnsi="宋体" w:eastAsia="宋体" w:cs="MS Gothic"/>
          <w:color w:val="auto"/>
          <w:sz w:val="21"/>
          <w:szCs w:val="21"/>
          <w:highlight w:val="none"/>
          <w:lang w:val="en-US" w:eastAsia="zh-CN" w:bidi="ar-SA"/>
        </w:rPr>
        <w:t>造、</w:t>
      </w:r>
      <w:r>
        <w:rPr>
          <w:rFonts w:hint="eastAsia" w:ascii="宋体" w:hAnsi="宋体" w:eastAsia="宋体" w:cs="微软雅黑"/>
          <w:color w:val="auto"/>
          <w:sz w:val="21"/>
          <w:szCs w:val="21"/>
          <w:highlight w:val="none"/>
          <w:lang w:val="en-US" w:eastAsia="zh-CN" w:bidi="ar-SA"/>
        </w:rPr>
        <w:t>隐</w:t>
      </w:r>
      <w:r>
        <w:rPr>
          <w:rFonts w:hint="eastAsia" w:ascii="宋体" w:hAnsi="宋体" w:eastAsia="宋体" w:cs="MS Gothic"/>
          <w:color w:val="auto"/>
          <w:sz w:val="21"/>
          <w:szCs w:val="21"/>
          <w:highlight w:val="none"/>
          <w:lang w:val="en-US" w:eastAsia="zh-CN" w:bidi="ar-SA"/>
        </w:rPr>
        <w:t>匿或者</w:t>
      </w:r>
      <w:r>
        <w:rPr>
          <w:rFonts w:hint="eastAsia" w:ascii="宋体" w:hAnsi="宋体" w:eastAsia="宋体" w:cs="微软雅黑"/>
          <w:color w:val="auto"/>
          <w:sz w:val="21"/>
          <w:szCs w:val="21"/>
          <w:highlight w:val="none"/>
          <w:lang w:val="en-US" w:eastAsia="zh-CN" w:bidi="ar-SA"/>
        </w:rPr>
        <w:t>违规销毁</w:t>
      </w:r>
      <w:r>
        <w:rPr>
          <w:rFonts w:hint="eastAsia" w:ascii="宋体" w:hAnsi="宋体" w:eastAsia="宋体" w:cs="MS Gothic"/>
          <w:color w:val="auto"/>
          <w:sz w:val="21"/>
          <w:szCs w:val="21"/>
          <w:highlight w:val="none"/>
          <w:lang w:val="en-US" w:eastAsia="zh-CN" w:bidi="ar-SA"/>
        </w:rPr>
        <w:t>，保存期限</w:t>
      </w:r>
      <w:r>
        <w:rPr>
          <w:rFonts w:hint="eastAsia" w:ascii="宋体" w:hAnsi="宋体" w:eastAsia="宋体" w:cs="微软雅黑"/>
          <w:color w:val="auto"/>
          <w:sz w:val="21"/>
          <w:szCs w:val="21"/>
          <w:highlight w:val="none"/>
          <w:lang w:val="en-US" w:eastAsia="zh-CN" w:bidi="ar-SA"/>
        </w:rPr>
        <w:t>为</w:t>
      </w:r>
      <w:r>
        <w:rPr>
          <w:rFonts w:hint="eastAsia" w:ascii="宋体" w:hAnsi="宋体" w:eastAsia="宋体" w:cs="MS Gothic"/>
          <w:color w:val="auto"/>
          <w:sz w:val="21"/>
          <w:szCs w:val="21"/>
          <w:highlight w:val="none"/>
          <w:lang w:val="en-US" w:eastAsia="zh-CN" w:bidi="ar-SA"/>
        </w:rPr>
        <w:t>从采</w:t>
      </w:r>
      <w:r>
        <w:rPr>
          <w:rFonts w:hint="eastAsia" w:ascii="宋体" w:hAnsi="宋体" w:eastAsia="宋体" w:cs="微软雅黑"/>
          <w:color w:val="auto"/>
          <w:sz w:val="21"/>
          <w:szCs w:val="21"/>
          <w:highlight w:val="none"/>
          <w:lang w:val="en-US" w:eastAsia="zh-CN" w:bidi="ar-SA"/>
        </w:rPr>
        <w:t>购结</w:t>
      </w:r>
      <w:r>
        <w:rPr>
          <w:rFonts w:hint="eastAsia" w:ascii="宋体" w:hAnsi="宋体" w:eastAsia="宋体" w:cs="MS Gothic"/>
          <w:color w:val="auto"/>
          <w:sz w:val="21"/>
          <w:szCs w:val="21"/>
          <w:highlight w:val="none"/>
          <w:lang w:val="en-US" w:eastAsia="zh-CN" w:bidi="ar-SA"/>
        </w:rPr>
        <w:t>束之日起至少保存十五年。</w:t>
      </w:r>
    </w:p>
    <w:p w14:paraId="48D0177E">
      <w:pPr>
        <w:spacing w:line="400" w:lineRule="exact"/>
        <w:rPr>
          <w:b/>
          <w:color w:val="auto"/>
          <w:highlight w:val="none"/>
        </w:rPr>
      </w:pPr>
    </w:p>
    <w:p w14:paraId="4A622365">
      <w:pPr>
        <w:rPr>
          <w:rFonts w:hint="eastAsia" w:hAnsi="宋体"/>
          <w:b/>
          <w:color w:val="auto"/>
          <w:sz w:val="44"/>
          <w:szCs w:val="44"/>
          <w:highlight w:val="none"/>
        </w:rPr>
      </w:pPr>
      <w:r>
        <w:rPr>
          <w:rFonts w:hint="eastAsia" w:hAnsi="宋体"/>
          <w:b/>
          <w:color w:val="auto"/>
          <w:sz w:val="44"/>
          <w:szCs w:val="44"/>
          <w:highlight w:val="none"/>
        </w:rPr>
        <w:br w:type="page" w:clear="all"/>
      </w:r>
    </w:p>
    <w:p w14:paraId="1ACD736A">
      <w:pPr>
        <w:widowControl/>
        <w:jc w:val="both"/>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附件1：</w:t>
      </w:r>
    </w:p>
    <w:p w14:paraId="0137FBEB">
      <w:pPr>
        <w:widowControl/>
        <w:jc w:val="center"/>
        <w:rPr>
          <w:rFonts w:hint="default" w:ascii="微软雅黑" w:hAnsi="微软雅黑" w:eastAsia="微软雅黑" w:cs="微软雅黑"/>
          <w:color w:val="auto"/>
          <w:sz w:val="36"/>
          <w:szCs w:val="36"/>
          <w:highlight w:val="none"/>
        </w:rPr>
      </w:pPr>
      <w:r>
        <w:rPr>
          <w:rFonts w:hint="default" w:ascii="微软雅黑" w:hAnsi="微软雅黑" w:eastAsia="微软雅黑" w:cs="微软雅黑"/>
          <w:color w:val="auto"/>
          <w:spacing w:val="19"/>
          <w:sz w:val="36"/>
          <w:szCs w:val="36"/>
          <w:highlight w:val="none"/>
        </w:rPr>
        <w:t>政府采购履约验收书参考样本(服务类)</w:t>
      </w:r>
    </w:p>
    <w:tbl>
      <w:tblPr>
        <w:tblStyle w:val="302"/>
        <w:tblW w:w="9776"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40"/>
        <w:gridCol w:w="790"/>
        <w:gridCol w:w="1550"/>
        <w:gridCol w:w="814"/>
        <w:gridCol w:w="719"/>
        <w:gridCol w:w="1520"/>
        <w:gridCol w:w="1517"/>
        <w:gridCol w:w="1526"/>
      </w:tblGrid>
      <w:tr w14:paraId="4A463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340" w:type="dxa"/>
            <w:noWrap w:val="0"/>
          </w:tcPr>
          <w:p w14:paraId="38DB1020">
            <w:pPr>
              <w:widowControl/>
              <w:spacing w:line="207"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sz w:val="18"/>
                <w:szCs w:val="18"/>
                <w:highlight w:val="none"/>
                <w:lang w:eastAsia="en-US"/>
              </w:rPr>
              <w:t>采购人</w:t>
            </w:r>
          </w:p>
        </w:tc>
        <w:tc>
          <w:tcPr>
            <w:tcW w:w="790" w:type="dxa"/>
            <w:noWrap w:val="0"/>
          </w:tcPr>
          <w:p w14:paraId="57A22375">
            <w:pPr>
              <w:widowControl/>
              <w:jc w:val="left"/>
              <w:rPr>
                <w:rFonts w:hint="default" w:ascii="Arial" w:hAnsi="Arial" w:eastAsia="Arial" w:cs="Arial"/>
                <w:color w:val="auto"/>
                <w:sz w:val="21"/>
                <w:szCs w:val="21"/>
                <w:highlight w:val="none"/>
                <w:lang w:eastAsia="en-US"/>
              </w:rPr>
            </w:pPr>
          </w:p>
        </w:tc>
        <w:tc>
          <w:tcPr>
            <w:tcW w:w="1550" w:type="dxa"/>
            <w:noWrap w:val="0"/>
          </w:tcPr>
          <w:p w14:paraId="1D6A30CF">
            <w:pPr>
              <w:widowControl/>
              <w:spacing w:line="208" w:lineRule="auto"/>
              <w:jc w:val="left"/>
              <w:rPr>
                <w:rFonts w:hint="default" w:ascii="宋体" w:hAnsi="宋体" w:eastAsia="宋体" w:cs="宋体"/>
                <w:color w:val="auto"/>
                <w:sz w:val="21"/>
                <w:szCs w:val="21"/>
                <w:highlight w:val="none"/>
                <w:lang w:eastAsia="en-US"/>
              </w:rPr>
            </w:pPr>
            <w:r>
              <w:rPr>
                <w:rFonts w:hint="default" w:ascii="宋体" w:hAnsi="宋体" w:eastAsia="宋体" w:cs="宋体"/>
                <w:color w:val="auto"/>
                <w:spacing w:val="-3"/>
                <w:sz w:val="21"/>
                <w:szCs w:val="21"/>
                <w:highlight w:val="none"/>
                <w:lang w:eastAsia="en-US"/>
              </w:rPr>
              <w:t>项目名称</w:t>
            </w:r>
          </w:p>
        </w:tc>
        <w:tc>
          <w:tcPr>
            <w:tcW w:w="1533" w:type="dxa"/>
            <w:gridSpan w:val="2"/>
            <w:noWrap w:val="0"/>
          </w:tcPr>
          <w:p w14:paraId="74411C33">
            <w:pPr>
              <w:widowControl/>
              <w:jc w:val="left"/>
              <w:rPr>
                <w:rFonts w:hint="default" w:ascii="Arial" w:hAnsi="Arial" w:eastAsia="Arial" w:cs="Arial"/>
                <w:color w:val="auto"/>
                <w:sz w:val="21"/>
                <w:szCs w:val="21"/>
                <w:highlight w:val="none"/>
                <w:lang w:eastAsia="en-US"/>
              </w:rPr>
            </w:pPr>
          </w:p>
        </w:tc>
        <w:tc>
          <w:tcPr>
            <w:tcW w:w="3037" w:type="dxa"/>
            <w:gridSpan w:val="2"/>
            <w:noWrap w:val="0"/>
          </w:tcPr>
          <w:p w14:paraId="71D0673A">
            <w:pPr>
              <w:widowControl/>
              <w:spacing w:line="207" w:lineRule="auto"/>
              <w:jc w:val="left"/>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sz w:val="21"/>
                <w:szCs w:val="21"/>
                <w:highlight w:val="none"/>
                <w:lang w:eastAsia="en-US"/>
              </w:rPr>
              <w:t>合同名称</w:t>
            </w:r>
          </w:p>
        </w:tc>
        <w:tc>
          <w:tcPr>
            <w:tcW w:w="1526" w:type="dxa"/>
            <w:noWrap w:val="0"/>
          </w:tcPr>
          <w:p w14:paraId="5AB140F4">
            <w:pPr>
              <w:widowControl/>
              <w:jc w:val="left"/>
              <w:rPr>
                <w:rFonts w:hint="default" w:ascii="Arial" w:hAnsi="Arial" w:eastAsia="Arial" w:cs="Arial"/>
                <w:color w:val="auto"/>
                <w:sz w:val="21"/>
                <w:szCs w:val="21"/>
                <w:highlight w:val="none"/>
                <w:lang w:eastAsia="en-US"/>
              </w:rPr>
            </w:pPr>
          </w:p>
        </w:tc>
      </w:tr>
      <w:tr w14:paraId="1BEC1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340" w:type="dxa"/>
            <w:noWrap w:val="0"/>
          </w:tcPr>
          <w:p w14:paraId="375AB59D">
            <w:pPr>
              <w:widowControl/>
              <w:spacing w:line="207"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sz w:val="18"/>
                <w:szCs w:val="18"/>
                <w:highlight w:val="none"/>
                <w:lang w:eastAsia="en-US"/>
              </w:rPr>
              <w:t>供应商</w:t>
            </w:r>
          </w:p>
        </w:tc>
        <w:tc>
          <w:tcPr>
            <w:tcW w:w="790" w:type="dxa"/>
            <w:noWrap w:val="0"/>
          </w:tcPr>
          <w:p w14:paraId="09BC1E55">
            <w:pPr>
              <w:widowControl/>
              <w:jc w:val="left"/>
              <w:rPr>
                <w:rFonts w:hint="default" w:ascii="Arial" w:hAnsi="Arial" w:eastAsia="Arial" w:cs="Arial"/>
                <w:color w:val="auto"/>
                <w:sz w:val="21"/>
                <w:szCs w:val="21"/>
                <w:highlight w:val="none"/>
                <w:lang w:eastAsia="en-US"/>
              </w:rPr>
            </w:pPr>
          </w:p>
        </w:tc>
        <w:tc>
          <w:tcPr>
            <w:tcW w:w="1550" w:type="dxa"/>
            <w:noWrap w:val="0"/>
          </w:tcPr>
          <w:p w14:paraId="37C92D85">
            <w:pPr>
              <w:widowControl/>
              <w:spacing w:line="207" w:lineRule="auto"/>
              <w:jc w:val="left"/>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sz w:val="21"/>
                <w:szCs w:val="21"/>
                <w:highlight w:val="none"/>
                <w:lang w:eastAsia="en-US"/>
              </w:rPr>
              <w:t>项目及合同编号</w:t>
            </w:r>
          </w:p>
        </w:tc>
        <w:tc>
          <w:tcPr>
            <w:tcW w:w="1533" w:type="dxa"/>
            <w:gridSpan w:val="2"/>
            <w:noWrap w:val="0"/>
          </w:tcPr>
          <w:p w14:paraId="3D753E5E">
            <w:pPr>
              <w:widowControl/>
              <w:jc w:val="left"/>
              <w:rPr>
                <w:rFonts w:hint="default" w:ascii="Arial" w:hAnsi="Arial" w:eastAsia="Arial" w:cs="Arial"/>
                <w:color w:val="auto"/>
                <w:sz w:val="21"/>
                <w:szCs w:val="21"/>
                <w:highlight w:val="none"/>
                <w:lang w:eastAsia="en-US"/>
              </w:rPr>
            </w:pPr>
          </w:p>
        </w:tc>
        <w:tc>
          <w:tcPr>
            <w:tcW w:w="3037" w:type="dxa"/>
            <w:gridSpan w:val="2"/>
            <w:noWrap w:val="0"/>
          </w:tcPr>
          <w:p w14:paraId="734D4EF1">
            <w:pPr>
              <w:widowControl/>
              <w:spacing w:line="208" w:lineRule="auto"/>
              <w:jc w:val="left"/>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sz w:val="21"/>
                <w:szCs w:val="21"/>
                <w:highlight w:val="none"/>
                <w:lang w:eastAsia="en-US"/>
              </w:rPr>
              <w:t>合同金额</w:t>
            </w:r>
          </w:p>
        </w:tc>
        <w:tc>
          <w:tcPr>
            <w:tcW w:w="1526" w:type="dxa"/>
            <w:noWrap w:val="0"/>
          </w:tcPr>
          <w:p w14:paraId="4620D51F">
            <w:pPr>
              <w:widowControl/>
              <w:jc w:val="left"/>
              <w:rPr>
                <w:rFonts w:hint="default" w:ascii="Arial" w:hAnsi="Arial" w:eastAsia="Arial" w:cs="Arial"/>
                <w:color w:val="auto"/>
                <w:sz w:val="21"/>
                <w:szCs w:val="21"/>
                <w:highlight w:val="none"/>
                <w:lang w:eastAsia="en-US"/>
              </w:rPr>
            </w:pPr>
          </w:p>
        </w:tc>
      </w:tr>
      <w:tr w14:paraId="10454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340" w:type="dxa"/>
            <w:noWrap w:val="0"/>
          </w:tcPr>
          <w:p w14:paraId="0A494774">
            <w:pPr>
              <w:widowControl/>
              <w:spacing w:line="240" w:lineRule="exact"/>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position w:val="1"/>
                <w:sz w:val="18"/>
                <w:szCs w:val="18"/>
                <w:highlight w:val="none"/>
                <w:lang w:eastAsia="en-US"/>
              </w:rPr>
              <w:t>分期（段）验收</w:t>
            </w:r>
          </w:p>
        </w:tc>
        <w:tc>
          <w:tcPr>
            <w:tcW w:w="790" w:type="dxa"/>
            <w:noWrap w:val="0"/>
          </w:tcPr>
          <w:p w14:paraId="03D0B82E">
            <w:pPr>
              <w:widowControl/>
              <w:spacing w:line="240" w:lineRule="exact"/>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6"/>
                <w:position w:val="1"/>
                <w:sz w:val="18"/>
                <w:szCs w:val="18"/>
                <w:highlight w:val="none"/>
                <w:lang w:eastAsia="en-US"/>
              </w:rPr>
              <w:t>是□</w:t>
            </w:r>
            <w:r>
              <w:rPr>
                <w:rFonts w:hint="default" w:ascii="宋体" w:hAnsi="宋体" w:eastAsia="宋体" w:cs="宋体"/>
                <w:color w:val="auto"/>
                <w:spacing w:val="4"/>
                <w:position w:val="1"/>
                <w:sz w:val="18"/>
                <w:szCs w:val="18"/>
                <w:highlight w:val="none"/>
                <w:lang w:eastAsia="en-US"/>
              </w:rPr>
              <w:t xml:space="preserve">   </w:t>
            </w:r>
            <w:r>
              <w:rPr>
                <w:rFonts w:hint="default" w:ascii="宋体" w:hAnsi="宋体" w:eastAsia="宋体" w:cs="宋体"/>
                <w:color w:val="auto"/>
                <w:spacing w:val="-6"/>
                <w:position w:val="1"/>
                <w:sz w:val="18"/>
                <w:szCs w:val="18"/>
                <w:highlight w:val="none"/>
                <w:lang w:eastAsia="en-US"/>
              </w:rPr>
              <w:t>否□</w:t>
            </w:r>
          </w:p>
        </w:tc>
        <w:tc>
          <w:tcPr>
            <w:tcW w:w="1550" w:type="dxa"/>
            <w:noWrap w:val="0"/>
          </w:tcPr>
          <w:p w14:paraId="22F3F4E3">
            <w:pPr>
              <w:widowControl/>
              <w:spacing w:line="240" w:lineRule="exact"/>
              <w:jc w:val="left"/>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position w:val="1"/>
                <w:sz w:val="21"/>
                <w:szCs w:val="21"/>
                <w:highlight w:val="none"/>
                <w:lang w:eastAsia="en-US"/>
              </w:rPr>
              <w:t>分期（段）情况</w:t>
            </w:r>
          </w:p>
        </w:tc>
        <w:tc>
          <w:tcPr>
            <w:tcW w:w="6096" w:type="dxa"/>
            <w:gridSpan w:val="5"/>
            <w:noWrap w:val="0"/>
          </w:tcPr>
          <w:p w14:paraId="59B0AAB9">
            <w:pPr>
              <w:widowControl/>
              <w:spacing w:line="240" w:lineRule="exact"/>
              <w:jc w:val="left"/>
              <w:rPr>
                <w:rFonts w:hint="default" w:ascii="宋体" w:hAnsi="宋体" w:eastAsia="宋体" w:cs="宋体"/>
                <w:color w:val="auto"/>
                <w:sz w:val="21"/>
                <w:szCs w:val="21"/>
                <w:highlight w:val="none"/>
              </w:rPr>
            </w:pPr>
            <w:r>
              <w:rPr>
                <w:rFonts w:hint="default" w:ascii="宋体" w:hAnsi="宋体" w:eastAsia="宋体" w:cs="宋体"/>
                <w:color w:val="auto"/>
                <w:spacing w:val="-1"/>
                <w:position w:val="1"/>
                <w:sz w:val="21"/>
                <w:szCs w:val="21"/>
                <w:highlight w:val="none"/>
              </w:rPr>
              <w:t>共分   期（段</w:t>
            </w:r>
            <w:r>
              <w:rPr>
                <w:rFonts w:hint="default" w:ascii="宋体" w:hAnsi="宋体" w:eastAsia="宋体" w:cs="宋体"/>
                <w:color w:val="auto"/>
                <w:spacing w:val="6"/>
                <w:position w:val="1"/>
                <w:sz w:val="21"/>
                <w:szCs w:val="21"/>
                <w:highlight w:val="none"/>
              </w:rPr>
              <w:t>），</w:t>
            </w:r>
            <w:r>
              <w:rPr>
                <w:rFonts w:hint="default" w:ascii="宋体" w:hAnsi="宋体" w:eastAsia="宋体" w:cs="宋体"/>
                <w:color w:val="auto"/>
                <w:spacing w:val="-1"/>
                <w:position w:val="1"/>
                <w:sz w:val="21"/>
                <w:szCs w:val="21"/>
                <w:highlight w:val="none"/>
              </w:rPr>
              <w:t>此为第   期（段）验收</w:t>
            </w:r>
          </w:p>
        </w:tc>
      </w:tr>
      <w:tr w14:paraId="6C44F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trPr>
        <w:tc>
          <w:tcPr>
            <w:tcW w:w="1340" w:type="dxa"/>
            <w:noWrap w:val="0"/>
          </w:tcPr>
          <w:p w14:paraId="782565E4">
            <w:pPr>
              <w:widowControl/>
              <w:spacing w:line="264" w:lineRule="auto"/>
              <w:jc w:val="left"/>
              <w:rPr>
                <w:rFonts w:hint="default" w:ascii="Arial" w:hAnsi="Arial" w:eastAsia="Arial" w:cs="Arial"/>
                <w:color w:val="auto"/>
                <w:sz w:val="21"/>
                <w:szCs w:val="21"/>
                <w:highlight w:val="none"/>
              </w:rPr>
            </w:pPr>
          </w:p>
          <w:p w14:paraId="132ED8FA">
            <w:pPr>
              <w:widowControl/>
              <w:spacing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验收时间</w:t>
            </w:r>
          </w:p>
        </w:tc>
        <w:tc>
          <w:tcPr>
            <w:tcW w:w="790" w:type="dxa"/>
            <w:noWrap w:val="0"/>
          </w:tcPr>
          <w:p w14:paraId="74E19D3D">
            <w:pPr>
              <w:widowControl/>
              <w:jc w:val="left"/>
              <w:rPr>
                <w:rFonts w:hint="default" w:ascii="Arial" w:hAnsi="Arial" w:eastAsia="Arial" w:cs="Arial"/>
                <w:color w:val="auto"/>
                <w:sz w:val="21"/>
                <w:szCs w:val="21"/>
                <w:highlight w:val="none"/>
                <w:lang w:eastAsia="en-US"/>
              </w:rPr>
            </w:pPr>
          </w:p>
        </w:tc>
        <w:tc>
          <w:tcPr>
            <w:tcW w:w="1550" w:type="dxa"/>
            <w:noWrap w:val="0"/>
          </w:tcPr>
          <w:p w14:paraId="0278EE02">
            <w:pPr>
              <w:widowControl/>
              <w:spacing w:line="264" w:lineRule="auto"/>
              <w:jc w:val="left"/>
              <w:rPr>
                <w:rFonts w:hint="default" w:ascii="Arial" w:hAnsi="Arial" w:eastAsia="Arial" w:cs="Arial"/>
                <w:color w:val="auto"/>
                <w:sz w:val="21"/>
                <w:szCs w:val="21"/>
                <w:highlight w:val="none"/>
                <w:lang w:eastAsia="en-US"/>
              </w:rPr>
            </w:pPr>
          </w:p>
          <w:p w14:paraId="364AB42B">
            <w:pPr>
              <w:widowControl/>
              <w:spacing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验收地点</w:t>
            </w:r>
          </w:p>
        </w:tc>
        <w:tc>
          <w:tcPr>
            <w:tcW w:w="1533" w:type="dxa"/>
            <w:gridSpan w:val="2"/>
            <w:noWrap w:val="0"/>
          </w:tcPr>
          <w:p w14:paraId="4143D1B3">
            <w:pPr>
              <w:widowControl/>
              <w:jc w:val="left"/>
              <w:rPr>
                <w:rFonts w:hint="default" w:ascii="Arial" w:hAnsi="Arial" w:eastAsia="Arial" w:cs="Arial"/>
                <w:color w:val="auto"/>
                <w:sz w:val="21"/>
                <w:szCs w:val="21"/>
                <w:highlight w:val="none"/>
                <w:lang w:eastAsia="en-US"/>
              </w:rPr>
            </w:pPr>
          </w:p>
        </w:tc>
        <w:tc>
          <w:tcPr>
            <w:tcW w:w="3037" w:type="dxa"/>
            <w:gridSpan w:val="2"/>
            <w:noWrap w:val="0"/>
          </w:tcPr>
          <w:p w14:paraId="3E400B51">
            <w:pPr>
              <w:widowControl/>
              <w:spacing w:line="264" w:lineRule="auto"/>
              <w:jc w:val="left"/>
              <w:rPr>
                <w:rFonts w:hint="default" w:ascii="Arial" w:hAnsi="Arial" w:eastAsia="Arial" w:cs="Arial"/>
                <w:color w:val="auto"/>
                <w:sz w:val="21"/>
                <w:szCs w:val="21"/>
                <w:highlight w:val="none"/>
                <w:lang w:eastAsia="en-US"/>
              </w:rPr>
            </w:pPr>
          </w:p>
          <w:p w14:paraId="55147F45">
            <w:pPr>
              <w:widowControl/>
              <w:spacing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验收组织形式</w:t>
            </w:r>
          </w:p>
        </w:tc>
        <w:tc>
          <w:tcPr>
            <w:tcW w:w="1526" w:type="dxa"/>
            <w:noWrap w:val="0"/>
          </w:tcPr>
          <w:p w14:paraId="133C3F49">
            <w:pPr>
              <w:widowControl/>
              <w:spacing w:line="239" w:lineRule="exact"/>
              <w:jc w:val="left"/>
              <w:rPr>
                <w:rFonts w:hint="default" w:ascii="宋体" w:hAnsi="宋体" w:eastAsia="宋体" w:cs="宋体"/>
                <w:color w:val="auto"/>
                <w:sz w:val="18"/>
                <w:szCs w:val="18"/>
                <w:highlight w:val="none"/>
              </w:rPr>
            </w:pPr>
            <w:r>
              <w:rPr>
                <w:rFonts w:hint="default" w:ascii="宋体" w:hAnsi="宋体" w:eastAsia="宋体" w:cs="宋体"/>
                <w:color w:val="auto"/>
                <w:spacing w:val="-4"/>
                <w:position w:val="1"/>
                <w:sz w:val="18"/>
                <w:szCs w:val="18"/>
                <w:highlight w:val="none"/>
              </w:rPr>
              <w:t>□自行简易验收</w:t>
            </w:r>
          </w:p>
          <w:p w14:paraId="37A2FA09">
            <w:pPr>
              <w:widowControl/>
              <w:spacing w:line="260" w:lineRule="auto"/>
              <w:jc w:val="left"/>
              <w:rPr>
                <w:rFonts w:hint="default" w:ascii="Arial" w:hAnsi="Arial" w:eastAsia="Arial" w:cs="Arial"/>
                <w:color w:val="auto"/>
                <w:sz w:val="21"/>
                <w:szCs w:val="21"/>
                <w:highlight w:val="none"/>
              </w:rPr>
            </w:pPr>
          </w:p>
          <w:p w14:paraId="1C8DF653">
            <w:pPr>
              <w:widowControl/>
              <w:spacing w:line="240" w:lineRule="exact"/>
              <w:jc w:val="left"/>
              <w:rPr>
                <w:rFonts w:hint="default" w:ascii="宋体" w:hAnsi="宋体" w:eastAsia="宋体" w:cs="宋体"/>
                <w:color w:val="auto"/>
                <w:sz w:val="18"/>
                <w:szCs w:val="18"/>
                <w:highlight w:val="none"/>
              </w:rPr>
            </w:pPr>
            <w:r>
              <w:rPr>
                <w:rFonts w:hint="default" w:ascii="宋体" w:hAnsi="宋体" w:eastAsia="宋体" w:cs="宋体"/>
                <w:color w:val="auto"/>
                <w:spacing w:val="-4"/>
                <w:position w:val="1"/>
                <w:sz w:val="18"/>
                <w:szCs w:val="18"/>
                <w:highlight w:val="none"/>
              </w:rPr>
              <w:t>□验收小组验收</w:t>
            </w:r>
          </w:p>
          <w:p w14:paraId="7D28045B">
            <w:pPr>
              <w:widowControl/>
              <w:spacing w:line="262" w:lineRule="auto"/>
              <w:jc w:val="left"/>
              <w:rPr>
                <w:rFonts w:hint="default" w:ascii="Arial" w:hAnsi="Arial" w:eastAsia="Arial" w:cs="Arial"/>
                <w:color w:val="auto"/>
                <w:sz w:val="21"/>
                <w:szCs w:val="21"/>
                <w:highlight w:val="none"/>
              </w:rPr>
            </w:pPr>
          </w:p>
          <w:p w14:paraId="38503B98">
            <w:pPr>
              <w:widowControl/>
              <w:spacing w:line="239" w:lineRule="exact"/>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position w:val="1"/>
                <w:sz w:val="18"/>
                <w:szCs w:val="18"/>
                <w:highlight w:val="none"/>
                <w:lang w:eastAsia="en-US"/>
              </w:rPr>
              <w:t>□采购代理机构验收</w:t>
            </w:r>
          </w:p>
        </w:tc>
      </w:tr>
      <w:tr w14:paraId="67089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340" w:type="dxa"/>
            <w:vMerge w:val="restart"/>
            <w:tcBorders>
              <w:bottom w:val="nil"/>
            </w:tcBorders>
            <w:noWrap w:val="0"/>
          </w:tcPr>
          <w:p w14:paraId="63E1DC01">
            <w:pPr>
              <w:widowControl/>
              <w:spacing w:line="265" w:lineRule="auto"/>
              <w:jc w:val="left"/>
              <w:rPr>
                <w:rFonts w:hint="default" w:ascii="Arial" w:hAnsi="Arial" w:eastAsia="Arial" w:cs="Arial"/>
                <w:color w:val="auto"/>
                <w:sz w:val="21"/>
                <w:szCs w:val="21"/>
                <w:highlight w:val="none"/>
                <w:lang w:eastAsia="en-US"/>
              </w:rPr>
            </w:pPr>
          </w:p>
          <w:p w14:paraId="037B9D46">
            <w:pPr>
              <w:widowControl/>
              <w:spacing w:line="265" w:lineRule="auto"/>
              <w:jc w:val="left"/>
              <w:rPr>
                <w:rFonts w:hint="default" w:ascii="Arial" w:hAnsi="Arial" w:eastAsia="Arial" w:cs="Arial"/>
                <w:color w:val="auto"/>
                <w:sz w:val="21"/>
                <w:szCs w:val="21"/>
                <w:highlight w:val="none"/>
                <w:lang w:eastAsia="en-US"/>
              </w:rPr>
            </w:pPr>
          </w:p>
          <w:p w14:paraId="323E0DBF">
            <w:pPr>
              <w:widowControl/>
              <w:spacing w:line="266" w:lineRule="auto"/>
              <w:jc w:val="left"/>
              <w:rPr>
                <w:rFonts w:hint="default" w:ascii="Arial" w:hAnsi="Arial" w:eastAsia="Arial" w:cs="Arial"/>
                <w:color w:val="auto"/>
                <w:sz w:val="21"/>
                <w:szCs w:val="21"/>
                <w:highlight w:val="none"/>
                <w:lang w:eastAsia="en-US"/>
              </w:rPr>
            </w:pPr>
          </w:p>
          <w:p w14:paraId="2B38DEC0">
            <w:pPr>
              <w:widowControl/>
              <w:spacing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验收内容</w:t>
            </w:r>
          </w:p>
        </w:tc>
        <w:tc>
          <w:tcPr>
            <w:tcW w:w="790" w:type="dxa"/>
            <w:noWrap w:val="0"/>
          </w:tcPr>
          <w:p w14:paraId="1B8D5A00">
            <w:pPr>
              <w:widowControl/>
              <w:spacing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服务质量</w:t>
            </w:r>
          </w:p>
        </w:tc>
        <w:tc>
          <w:tcPr>
            <w:tcW w:w="1550" w:type="dxa"/>
            <w:noWrap w:val="0"/>
          </w:tcPr>
          <w:p w14:paraId="381F7FB8">
            <w:pPr>
              <w:widowControl/>
              <w:spacing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服务进度</w:t>
            </w:r>
          </w:p>
        </w:tc>
        <w:tc>
          <w:tcPr>
            <w:tcW w:w="1533" w:type="dxa"/>
            <w:gridSpan w:val="2"/>
            <w:noWrap w:val="0"/>
          </w:tcPr>
          <w:p w14:paraId="49FDCB1F">
            <w:pPr>
              <w:widowControl/>
              <w:spacing w:line="207"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1"/>
                <w:sz w:val="18"/>
                <w:szCs w:val="18"/>
                <w:highlight w:val="none"/>
                <w:lang w:eastAsia="en-US"/>
              </w:rPr>
              <w:t>人员、设备 配备情况</w:t>
            </w:r>
          </w:p>
        </w:tc>
        <w:tc>
          <w:tcPr>
            <w:tcW w:w="1520" w:type="dxa"/>
            <w:noWrap w:val="0"/>
          </w:tcPr>
          <w:p w14:paraId="71A55AB4">
            <w:pPr>
              <w:widowControl/>
              <w:spacing w:line="209"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行业、安全标准</w:t>
            </w:r>
          </w:p>
        </w:tc>
        <w:tc>
          <w:tcPr>
            <w:tcW w:w="1517" w:type="dxa"/>
            <w:noWrap w:val="0"/>
          </w:tcPr>
          <w:p w14:paraId="7B9ADAFF">
            <w:pPr>
              <w:widowControl/>
              <w:spacing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项目需求、服务承诺</w:t>
            </w:r>
          </w:p>
        </w:tc>
        <w:tc>
          <w:tcPr>
            <w:tcW w:w="1526" w:type="dxa"/>
            <w:noWrap w:val="0"/>
          </w:tcPr>
          <w:p w14:paraId="154DA2C3">
            <w:pPr>
              <w:widowControl/>
              <w:spacing w:line="208" w:lineRule="auto"/>
              <w:jc w:val="left"/>
              <w:rPr>
                <w:rFonts w:hint="default" w:ascii="宋体" w:hAnsi="宋体" w:eastAsia="宋体" w:cs="宋体"/>
                <w:color w:val="auto"/>
                <w:sz w:val="18"/>
                <w:szCs w:val="18"/>
                <w:highlight w:val="none"/>
              </w:rPr>
            </w:pPr>
            <w:r>
              <w:rPr>
                <w:rFonts w:hint="default" w:ascii="宋体" w:hAnsi="宋体" w:eastAsia="宋体" w:cs="宋体"/>
                <w:color w:val="auto"/>
                <w:spacing w:val="-1"/>
                <w:sz w:val="18"/>
                <w:szCs w:val="18"/>
                <w:highlight w:val="none"/>
              </w:rPr>
              <w:t>合同履约时间、 地点、方式</w:t>
            </w:r>
          </w:p>
        </w:tc>
      </w:tr>
      <w:tr w14:paraId="7B4DB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trPr>
        <w:tc>
          <w:tcPr>
            <w:tcW w:w="1340" w:type="dxa"/>
            <w:vMerge w:val="continue"/>
            <w:tcBorders>
              <w:top w:val="nil"/>
            </w:tcBorders>
            <w:noWrap w:val="0"/>
          </w:tcPr>
          <w:p w14:paraId="56F99C2D">
            <w:pPr>
              <w:widowControl/>
              <w:jc w:val="left"/>
              <w:rPr>
                <w:rFonts w:hint="default" w:ascii="Arial" w:hAnsi="Arial" w:eastAsia="Arial" w:cs="Arial"/>
                <w:color w:val="auto"/>
                <w:sz w:val="21"/>
                <w:szCs w:val="21"/>
                <w:highlight w:val="none"/>
              </w:rPr>
            </w:pPr>
          </w:p>
        </w:tc>
        <w:tc>
          <w:tcPr>
            <w:tcW w:w="790" w:type="dxa"/>
            <w:noWrap w:val="0"/>
          </w:tcPr>
          <w:p w14:paraId="187F44FD">
            <w:pPr>
              <w:widowControl/>
              <w:spacing w:line="430" w:lineRule="auto"/>
              <w:ind w:hanging="2"/>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不合格□</w:t>
            </w:r>
          </w:p>
        </w:tc>
        <w:tc>
          <w:tcPr>
            <w:tcW w:w="1550" w:type="dxa"/>
            <w:noWrap w:val="0"/>
          </w:tcPr>
          <w:p w14:paraId="77AC59CF">
            <w:pPr>
              <w:widowControl/>
              <w:spacing w:line="430" w:lineRule="auto"/>
              <w:ind w:hanging="1"/>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8"/>
                <w:sz w:val="18"/>
                <w:szCs w:val="18"/>
                <w:highlight w:val="none"/>
                <w:lang w:eastAsia="en-US"/>
              </w:rPr>
              <w:t>按</w:t>
            </w:r>
            <w:r>
              <w:rPr>
                <w:rFonts w:hint="default" w:ascii="宋体" w:hAnsi="宋体" w:eastAsia="宋体" w:cs="宋体"/>
                <w:color w:val="auto"/>
                <w:spacing w:val="7"/>
                <w:sz w:val="18"/>
                <w:szCs w:val="18"/>
                <w:highlight w:val="none"/>
                <w:lang w:eastAsia="en-US"/>
              </w:rPr>
              <w:t xml:space="preserve">  </w:t>
            </w:r>
            <w:r>
              <w:rPr>
                <w:rFonts w:hint="default" w:ascii="宋体" w:hAnsi="宋体" w:eastAsia="宋体" w:cs="宋体"/>
                <w:color w:val="auto"/>
                <w:spacing w:val="-8"/>
                <w:sz w:val="18"/>
                <w:szCs w:val="18"/>
                <w:highlight w:val="none"/>
                <w:lang w:eastAsia="en-US"/>
              </w:rPr>
              <w:t>时□</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不按时□</w:t>
            </w:r>
          </w:p>
        </w:tc>
        <w:tc>
          <w:tcPr>
            <w:tcW w:w="1533" w:type="dxa"/>
            <w:gridSpan w:val="2"/>
            <w:noWrap w:val="0"/>
          </w:tcPr>
          <w:p w14:paraId="2CAEA612">
            <w:pPr>
              <w:widowControl/>
              <w:spacing w:line="430" w:lineRule="auto"/>
              <w:ind w:hanging="2"/>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不合格□</w:t>
            </w:r>
          </w:p>
        </w:tc>
        <w:tc>
          <w:tcPr>
            <w:tcW w:w="1520" w:type="dxa"/>
            <w:noWrap w:val="0"/>
          </w:tcPr>
          <w:p w14:paraId="4FC94B50">
            <w:pPr>
              <w:widowControl/>
              <w:spacing w:line="430" w:lineRule="auto"/>
              <w:ind w:hanging="2"/>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不合格□</w:t>
            </w:r>
          </w:p>
        </w:tc>
        <w:tc>
          <w:tcPr>
            <w:tcW w:w="1517" w:type="dxa"/>
            <w:noWrap w:val="0"/>
          </w:tcPr>
          <w:p w14:paraId="1C9B591E">
            <w:pPr>
              <w:widowControl/>
              <w:spacing w:line="430" w:lineRule="auto"/>
              <w:ind w:hanging="2"/>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不合格□</w:t>
            </w:r>
          </w:p>
        </w:tc>
        <w:tc>
          <w:tcPr>
            <w:tcW w:w="1526" w:type="dxa"/>
            <w:noWrap w:val="0"/>
          </w:tcPr>
          <w:p w14:paraId="206A838D">
            <w:pPr>
              <w:widowControl/>
              <w:spacing w:line="430" w:lineRule="auto"/>
              <w:ind w:hanging="2"/>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不合格□</w:t>
            </w:r>
          </w:p>
        </w:tc>
      </w:tr>
      <w:tr w14:paraId="1C0A8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1340" w:type="dxa"/>
            <w:noWrap w:val="0"/>
          </w:tcPr>
          <w:p w14:paraId="6B6DC9ED">
            <w:pPr>
              <w:widowControl/>
              <w:spacing w:line="208" w:lineRule="auto"/>
              <w:jc w:val="left"/>
              <w:rPr>
                <w:rFonts w:hint="default"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专业检测机构情</w:t>
            </w:r>
          </w:p>
          <w:p w14:paraId="60011AF5">
            <w:pPr>
              <w:widowControl/>
              <w:spacing w:line="207" w:lineRule="auto"/>
              <w:jc w:val="left"/>
              <w:rPr>
                <w:rFonts w:hint="default" w:ascii="宋体" w:hAnsi="宋体" w:eastAsia="宋体" w:cs="宋体"/>
                <w:color w:val="auto"/>
                <w:sz w:val="18"/>
                <w:szCs w:val="18"/>
                <w:highlight w:val="none"/>
              </w:rPr>
            </w:pPr>
            <w:r>
              <w:rPr>
                <w:rFonts w:hint="default" w:ascii="宋体" w:hAnsi="宋体" w:eastAsia="宋体" w:cs="宋体"/>
                <w:color w:val="auto"/>
                <w:spacing w:val="-3"/>
                <w:sz w:val="18"/>
                <w:szCs w:val="18"/>
                <w:highlight w:val="none"/>
              </w:rPr>
              <w:t>况说明</w:t>
            </w:r>
          </w:p>
        </w:tc>
        <w:tc>
          <w:tcPr>
            <w:tcW w:w="8436" w:type="dxa"/>
            <w:gridSpan w:val="7"/>
            <w:noWrap w:val="0"/>
          </w:tcPr>
          <w:p w14:paraId="664B48C5">
            <w:pPr>
              <w:widowControl/>
              <w:jc w:val="left"/>
              <w:rPr>
                <w:rFonts w:hint="default" w:ascii="Arial" w:hAnsi="Arial" w:eastAsia="Arial" w:cs="Arial"/>
                <w:color w:val="auto"/>
                <w:sz w:val="21"/>
                <w:szCs w:val="21"/>
                <w:highlight w:val="none"/>
              </w:rPr>
            </w:pPr>
          </w:p>
        </w:tc>
      </w:tr>
      <w:tr w14:paraId="587CA9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1340" w:type="dxa"/>
            <w:noWrap w:val="0"/>
          </w:tcPr>
          <w:p w14:paraId="59A3BDBB">
            <w:pPr>
              <w:widowControl/>
              <w:spacing w:line="207"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存在问题和改进意见</w:t>
            </w:r>
          </w:p>
        </w:tc>
        <w:tc>
          <w:tcPr>
            <w:tcW w:w="8436" w:type="dxa"/>
            <w:gridSpan w:val="7"/>
            <w:noWrap w:val="0"/>
          </w:tcPr>
          <w:p w14:paraId="09CB112E">
            <w:pPr>
              <w:widowControl/>
              <w:jc w:val="left"/>
              <w:rPr>
                <w:rFonts w:hint="default" w:ascii="Arial" w:hAnsi="Arial" w:eastAsia="Arial" w:cs="Arial"/>
                <w:color w:val="auto"/>
                <w:sz w:val="21"/>
                <w:szCs w:val="21"/>
                <w:highlight w:val="none"/>
                <w:lang w:eastAsia="en-US"/>
              </w:rPr>
            </w:pPr>
          </w:p>
        </w:tc>
      </w:tr>
      <w:tr w14:paraId="71FF5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1340" w:type="dxa"/>
            <w:noWrap w:val="0"/>
            <w:vAlign w:val="center"/>
          </w:tcPr>
          <w:p w14:paraId="0A83B0DF">
            <w:pPr>
              <w:widowControl/>
              <w:spacing w:before="58" w:line="207"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sz w:val="18"/>
                <w:szCs w:val="18"/>
                <w:highlight w:val="none"/>
                <w:lang w:eastAsia="en-US"/>
              </w:rPr>
              <w:t>最终结论</w:t>
            </w:r>
          </w:p>
        </w:tc>
        <w:tc>
          <w:tcPr>
            <w:tcW w:w="8436" w:type="dxa"/>
            <w:gridSpan w:val="7"/>
            <w:noWrap w:val="0"/>
            <w:vAlign w:val="center"/>
          </w:tcPr>
          <w:p w14:paraId="6B50929C">
            <w:pPr>
              <w:widowControl/>
              <w:spacing w:before="58" w:line="240" w:lineRule="exact"/>
              <w:ind w:firstLine="704"/>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position w:val="1"/>
                <w:sz w:val="18"/>
                <w:szCs w:val="18"/>
                <w:highlight w:val="none"/>
                <w:lang w:eastAsia="en-US"/>
              </w:rPr>
              <w:t>合  格□</w:t>
            </w:r>
            <w:r>
              <w:rPr>
                <w:rFonts w:hint="default" w:ascii="宋体" w:hAnsi="宋体" w:eastAsia="宋体" w:cs="宋体"/>
                <w:color w:val="auto"/>
                <w:position w:val="1"/>
                <w:sz w:val="18"/>
                <w:szCs w:val="18"/>
                <w:highlight w:val="none"/>
                <w:lang w:eastAsia="en-US"/>
              </w:rPr>
              <w:t xml:space="preserve">                              </w:t>
            </w:r>
            <w:r>
              <w:rPr>
                <w:rFonts w:hint="default" w:ascii="宋体" w:hAnsi="宋体" w:eastAsia="宋体" w:cs="宋体"/>
                <w:color w:val="auto"/>
                <w:spacing w:val="-2"/>
                <w:position w:val="1"/>
                <w:sz w:val="18"/>
                <w:szCs w:val="18"/>
                <w:highlight w:val="none"/>
                <w:lang w:eastAsia="en-US"/>
              </w:rPr>
              <w:t>不合格□</w:t>
            </w:r>
          </w:p>
        </w:tc>
      </w:tr>
      <w:tr w14:paraId="76036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340" w:type="dxa"/>
            <w:noWrap w:val="0"/>
          </w:tcPr>
          <w:p w14:paraId="6EFEA738">
            <w:pPr>
              <w:widowControl/>
              <w:spacing w:before="295"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验收小组成员</w:t>
            </w:r>
          </w:p>
          <w:p w14:paraId="12542C2C">
            <w:pPr>
              <w:widowControl/>
              <w:spacing w:before="58"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4"/>
                <w:sz w:val="18"/>
                <w:szCs w:val="18"/>
                <w:highlight w:val="none"/>
                <w:lang w:eastAsia="en-US"/>
              </w:rPr>
              <w:t>签字</w:t>
            </w:r>
          </w:p>
        </w:tc>
        <w:tc>
          <w:tcPr>
            <w:tcW w:w="8436" w:type="dxa"/>
            <w:gridSpan w:val="7"/>
            <w:noWrap w:val="0"/>
          </w:tcPr>
          <w:p w14:paraId="0A624CEA">
            <w:pPr>
              <w:widowControl/>
              <w:jc w:val="left"/>
              <w:rPr>
                <w:rFonts w:hint="default" w:ascii="Arial" w:hAnsi="Arial" w:eastAsia="Arial" w:cs="Arial"/>
                <w:color w:val="auto"/>
                <w:sz w:val="21"/>
                <w:szCs w:val="21"/>
                <w:highlight w:val="none"/>
                <w:lang w:eastAsia="en-US"/>
              </w:rPr>
            </w:pPr>
          </w:p>
        </w:tc>
      </w:tr>
      <w:tr w14:paraId="00211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494" w:type="dxa"/>
            <w:gridSpan w:val="4"/>
            <w:noWrap w:val="0"/>
          </w:tcPr>
          <w:p w14:paraId="381F9D72">
            <w:pPr>
              <w:widowControl/>
              <w:spacing w:before="297" w:line="208"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1"/>
                <w:sz w:val="18"/>
                <w:szCs w:val="18"/>
                <w:highlight w:val="none"/>
                <w:lang w:eastAsia="en-US"/>
              </w:rPr>
              <w:t>采购代理机构意见</w:t>
            </w:r>
          </w:p>
        </w:tc>
        <w:tc>
          <w:tcPr>
            <w:tcW w:w="5282" w:type="dxa"/>
            <w:gridSpan w:val="4"/>
            <w:noWrap w:val="0"/>
          </w:tcPr>
          <w:p w14:paraId="39410B0C">
            <w:pPr>
              <w:widowControl/>
              <w:spacing w:before="297" w:line="207" w:lineRule="auto"/>
              <w:jc w:val="left"/>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采购人意见</w:t>
            </w:r>
          </w:p>
        </w:tc>
      </w:tr>
      <w:tr w14:paraId="3CAA1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4494" w:type="dxa"/>
            <w:gridSpan w:val="4"/>
            <w:noWrap w:val="0"/>
          </w:tcPr>
          <w:p w14:paraId="5929FBBC">
            <w:pPr>
              <w:widowControl/>
              <w:spacing w:before="59" w:line="238" w:lineRule="exact"/>
              <w:jc w:val="left"/>
              <w:rPr>
                <w:rFonts w:hint="default" w:ascii="宋体" w:hAnsi="宋体" w:eastAsia="宋体" w:cs="宋体"/>
                <w:color w:val="auto"/>
                <w:spacing w:val="1"/>
                <w:position w:val="1"/>
                <w:sz w:val="18"/>
                <w:szCs w:val="18"/>
                <w:highlight w:val="none"/>
              </w:rPr>
            </w:pPr>
            <w:r>
              <w:rPr>
                <w:rFonts w:hint="default" w:ascii="宋体" w:hAnsi="宋体" w:eastAsia="宋体" w:cs="宋体"/>
                <w:color w:val="auto"/>
                <w:spacing w:val="1"/>
                <w:position w:val="1"/>
                <w:sz w:val="18"/>
                <w:szCs w:val="18"/>
                <w:highlight w:val="none"/>
              </w:rPr>
              <w:t xml:space="preserve">经办人：         </w:t>
            </w:r>
          </w:p>
          <w:p w14:paraId="53FBDA8D">
            <w:pPr>
              <w:widowControl/>
              <w:spacing w:before="59" w:line="238" w:lineRule="exact"/>
              <w:jc w:val="left"/>
              <w:rPr>
                <w:rFonts w:hint="default" w:ascii="宋体" w:hAnsi="宋体" w:eastAsia="宋体" w:cs="宋体"/>
                <w:color w:val="auto"/>
                <w:position w:val="1"/>
                <w:sz w:val="18"/>
                <w:szCs w:val="18"/>
                <w:highlight w:val="none"/>
              </w:rPr>
            </w:pPr>
            <w:r>
              <w:rPr>
                <w:rFonts w:hint="default" w:ascii="宋体" w:hAnsi="宋体" w:eastAsia="宋体" w:cs="宋体"/>
                <w:color w:val="auto"/>
                <w:spacing w:val="1"/>
                <w:position w:val="1"/>
                <w:sz w:val="18"/>
                <w:szCs w:val="18"/>
                <w:highlight w:val="none"/>
              </w:rPr>
              <w:t>负责人</w:t>
            </w:r>
            <w:r>
              <w:rPr>
                <w:rFonts w:hint="default" w:ascii="宋体" w:hAnsi="宋体" w:eastAsia="宋体" w:cs="宋体"/>
                <w:color w:val="auto"/>
                <w:spacing w:val="-18"/>
                <w:position w:val="1"/>
                <w:sz w:val="18"/>
                <w:szCs w:val="18"/>
                <w:highlight w:val="none"/>
              </w:rPr>
              <w:t>：</w:t>
            </w:r>
            <w:r>
              <w:rPr>
                <w:rFonts w:hint="default" w:ascii="宋体" w:hAnsi="宋体" w:eastAsia="宋体" w:cs="宋体"/>
                <w:color w:val="auto"/>
                <w:position w:val="1"/>
                <w:sz w:val="18"/>
                <w:szCs w:val="18"/>
                <w:highlight w:val="none"/>
              </w:rPr>
              <w:t xml:space="preserve">           </w:t>
            </w:r>
          </w:p>
          <w:p w14:paraId="6D715CB1">
            <w:pPr>
              <w:widowControl/>
              <w:spacing w:before="59" w:line="238" w:lineRule="exact"/>
              <w:jc w:val="left"/>
              <w:rPr>
                <w:rFonts w:hint="default" w:ascii="宋体" w:hAnsi="宋体" w:eastAsia="宋体" w:cs="宋体"/>
                <w:color w:val="auto"/>
                <w:position w:val="1"/>
                <w:sz w:val="18"/>
                <w:szCs w:val="18"/>
                <w:highlight w:val="none"/>
              </w:rPr>
            </w:pPr>
          </w:p>
          <w:p w14:paraId="7EEF55F2">
            <w:pPr>
              <w:widowControl/>
              <w:spacing w:before="59" w:line="238" w:lineRule="exact"/>
              <w:jc w:val="left"/>
              <w:rPr>
                <w:rFonts w:hint="default" w:ascii="宋体" w:hAnsi="宋体" w:eastAsia="宋体" w:cs="宋体"/>
                <w:color w:val="auto"/>
                <w:sz w:val="18"/>
                <w:szCs w:val="18"/>
                <w:highlight w:val="none"/>
              </w:rPr>
            </w:pPr>
            <w:r>
              <w:rPr>
                <w:rFonts w:hint="default" w:ascii="宋体" w:hAnsi="宋体" w:eastAsia="宋体" w:cs="宋体"/>
                <w:color w:val="auto"/>
                <w:spacing w:val="-18"/>
                <w:position w:val="1"/>
                <w:sz w:val="18"/>
                <w:szCs w:val="18"/>
                <w:highlight w:val="none"/>
              </w:rPr>
              <w:t>（</w:t>
            </w:r>
            <w:r>
              <w:rPr>
                <w:rFonts w:hint="default" w:ascii="宋体" w:hAnsi="宋体" w:eastAsia="宋体" w:cs="宋体"/>
                <w:color w:val="auto"/>
                <w:spacing w:val="1"/>
                <w:position w:val="1"/>
                <w:sz w:val="18"/>
                <w:szCs w:val="18"/>
                <w:highlight w:val="none"/>
              </w:rPr>
              <w:t>采购代理机构公章）</w:t>
            </w:r>
          </w:p>
        </w:tc>
        <w:tc>
          <w:tcPr>
            <w:tcW w:w="5282" w:type="dxa"/>
            <w:gridSpan w:val="4"/>
            <w:noWrap w:val="0"/>
          </w:tcPr>
          <w:p w14:paraId="07A63382">
            <w:pPr>
              <w:widowControl/>
              <w:spacing w:before="59" w:line="238" w:lineRule="exact"/>
              <w:jc w:val="left"/>
              <w:rPr>
                <w:rFonts w:hint="default" w:ascii="宋体" w:hAnsi="宋体" w:eastAsia="宋体" w:cs="宋体"/>
                <w:color w:val="auto"/>
                <w:spacing w:val="1"/>
                <w:position w:val="1"/>
                <w:sz w:val="18"/>
                <w:szCs w:val="18"/>
                <w:highlight w:val="none"/>
              </w:rPr>
            </w:pPr>
            <w:r>
              <w:rPr>
                <w:rFonts w:hint="default" w:ascii="宋体" w:hAnsi="宋体" w:eastAsia="宋体" w:cs="宋体"/>
                <w:color w:val="auto"/>
                <w:spacing w:val="1"/>
                <w:position w:val="1"/>
                <w:sz w:val="18"/>
                <w:szCs w:val="18"/>
                <w:highlight w:val="none"/>
              </w:rPr>
              <w:t xml:space="preserve">经办人：        </w:t>
            </w:r>
          </w:p>
          <w:p w14:paraId="3AC7BF07">
            <w:pPr>
              <w:widowControl/>
              <w:spacing w:before="59" w:line="238" w:lineRule="exact"/>
              <w:jc w:val="left"/>
              <w:rPr>
                <w:rFonts w:hint="default" w:ascii="宋体" w:hAnsi="宋体" w:eastAsia="宋体" w:cs="宋体"/>
                <w:color w:val="auto"/>
                <w:position w:val="1"/>
                <w:sz w:val="18"/>
                <w:szCs w:val="18"/>
                <w:highlight w:val="none"/>
              </w:rPr>
            </w:pPr>
            <w:r>
              <w:rPr>
                <w:rFonts w:hint="default" w:ascii="宋体" w:hAnsi="宋体" w:eastAsia="宋体" w:cs="宋体"/>
                <w:color w:val="auto"/>
                <w:spacing w:val="1"/>
                <w:position w:val="1"/>
                <w:sz w:val="18"/>
                <w:szCs w:val="18"/>
                <w:highlight w:val="none"/>
              </w:rPr>
              <w:t>负责人</w:t>
            </w:r>
            <w:r>
              <w:rPr>
                <w:rFonts w:hint="default" w:ascii="宋体" w:hAnsi="宋体" w:eastAsia="宋体" w:cs="宋体"/>
                <w:color w:val="auto"/>
                <w:spacing w:val="-17"/>
                <w:position w:val="1"/>
                <w:sz w:val="18"/>
                <w:szCs w:val="18"/>
                <w:highlight w:val="none"/>
              </w:rPr>
              <w:t>：</w:t>
            </w:r>
            <w:r>
              <w:rPr>
                <w:rFonts w:hint="default" w:ascii="宋体" w:hAnsi="宋体" w:eastAsia="宋体" w:cs="宋体"/>
                <w:color w:val="auto"/>
                <w:position w:val="1"/>
                <w:sz w:val="18"/>
                <w:szCs w:val="18"/>
                <w:highlight w:val="none"/>
              </w:rPr>
              <w:t xml:space="preserve">               </w:t>
            </w:r>
          </w:p>
          <w:p w14:paraId="36230B21">
            <w:pPr>
              <w:widowControl/>
              <w:spacing w:before="59" w:line="238" w:lineRule="exact"/>
              <w:jc w:val="left"/>
              <w:rPr>
                <w:rFonts w:hint="default" w:ascii="宋体" w:hAnsi="宋体" w:eastAsia="宋体" w:cs="宋体"/>
                <w:color w:val="auto"/>
                <w:position w:val="1"/>
                <w:sz w:val="18"/>
                <w:szCs w:val="18"/>
                <w:highlight w:val="none"/>
              </w:rPr>
            </w:pPr>
          </w:p>
          <w:p w14:paraId="67FEF078">
            <w:pPr>
              <w:widowControl/>
              <w:spacing w:before="59" w:line="238" w:lineRule="exact"/>
              <w:jc w:val="left"/>
              <w:rPr>
                <w:rFonts w:hint="default" w:ascii="宋体" w:hAnsi="宋体" w:eastAsia="宋体" w:cs="宋体"/>
                <w:color w:val="auto"/>
                <w:sz w:val="18"/>
                <w:szCs w:val="18"/>
                <w:highlight w:val="none"/>
              </w:rPr>
            </w:pPr>
            <w:r>
              <w:rPr>
                <w:rFonts w:hint="default" w:ascii="宋体" w:hAnsi="宋体" w:eastAsia="宋体" w:cs="宋体"/>
                <w:color w:val="auto"/>
                <w:spacing w:val="-17"/>
                <w:position w:val="1"/>
                <w:sz w:val="18"/>
                <w:szCs w:val="18"/>
                <w:highlight w:val="none"/>
              </w:rPr>
              <w:t>（</w:t>
            </w:r>
            <w:r>
              <w:rPr>
                <w:rFonts w:hint="default" w:ascii="宋体" w:hAnsi="宋体" w:eastAsia="宋体" w:cs="宋体"/>
                <w:color w:val="auto"/>
                <w:spacing w:val="1"/>
                <w:position w:val="1"/>
                <w:sz w:val="18"/>
                <w:szCs w:val="18"/>
                <w:highlight w:val="none"/>
              </w:rPr>
              <w:t>采购人公章）</w:t>
            </w:r>
          </w:p>
        </w:tc>
      </w:tr>
      <w:tr w14:paraId="30C00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trPr>
        <w:tc>
          <w:tcPr>
            <w:tcW w:w="9776" w:type="dxa"/>
            <w:gridSpan w:val="8"/>
            <w:noWrap w:val="0"/>
          </w:tcPr>
          <w:p w14:paraId="554D9E1C">
            <w:pPr>
              <w:widowControl/>
              <w:spacing w:before="299" w:line="207" w:lineRule="auto"/>
              <w:ind w:left="112"/>
              <w:jc w:val="left"/>
              <w:rPr>
                <w:rFonts w:hint="default"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供应商确认：</w:t>
            </w:r>
          </w:p>
          <w:p w14:paraId="5783B0BB">
            <w:pPr>
              <w:widowControl/>
              <w:spacing w:line="275" w:lineRule="auto"/>
              <w:jc w:val="left"/>
              <w:rPr>
                <w:rFonts w:hint="default" w:ascii="Arial" w:hAnsi="Arial" w:eastAsia="Arial" w:cs="Arial"/>
                <w:color w:val="auto"/>
                <w:sz w:val="21"/>
                <w:szCs w:val="21"/>
                <w:highlight w:val="none"/>
              </w:rPr>
            </w:pPr>
          </w:p>
          <w:p w14:paraId="51DB57E1">
            <w:pPr>
              <w:widowControl/>
              <w:spacing w:before="58" w:line="239" w:lineRule="exact"/>
              <w:ind w:left="117"/>
              <w:jc w:val="left"/>
              <w:rPr>
                <w:rFonts w:hint="default" w:ascii="宋体" w:hAnsi="宋体" w:eastAsia="宋体" w:cs="宋体"/>
                <w:color w:val="auto"/>
                <w:sz w:val="18"/>
                <w:szCs w:val="18"/>
                <w:highlight w:val="none"/>
              </w:rPr>
            </w:pPr>
            <w:r>
              <w:rPr>
                <w:rFonts w:hint="default" w:ascii="宋体" w:hAnsi="宋体" w:eastAsia="宋体" w:cs="宋体"/>
                <w:color w:val="auto"/>
                <w:spacing w:val="-1"/>
                <w:position w:val="1"/>
                <w:sz w:val="18"/>
                <w:szCs w:val="18"/>
                <w:highlight w:val="none"/>
              </w:rPr>
              <w:t>（单位公章或授权代表签字）</w:t>
            </w:r>
          </w:p>
        </w:tc>
      </w:tr>
    </w:tbl>
    <w:p w14:paraId="40DBBE58">
      <w:pPr>
        <w:widowControl/>
        <w:spacing w:before="296" w:line="211" w:lineRule="auto"/>
        <w:ind w:left="85"/>
        <w:jc w:val="left"/>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t>说明：1.该表为服务类项目履约验收的参考样表，采购人或采购代理机构可以</w:t>
      </w:r>
      <w:r>
        <w:rPr>
          <w:rFonts w:hint="default" w:ascii="宋体" w:hAnsi="宋体" w:eastAsia="宋体" w:cs="宋体"/>
          <w:color w:val="auto"/>
          <w:spacing w:val="-1"/>
          <w:sz w:val="18"/>
          <w:szCs w:val="18"/>
          <w:highlight w:val="none"/>
        </w:rPr>
        <w:t>根据工作实际进行调整。</w:t>
      </w:r>
    </w:p>
    <w:p w14:paraId="6F78DE58">
      <w:pPr>
        <w:widowControl/>
        <w:spacing w:before="59" w:line="211" w:lineRule="auto"/>
        <w:jc w:val="left"/>
        <w:rPr>
          <w:rFonts w:hint="default" w:ascii="宋体" w:hAnsi="宋体" w:eastAsia="宋体" w:cs="宋体"/>
          <w:b/>
          <w:color w:val="auto"/>
          <w:sz w:val="21"/>
          <w:szCs w:val="21"/>
          <w:highlight w:val="none"/>
        </w:rPr>
      </w:pPr>
      <w:r>
        <w:rPr>
          <w:rFonts w:hint="default" w:ascii="宋体" w:hAnsi="宋体" w:eastAsia="宋体" w:cs="宋体"/>
          <w:color w:val="auto"/>
          <w:sz w:val="18"/>
          <w:szCs w:val="18"/>
          <w:highlight w:val="none"/>
        </w:rPr>
        <w:t>2.未委托采购代理机构开展履约验收工作的，无需填写“</w:t>
      </w:r>
      <w:r>
        <w:rPr>
          <w:rFonts w:hint="default" w:ascii="宋体" w:hAnsi="宋体" w:eastAsia="宋体" w:cs="宋体"/>
          <w:color w:val="auto"/>
          <w:spacing w:val="-1"/>
          <w:sz w:val="18"/>
          <w:szCs w:val="18"/>
          <w:highlight w:val="none"/>
        </w:rPr>
        <w:t>采购代理机构意见</w:t>
      </w:r>
      <w:r>
        <w:rPr>
          <w:rFonts w:hint="default" w:ascii="宋体" w:hAnsi="宋体" w:eastAsia="宋体" w:cs="宋体"/>
          <w:color w:val="auto"/>
          <w:spacing w:val="-66"/>
          <w:sz w:val="18"/>
          <w:szCs w:val="18"/>
          <w:highlight w:val="none"/>
        </w:rPr>
        <w:t xml:space="preserve"> </w:t>
      </w:r>
      <w:r>
        <w:rPr>
          <w:rFonts w:hint="default" w:ascii="宋体" w:hAnsi="宋体" w:eastAsia="宋体" w:cs="宋体"/>
          <w:color w:val="auto"/>
          <w:spacing w:val="-1"/>
          <w:sz w:val="18"/>
          <w:szCs w:val="18"/>
          <w:highlight w:val="none"/>
        </w:rPr>
        <w:t>”。</w:t>
      </w:r>
    </w:p>
    <w:p w14:paraId="22DA0113">
      <w:pPr>
        <w:widowControl/>
        <w:spacing w:line="360" w:lineRule="auto"/>
        <w:jc w:val="both"/>
        <w:outlineLvl w:val="0"/>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附件2：</w:t>
      </w:r>
    </w:p>
    <w:p w14:paraId="2137212D">
      <w:pPr>
        <w:keepNext/>
        <w:keepLines/>
        <w:widowControl w:val="0"/>
        <w:spacing w:before="320" w:after="200"/>
        <w:jc w:val="center"/>
        <w:outlineLvl w:val="2"/>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政府采购履约验收通知单（参考样本）</w:t>
      </w:r>
    </w:p>
    <w:p w14:paraId="44879AF5">
      <w:pPr>
        <w:widowControl/>
        <w:spacing w:before="216" w:line="214" w:lineRule="auto"/>
        <w:ind w:left="85"/>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供应商：</w:t>
      </w:r>
    </w:p>
    <w:p w14:paraId="43E79C01">
      <w:pPr>
        <w:widowControl/>
        <w:spacing w:line="44" w:lineRule="exact"/>
        <w:jc w:val="left"/>
        <w:rPr>
          <w:rFonts w:hint="default" w:ascii="宋体" w:hAnsi="宋体" w:eastAsia="宋体" w:cs="宋体"/>
          <w:color w:val="auto"/>
          <w:sz w:val="21"/>
          <w:szCs w:val="21"/>
          <w:highlight w:val="none"/>
          <w:lang w:eastAsia="en-US"/>
        </w:rPr>
      </w:pPr>
    </w:p>
    <w:tbl>
      <w:tblPr>
        <w:tblStyle w:val="30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56D21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noWrap w:val="0"/>
          </w:tcPr>
          <w:p w14:paraId="47D2A1B1">
            <w:pPr>
              <w:widowControl/>
              <w:spacing w:before="249" w:line="212" w:lineRule="auto"/>
              <w:ind w:left="961"/>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采购人</w:t>
            </w:r>
          </w:p>
        </w:tc>
        <w:tc>
          <w:tcPr>
            <w:tcW w:w="6708" w:type="dxa"/>
            <w:gridSpan w:val="3"/>
            <w:noWrap w:val="0"/>
          </w:tcPr>
          <w:p w14:paraId="53FB3495">
            <w:pPr>
              <w:widowControl w:val="0"/>
              <w:jc w:val="left"/>
              <w:rPr>
                <w:rFonts w:hint="default" w:ascii="宋体" w:hAnsi="宋体" w:eastAsia="宋体" w:cs="宋体"/>
                <w:color w:val="auto"/>
                <w:sz w:val="21"/>
                <w:szCs w:val="21"/>
                <w:highlight w:val="none"/>
                <w:lang w:eastAsia="en-US"/>
              </w:rPr>
            </w:pPr>
          </w:p>
        </w:tc>
      </w:tr>
      <w:tr w14:paraId="6F1E8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0FDDFE0A">
            <w:pPr>
              <w:widowControl/>
              <w:spacing w:before="249" w:line="211" w:lineRule="auto"/>
              <w:ind w:left="841"/>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项目名称</w:t>
            </w:r>
          </w:p>
        </w:tc>
        <w:tc>
          <w:tcPr>
            <w:tcW w:w="6708" w:type="dxa"/>
            <w:gridSpan w:val="3"/>
            <w:noWrap w:val="0"/>
          </w:tcPr>
          <w:p w14:paraId="77CB4F49">
            <w:pPr>
              <w:widowControl w:val="0"/>
              <w:jc w:val="left"/>
              <w:rPr>
                <w:rFonts w:hint="default" w:ascii="宋体" w:hAnsi="宋体" w:eastAsia="宋体" w:cs="宋体"/>
                <w:color w:val="auto"/>
                <w:sz w:val="21"/>
                <w:szCs w:val="21"/>
                <w:highlight w:val="none"/>
                <w:lang w:eastAsia="en-US"/>
              </w:rPr>
            </w:pPr>
          </w:p>
        </w:tc>
      </w:tr>
      <w:tr w14:paraId="77B02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631DBE50">
            <w:pPr>
              <w:widowControl/>
              <w:spacing w:before="247" w:line="213" w:lineRule="auto"/>
              <w:ind w:left="841"/>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合同名称</w:t>
            </w:r>
          </w:p>
        </w:tc>
        <w:tc>
          <w:tcPr>
            <w:tcW w:w="6708" w:type="dxa"/>
            <w:gridSpan w:val="3"/>
            <w:noWrap w:val="0"/>
          </w:tcPr>
          <w:p w14:paraId="3C1A37BE">
            <w:pPr>
              <w:widowControl w:val="0"/>
              <w:jc w:val="left"/>
              <w:rPr>
                <w:rFonts w:hint="default" w:ascii="宋体" w:hAnsi="宋体" w:eastAsia="宋体" w:cs="宋体"/>
                <w:color w:val="auto"/>
                <w:sz w:val="21"/>
                <w:szCs w:val="21"/>
                <w:highlight w:val="none"/>
                <w:lang w:eastAsia="en-US"/>
              </w:rPr>
            </w:pPr>
          </w:p>
        </w:tc>
      </w:tr>
      <w:tr w14:paraId="2DA1E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40398927">
            <w:pPr>
              <w:widowControl/>
              <w:spacing w:before="247" w:line="212" w:lineRule="auto"/>
              <w:ind w:left="841"/>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合同编号</w:t>
            </w:r>
          </w:p>
        </w:tc>
        <w:tc>
          <w:tcPr>
            <w:tcW w:w="1961" w:type="dxa"/>
            <w:noWrap w:val="0"/>
          </w:tcPr>
          <w:p w14:paraId="24D10854">
            <w:pPr>
              <w:widowControl w:val="0"/>
              <w:jc w:val="left"/>
              <w:rPr>
                <w:rFonts w:hint="default" w:ascii="宋体" w:hAnsi="宋体" w:eastAsia="宋体" w:cs="宋体"/>
                <w:color w:val="auto"/>
                <w:sz w:val="21"/>
                <w:szCs w:val="21"/>
                <w:highlight w:val="none"/>
                <w:lang w:eastAsia="en-US"/>
              </w:rPr>
            </w:pPr>
          </w:p>
        </w:tc>
        <w:tc>
          <w:tcPr>
            <w:tcW w:w="2139" w:type="dxa"/>
            <w:noWrap w:val="0"/>
          </w:tcPr>
          <w:p w14:paraId="31071C22">
            <w:pPr>
              <w:widowControl/>
              <w:spacing w:before="247" w:line="213" w:lineRule="auto"/>
              <w:ind w:left="607"/>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合同金额</w:t>
            </w:r>
          </w:p>
        </w:tc>
        <w:tc>
          <w:tcPr>
            <w:tcW w:w="2608" w:type="dxa"/>
            <w:noWrap w:val="0"/>
          </w:tcPr>
          <w:p w14:paraId="7EEB5E2C">
            <w:pPr>
              <w:widowControl w:val="0"/>
              <w:jc w:val="left"/>
              <w:rPr>
                <w:rFonts w:hint="default" w:ascii="宋体" w:hAnsi="宋体" w:eastAsia="宋体" w:cs="宋体"/>
                <w:color w:val="auto"/>
                <w:sz w:val="21"/>
                <w:szCs w:val="21"/>
                <w:highlight w:val="none"/>
                <w:lang w:eastAsia="en-US"/>
              </w:rPr>
            </w:pPr>
          </w:p>
        </w:tc>
      </w:tr>
      <w:tr w14:paraId="24D69D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137196D1">
            <w:pPr>
              <w:widowControl/>
              <w:spacing w:before="248" w:line="212" w:lineRule="auto"/>
              <w:ind w:left="841"/>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验收时间</w:t>
            </w:r>
          </w:p>
        </w:tc>
        <w:tc>
          <w:tcPr>
            <w:tcW w:w="1961" w:type="dxa"/>
            <w:noWrap w:val="0"/>
          </w:tcPr>
          <w:p w14:paraId="19A4DD3F">
            <w:pPr>
              <w:widowControl w:val="0"/>
              <w:jc w:val="left"/>
              <w:rPr>
                <w:rFonts w:hint="default" w:ascii="宋体" w:hAnsi="宋体" w:eastAsia="宋体" w:cs="宋体"/>
                <w:color w:val="auto"/>
                <w:sz w:val="21"/>
                <w:szCs w:val="21"/>
                <w:highlight w:val="none"/>
                <w:lang w:eastAsia="en-US"/>
              </w:rPr>
            </w:pPr>
          </w:p>
        </w:tc>
        <w:tc>
          <w:tcPr>
            <w:tcW w:w="2139" w:type="dxa"/>
            <w:noWrap w:val="0"/>
          </w:tcPr>
          <w:p w14:paraId="3AE07CAF">
            <w:pPr>
              <w:widowControl/>
              <w:spacing w:before="248" w:line="213" w:lineRule="auto"/>
              <w:ind w:left="607"/>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验收地点</w:t>
            </w:r>
          </w:p>
        </w:tc>
        <w:tc>
          <w:tcPr>
            <w:tcW w:w="2608" w:type="dxa"/>
            <w:noWrap w:val="0"/>
          </w:tcPr>
          <w:p w14:paraId="7A1D5287">
            <w:pPr>
              <w:widowControl w:val="0"/>
              <w:jc w:val="left"/>
              <w:rPr>
                <w:rFonts w:hint="default" w:ascii="宋体" w:hAnsi="宋体" w:eastAsia="宋体" w:cs="宋体"/>
                <w:color w:val="auto"/>
                <w:sz w:val="21"/>
                <w:szCs w:val="21"/>
                <w:highlight w:val="none"/>
                <w:lang w:eastAsia="en-US"/>
              </w:rPr>
            </w:pPr>
          </w:p>
        </w:tc>
      </w:tr>
      <w:tr w14:paraId="47002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083C841E">
            <w:pPr>
              <w:widowControl/>
              <w:spacing w:before="248" w:line="213" w:lineRule="auto"/>
              <w:ind w:left="960"/>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联系人</w:t>
            </w:r>
          </w:p>
        </w:tc>
        <w:tc>
          <w:tcPr>
            <w:tcW w:w="1961" w:type="dxa"/>
            <w:noWrap w:val="0"/>
          </w:tcPr>
          <w:p w14:paraId="2051A933">
            <w:pPr>
              <w:widowControl w:val="0"/>
              <w:jc w:val="left"/>
              <w:rPr>
                <w:rFonts w:hint="default" w:ascii="宋体" w:hAnsi="宋体" w:eastAsia="宋体" w:cs="宋体"/>
                <w:color w:val="auto"/>
                <w:sz w:val="21"/>
                <w:szCs w:val="21"/>
                <w:highlight w:val="none"/>
                <w:lang w:eastAsia="en-US"/>
              </w:rPr>
            </w:pPr>
          </w:p>
        </w:tc>
        <w:tc>
          <w:tcPr>
            <w:tcW w:w="2139" w:type="dxa"/>
            <w:noWrap w:val="0"/>
          </w:tcPr>
          <w:p w14:paraId="65795318">
            <w:pPr>
              <w:widowControl/>
              <w:spacing w:before="248" w:line="213" w:lineRule="auto"/>
              <w:ind w:left="605"/>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联系电话</w:t>
            </w:r>
          </w:p>
        </w:tc>
        <w:tc>
          <w:tcPr>
            <w:tcW w:w="2608" w:type="dxa"/>
            <w:noWrap w:val="0"/>
          </w:tcPr>
          <w:p w14:paraId="7D969C99">
            <w:pPr>
              <w:widowControl w:val="0"/>
              <w:jc w:val="left"/>
              <w:rPr>
                <w:rFonts w:hint="default" w:ascii="宋体" w:hAnsi="宋体" w:eastAsia="宋体" w:cs="宋体"/>
                <w:color w:val="auto"/>
                <w:sz w:val="21"/>
                <w:szCs w:val="21"/>
                <w:highlight w:val="none"/>
                <w:lang w:eastAsia="en-US"/>
              </w:rPr>
            </w:pPr>
          </w:p>
        </w:tc>
      </w:tr>
      <w:tr w14:paraId="31FDB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noWrap w:val="0"/>
          </w:tcPr>
          <w:p w14:paraId="1F341A5F">
            <w:pPr>
              <w:widowControl/>
              <w:spacing w:before="250" w:line="212" w:lineRule="auto"/>
              <w:ind w:left="3353"/>
              <w:jc w:val="left"/>
              <w:rPr>
                <w:rFonts w:hint="default"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履约验收方案及工作要求</w:t>
            </w:r>
          </w:p>
        </w:tc>
      </w:tr>
      <w:tr w14:paraId="53167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9" w:hRule="atLeast"/>
        </w:trPr>
        <w:tc>
          <w:tcPr>
            <w:tcW w:w="9318" w:type="dxa"/>
            <w:gridSpan w:val="4"/>
            <w:noWrap w:val="0"/>
          </w:tcPr>
          <w:p w14:paraId="33FCA067">
            <w:pPr>
              <w:widowControl w:val="0"/>
              <w:spacing w:line="241" w:lineRule="auto"/>
              <w:jc w:val="left"/>
              <w:rPr>
                <w:rFonts w:hint="default" w:ascii="宋体" w:hAnsi="宋体" w:eastAsia="宋体" w:cs="宋体"/>
                <w:color w:val="auto"/>
                <w:sz w:val="21"/>
                <w:szCs w:val="21"/>
                <w:highlight w:val="none"/>
              </w:rPr>
            </w:pPr>
          </w:p>
          <w:p w14:paraId="5CDC45BB">
            <w:pPr>
              <w:widowControl w:val="0"/>
              <w:spacing w:line="241" w:lineRule="auto"/>
              <w:jc w:val="left"/>
              <w:rPr>
                <w:rFonts w:hint="default" w:ascii="宋体" w:hAnsi="宋体" w:eastAsia="宋体" w:cs="宋体"/>
                <w:color w:val="auto"/>
                <w:sz w:val="21"/>
                <w:szCs w:val="21"/>
                <w:highlight w:val="none"/>
              </w:rPr>
            </w:pPr>
          </w:p>
          <w:p w14:paraId="48AFBFD5">
            <w:pPr>
              <w:widowControl w:val="0"/>
              <w:spacing w:line="241" w:lineRule="auto"/>
              <w:jc w:val="left"/>
              <w:rPr>
                <w:rFonts w:hint="default" w:ascii="宋体" w:hAnsi="宋体" w:eastAsia="宋体" w:cs="宋体"/>
                <w:color w:val="auto"/>
                <w:sz w:val="21"/>
                <w:szCs w:val="21"/>
                <w:highlight w:val="none"/>
              </w:rPr>
            </w:pPr>
          </w:p>
          <w:p w14:paraId="60AF6CDD">
            <w:pPr>
              <w:widowControl w:val="0"/>
              <w:spacing w:line="241" w:lineRule="auto"/>
              <w:jc w:val="left"/>
              <w:rPr>
                <w:rFonts w:hint="default" w:ascii="宋体" w:hAnsi="宋体" w:eastAsia="宋体" w:cs="宋体"/>
                <w:color w:val="auto"/>
                <w:sz w:val="21"/>
                <w:szCs w:val="21"/>
                <w:highlight w:val="none"/>
              </w:rPr>
            </w:pPr>
          </w:p>
          <w:p w14:paraId="5044F51D">
            <w:pPr>
              <w:widowControl w:val="0"/>
              <w:spacing w:line="241" w:lineRule="auto"/>
              <w:jc w:val="left"/>
              <w:rPr>
                <w:rFonts w:hint="default" w:ascii="宋体" w:hAnsi="宋体" w:eastAsia="宋体" w:cs="宋体"/>
                <w:color w:val="auto"/>
                <w:sz w:val="21"/>
                <w:szCs w:val="21"/>
                <w:highlight w:val="none"/>
              </w:rPr>
            </w:pPr>
          </w:p>
          <w:p w14:paraId="54BDFB4C">
            <w:pPr>
              <w:widowControl w:val="0"/>
              <w:spacing w:line="241" w:lineRule="auto"/>
              <w:jc w:val="left"/>
              <w:rPr>
                <w:rFonts w:hint="default" w:ascii="宋体" w:hAnsi="宋体" w:eastAsia="宋体" w:cs="宋体"/>
                <w:color w:val="auto"/>
                <w:sz w:val="21"/>
                <w:szCs w:val="21"/>
                <w:highlight w:val="none"/>
              </w:rPr>
            </w:pPr>
          </w:p>
          <w:p w14:paraId="1145309F">
            <w:pPr>
              <w:widowControl w:val="0"/>
              <w:spacing w:line="241" w:lineRule="auto"/>
              <w:jc w:val="left"/>
              <w:rPr>
                <w:rFonts w:hint="default" w:ascii="宋体" w:hAnsi="宋体" w:eastAsia="宋体" w:cs="宋体"/>
                <w:color w:val="auto"/>
                <w:sz w:val="21"/>
                <w:szCs w:val="21"/>
                <w:highlight w:val="none"/>
              </w:rPr>
            </w:pPr>
          </w:p>
          <w:p w14:paraId="7931A2F9">
            <w:pPr>
              <w:widowControl w:val="0"/>
              <w:spacing w:line="241" w:lineRule="auto"/>
              <w:jc w:val="left"/>
              <w:rPr>
                <w:rFonts w:hint="default" w:ascii="宋体" w:hAnsi="宋体" w:eastAsia="宋体" w:cs="宋体"/>
                <w:color w:val="auto"/>
                <w:sz w:val="21"/>
                <w:szCs w:val="21"/>
                <w:highlight w:val="none"/>
              </w:rPr>
            </w:pPr>
          </w:p>
          <w:p w14:paraId="3540D739">
            <w:pPr>
              <w:widowControl w:val="0"/>
              <w:spacing w:line="241" w:lineRule="auto"/>
              <w:jc w:val="left"/>
              <w:rPr>
                <w:rFonts w:hint="default" w:ascii="宋体" w:hAnsi="宋体" w:eastAsia="宋体" w:cs="宋体"/>
                <w:color w:val="auto"/>
                <w:sz w:val="21"/>
                <w:szCs w:val="21"/>
                <w:highlight w:val="none"/>
              </w:rPr>
            </w:pPr>
          </w:p>
          <w:p w14:paraId="427F5E11">
            <w:pPr>
              <w:widowControl w:val="0"/>
              <w:spacing w:line="241" w:lineRule="auto"/>
              <w:jc w:val="left"/>
              <w:rPr>
                <w:rFonts w:hint="default" w:ascii="宋体" w:hAnsi="宋体" w:eastAsia="宋体" w:cs="宋体"/>
                <w:color w:val="auto"/>
                <w:sz w:val="21"/>
                <w:szCs w:val="21"/>
                <w:highlight w:val="none"/>
              </w:rPr>
            </w:pPr>
          </w:p>
          <w:p w14:paraId="324DED31">
            <w:pPr>
              <w:widowControl w:val="0"/>
              <w:spacing w:line="241" w:lineRule="auto"/>
              <w:jc w:val="left"/>
              <w:rPr>
                <w:rFonts w:hint="default" w:ascii="宋体" w:hAnsi="宋体" w:eastAsia="宋体" w:cs="宋体"/>
                <w:color w:val="auto"/>
                <w:sz w:val="21"/>
                <w:szCs w:val="21"/>
                <w:highlight w:val="none"/>
              </w:rPr>
            </w:pPr>
          </w:p>
          <w:p w14:paraId="1C4FC403">
            <w:pPr>
              <w:widowControl w:val="0"/>
              <w:spacing w:line="241" w:lineRule="auto"/>
              <w:jc w:val="left"/>
              <w:rPr>
                <w:rFonts w:hint="default" w:ascii="宋体" w:hAnsi="宋体" w:eastAsia="宋体" w:cs="宋体"/>
                <w:color w:val="auto"/>
                <w:sz w:val="21"/>
                <w:szCs w:val="21"/>
                <w:highlight w:val="none"/>
              </w:rPr>
            </w:pPr>
          </w:p>
          <w:p w14:paraId="290D248C">
            <w:pPr>
              <w:widowControl w:val="0"/>
              <w:spacing w:line="241" w:lineRule="auto"/>
              <w:jc w:val="left"/>
              <w:rPr>
                <w:rFonts w:hint="default" w:ascii="宋体" w:hAnsi="宋体" w:eastAsia="宋体" w:cs="宋体"/>
                <w:color w:val="auto"/>
                <w:sz w:val="21"/>
                <w:szCs w:val="21"/>
                <w:highlight w:val="none"/>
              </w:rPr>
            </w:pPr>
          </w:p>
          <w:p w14:paraId="04B0C727">
            <w:pPr>
              <w:widowControl w:val="0"/>
              <w:spacing w:line="241" w:lineRule="auto"/>
              <w:jc w:val="left"/>
              <w:rPr>
                <w:rFonts w:hint="default" w:ascii="宋体" w:hAnsi="宋体" w:eastAsia="宋体" w:cs="宋体"/>
                <w:color w:val="auto"/>
                <w:sz w:val="21"/>
                <w:szCs w:val="21"/>
                <w:highlight w:val="none"/>
              </w:rPr>
            </w:pPr>
          </w:p>
          <w:p w14:paraId="56E09788">
            <w:pPr>
              <w:widowControl w:val="0"/>
              <w:spacing w:line="241" w:lineRule="auto"/>
              <w:jc w:val="left"/>
              <w:rPr>
                <w:rFonts w:hint="default" w:ascii="宋体" w:hAnsi="宋体" w:eastAsia="宋体" w:cs="宋体"/>
                <w:color w:val="auto"/>
                <w:sz w:val="21"/>
                <w:szCs w:val="21"/>
                <w:highlight w:val="none"/>
              </w:rPr>
            </w:pPr>
          </w:p>
          <w:p w14:paraId="7E012F1A">
            <w:pPr>
              <w:widowControl w:val="0"/>
              <w:spacing w:line="241" w:lineRule="auto"/>
              <w:jc w:val="left"/>
              <w:rPr>
                <w:rFonts w:hint="default" w:ascii="宋体" w:hAnsi="宋体" w:eastAsia="宋体" w:cs="宋体"/>
                <w:color w:val="auto"/>
                <w:sz w:val="21"/>
                <w:szCs w:val="21"/>
                <w:highlight w:val="none"/>
              </w:rPr>
            </w:pPr>
          </w:p>
          <w:p w14:paraId="1A196B56">
            <w:pPr>
              <w:widowControl w:val="0"/>
              <w:spacing w:line="242" w:lineRule="auto"/>
              <w:jc w:val="left"/>
              <w:rPr>
                <w:rFonts w:hint="default" w:ascii="宋体" w:hAnsi="宋体" w:eastAsia="宋体" w:cs="宋体"/>
                <w:color w:val="auto"/>
                <w:sz w:val="21"/>
                <w:szCs w:val="21"/>
                <w:highlight w:val="none"/>
              </w:rPr>
            </w:pPr>
          </w:p>
          <w:p w14:paraId="16DE4358">
            <w:pPr>
              <w:widowControl w:val="0"/>
              <w:spacing w:line="242" w:lineRule="auto"/>
              <w:jc w:val="left"/>
              <w:rPr>
                <w:rFonts w:hint="default" w:ascii="宋体" w:hAnsi="宋体" w:eastAsia="宋体" w:cs="宋体"/>
                <w:color w:val="auto"/>
                <w:sz w:val="21"/>
                <w:szCs w:val="21"/>
                <w:highlight w:val="none"/>
              </w:rPr>
            </w:pPr>
          </w:p>
          <w:p w14:paraId="2B780CA8">
            <w:pPr>
              <w:widowControl/>
              <w:spacing w:before="75" w:line="507" w:lineRule="auto"/>
              <w:ind w:left="5128" w:right="2893" w:firstLine="183"/>
              <w:jc w:val="left"/>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单位公章</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日</w:t>
            </w:r>
          </w:p>
        </w:tc>
      </w:tr>
    </w:tbl>
    <w:p w14:paraId="7A36E0E4">
      <w:pPr>
        <w:widowControl w:val="0"/>
        <w:spacing w:line="400" w:lineRule="exact"/>
        <w:ind w:right="-7" w:firstLine="420"/>
        <w:jc w:val="left"/>
        <w:rPr>
          <w:rFonts w:hint="eastAsia" w:ascii="楷体_GB2312" w:hAnsi="Arial" w:eastAsia="楷体_GB2312" w:cs="Times New Roman"/>
          <w:color w:val="auto"/>
          <w:sz w:val="24"/>
          <w:szCs w:val="24"/>
          <w:highlight w:val="none"/>
          <w:lang w:val="en-US" w:eastAsia="zh-CN" w:bidi="ar-SA"/>
        </w:rPr>
      </w:pPr>
    </w:p>
    <w:p w14:paraId="1F538F9F">
      <w:pPr>
        <w:rPr>
          <w:rFonts w:hint="eastAsia" w:hAnsi="宋体"/>
          <w:b/>
          <w:color w:val="auto"/>
          <w:sz w:val="44"/>
          <w:szCs w:val="44"/>
          <w:highlight w:val="none"/>
        </w:rPr>
      </w:pPr>
      <w:r>
        <w:rPr>
          <w:rFonts w:hint="eastAsia" w:hAnsi="宋体"/>
          <w:b/>
          <w:color w:val="auto"/>
          <w:sz w:val="44"/>
          <w:szCs w:val="44"/>
          <w:highlight w:val="none"/>
        </w:rPr>
        <w:br w:type="page" w:clear="all"/>
      </w:r>
    </w:p>
    <w:p w14:paraId="5D7DF9B7">
      <w:pPr>
        <w:spacing w:line="360" w:lineRule="auto"/>
        <w:jc w:val="center"/>
        <w:rPr>
          <w:rFonts w:ascii="宋体"/>
          <w:b/>
          <w:color w:val="auto"/>
          <w:sz w:val="44"/>
          <w:szCs w:val="44"/>
          <w:highlight w:val="none"/>
        </w:rPr>
      </w:pPr>
      <w:r>
        <w:rPr>
          <w:rFonts w:hint="eastAsia" w:hAnsi="宋体"/>
          <w:b/>
          <w:color w:val="auto"/>
          <w:sz w:val="44"/>
          <w:szCs w:val="44"/>
          <w:highlight w:val="none"/>
        </w:rPr>
        <w:t xml:space="preserve">第四部分 </w:t>
      </w:r>
      <w:r>
        <w:rPr>
          <w:rFonts w:hint="eastAsia" w:ascii="宋体"/>
          <w:b/>
          <w:color w:val="auto"/>
          <w:sz w:val="44"/>
          <w:szCs w:val="44"/>
          <w:highlight w:val="none"/>
        </w:rPr>
        <w:t>投标文件格式</w:t>
      </w:r>
    </w:p>
    <w:p w14:paraId="4B071504">
      <w:pPr>
        <w:spacing w:line="360" w:lineRule="auto"/>
        <w:jc w:val="left"/>
        <w:rPr>
          <w:rFonts w:ascii="宋体" w:hAnsi="宋体"/>
          <w:color w:val="auto"/>
          <w:highlight w:val="none"/>
        </w:rPr>
      </w:pPr>
      <w:r>
        <w:rPr>
          <w:rFonts w:hint="eastAsia" w:ascii="宋体" w:hAnsi="宋体"/>
          <w:color w:val="auto"/>
          <w:highlight w:val="none"/>
        </w:rPr>
        <w:t>说明：</w:t>
      </w:r>
    </w:p>
    <w:p w14:paraId="4F03660F">
      <w:pPr>
        <w:spacing w:line="360" w:lineRule="auto"/>
        <w:ind w:firstLine="420"/>
        <w:jc w:val="left"/>
        <w:rPr>
          <w:rFonts w:ascii="宋体" w:hAnsi="宋体"/>
          <w:color w:val="auto"/>
          <w:highlight w:val="none"/>
        </w:rPr>
      </w:pPr>
      <w:r>
        <w:rPr>
          <w:rFonts w:hint="eastAsia" w:ascii="宋体" w:hAnsi="宋体"/>
          <w:color w:val="auto"/>
          <w:highlight w:val="none"/>
        </w:rPr>
        <w:t>1.对本章所有的投标书格式，投标方可根据自身情况进行补充和修改，但补充和修改不得造成与本格式内容有实质性的违背。</w:t>
      </w:r>
      <w:bookmarkEnd w:id="10"/>
    </w:p>
    <w:p w14:paraId="56C0B852">
      <w:pPr>
        <w:pStyle w:val="3"/>
        <w:rPr>
          <w:color w:val="auto"/>
          <w:highlight w:val="none"/>
        </w:rPr>
      </w:pPr>
    </w:p>
    <w:p w14:paraId="78F554DD">
      <w:pPr>
        <w:numPr>
          <w:ilvl w:val="0"/>
          <w:numId w:val="0"/>
        </w:numPr>
        <w:ind w:left="403"/>
        <w:rPr>
          <w:rFonts w:ascii="宋体" w:hAnsi="宋体"/>
          <w:b/>
          <w:color w:val="auto"/>
          <w:sz w:val="28"/>
          <w:szCs w:val="28"/>
          <w:highlight w:val="none"/>
        </w:rPr>
      </w:pPr>
      <w:r>
        <w:rPr>
          <w:rFonts w:ascii="宋体" w:hAnsi="宋体"/>
          <w:b/>
          <w:color w:val="auto"/>
          <w:sz w:val="28"/>
          <w:szCs w:val="28"/>
          <w:highlight w:val="none"/>
        </w:rPr>
        <w:t>封面：</w:t>
      </w:r>
    </w:p>
    <w:p w14:paraId="58FE114A">
      <w:pPr>
        <w:pStyle w:val="23"/>
        <w:rPr>
          <w:color w:val="auto"/>
          <w:highlight w:val="none"/>
        </w:rPr>
      </w:pPr>
    </w:p>
    <w:p w14:paraId="2576160B">
      <w:pPr>
        <w:jc w:val="center"/>
        <w:rPr>
          <w:b/>
          <w:color w:val="auto"/>
          <w:sz w:val="72"/>
          <w:szCs w:val="72"/>
          <w:highlight w:val="none"/>
        </w:rPr>
      </w:pPr>
      <w:r>
        <w:rPr>
          <w:b/>
          <w:color w:val="auto"/>
          <w:sz w:val="72"/>
          <w:szCs w:val="72"/>
          <w:highlight w:val="none"/>
        </w:rPr>
        <w:t>投   标   文   件</w:t>
      </w:r>
    </w:p>
    <w:p w14:paraId="79A3B187">
      <w:pPr>
        <w:rPr>
          <w:b/>
          <w:color w:val="auto"/>
          <w:sz w:val="36"/>
          <w:szCs w:val="36"/>
          <w:highlight w:val="none"/>
        </w:rPr>
      </w:pPr>
    </w:p>
    <w:p w14:paraId="61504C60">
      <w:pPr>
        <w:keepNext w:val="0"/>
        <w:keepLines w:val="0"/>
        <w:pageBreakBefore w:val="0"/>
        <w:widowControl w:val="0"/>
        <w:spacing w:before="306" w:line="480" w:lineRule="auto"/>
        <w:ind w:left="0" w:firstLine="702"/>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采 购 方：</w:t>
      </w:r>
      <w:r>
        <w:rPr>
          <w:rFonts w:hint="eastAsia" w:ascii="宋体" w:hAnsi="宋体" w:cs="宋体"/>
          <w:b/>
          <w:color w:val="auto"/>
          <w:sz w:val="30"/>
          <w:szCs w:val="30"/>
          <w:highlight w:val="none"/>
          <w:lang w:eastAsia="zh-CN"/>
        </w:rPr>
        <w:t>太仓港经济技术开发区管理委员会</w:t>
      </w:r>
    </w:p>
    <w:p w14:paraId="78B3EA37">
      <w:pPr>
        <w:keepNext w:val="0"/>
        <w:keepLines w:val="0"/>
        <w:pageBreakBefore w:val="0"/>
        <w:widowControl w:val="0"/>
        <w:spacing w:before="306" w:line="480" w:lineRule="auto"/>
        <w:ind w:left="0" w:firstLine="70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项目名称：</w:t>
      </w:r>
      <w:r>
        <w:rPr>
          <w:rFonts w:hint="eastAsia" w:ascii="宋体" w:hAnsi="宋体" w:cs="宋体"/>
          <w:b/>
          <w:color w:val="auto"/>
          <w:sz w:val="30"/>
          <w:szCs w:val="30"/>
          <w:highlight w:val="none"/>
          <w:lang w:eastAsia="zh-CN"/>
        </w:rPr>
        <w:t>2026年度化工园区应急指挥中心运维服务</w:t>
      </w:r>
    </w:p>
    <w:p w14:paraId="4C2F01CB">
      <w:pPr>
        <w:keepNext w:val="0"/>
        <w:keepLines w:val="0"/>
        <w:pageBreakBefore w:val="0"/>
        <w:widowControl w:val="0"/>
        <w:spacing w:before="306" w:line="480" w:lineRule="auto"/>
        <w:ind w:left="0" w:firstLine="702"/>
        <w:rPr>
          <w:rFonts w:hint="eastAsia" w:eastAsia="宋体"/>
          <w:b/>
          <w:color w:val="auto"/>
          <w:sz w:val="36"/>
          <w:szCs w:val="36"/>
          <w:highlight w:val="none"/>
          <w:lang w:eastAsia="zh-CN"/>
        </w:rPr>
      </w:pPr>
      <w:r>
        <w:rPr>
          <w:b/>
          <w:color w:val="auto"/>
          <w:sz w:val="30"/>
          <w:szCs w:val="30"/>
          <w:highlight w:val="none"/>
        </w:rPr>
        <w:t>项目编号：</w:t>
      </w:r>
      <w:r>
        <w:rPr>
          <w:rFonts w:hint="eastAsia"/>
          <w:b/>
          <w:color w:val="auto"/>
          <w:sz w:val="30"/>
          <w:szCs w:val="30"/>
          <w:highlight w:val="none"/>
          <w:lang w:eastAsia="zh-CN"/>
        </w:rPr>
        <w:t>JSZC-320585-HJSZ-G2026-0002</w:t>
      </w:r>
    </w:p>
    <w:p w14:paraId="0C1C2D69">
      <w:pPr>
        <w:spacing w:line="600" w:lineRule="exact"/>
        <w:rPr>
          <w:b/>
          <w:color w:val="auto"/>
          <w:sz w:val="10"/>
          <w:szCs w:val="10"/>
          <w:highlight w:val="none"/>
        </w:rPr>
      </w:pPr>
    </w:p>
    <w:p w14:paraId="437EA943">
      <w:pPr>
        <w:ind w:firstLine="2530"/>
        <w:rPr>
          <w:b/>
          <w:color w:val="auto"/>
          <w:sz w:val="36"/>
          <w:szCs w:val="36"/>
          <w:highlight w:val="none"/>
        </w:rPr>
      </w:pPr>
    </w:p>
    <w:p w14:paraId="235775B8">
      <w:pPr>
        <w:rPr>
          <w:color w:val="auto"/>
          <w:sz w:val="36"/>
          <w:szCs w:val="36"/>
          <w:highlight w:val="none"/>
        </w:rPr>
      </w:pPr>
    </w:p>
    <w:p w14:paraId="1E972854">
      <w:pPr>
        <w:ind w:left="0" w:firstLine="641"/>
        <w:rPr>
          <w:rFonts w:ascii="宋体" w:hAnsi="宋体"/>
          <w:color w:val="auto"/>
          <w:sz w:val="30"/>
          <w:szCs w:val="30"/>
          <w:highlight w:val="none"/>
          <w:u w:val="single"/>
        </w:rPr>
      </w:pPr>
      <w:r>
        <w:rPr>
          <w:b/>
          <w:color w:val="auto"/>
          <w:sz w:val="30"/>
          <w:szCs w:val="30"/>
          <w:highlight w:val="none"/>
        </w:rPr>
        <w:t>投 标 人</w:t>
      </w:r>
      <w:r>
        <w:rPr>
          <w:rFonts w:hint="eastAsia"/>
          <w:b/>
          <w:color w:val="auto"/>
          <w:sz w:val="30"/>
          <w:szCs w:val="30"/>
          <w:highlight w:val="none"/>
        </w:rPr>
        <w:t>(盖章)</w:t>
      </w:r>
      <w:r>
        <w:rPr>
          <w:b/>
          <w:color w:val="auto"/>
          <w:sz w:val="30"/>
          <w:szCs w:val="30"/>
          <w:highlight w:val="none"/>
        </w:rPr>
        <w:t>：</w:t>
      </w:r>
    </w:p>
    <w:p w14:paraId="51E46039">
      <w:pPr>
        <w:spacing w:line="720" w:lineRule="auto"/>
        <w:ind w:left="540" w:firstLine="99"/>
        <w:rPr>
          <w:rFonts w:ascii="宋体" w:hAnsi="宋体"/>
          <w:color w:val="auto"/>
          <w:sz w:val="30"/>
          <w:szCs w:val="30"/>
          <w:highlight w:val="none"/>
          <w:u w:val="single"/>
        </w:rPr>
      </w:pPr>
      <w:r>
        <w:rPr>
          <w:rFonts w:hint="eastAsia"/>
          <w:b/>
          <w:color w:val="auto"/>
          <w:sz w:val="30"/>
          <w:szCs w:val="30"/>
          <w:highlight w:val="none"/>
        </w:rPr>
        <w:t>法定代表人或其委托代理人：</w:t>
      </w:r>
      <w:r>
        <w:rPr>
          <w:rFonts w:hint="eastAsia" w:ascii="宋体" w:hAnsi="宋体"/>
          <w:color w:val="auto"/>
          <w:sz w:val="30"/>
          <w:szCs w:val="30"/>
          <w:highlight w:val="none"/>
          <w:u w:val="single"/>
        </w:rPr>
        <w:t xml:space="preserve">            （签字或盖章）</w:t>
      </w:r>
    </w:p>
    <w:p w14:paraId="5C846780">
      <w:pPr>
        <w:ind w:firstLine="2530"/>
        <w:rPr>
          <w:b/>
          <w:color w:val="auto"/>
          <w:sz w:val="36"/>
          <w:szCs w:val="36"/>
          <w:highlight w:val="none"/>
        </w:rPr>
      </w:pPr>
    </w:p>
    <w:p w14:paraId="05E99AC5">
      <w:pPr>
        <w:rPr>
          <w:b/>
          <w:color w:val="auto"/>
          <w:sz w:val="36"/>
          <w:szCs w:val="36"/>
          <w:highlight w:val="none"/>
        </w:rPr>
      </w:pPr>
    </w:p>
    <w:p w14:paraId="78FC2591">
      <w:pPr>
        <w:spacing w:line="440" w:lineRule="exact"/>
        <w:jc w:val="center"/>
        <w:rPr>
          <w:b/>
          <w:color w:val="auto"/>
          <w:sz w:val="36"/>
          <w:szCs w:val="36"/>
          <w:highlight w:val="none"/>
        </w:rPr>
      </w:pPr>
      <w:r>
        <w:rPr>
          <w:b/>
          <w:color w:val="auto"/>
          <w:sz w:val="36"/>
          <w:szCs w:val="36"/>
          <w:highlight w:val="none"/>
        </w:rPr>
        <w:t>日期：</w:t>
      </w:r>
      <w:r>
        <w:rPr>
          <w:rFonts w:hint="eastAsia"/>
          <w:b/>
          <w:color w:val="auto"/>
          <w:sz w:val="36"/>
          <w:szCs w:val="36"/>
          <w:highlight w:val="none"/>
          <w:lang w:eastAsia="zh-CN"/>
        </w:rPr>
        <w:t>2026</w:t>
      </w:r>
      <w:r>
        <w:rPr>
          <w:b/>
          <w:color w:val="auto"/>
          <w:sz w:val="36"/>
          <w:szCs w:val="36"/>
          <w:highlight w:val="none"/>
        </w:rPr>
        <w:t>年月日</w:t>
      </w:r>
    </w:p>
    <w:p w14:paraId="3E0B0D8A">
      <w:pPr>
        <w:spacing w:line="440" w:lineRule="exact"/>
        <w:rPr>
          <w:bCs/>
          <w:smallCaps/>
          <w:color w:val="auto"/>
          <w:sz w:val="30"/>
          <w:szCs w:val="30"/>
          <w:highlight w:val="none"/>
        </w:rPr>
      </w:pPr>
    </w:p>
    <w:p w14:paraId="336CF00F">
      <w:pPr>
        <w:numPr>
          <w:ilvl w:val="0"/>
          <w:numId w:val="20"/>
        </w:numPr>
        <w:jc w:val="center"/>
        <w:rPr>
          <w:rFonts w:hint="eastAsia"/>
          <w:b/>
          <w:color w:val="auto"/>
          <w:sz w:val="44"/>
          <w:szCs w:val="44"/>
          <w:highlight w:val="none"/>
        </w:rPr>
      </w:pPr>
      <w:bookmarkStart w:id="16" w:name="_Toc158691778"/>
      <w:bookmarkStart w:id="17" w:name="_Toc315875327"/>
      <w:bookmarkStart w:id="18" w:name="_Toc315868064"/>
      <w:r>
        <w:rPr>
          <w:color w:val="auto"/>
          <w:sz w:val="30"/>
          <w:szCs w:val="30"/>
          <w:highlight w:val="none"/>
        </w:rPr>
        <w:br w:type="page" w:clear="all"/>
      </w:r>
      <w:bookmarkEnd w:id="16"/>
      <w:bookmarkEnd w:id="17"/>
      <w:bookmarkEnd w:id="18"/>
      <w:bookmarkStart w:id="19" w:name="_Toc467507054"/>
      <w:bookmarkStart w:id="20" w:name="_Toc405288080"/>
      <w:bookmarkStart w:id="21" w:name="_Toc430265233"/>
      <w:bookmarkStart w:id="22" w:name="_Toc467507044"/>
      <w:bookmarkStart w:id="23" w:name="_Toc322442932"/>
    </w:p>
    <w:p w14:paraId="1682A0F2">
      <w:pPr>
        <w:numPr>
          <w:ilvl w:val="0"/>
          <w:numId w:val="0"/>
        </w:num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格式1：开标一览表</w:t>
      </w:r>
    </w:p>
    <w:p w14:paraId="1B146739">
      <w:pPr>
        <w:numPr>
          <w:ilvl w:val="0"/>
          <w:numId w:val="0"/>
        </w:numPr>
        <w:jc w:val="center"/>
        <w:rPr>
          <w:rFonts w:ascii="宋体" w:hAnsi="宋体"/>
          <w:color w:val="auto"/>
          <w:sz w:val="32"/>
          <w:szCs w:val="32"/>
          <w:highlight w:val="none"/>
        </w:rPr>
      </w:pPr>
      <w:r>
        <w:rPr>
          <w:rFonts w:hint="eastAsia" w:ascii="宋体" w:hAnsi="宋体"/>
          <w:b/>
          <w:color w:val="auto"/>
          <w:sz w:val="32"/>
          <w:szCs w:val="32"/>
          <w:highlight w:val="none"/>
          <w:lang w:eastAsia="zh-CN"/>
        </w:rPr>
        <w:t>（</w:t>
      </w:r>
      <w:r>
        <w:rPr>
          <w:rFonts w:hint="eastAsia" w:ascii="宋体" w:hAnsi="宋体"/>
          <w:b/>
          <w:color w:val="auto"/>
          <w:sz w:val="32"/>
          <w:szCs w:val="32"/>
          <w:highlight w:val="none"/>
          <w:lang w:val="en-US" w:eastAsia="zh-CN"/>
        </w:rPr>
        <w:t>一）</w:t>
      </w:r>
      <w:r>
        <w:rPr>
          <w:rFonts w:hint="eastAsia" w:ascii="宋体" w:hAnsi="宋体"/>
          <w:b/>
          <w:color w:val="auto"/>
          <w:sz w:val="32"/>
          <w:szCs w:val="32"/>
          <w:highlight w:val="none"/>
        </w:rPr>
        <w:t>开标一览表</w:t>
      </w:r>
    </w:p>
    <w:p w14:paraId="1981AE13">
      <w:pPr>
        <w:spacing w:line="360" w:lineRule="auto"/>
        <w:rPr>
          <w:rFonts w:ascii="宋体" w:hAnsi="宋体"/>
          <w:color w:val="auto"/>
          <w:highlight w:val="none"/>
          <w:lang w:val="zh-CN"/>
        </w:rPr>
      </w:pPr>
    </w:p>
    <w:p w14:paraId="515132A9">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投标人全称（加盖公章）：供应商名称</w:t>
      </w:r>
    </w:p>
    <w:p w14:paraId="79E4CED8">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项目编号：JSZC-320585-</w:t>
      </w:r>
      <w:r>
        <w:rPr>
          <w:rFonts w:hint="eastAsia" w:ascii="宋体" w:hAnsi="宋体" w:eastAsia="宋体" w:cs="宋体"/>
          <w:color w:val="auto"/>
          <w:sz w:val="24"/>
          <w:szCs w:val="22"/>
          <w:highlight w:val="none"/>
          <w:lang w:eastAsia="zh-CN"/>
        </w:rPr>
        <w:t>HJSZ-G2026-0002</w:t>
      </w:r>
    </w:p>
    <w:tbl>
      <w:tblPr>
        <w:tblStyle w:val="56"/>
        <w:tblW w:w="828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3342"/>
        <w:gridCol w:w="4944"/>
      </w:tblGrid>
      <w:tr w14:paraId="3CFFB4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jc w:val="center"/>
        </w:trPr>
        <w:tc>
          <w:tcPr>
            <w:tcW w:w="334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D9376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项目名称</w:t>
            </w:r>
          </w:p>
        </w:tc>
        <w:tc>
          <w:tcPr>
            <w:tcW w:w="494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613938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投标总价</w:t>
            </w:r>
          </w:p>
        </w:tc>
      </w:tr>
      <w:tr w14:paraId="098FF6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F7954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jc w:val="center"/>
              <w:rPr>
                <w:rFonts w:hint="eastAsia" w:ascii="宋体" w:hAnsi="宋体" w:eastAsia="宋体" w:cs="宋体"/>
                <w:color w:val="auto"/>
                <w:szCs w:val="22"/>
                <w:highlight w:val="none"/>
                <w:lang w:eastAsia="zh-CN"/>
              </w:rPr>
            </w:pPr>
            <w:r>
              <w:rPr>
                <w:rFonts w:hint="eastAsia" w:eastAsia="宋体"/>
                <w:color w:val="auto"/>
                <w:highlight w:val="none"/>
                <w:lang w:eastAsia="zh-CN"/>
              </w:rPr>
              <w:t> 2026年度化工园区应急指挥中心运维服务</w:t>
            </w:r>
          </w:p>
        </w:tc>
        <w:tc>
          <w:tcPr>
            <w:tcW w:w="49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FE554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小写       （元人民币）</w:t>
            </w:r>
          </w:p>
        </w:tc>
      </w:tr>
      <w:tr w14:paraId="36CE7E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6768A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投标报价大写金额</w:t>
            </w:r>
          </w:p>
        </w:tc>
        <w:tc>
          <w:tcPr>
            <w:tcW w:w="494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F197A7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tLeast"/>
              <w:ind w:left="0" w:right="0"/>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金额大写：</w:t>
            </w:r>
          </w:p>
        </w:tc>
      </w:tr>
    </w:tbl>
    <w:p w14:paraId="5841011D">
      <w:pPr>
        <w:pBdr>
          <w:top w:val="none" w:color="000000" w:sz="0" w:space="0"/>
          <w:left w:val="none" w:color="000000" w:sz="0" w:space="0"/>
          <w:bottom w:val="none" w:color="000000" w:sz="0" w:space="0"/>
          <w:right w:val="none" w:color="000000" w:sz="0" w:space="0"/>
        </w:pBdr>
        <w:ind w:firstLine="723"/>
        <w:rPr>
          <w:rFonts w:hint="eastAsia" w:ascii="宋体" w:hAnsi="宋体" w:eastAsia="宋体" w:cs="宋体"/>
          <w:color w:val="auto"/>
          <w:szCs w:val="22"/>
          <w:highlight w:val="none"/>
        </w:rPr>
      </w:pPr>
      <w:r>
        <w:rPr>
          <w:rFonts w:hint="eastAsia" w:ascii="宋体" w:hAnsi="宋体" w:eastAsia="宋体" w:cs="宋体"/>
          <w:b/>
          <w:color w:val="auto"/>
          <w:sz w:val="24"/>
          <w:szCs w:val="22"/>
          <w:highlight w:val="none"/>
        </w:rPr>
        <w:t> </w:t>
      </w:r>
    </w:p>
    <w:p w14:paraId="7D0D9B06">
      <w:pPr>
        <w:pBdr>
          <w:top w:val="none" w:color="000000" w:sz="0" w:space="0"/>
          <w:left w:val="none" w:color="000000" w:sz="0" w:space="0"/>
          <w:bottom w:val="none" w:color="000000" w:sz="0" w:space="0"/>
          <w:right w:val="none" w:color="000000" w:sz="0" w:space="0"/>
        </w:pBdr>
        <w:spacing w:line="460" w:lineRule="atLeast"/>
        <w:ind w:firstLine="3360"/>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日期： 年 月 日</w:t>
      </w:r>
    </w:p>
    <w:p w14:paraId="1024BB72">
      <w:pPr>
        <w:ind w:firstLine="3570"/>
        <w:jc w:val="left"/>
        <w:rPr>
          <w:rFonts w:ascii="宋体" w:hAnsi="宋体"/>
          <w:b/>
          <w:color w:val="auto"/>
          <w:sz w:val="32"/>
          <w:highlight w:val="none"/>
        </w:rPr>
      </w:pPr>
    </w:p>
    <w:p w14:paraId="6ED183F3">
      <w:pPr>
        <w:widowControl/>
        <w:spacing w:before="0" w:beforeAutospacing="0" w:after="200" w:afterAutospacing="0" w:line="276" w:lineRule="auto"/>
        <w:jc w:val="center"/>
        <w:rPr>
          <w:rFonts w:hint="eastAsia" w:ascii="宋体" w:hAnsi="宋体" w:eastAsia="宋体" w:cs="宋体"/>
          <w:b w:val="0"/>
          <w:bCs/>
          <w:color w:val="auto"/>
          <w:sz w:val="24"/>
          <w:szCs w:val="24"/>
          <w:highlight w:val="none"/>
          <w:lang w:val="en-US" w:eastAsia="zh-CN"/>
        </w:rPr>
      </w:pPr>
    </w:p>
    <w:p w14:paraId="2C1E03AF">
      <w:pPr>
        <w:widowControl/>
        <w:spacing w:before="0" w:beforeAutospacing="0" w:after="200" w:afterAutospacing="0" w:line="276" w:lineRule="auto"/>
        <w:jc w:val="center"/>
        <w:rPr>
          <w:rFonts w:hint="eastAsia" w:ascii="宋体" w:hAnsi="宋体" w:eastAsia="宋体" w:cs="宋体"/>
          <w:b w:val="0"/>
          <w:bCs/>
          <w:color w:val="auto"/>
          <w:sz w:val="24"/>
          <w:szCs w:val="24"/>
          <w:highlight w:val="none"/>
          <w:lang w:val="en-US" w:eastAsia="zh-CN"/>
        </w:rPr>
      </w:pPr>
    </w:p>
    <w:p w14:paraId="67121AC9">
      <w:pPr>
        <w:numPr>
          <w:ilvl w:val="0"/>
          <w:numId w:val="0"/>
        </w:numPr>
        <w:jc w:val="center"/>
        <w:rPr>
          <w:rFonts w:hint="eastAsia" w:ascii="宋体" w:hAnsi="宋体" w:eastAsia="宋体" w:cs="宋体"/>
          <w:b/>
          <w:color w:val="auto"/>
          <w:sz w:val="32"/>
          <w:szCs w:val="32"/>
          <w:highlight w:val="none"/>
          <w:lang w:eastAsia="en-US"/>
        </w:rPr>
      </w:pPr>
      <w:r>
        <w:rPr>
          <w:rFonts w:hint="eastAsia" w:ascii="宋体" w:hAnsi="宋体" w:eastAsia="宋体" w:cs="宋体"/>
          <w:b/>
          <w:color w:val="auto"/>
          <w:sz w:val="32"/>
          <w:szCs w:val="32"/>
          <w:highlight w:val="none"/>
          <w:lang w:val="en-US" w:eastAsia="zh-CN"/>
        </w:rPr>
        <w:t>(二)</w:t>
      </w:r>
      <w:r>
        <w:rPr>
          <w:rFonts w:hint="eastAsia" w:ascii="宋体" w:hAnsi="宋体" w:eastAsia="宋体" w:cs="宋体"/>
          <w:b/>
          <w:color w:val="auto"/>
          <w:sz w:val="32"/>
          <w:szCs w:val="32"/>
          <w:highlight w:val="none"/>
          <w:lang w:eastAsia="zh-CN"/>
        </w:rPr>
        <w:t>分项报价</w:t>
      </w:r>
      <w:r>
        <w:rPr>
          <w:rFonts w:hint="eastAsia" w:ascii="宋体" w:hAnsi="宋体" w:eastAsia="宋体" w:cs="宋体"/>
          <w:b/>
          <w:color w:val="auto"/>
          <w:sz w:val="32"/>
          <w:szCs w:val="32"/>
          <w:highlight w:val="none"/>
          <w:lang w:eastAsia="en-US"/>
        </w:rPr>
        <w:t>明细表</w:t>
      </w:r>
    </w:p>
    <w:p w14:paraId="009C8757">
      <w:pPr>
        <w:widowControl w:val="0"/>
        <w:spacing w:before="0" w:beforeAutospacing="0" w:after="200" w:afterAutospacing="0" w:line="360" w:lineRule="exact"/>
        <w:ind w:firstLine="240"/>
        <w:jc w:val="both"/>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eastAsia="en-US"/>
        </w:rPr>
        <w:t xml:space="preserve">编号：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en-US"/>
        </w:rPr>
        <w:t xml:space="preserve"> </w:t>
      </w:r>
    </w:p>
    <w:tbl>
      <w:tblPr>
        <w:tblStyle w:val="56"/>
        <w:tblW w:w="96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7"/>
        <w:gridCol w:w="2532"/>
        <w:gridCol w:w="1068"/>
        <w:gridCol w:w="1082"/>
        <w:gridCol w:w="1740"/>
        <w:gridCol w:w="1368"/>
        <w:gridCol w:w="984"/>
      </w:tblGrid>
      <w:tr w14:paraId="6DA320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867" w:type="dxa"/>
            <w:tcBorders>
              <w:bottom w:val="nil"/>
              <w:right w:val="nil"/>
            </w:tcBorders>
            <w:shd w:val="clear" w:color="auto" w:fill="auto"/>
            <w:noWrap/>
            <w:vAlign w:val="center"/>
          </w:tcPr>
          <w:p w14:paraId="38B2A44D">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r>
              <w:rPr>
                <w:rFonts w:hint="eastAsia" w:ascii="宋体" w:hAnsi="宋体" w:eastAsia="宋体" w:cs="宋体"/>
                <w:i w:val="0"/>
                <w:iCs w:val="0"/>
                <w:color w:val="auto"/>
                <w:sz w:val="24"/>
                <w:szCs w:val="24"/>
                <w:highlight w:val="none"/>
                <w:u w:val="none"/>
                <w:lang w:val="en-US" w:eastAsia="zh-CN" w:bidi="ar"/>
              </w:rPr>
              <w:t>序号</w:t>
            </w:r>
          </w:p>
        </w:tc>
        <w:tc>
          <w:tcPr>
            <w:tcW w:w="2532" w:type="dxa"/>
            <w:tcBorders>
              <w:left w:val="single" w:color="000000" w:sz="4" w:space="0"/>
              <w:bottom w:val="single" w:color="000000" w:sz="4" w:space="0"/>
              <w:right w:val="single" w:color="000000" w:sz="4" w:space="0"/>
            </w:tcBorders>
            <w:shd w:val="clear" w:color="auto" w:fill="auto"/>
            <w:noWrap/>
            <w:vAlign w:val="center"/>
          </w:tcPr>
          <w:p w14:paraId="4F92CAD4">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en-US"/>
              </w:rPr>
            </w:pPr>
            <w:r>
              <w:rPr>
                <w:rFonts w:hint="eastAsia" w:ascii="宋体" w:hAnsi="宋体" w:eastAsia="宋体" w:cs="宋体"/>
                <w:i w:val="0"/>
                <w:iCs w:val="0"/>
                <w:color w:val="auto"/>
                <w:sz w:val="24"/>
                <w:szCs w:val="24"/>
                <w:highlight w:val="none"/>
                <w:u w:val="none"/>
                <w:lang w:val="en-US" w:eastAsia="zh-CN" w:bidi="ar"/>
              </w:rPr>
              <w:t>名称</w:t>
            </w:r>
          </w:p>
        </w:tc>
        <w:tc>
          <w:tcPr>
            <w:tcW w:w="1068" w:type="dxa"/>
            <w:tcBorders>
              <w:left w:val="single" w:color="000000" w:sz="4" w:space="0"/>
              <w:bottom w:val="single" w:color="000000" w:sz="4" w:space="0"/>
              <w:right w:val="single" w:color="000000" w:sz="4" w:space="0"/>
            </w:tcBorders>
            <w:shd w:val="clear" w:color="auto" w:fill="auto"/>
            <w:noWrap/>
            <w:vAlign w:val="center"/>
          </w:tcPr>
          <w:p w14:paraId="51DA196A">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单位</w:t>
            </w:r>
          </w:p>
        </w:tc>
        <w:tc>
          <w:tcPr>
            <w:tcW w:w="1082" w:type="dxa"/>
            <w:tcBorders>
              <w:left w:val="single" w:color="000000" w:sz="4" w:space="0"/>
              <w:bottom w:val="single" w:color="000000" w:sz="4" w:space="0"/>
              <w:right w:val="single" w:color="000000" w:sz="4" w:space="0"/>
            </w:tcBorders>
            <w:shd w:val="clear" w:color="auto" w:fill="auto"/>
            <w:noWrap/>
            <w:vAlign w:val="center"/>
          </w:tcPr>
          <w:p w14:paraId="48A3D1D3">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en-US"/>
              </w:rPr>
            </w:pPr>
            <w:r>
              <w:rPr>
                <w:rFonts w:hint="eastAsia" w:ascii="宋体" w:hAnsi="宋体" w:eastAsia="宋体" w:cs="宋体"/>
                <w:i w:val="0"/>
                <w:iCs w:val="0"/>
                <w:color w:val="auto"/>
                <w:sz w:val="24"/>
                <w:szCs w:val="24"/>
                <w:highlight w:val="none"/>
                <w:u w:val="none"/>
                <w:lang w:val="en-US" w:eastAsia="zh-CN" w:bidi="ar"/>
              </w:rPr>
              <w:t>数量</w:t>
            </w:r>
          </w:p>
        </w:tc>
        <w:tc>
          <w:tcPr>
            <w:tcW w:w="1740" w:type="dxa"/>
            <w:tcBorders>
              <w:left w:val="single" w:color="000000" w:sz="4" w:space="0"/>
              <w:bottom w:val="single" w:color="000000" w:sz="4" w:space="0"/>
              <w:right w:val="single" w:color="000000" w:sz="4" w:space="0"/>
            </w:tcBorders>
            <w:shd w:val="clear" w:color="auto" w:fill="auto"/>
            <w:noWrap/>
            <w:vAlign w:val="center"/>
          </w:tcPr>
          <w:p w14:paraId="3003F9A1">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r>
              <w:rPr>
                <w:rFonts w:hint="eastAsia" w:ascii="宋体" w:hAnsi="宋体" w:eastAsia="宋体" w:cs="宋体"/>
                <w:i w:val="0"/>
                <w:iCs w:val="0"/>
                <w:color w:val="auto"/>
                <w:sz w:val="24"/>
                <w:szCs w:val="24"/>
                <w:highlight w:val="none"/>
                <w:u w:val="none"/>
                <w:lang w:val="en-US" w:eastAsia="zh-CN" w:bidi="ar"/>
              </w:rPr>
              <w:t>单价（元）</w:t>
            </w:r>
          </w:p>
        </w:tc>
        <w:tc>
          <w:tcPr>
            <w:tcW w:w="1368" w:type="dxa"/>
            <w:tcBorders>
              <w:left w:val="single" w:color="000000" w:sz="4" w:space="0"/>
              <w:bottom w:val="single" w:color="000000" w:sz="4" w:space="0"/>
              <w:right w:val="single" w:color="000000" w:sz="4" w:space="0"/>
            </w:tcBorders>
            <w:shd w:val="clear" w:color="auto" w:fill="auto"/>
            <w:noWrap/>
            <w:vAlign w:val="center"/>
          </w:tcPr>
          <w:p w14:paraId="379FC7B4">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r>
              <w:rPr>
                <w:rFonts w:hint="eastAsia" w:ascii="宋体" w:hAnsi="宋体" w:eastAsia="宋体" w:cs="宋体"/>
                <w:i w:val="0"/>
                <w:iCs w:val="0"/>
                <w:color w:val="auto"/>
                <w:sz w:val="24"/>
                <w:szCs w:val="24"/>
                <w:highlight w:val="none"/>
                <w:u w:val="none"/>
                <w:lang w:val="en-US" w:eastAsia="zh-CN" w:bidi="ar"/>
              </w:rPr>
              <w:t>合价（元）</w:t>
            </w:r>
          </w:p>
        </w:tc>
        <w:tc>
          <w:tcPr>
            <w:tcW w:w="984" w:type="dxa"/>
            <w:tcBorders>
              <w:left w:val="single" w:color="000000" w:sz="4" w:space="0"/>
              <w:bottom w:val="single" w:color="000000" w:sz="4" w:space="0"/>
            </w:tcBorders>
            <w:shd w:val="clear" w:color="auto" w:fill="auto"/>
            <w:noWrap/>
            <w:vAlign w:val="center"/>
          </w:tcPr>
          <w:p w14:paraId="40D6E173">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备注</w:t>
            </w:r>
          </w:p>
        </w:tc>
      </w:tr>
      <w:tr w14:paraId="3DA1A3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2E456F2B">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r>
              <w:rPr>
                <w:rFonts w:hint="eastAsia" w:ascii="宋体" w:hAnsi="宋体" w:eastAsia="宋体" w:cs="宋体"/>
                <w:i w:val="0"/>
                <w:iCs w:val="0"/>
                <w:color w:val="auto"/>
                <w:sz w:val="24"/>
                <w:szCs w:val="24"/>
                <w:highlight w:val="none"/>
                <w:u w:val="none"/>
                <w:lang w:val="en-US" w:eastAsia="zh-CN" w:bidi="ar"/>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F8758">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6B9BE">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6939B">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9002C">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CE32E">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36AF7E69">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r>
      <w:tr w14:paraId="4212AC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656FF3F9">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12B2">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095F">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FEC1">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DBA6B">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7145">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162DA475">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r>
      <w:tr w14:paraId="45059D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3AC95C98">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942AF">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2589B">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2464C">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74409">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9AC84">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56EAAC01">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r>
      <w:tr w14:paraId="05AAFE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3A18A426">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bidi="ar"/>
              </w:rPr>
            </w:pP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6862A">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FFE4C">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E557C">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3B185">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5D20">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5AD8A38C">
            <w:pPr>
              <w:keepNext w:val="0"/>
              <w:keepLines w:val="0"/>
              <w:widowControl/>
              <w:suppressLineNumbers w:val="0"/>
              <w:spacing w:before="0" w:beforeAutospacing="0" w:after="200" w:afterAutospacing="0" w:line="276" w:lineRule="auto"/>
              <w:ind w:left="0" w:right="0"/>
              <w:jc w:val="center"/>
              <w:rPr>
                <w:rFonts w:hint="eastAsia" w:ascii="宋体" w:hAnsi="宋体" w:eastAsia="宋体" w:cs="宋体"/>
                <w:i w:val="0"/>
                <w:iCs w:val="0"/>
                <w:color w:val="auto"/>
                <w:sz w:val="24"/>
                <w:szCs w:val="24"/>
                <w:highlight w:val="none"/>
                <w:u w:val="none"/>
                <w:lang w:val="en-US" w:eastAsia="zh-CN"/>
              </w:rPr>
            </w:pPr>
          </w:p>
        </w:tc>
      </w:tr>
    </w:tbl>
    <w:p w14:paraId="216CEDEE">
      <w:pPr>
        <w:widowControl w:val="0"/>
        <w:spacing w:before="0" w:beforeAutospacing="0" w:after="200" w:afterAutospacing="0" w:line="360" w:lineRule="auto"/>
        <w:ind w:firstLine="42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lang w:val="en-US" w:eastAsia="zh-CN"/>
        </w:rPr>
        <w:t>1.总价金额</w:t>
      </w:r>
      <w:r>
        <w:rPr>
          <w:rFonts w:hint="eastAsia" w:ascii="宋体" w:hAnsi="宋体" w:eastAsia="宋体" w:cs="宋体"/>
          <w:b w:val="0"/>
          <w:bCs w:val="0"/>
          <w:color w:val="auto"/>
          <w:sz w:val="24"/>
          <w:szCs w:val="24"/>
          <w:highlight w:val="none"/>
          <w:lang w:eastAsia="zh-CN"/>
        </w:rPr>
        <w:t>须与</w:t>
      </w:r>
      <w:r>
        <w:rPr>
          <w:rFonts w:hint="eastAsia" w:ascii="宋体" w:hAnsi="宋体" w:eastAsia="宋体" w:cs="宋体"/>
          <w:b w:val="0"/>
          <w:bCs w:val="0"/>
          <w:color w:val="auto"/>
          <w:sz w:val="24"/>
          <w:szCs w:val="24"/>
          <w:highlight w:val="none"/>
          <w:lang w:eastAsia="en-US"/>
        </w:rPr>
        <w:t>开标一览表投标报价</w:t>
      </w:r>
      <w:r>
        <w:rPr>
          <w:rFonts w:hint="eastAsia" w:ascii="宋体" w:hAnsi="宋体" w:eastAsia="宋体" w:cs="宋体"/>
          <w:b w:val="0"/>
          <w:bCs w:val="0"/>
          <w:color w:val="auto"/>
          <w:sz w:val="24"/>
          <w:szCs w:val="24"/>
          <w:highlight w:val="none"/>
          <w:lang w:eastAsia="zh-CN"/>
        </w:rPr>
        <w:t>一致。</w:t>
      </w:r>
    </w:p>
    <w:p w14:paraId="7318D0EB">
      <w:pPr>
        <w:widowControl/>
        <w:spacing w:before="0" w:beforeAutospacing="0" w:after="200" w:afterAutospacing="0" w:line="360" w:lineRule="auto"/>
        <w:ind w:firstLine="480"/>
        <w:jc w:val="left"/>
        <w:rPr>
          <w:rFonts w:hint="eastAsia" w:ascii="宋体" w:hAnsi="宋体" w:eastAsia="宋体" w:cs="宋体"/>
          <w:bCs/>
          <w:color w:val="auto"/>
          <w:sz w:val="24"/>
          <w:szCs w:val="24"/>
          <w:highlight w:val="none"/>
          <w:lang w:val="zh-CN" w:eastAsia="en-US"/>
        </w:rPr>
      </w:pPr>
    </w:p>
    <w:p w14:paraId="616CFBC4">
      <w:pPr>
        <w:widowControl/>
        <w:spacing w:before="0" w:beforeAutospacing="0" w:after="200" w:afterAutospacing="0" w:line="360" w:lineRule="auto"/>
        <w:ind w:firstLine="480"/>
        <w:jc w:val="left"/>
        <w:rPr>
          <w:rFonts w:hint="eastAsia" w:ascii="宋体" w:hAnsi="宋体" w:eastAsia="宋体" w:cs="宋体"/>
          <w:bCs/>
          <w:color w:val="auto"/>
          <w:sz w:val="24"/>
          <w:szCs w:val="24"/>
          <w:highlight w:val="none"/>
          <w:lang w:val="zh-CN" w:eastAsia="en-US"/>
        </w:rPr>
      </w:pPr>
      <w:r>
        <w:rPr>
          <w:rFonts w:hint="eastAsia" w:ascii="宋体" w:hAnsi="宋体" w:eastAsia="宋体" w:cs="宋体"/>
          <w:bCs/>
          <w:color w:val="auto"/>
          <w:sz w:val="24"/>
          <w:szCs w:val="24"/>
          <w:highlight w:val="none"/>
          <w:lang w:val="zh-CN" w:eastAsia="en-US"/>
        </w:rPr>
        <w:t>投标人：（</w:t>
      </w:r>
      <w:r>
        <w:rPr>
          <w:rFonts w:hint="eastAsia" w:ascii="宋体" w:hAnsi="宋体" w:eastAsia="宋体" w:cs="宋体"/>
          <w:color w:val="auto"/>
          <w:sz w:val="24"/>
          <w:szCs w:val="24"/>
          <w:highlight w:val="none"/>
          <w:lang w:val="zh-CN" w:eastAsia="en-US"/>
        </w:rPr>
        <w:t>公章</w:t>
      </w:r>
      <w:r>
        <w:rPr>
          <w:rFonts w:hint="eastAsia" w:ascii="宋体" w:hAnsi="宋体" w:eastAsia="宋体" w:cs="宋体"/>
          <w:bCs/>
          <w:color w:val="auto"/>
          <w:sz w:val="24"/>
          <w:szCs w:val="24"/>
          <w:highlight w:val="none"/>
          <w:lang w:val="zh-CN" w:eastAsia="en-US"/>
        </w:rPr>
        <w:t>）</w:t>
      </w:r>
    </w:p>
    <w:p w14:paraId="1247B27E">
      <w:pPr>
        <w:widowControl/>
        <w:spacing w:before="0" w:beforeAutospacing="0" w:after="200" w:afterAutospacing="0" w:line="360" w:lineRule="auto"/>
        <w:ind w:firstLine="480"/>
        <w:jc w:val="left"/>
        <w:rPr>
          <w:rFonts w:hint="eastAsia" w:ascii="宋体" w:hAnsi="宋体" w:eastAsia="宋体" w:cs="宋体"/>
          <w:bCs/>
          <w:color w:val="auto"/>
          <w:sz w:val="24"/>
          <w:szCs w:val="24"/>
          <w:highlight w:val="none"/>
          <w:lang w:val="zh-CN" w:eastAsia="en-US"/>
        </w:rPr>
      </w:pPr>
      <w:r>
        <w:rPr>
          <w:rFonts w:hint="eastAsia" w:ascii="宋体" w:hAnsi="宋体" w:eastAsia="宋体" w:cs="宋体"/>
          <w:bCs/>
          <w:color w:val="auto"/>
          <w:sz w:val="24"/>
          <w:szCs w:val="24"/>
          <w:highlight w:val="none"/>
          <w:lang w:val="zh-CN" w:eastAsia="en-US"/>
        </w:rPr>
        <w:t>法定代表人或代理人：（签字或盖章）</w:t>
      </w:r>
    </w:p>
    <w:p w14:paraId="36BE0E8B">
      <w:pPr>
        <w:widowControl/>
        <w:spacing w:before="0" w:beforeAutospacing="0" w:after="200" w:afterAutospacing="0" w:line="360" w:lineRule="auto"/>
        <w:ind w:firstLine="480"/>
        <w:jc w:val="left"/>
        <w:rPr>
          <w:rFonts w:hint="eastAsia" w:ascii="宋体" w:hAnsi="宋体"/>
          <w:b/>
          <w:color w:val="auto"/>
          <w:sz w:val="32"/>
          <w:szCs w:val="32"/>
          <w:highlight w:val="none"/>
        </w:rPr>
      </w:pPr>
      <w:r>
        <w:rPr>
          <w:rFonts w:hint="eastAsia" w:ascii="宋体" w:hAnsi="宋体" w:eastAsia="宋体" w:cs="宋体"/>
          <w:bCs/>
          <w:color w:val="auto"/>
          <w:sz w:val="24"/>
          <w:szCs w:val="24"/>
          <w:highlight w:val="none"/>
          <w:lang w:val="zh-CN" w:eastAsia="en-US"/>
        </w:rPr>
        <w:t>日期：年月日</w:t>
      </w:r>
    </w:p>
    <w:p w14:paraId="6B705C60">
      <w:pPr>
        <w:spacing w:line="440" w:lineRule="exact"/>
        <w:ind w:firstLine="422"/>
        <w:rPr>
          <w:rFonts w:hint="eastAsia" w:ascii="宋体" w:hAnsi="宋体" w:eastAsia="宋体" w:cs="宋体"/>
          <w:b/>
          <w:bCs/>
          <w:color w:val="auto"/>
          <w:sz w:val="21"/>
          <w:szCs w:val="21"/>
          <w:highlight w:val="none"/>
          <w:lang w:val="en-US" w:eastAsia="zh-CN"/>
        </w:rPr>
        <w:sectPr>
          <w:pgSz w:w="11907" w:h="16840"/>
          <w:pgMar w:top="1134" w:right="1134" w:bottom="1134" w:left="1134" w:header="851" w:footer="680" w:gutter="0"/>
          <w:cols w:space="0" w:num="1"/>
          <w:titlePg/>
          <w:docGrid w:linePitch="360" w:charSpace="0"/>
        </w:sectPr>
      </w:pPr>
    </w:p>
    <w:p w14:paraId="7BF8F9A7">
      <w:pPr>
        <w:spacing w:line="440" w:lineRule="exact"/>
        <w:ind w:firstLine="422"/>
        <w:rPr>
          <w:rFonts w:hint="eastAsia"/>
          <w:color w:val="auto"/>
          <w:highlight w:val="none"/>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color w:val="auto"/>
          <w:sz w:val="21"/>
          <w:szCs w:val="21"/>
          <w:highlight w:val="none"/>
        </w:rPr>
        <w:t>投标报价合理性说明（如有）</w:t>
      </w:r>
    </w:p>
    <w:p w14:paraId="0CBCE80F">
      <w:pPr>
        <w:widowControl w:val="0"/>
        <w:spacing w:line="360" w:lineRule="auto"/>
        <w:jc w:val="center"/>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投标报价合理性说明（如有）</w:t>
      </w:r>
    </w:p>
    <w:p w14:paraId="1ECADBB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2"/>
        <w:jc w:val="lef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政府采购评审中出现下列情形之一的，评审委员会应当启动异常低价投标（响应）审查程序：</w:t>
      </w:r>
    </w:p>
    <w:p w14:paraId="241851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（1）投标（响应）报价低于全部通过符合性审查供应商投标（响应）报价平均值50%的，即投标（响应）报价&lt;全部通过符合性审查供应商投标（响应）报价平均值×50%；</w:t>
      </w:r>
    </w:p>
    <w:p w14:paraId="632DE84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（2）投标（响应）报价低于通过符合性审查的次低报价供应商投标（响应）报价50%的，即投标（响应）报价&lt;通过符合性审查的次低报价供应商投标（响应）报价×50%；</w:t>
      </w:r>
    </w:p>
    <w:p w14:paraId="64A2984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（3）投标（响应）报价低于采购项目最高限价45%的，即投标（响应）报价&lt;采购项目最高限价×45%；</w:t>
      </w:r>
    </w:p>
    <w:p w14:paraId="75814AB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（4）评审委员会基于专业判断，认为供应商报价过低，有可能影响产品质量或者不能诚信履约的其他情形。</w:t>
      </w:r>
    </w:p>
    <w:p w14:paraId="5CA0A9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p>
    <w:p w14:paraId="09B7FBA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4A27B0C">
      <w:pPr>
        <w:widowControl w:val="0"/>
        <w:spacing w:line="360" w:lineRule="auto"/>
        <w:jc w:val="left"/>
        <w:rPr>
          <w:rFonts w:hint="default" w:ascii="宋体" w:hAnsi="宋体" w:eastAsia="宋体" w:cs="宋体"/>
          <w:color w:val="auto"/>
          <w:sz w:val="21"/>
          <w:szCs w:val="21"/>
          <w:highlight w:val="none"/>
          <w:lang w:val="zh-CN"/>
        </w:rPr>
      </w:pPr>
    </w:p>
    <w:p w14:paraId="5FFC41DD">
      <w:pPr>
        <w:widowControl w:val="0"/>
        <w:spacing w:line="360" w:lineRule="auto"/>
        <w:ind w:left="3600" w:firstLine="21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投标单位：（盖章）</w:t>
      </w:r>
    </w:p>
    <w:p w14:paraId="3F078282">
      <w:pPr>
        <w:widowControl w:val="0"/>
        <w:spacing w:line="360" w:lineRule="auto"/>
        <w:ind w:left="3600" w:firstLine="21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法定代表人或代理人：（签字或盖章）</w:t>
      </w:r>
    </w:p>
    <w:p w14:paraId="11E648DE">
      <w:pPr>
        <w:widowControl w:val="0"/>
        <w:spacing w:line="360" w:lineRule="auto"/>
        <w:ind w:left="3600" w:firstLine="210"/>
        <w:jc w:val="both"/>
        <w:rPr>
          <w:rFonts w:hint="default" w:ascii="Times New Roman" w:hAnsi="Times New Roman" w:eastAsia="宋体" w:cs="Times New Roman"/>
          <w:b/>
          <w:color w:val="auto"/>
          <w:sz w:val="44"/>
          <w:szCs w:val="44"/>
          <w:highlight w:val="none"/>
        </w:rPr>
      </w:pPr>
      <w:r>
        <w:rPr>
          <w:rFonts w:hint="eastAsia" w:ascii="宋体" w:hAnsi="宋体" w:eastAsia="宋体" w:cs="宋体"/>
          <w:color w:val="auto"/>
          <w:sz w:val="21"/>
          <w:szCs w:val="21"/>
          <w:highlight w:val="none"/>
          <w:lang w:val="zh-CN"/>
        </w:rPr>
        <w:t xml:space="preserve">      年     月     日</w:t>
      </w:r>
    </w:p>
    <w:p w14:paraId="22357043">
      <w:pPr>
        <w:widowControl w:val="0"/>
        <w:spacing w:line="360" w:lineRule="auto"/>
        <w:ind w:left="3600" w:firstLine="210"/>
        <w:jc w:val="both"/>
        <w:rPr>
          <w:rFonts w:hint="eastAsia" w:ascii="宋体" w:hAnsi="宋体" w:eastAsia="宋体" w:cs="宋体"/>
          <w:color w:val="auto"/>
          <w:sz w:val="21"/>
          <w:szCs w:val="21"/>
          <w:highlight w:val="none"/>
          <w:lang w:val="zh-CN"/>
        </w:rPr>
      </w:pPr>
    </w:p>
    <w:p w14:paraId="4C0C6215">
      <w:pPr>
        <w:pStyle w:val="55"/>
        <w:rPr>
          <w:color w:val="auto"/>
          <w:highlight w:val="none"/>
        </w:rPr>
      </w:pPr>
    </w:p>
    <w:p w14:paraId="6D51D5CF">
      <w:pPr>
        <w:spacing w:line="440" w:lineRule="exact"/>
        <w:rPr>
          <w:color w:val="auto"/>
          <w:highlight w:val="none"/>
        </w:rPr>
      </w:pPr>
      <w:r>
        <w:rPr>
          <w:rFonts w:hint="eastAsia"/>
          <w:color w:val="auto"/>
          <w:highlight w:val="none"/>
        </w:rPr>
        <w:br w:type="page" w:clear="all"/>
      </w:r>
    </w:p>
    <w:p w14:paraId="091B4907">
      <w:pPr>
        <w:numPr>
          <w:ilvl w:val="0"/>
          <w:numId w:val="0"/>
        </w:numPr>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color w:val="auto"/>
          <w:sz w:val="21"/>
          <w:szCs w:val="21"/>
          <w:highlight w:val="none"/>
          <w:lang w:val="en-US" w:eastAsia="zh-CN" w:bidi="ar-SA"/>
        </w:rPr>
        <w:t>关于资格文件的声明函</w:t>
      </w:r>
    </w:p>
    <w:p w14:paraId="7B747B86">
      <w:pPr>
        <w:pStyle w:val="14"/>
        <w:numPr>
          <w:ilvl w:val="0"/>
          <w:numId w:val="0"/>
        </w:numPr>
        <w:ind w:left="403"/>
        <w:jc w:val="center"/>
        <w:rPr>
          <w:rFonts w:ascii="宋体" w:hAnsi="宋体" w:cs="宋体"/>
          <w:b/>
          <w:color w:val="auto"/>
          <w:sz w:val="32"/>
          <w:szCs w:val="32"/>
          <w:highlight w:val="none"/>
        </w:rPr>
      </w:pPr>
      <w:r>
        <w:rPr>
          <w:rFonts w:hint="eastAsia" w:ascii="宋体" w:hAnsi="宋体" w:cs="宋体"/>
          <w:b/>
          <w:color w:val="auto"/>
          <w:sz w:val="30"/>
          <w:szCs w:val="30"/>
          <w:highlight w:val="none"/>
        </w:rPr>
        <w:t>关于资格文件的声明函</w:t>
      </w:r>
    </w:p>
    <w:p w14:paraId="2913B9C1">
      <w:pPr>
        <w:pStyle w:val="14"/>
        <w:ind w:left="1260"/>
        <w:jc w:val="center"/>
        <w:rPr>
          <w:rFonts w:ascii="宋体" w:hAnsi="宋体"/>
          <w:color w:val="auto"/>
          <w:sz w:val="24"/>
          <w:szCs w:val="24"/>
          <w:highlight w:val="none"/>
        </w:rPr>
      </w:pPr>
    </w:p>
    <w:p w14:paraId="5D7D38EB">
      <w:pPr>
        <w:pStyle w:val="14"/>
        <w:spacing w:line="500" w:lineRule="exact"/>
        <w:ind w:firstLine="0"/>
        <w:rPr>
          <w:rFonts w:ascii="宋体" w:hAnsi="宋体"/>
          <w:color w:val="auto"/>
          <w:szCs w:val="21"/>
          <w:highlight w:val="none"/>
        </w:rPr>
      </w:pPr>
      <w:r>
        <w:rPr>
          <w:rFonts w:hint="eastAsia" w:ascii="宋体" w:hAnsi="宋体"/>
          <w:color w:val="auto"/>
          <w:szCs w:val="21"/>
          <w:highlight w:val="none"/>
          <w:lang w:eastAsia="zh-CN"/>
        </w:rPr>
        <w:t>汇建（苏州）项目管理有限公司</w:t>
      </w:r>
      <w:r>
        <w:rPr>
          <w:rFonts w:hint="eastAsia" w:ascii="宋体" w:hAnsi="宋体"/>
          <w:color w:val="auto"/>
          <w:szCs w:val="21"/>
          <w:highlight w:val="none"/>
        </w:rPr>
        <w:t>：</w:t>
      </w:r>
    </w:p>
    <w:p w14:paraId="4B7326F0">
      <w:pPr>
        <w:pStyle w:val="14"/>
        <w:spacing w:line="500" w:lineRule="exact"/>
        <w:ind w:right="120"/>
        <w:rPr>
          <w:rFonts w:ascii="宋体" w:hAnsi="宋体"/>
          <w:color w:val="auto"/>
          <w:szCs w:val="21"/>
          <w:highlight w:val="none"/>
        </w:rPr>
      </w:pPr>
      <w:r>
        <w:rPr>
          <w:rFonts w:hint="eastAsia" w:ascii="宋体" w:hAnsi="宋体"/>
          <w:color w:val="auto"/>
          <w:szCs w:val="21"/>
          <w:highlight w:val="none"/>
        </w:rPr>
        <w:t>本公司愿就由贵单位组织实施的编号为</w:t>
      </w:r>
      <w:r>
        <w:rPr>
          <w:rFonts w:hint="eastAsia" w:ascii="宋体" w:hAnsi="宋体"/>
          <w:color w:val="auto"/>
          <w:szCs w:val="21"/>
          <w:highlight w:val="none"/>
          <w:u w:val="single"/>
          <w:lang w:eastAsia="zh-CN"/>
        </w:rPr>
        <w:t>JSZC-320585-HJSZ-G2026-0002</w:t>
      </w:r>
      <w:r>
        <w:rPr>
          <w:rFonts w:hint="eastAsia" w:ascii="宋体" w:hAnsi="宋体"/>
          <w:color w:val="auto"/>
          <w:szCs w:val="21"/>
          <w:highlight w:val="none"/>
        </w:rPr>
        <w:t>号的招标活动进行投标。本公司所提交的投标文件中所有关于投标资格的文件、证明和陈述均是真实的、准确的。若与真实情况不符，本公司愿意承担由此而产生的一切后果。</w:t>
      </w:r>
    </w:p>
    <w:p w14:paraId="01AD9CE3">
      <w:pPr>
        <w:pStyle w:val="14"/>
        <w:spacing w:line="500" w:lineRule="exact"/>
        <w:ind w:left="1259" w:firstLine="426"/>
        <w:rPr>
          <w:rFonts w:ascii="宋体" w:hAnsi="宋体"/>
          <w:color w:val="auto"/>
          <w:szCs w:val="21"/>
          <w:highlight w:val="none"/>
        </w:rPr>
      </w:pPr>
    </w:p>
    <w:p w14:paraId="2DDC67E2">
      <w:pPr>
        <w:spacing w:line="500" w:lineRule="exact"/>
        <w:ind w:firstLine="3990"/>
        <w:rPr>
          <w:rFonts w:ascii="宋体" w:hAnsi="宋体"/>
          <w:color w:val="auto"/>
          <w:highlight w:val="none"/>
        </w:rPr>
      </w:pPr>
      <w:r>
        <w:rPr>
          <w:rFonts w:hint="eastAsia" w:ascii="宋体" w:hAnsi="宋体"/>
          <w:color w:val="auto"/>
          <w:highlight w:val="none"/>
        </w:rPr>
        <w:t>投标单位（单位盖章）：</w:t>
      </w:r>
    </w:p>
    <w:p w14:paraId="6CA881A6">
      <w:pPr>
        <w:spacing w:line="500" w:lineRule="exact"/>
        <w:ind w:firstLine="3990"/>
        <w:rPr>
          <w:rFonts w:ascii="宋体" w:hAnsi="宋体"/>
          <w:color w:val="auto"/>
          <w:highlight w:val="none"/>
        </w:rPr>
      </w:pPr>
      <w:r>
        <w:rPr>
          <w:rFonts w:hint="eastAsia" w:ascii="宋体" w:hAnsi="宋体"/>
          <w:color w:val="auto"/>
          <w:highlight w:val="none"/>
        </w:rPr>
        <w:t>法定代表人（签字或盖章）：</w:t>
      </w:r>
    </w:p>
    <w:p w14:paraId="6EF3062F">
      <w:pPr>
        <w:pStyle w:val="48"/>
        <w:ind w:left="525"/>
        <w:rPr>
          <w:rFonts w:ascii="宋体" w:hAnsi="宋体"/>
          <w:b/>
          <w:color w:val="auto"/>
          <w:sz w:val="21"/>
          <w:szCs w:val="21"/>
          <w:highlight w:val="none"/>
        </w:rPr>
      </w:pPr>
      <w:r>
        <w:rPr>
          <w:rFonts w:hint="eastAsia" w:ascii="宋体" w:hAnsi="宋体"/>
          <w:color w:val="auto"/>
          <w:sz w:val="21"/>
          <w:szCs w:val="21"/>
          <w:highlight w:val="none"/>
        </w:rPr>
        <w:t xml:space="preserve">                                          日期：     年月日 </w:t>
      </w:r>
    </w:p>
    <w:p w14:paraId="728C6918">
      <w:pPr>
        <w:pStyle w:val="48"/>
        <w:ind w:left="525"/>
        <w:jc w:val="center"/>
        <w:rPr>
          <w:rFonts w:ascii="宋体" w:hAnsi="宋体"/>
          <w:color w:val="auto"/>
          <w:sz w:val="32"/>
          <w:szCs w:val="32"/>
          <w:highlight w:val="none"/>
        </w:rPr>
      </w:pPr>
    </w:p>
    <w:p w14:paraId="02D5F5E9">
      <w:pPr>
        <w:pStyle w:val="48"/>
        <w:ind w:left="525"/>
        <w:jc w:val="center"/>
        <w:rPr>
          <w:rFonts w:ascii="宋体" w:hAnsi="宋体"/>
          <w:color w:val="auto"/>
          <w:sz w:val="32"/>
          <w:szCs w:val="32"/>
          <w:highlight w:val="none"/>
        </w:rPr>
      </w:pPr>
    </w:p>
    <w:p w14:paraId="7DCDFCED">
      <w:pPr>
        <w:rPr>
          <w:rFonts w:ascii="宋体" w:hAnsi="宋体"/>
          <w:b/>
          <w:color w:val="auto"/>
          <w:sz w:val="32"/>
          <w:szCs w:val="32"/>
          <w:highlight w:val="none"/>
        </w:rPr>
      </w:pPr>
      <w:r>
        <w:rPr>
          <w:rFonts w:hint="eastAsia" w:ascii="宋体" w:hAnsi="宋体"/>
          <w:b/>
          <w:color w:val="auto"/>
          <w:sz w:val="32"/>
          <w:szCs w:val="32"/>
          <w:highlight w:val="none"/>
        </w:rPr>
        <w:br w:type="page" w:clear="all"/>
      </w:r>
    </w:p>
    <w:p w14:paraId="1004C534">
      <w:pPr>
        <w:numPr>
          <w:ilvl w:val="0"/>
          <w:numId w:val="0"/>
        </w:numPr>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val="en-US" w:eastAsia="zh-CN"/>
        </w:rPr>
        <w:t>：</w:t>
      </w:r>
      <w:r>
        <w:rPr>
          <w:rFonts w:hint="eastAsia" w:ascii="宋体" w:hAnsi="宋体" w:cs="宋体"/>
          <w:b/>
          <w:color w:val="auto"/>
          <w:sz w:val="21"/>
          <w:szCs w:val="21"/>
          <w:highlight w:val="none"/>
          <w:lang w:val="en-US" w:eastAsia="zh-CN" w:bidi="ar-SA"/>
        </w:rPr>
        <w:t>投标承诺</w:t>
      </w:r>
      <w:r>
        <w:rPr>
          <w:rFonts w:hint="eastAsia" w:ascii="宋体" w:hAnsi="宋体" w:eastAsia="宋体" w:cs="宋体"/>
          <w:b/>
          <w:color w:val="auto"/>
          <w:sz w:val="21"/>
          <w:szCs w:val="21"/>
          <w:highlight w:val="none"/>
          <w:lang w:val="en-US" w:eastAsia="zh-CN" w:bidi="ar-SA"/>
        </w:rPr>
        <w:t>函</w:t>
      </w:r>
    </w:p>
    <w:p w14:paraId="4691F9A3">
      <w:pPr>
        <w:numPr>
          <w:ilvl w:val="0"/>
          <w:numId w:val="0"/>
        </w:numPr>
        <w:spacing w:line="360" w:lineRule="exact"/>
        <w:ind w:left="403"/>
        <w:jc w:val="center"/>
        <w:rPr>
          <w:rFonts w:ascii="宋体" w:hAnsi="宋体"/>
          <w:b/>
          <w:color w:val="auto"/>
          <w:sz w:val="32"/>
          <w:highlight w:val="none"/>
        </w:rPr>
      </w:pPr>
      <w:r>
        <w:rPr>
          <w:rFonts w:hint="eastAsia" w:ascii="宋体" w:hAnsi="宋体"/>
          <w:b/>
          <w:color w:val="auto"/>
          <w:sz w:val="32"/>
          <w:highlight w:val="none"/>
        </w:rPr>
        <w:t>投标</w:t>
      </w:r>
      <w:r>
        <w:rPr>
          <w:rFonts w:hint="eastAsia" w:ascii="宋体" w:hAnsi="宋体"/>
          <w:b/>
          <w:color w:val="auto"/>
          <w:sz w:val="32"/>
          <w:highlight w:val="none"/>
          <w:lang w:val="en-US" w:eastAsia="zh-CN"/>
        </w:rPr>
        <w:t>承诺</w:t>
      </w:r>
      <w:r>
        <w:rPr>
          <w:rFonts w:hint="eastAsia" w:ascii="宋体" w:hAnsi="宋体"/>
          <w:b/>
          <w:color w:val="auto"/>
          <w:sz w:val="32"/>
          <w:highlight w:val="none"/>
        </w:rPr>
        <w:t>函</w:t>
      </w:r>
    </w:p>
    <w:p w14:paraId="453F2380">
      <w:pPr>
        <w:keepNext w:val="0"/>
        <w:keepLines w:val="0"/>
        <w:pageBreakBefore w:val="0"/>
        <w:widowControl w:val="0"/>
        <w:spacing w:line="400" w:lineRule="exact"/>
        <w:rPr>
          <w:rFonts w:ascii="宋体" w:hAnsi="宋体"/>
          <w:color w:val="auto"/>
          <w:sz w:val="24"/>
          <w:highlight w:val="none"/>
        </w:rPr>
      </w:pPr>
      <w:r>
        <w:rPr>
          <w:rFonts w:hint="eastAsia" w:hAnsi="宋体"/>
          <w:color w:val="auto"/>
          <w:highlight w:val="none"/>
          <w:u w:val="single"/>
          <w:lang w:eastAsia="zh-CN"/>
        </w:rPr>
        <w:t>汇建（苏州）项目管理有限公司</w:t>
      </w:r>
      <w:r>
        <w:rPr>
          <w:rFonts w:hint="eastAsia" w:ascii="宋体" w:hAnsi="宋体"/>
          <w:color w:val="auto"/>
          <w:sz w:val="24"/>
          <w:highlight w:val="none"/>
        </w:rPr>
        <w:t>：</w:t>
      </w:r>
    </w:p>
    <w:p w14:paraId="3EDFFBBF">
      <w:pPr>
        <w:keepNext w:val="0"/>
        <w:keepLines w:val="0"/>
        <w:pageBreakBefore w:val="0"/>
        <w:widowControl w:val="0"/>
        <w:spacing w:line="400" w:lineRule="exact"/>
        <w:ind w:firstLine="420"/>
        <w:rPr>
          <w:rFonts w:ascii="宋体" w:hAnsi="宋体"/>
          <w:color w:val="auto"/>
          <w:highlight w:val="none"/>
        </w:rPr>
      </w:pPr>
      <w:r>
        <w:rPr>
          <w:rFonts w:hint="eastAsia" w:ascii="宋体" w:hAnsi="宋体"/>
          <w:color w:val="auto"/>
          <w:highlight w:val="none"/>
        </w:rPr>
        <w:t>我们收到贵单位</w:t>
      </w:r>
      <w:r>
        <w:rPr>
          <w:rFonts w:hint="eastAsia" w:ascii="宋体" w:hAnsi="宋体"/>
          <w:color w:val="auto"/>
          <w:highlight w:val="none"/>
          <w:u w:val="single"/>
          <w:lang w:eastAsia="zh-CN"/>
        </w:rPr>
        <w:t> 2026年度化工园区应急指挥中心运维服务</w:t>
      </w:r>
      <w:r>
        <w:rPr>
          <w:rFonts w:hint="eastAsia" w:ascii="宋体" w:hAnsi="宋体"/>
          <w:color w:val="auto"/>
          <w:highlight w:val="none"/>
        </w:rPr>
        <w:t>招标文件（项目编号：</w:t>
      </w:r>
      <w:r>
        <w:rPr>
          <w:rFonts w:hint="eastAsia" w:ascii="宋体" w:hAnsi="宋体"/>
          <w:color w:val="auto"/>
          <w:highlight w:val="none"/>
          <w:u w:val="single"/>
          <w:lang w:eastAsia="zh-CN"/>
        </w:rPr>
        <w:t>JSZC-320585-HJSZ-G2026-0002</w:t>
      </w:r>
      <w:r>
        <w:rPr>
          <w:rFonts w:hint="eastAsia" w:ascii="宋体" w:hAnsi="宋体"/>
          <w:color w:val="auto"/>
          <w:highlight w:val="none"/>
        </w:rPr>
        <w:t>），经仔细阅读和研究，我们决定参加投标。</w:t>
      </w:r>
    </w:p>
    <w:p w14:paraId="3DB6EB85">
      <w:pPr>
        <w:keepNext w:val="0"/>
        <w:keepLines w:val="0"/>
        <w:pageBreakBefore w:val="0"/>
        <w:widowControl w:val="0"/>
        <w:spacing w:line="400" w:lineRule="exact"/>
        <w:ind w:firstLine="240"/>
        <w:rPr>
          <w:rFonts w:hint="eastAsia" w:ascii="宋体" w:hAnsi="宋体" w:eastAsia="宋体" w:cs="宋体"/>
          <w:color w:val="auto"/>
          <w:highlight w:val="none"/>
        </w:rPr>
      </w:pPr>
      <w:r>
        <w:rPr>
          <w:rFonts w:ascii="宋体" w:hAnsi="宋体"/>
          <w:color w:val="auto"/>
          <w:highlight w:val="none"/>
        </w:rPr>
        <w:t xml:space="preserve">  1</w:t>
      </w:r>
      <w:r>
        <w:rPr>
          <w:rFonts w:hint="eastAsia" w:ascii="宋体" w:hAnsi="宋体"/>
          <w:color w:val="auto"/>
          <w:highlight w:val="none"/>
        </w:rPr>
        <w:t>．我们愿意按照招标文件的一切要求，提供包括完成该项</w:t>
      </w:r>
      <w:r>
        <w:rPr>
          <w:rFonts w:hint="eastAsia" w:ascii="宋体" w:hAnsi="宋体" w:eastAsia="宋体" w:cs="宋体"/>
          <w:color w:val="auto"/>
          <w:highlight w:val="none"/>
        </w:rPr>
        <w:t>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p>
    <w:p w14:paraId="1A5936EA">
      <w:pPr>
        <w:keepNext w:val="0"/>
        <w:keepLines w:val="0"/>
        <w:pageBreakBefore w:val="0"/>
        <w:widowControl w:val="0"/>
        <w:spacing w:line="400" w:lineRule="exact"/>
        <w:rPr>
          <w:rFonts w:ascii="宋体" w:hAnsi="宋体"/>
          <w:color w:val="auto"/>
          <w:highlight w:val="none"/>
        </w:rPr>
      </w:pPr>
      <w:r>
        <w:rPr>
          <w:rFonts w:ascii="宋体" w:hAnsi="宋体"/>
          <w:color w:val="auto"/>
          <w:highlight w:val="none"/>
        </w:rPr>
        <w:t xml:space="preserve">    2</w:t>
      </w:r>
      <w:r>
        <w:rPr>
          <w:rFonts w:hint="eastAsia" w:ascii="宋体" w:hAnsi="宋体"/>
          <w:color w:val="auto"/>
          <w:highlight w:val="none"/>
        </w:rPr>
        <w:t>．如果我们的投标书被接受，我们将严格履行招标文件中规定的每一项要求，按期、按质、按量履行合同的义务。</w:t>
      </w:r>
    </w:p>
    <w:p w14:paraId="7D461E41">
      <w:pPr>
        <w:keepNext w:val="0"/>
        <w:keepLines w:val="0"/>
        <w:pageBreakBefore w:val="0"/>
        <w:widowControl w:val="0"/>
        <w:spacing w:line="400" w:lineRule="exact"/>
        <w:rPr>
          <w:rFonts w:ascii="宋体" w:hAnsi="宋体"/>
          <w:color w:val="auto"/>
          <w:highlight w:val="none"/>
        </w:rPr>
      </w:pPr>
      <w:r>
        <w:rPr>
          <w:rFonts w:ascii="宋体" w:hAnsi="宋体"/>
          <w:color w:val="auto"/>
          <w:highlight w:val="none"/>
        </w:rPr>
        <w:t xml:space="preserve">    3</w:t>
      </w:r>
      <w:r>
        <w:rPr>
          <w:rFonts w:hint="eastAsia" w:ascii="宋体" w:hAnsi="宋体"/>
          <w:color w:val="auto"/>
          <w:highlight w:val="none"/>
        </w:rPr>
        <w:t>．我们同意按招标文件中的规定，本投标书的有效期限为开标后</w:t>
      </w:r>
      <w:r>
        <w:rPr>
          <w:rFonts w:hint="eastAsia" w:ascii="宋体" w:hAnsi="宋体"/>
          <w:color w:val="auto"/>
          <w:highlight w:val="none"/>
          <w:u w:val="single"/>
        </w:rPr>
        <w:t xml:space="preserve"> 90 </w:t>
      </w:r>
      <w:r>
        <w:rPr>
          <w:rFonts w:hint="eastAsia" w:ascii="宋体" w:hAnsi="宋体"/>
          <w:color w:val="auto"/>
          <w:highlight w:val="none"/>
        </w:rPr>
        <w:t>天</w:t>
      </w:r>
      <w:r>
        <w:rPr>
          <w:rFonts w:hint="eastAsia" w:ascii="宋体" w:hAnsi="宋体" w:cs="宋体"/>
          <w:color w:val="auto"/>
          <w:szCs w:val="21"/>
          <w:highlight w:val="none"/>
        </w:rPr>
        <w:t>，如果我方在开标后规定的投标有效期内撤回投标，我方的投标保证金可被贵方没收</w:t>
      </w:r>
      <w:r>
        <w:rPr>
          <w:rFonts w:hint="eastAsia" w:ascii="宋体" w:hAnsi="宋体"/>
          <w:color w:val="auto"/>
          <w:highlight w:val="none"/>
        </w:rPr>
        <w:t>。</w:t>
      </w:r>
    </w:p>
    <w:p w14:paraId="26DFF1F0">
      <w:pPr>
        <w:keepNext w:val="0"/>
        <w:keepLines w:val="0"/>
        <w:pageBreakBefore w:val="0"/>
        <w:widowControl w:val="0"/>
        <w:spacing w:line="400" w:lineRule="exact"/>
        <w:rPr>
          <w:rFonts w:ascii="宋体" w:hAnsi="宋体"/>
          <w:color w:val="auto"/>
          <w:highlight w:val="none"/>
        </w:rPr>
      </w:pPr>
      <w:r>
        <w:rPr>
          <w:rFonts w:ascii="宋体" w:hAnsi="宋体"/>
          <w:color w:val="auto"/>
          <w:highlight w:val="none"/>
        </w:rPr>
        <w:t xml:space="preserve">    4</w:t>
      </w:r>
      <w:r>
        <w:rPr>
          <w:rFonts w:hint="eastAsia" w:ascii="宋体" w:hAnsi="宋体"/>
          <w:color w:val="auto"/>
          <w:highlight w:val="none"/>
        </w:rPr>
        <w:t>．我们愿意提供招标方在招标文件中要求的所有资料。</w:t>
      </w:r>
      <w:r>
        <w:rPr>
          <w:rFonts w:hint="eastAsia" w:ascii="宋体" w:hAnsi="宋体" w:cs="宋体"/>
          <w:color w:val="auto"/>
          <w:szCs w:val="21"/>
          <w:highlight w:val="none"/>
        </w:rPr>
        <w:t>也同意向贵方提供贵方可能另外要求的与我方投标有关的任何证据或资料。并保证所提供的资料全部是真实的、有效的，若有虚假，我方愿承担一切责任。</w:t>
      </w:r>
    </w:p>
    <w:p w14:paraId="6EAC0AEB">
      <w:pPr>
        <w:keepNext w:val="0"/>
        <w:keepLines w:val="0"/>
        <w:pageBreakBefore w:val="0"/>
        <w:widowControl w:val="0"/>
        <w:spacing w:line="400" w:lineRule="exact"/>
        <w:rPr>
          <w:rFonts w:ascii="宋体" w:hAnsi="宋体"/>
          <w:color w:val="auto"/>
          <w:highlight w:val="none"/>
        </w:rPr>
      </w:pPr>
      <w:r>
        <w:rPr>
          <w:rFonts w:ascii="宋体" w:hAnsi="宋体"/>
          <w:color w:val="auto"/>
          <w:highlight w:val="none"/>
        </w:rPr>
        <w:t xml:space="preserve">    5</w:t>
      </w:r>
      <w:r>
        <w:rPr>
          <w:rFonts w:hint="eastAsia" w:ascii="宋体" w:hAnsi="宋体"/>
          <w:color w:val="auto"/>
          <w:highlight w:val="none"/>
        </w:rPr>
        <w:t>．我们认为你们有权决定中标者，还认为你们有权接受或拒绝所有的投标者。</w:t>
      </w:r>
    </w:p>
    <w:p w14:paraId="7AD7CBA9">
      <w:pPr>
        <w:keepNext w:val="0"/>
        <w:keepLines w:val="0"/>
        <w:pageBreakBefore w:val="0"/>
        <w:widowControl w:val="0"/>
        <w:spacing w:line="400" w:lineRule="exact"/>
        <w:rPr>
          <w:rFonts w:ascii="宋体" w:hAnsi="宋体"/>
          <w:color w:val="auto"/>
          <w:highlight w:val="none"/>
        </w:rPr>
      </w:pPr>
      <w:r>
        <w:rPr>
          <w:rFonts w:hint="eastAsia" w:ascii="宋体" w:hAnsi="宋体"/>
          <w:color w:val="auto"/>
          <w:highlight w:val="none"/>
        </w:rPr>
        <w:t xml:space="preserve">    6．我们承诺该项投标在开标后的全过程中保持有效，不作任何更改和变动。</w:t>
      </w:r>
      <w:r>
        <w:rPr>
          <w:rFonts w:hint="eastAsia" w:ascii="宋体" w:hAnsi="宋体" w:cs="宋体"/>
          <w:color w:val="auto"/>
          <w:szCs w:val="21"/>
          <w:highlight w:val="none"/>
        </w:rPr>
        <w:t>我方同意中标后若不履行投标文件的内容要求和各项承诺及义务的即被视为违约，我方的中标资格将被取消。</w:t>
      </w:r>
    </w:p>
    <w:p w14:paraId="6958BE57">
      <w:pPr>
        <w:keepNext w:val="0"/>
        <w:keepLines w:val="0"/>
        <w:pageBreakBefore w:val="0"/>
        <w:widowControl w:val="0"/>
        <w:spacing w:line="400" w:lineRule="exact"/>
        <w:ind w:firstLine="480"/>
        <w:rPr>
          <w:rFonts w:hint="eastAsia" w:ascii="宋体" w:hAnsi="宋体" w:eastAsia="宋体" w:cs="宋体"/>
          <w:b/>
          <w:bCs/>
          <w:color w:val="auto"/>
          <w:sz w:val="21"/>
          <w:szCs w:val="21"/>
          <w:highlight w:val="none"/>
          <w:lang w:val="en-US" w:eastAsia="zh-CN" w:bidi="ar-SA"/>
        </w:rPr>
      </w:pPr>
      <w:r>
        <w:rPr>
          <w:rFonts w:hint="eastAsia" w:ascii="宋体" w:hAnsi="宋体"/>
          <w:color w:val="auto"/>
          <w:highlight w:val="none"/>
        </w:rPr>
        <w:t>7．</w:t>
      </w:r>
      <w:r>
        <w:rPr>
          <w:rFonts w:hint="eastAsia" w:ascii="宋体" w:hAnsi="宋体" w:eastAsia="宋体" w:cs="宋体"/>
          <w:b/>
          <w:bCs/>
          <w:color w:val="auto"/>
          <w:sz w:val="21"/>
          <w:szCs w:val="21"/>
          <w:highlight w:val="none"/>
          <w:lang w:val="en-US" w:eastAsia="en-US" w:bidi="ar-SA"/>
        </w:rPr>
        <w:t>如果中标，我们同意并知晓中标通知书发出方式及发出时间，遵守招标文件和中标通知书规定，在指定时间和地点和采购人签订合同</w:t>
      </w:r>
      <w:r>
        <w:rPr>
          <w:rFonts w:hint="eastAsia" w:hAnsi="宋体" w:cs="宋体"/>
          <w:b/>
          <w:bCs/>
          <w:color w:val="auto"/>
          <w:sz w:val="21"/>
          <w:szCs w:val="21"/>
          <w:highlight w:val="none"/>
          <w:lang w:val="en-US" w:eastAsia="zh-CN" w:bidi="ar-SA"/>
        </w:rPr>
        <w:t>。</w:t>
      </w:r>
    </w:p>
    <w:p w14:paraId="1DB59CFA">
      <w:pPr>
        <w:keepNext w:val="0"/>
        <w:keepLines w:val="0"/>
        <w:pageBreakBefore w:val="0"/>
        <w:widowControl w:val="0"/>
        <w:spacing w:line="400" w:lineRule="exact"/>
        <w:ind w:firstLine="480"/>
        <w:rPr>
          <w:rFonts w:ascii="宋体" w:hAnsi="宋体"/>
          <w:color w:val="auto"/>
          <w:highlight w:val="none"/>
        </w:rPr>
      </w:pPr>
      <w:r>
        <w:rPr>
          <w:rFonts w:hint="eastAsia" w:ascii="宋体" w:hAnsi="宋体"/>
          <w:color w:val="auto"/>
          <w:highlight w:val="none"/>
          <w:lang w:val="en-US" w:eastAsia="zh-CN"/>
        </w:rPr>
        <w:t>9</w:t>
      </w:r>
      <w:r>
        <w:rPr>
          <w:rFonts w:hint="eastAsia" w:ascii="宋体" w:hAnsi="宋体"/>
          <w:color w:val="auto"/>
          <w:highlight w:val="none"/>
        </w:rPr>
        <w:t>．综合说明：</w:t>
      </w:r>
    </w:p>
    <w:p w14:paraId="0B891B9D">
      <w:pPr>
        <w:keepNext w:val="0"/>
        <w:keepLines w:val="0"/>
        <w:pageBreakBefore w:val="0"/>
        <w:widowControl w:val="0"/>
        <w:spacing w:line="400" w:lineRule="exact"/>
        <w:ind w:firstLine="420"/>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）伴随服务及配合措施；</w:t>
      </w:r>
    </w:p>
    <w:p w14:paraId="1F4954F8">
      <w:pPr>
        <w:keepNext w:val="0"/>
        <w:keepLines w:val="0"/>
        <w:pageBreakBefore w:val="0"/>
        <w:widowControl w:val="0"/>
        <w:spacing w:line="400" w:lineRule="exact"/>
        <w:ind w:firstLine="420"/>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）要求甲方提供的配合；</w:t>
      </w:r>
    </w:p>
    <w:p w14:paraId="5F3C2087">
      <w:pPr>
        <w:keepNext w:val="0"/>
        <w:keepLines w:val="0"/>
        <w:pageBreakBefore w:val="0"/>
        <w:widowControl w:val="0"/>
        <w:spacing w:line="400" w:lineRule="exact"/>
        <w:ind w:firstLine="420"/>
        <w:rPr>
          <w:rFonts w:ascii="宋体" w:hAnsi="宋体"/>
          <w:color w:val="auto"/>
          <w:highlight w:val="none"/>
        </w:rPr>
      </w:pPr>
      <w:r>
        <w:rPr>
          <w:rFonts w:hint="eastAsia" w:ascii="宋体" w:hAnsi="宋体"/>
          <w:color w:val="auto"/>
          <w:highlight w:val="none"/>
        </w:rPr>
        <w:t>（</w:t>
      </w:r>
      <w:r>
        <w:rPr>
          <w:rFonts w:ascii="宋体" w:hAnsi="宋体"/>
          <w:color w:val="auto"/>
          <w:highlight w:val="none"/>
        </w:rPr>
        <w:t>3</w:t>
      </w:r>
      <w:r>
        <w:rPr>
          <w:rFonts w:hint="eastAsia" w:ascii="宋体" w:hAnsi="宋体"/>
          <w:color w:val="auto"/>
          <w:highlight w:val="none"/>
        </w:rPr>
        <w:t>）对招标文件有不同意见的偏离说明；</w:t>
      </w:r>
    </w:p>
    <w:p w14:paraId="116008CF">
      <w:pPr>
        <w:keepNext w:val="0"/>
        <w:keepLines w:val="0"/>
        <w:pageBreakBefore w:val="0"/>
        <w:widowControl w:val="0"/>
        <w:spacing w:line="400" w:lineRule="exact"/>
        <w:ind w:firstLine="420"/>
        <w:rPr>
          <w:rFonts w:ascii="宋体" w:hAnsi="宋体"/>
          <w:color w:val="auto"/>
          <w:highlight w:val="none"/>
        </w:rPr>
      </w:pPr>
      <w:r>
        <w:rPr>
          <w:rFonts w:hint="eastAsia" w:ascii="宋体" w:hAnsi="宋体"/>
          <w:color w:val="auto"/>
          <w:highlight w:val="none"/>
        </w:rPr>
        <w:t>（</w:t>
      </w:r>
      <w:r>
        <w:rPr>
          <w:rFonts w:ascii="宋体" w:hAnsi="宋体"/>
          <w:color w:val="auto"/>
          <w:highlight w:val="none"/>
        </w:rPr>
        <w:t>4</w:t>
      </w:r>
      <w:r>
        <w:rPr>
          <w:rFonts w:hint="eastAsia" w:ascii="宋体" w:hAnsi="宋体"/>
          <w:color w:val="auto"/>
          <w:highlight w:val="none"/>
        </w:rPr>
        <w:t>）其它说明。</w:t>
      </w:r>
    </w:p>
    <w:p w14:paraId="29071681">
      <w:pPr>
        <w:keepNext w:val="0"/>
        <w:keepLines w:val="0"/>
        <w:pageBreakBefore w:val="0"/>
        <w:widowControl w:val="0"/>
        <w:spacing w:line="400" w:lineRule="exact"/>
        <w:rPr>
          <w:rFonts w:ascii="宋体" w:hAnsi="宋体"/>
          <w:color w:val="auto"/>
          <w:highlight w:val="none"/>
        </w:rPr>
      </w:pPr>
      <w:r>
        <w:rPr>
          <w:rFonts w:hint="eastAsia" w:ascii="宋体" w:hAnsi="宋体"/>
          <w:color w:val="auto"/>
          <w:highlight w:val="none"/>
        </w:rPr>
        <w:t>所有有关标书的函电，请按下列地址联系：</w:t>
      </w:r>
    </w:p>
    <w:p w14:paraId="49A2AEED">
      <w:pPr>
        <w:keepNext w:val="0"/>
        <w:keepLines w:val="0"/>
        <w:pageBreakBefore w:val="0"/>
        <w:widowControl w:val="0"/>
        <w:spacing w:line="400" w:lineRule="exact"/>
        <w:rPr>
          <w:rFonts w:ascii="宋体" w:hAnsi="宋体"/>
          <w:color w:val="auto"/>
          <w:highlight w:val="none"/>
        </w:rPr>
      </w:pPr>
      <w:r>
        <w:rPr>
          <w:rFonts w:hint="eastAsia" w:ascii="宋体" w:hAnsi="宋体"/>
          <w:color w:val="auto"/>
          <w:highlight w:val="none"/>
        </w:rPr>
        <w:t>单位：                         联系人：</w:t>
      </w:r>
    </w:p>
    <w:p w14:paraId="1C65BDD7">
      <w:pPr>
        <w:keepNext w:val="0"/>
        <w:keepLines w:val="0"/>
        <w:pageBreakBefore w:val="0"/>
        <w:widowControl w:val="0"/>
        <w:spacing w:line="400" w:lineRule="exact"/>
        <w:rPr>
          <w:rFonts w:ascii="宋体" w:hAnsi="宋体"/>
          <w:color w:val="auto"/>
          <w:highlight w:val="none"/>
        </w:rPr>
      </w:pPr>
      <w:r>
        <w:rPr>
          <w:rFonts w:hint="eastAsia" w:ascii="宋体" w:hAnsi="宋体"/>
          <w:color w:val="auto"/>
          <w:highlight w:val="none"/>
        </w:rPr>
        <w:t>地址：                         邮政编码：</w:t>
      </w:r>
    </w:p>
    <w:p w14:paraId="20F08192">
      <w:pPr>
        <w:keepNext w:val="0"/>
        <w:keepLines w:val="0"/>
        <w:pageBreakBefore w:val="0"/>
        <w:widowControl w:val="0"/>
        <w:spacing w:line="400" w:lineRule="exact"/>
        <w:rPr>
          <w:rFonts w:ascii="宋体" w:hAnsi="宋体"/>
          <w:color w:val="auto"/>
          <w:highlight w:val="none"/>
        </w:rPr>
      </w:pPr>
      <w:r>
        <w:rPr>
          <w:rFonts w:hint="eastAsia" w:ascii="宋体" w:hAnsi="宋体"/>
          <w:color w:val="auto"/>
          <w:highlight w:val="none"/>
        </w:rPr>
        <w:t>联系电话：                     传真：</w:t>
      </w:r>
    </w:p>
    <w:p w14:paraId="2D6BB54C">
      <w:pPr>
        <w:keepNext w:val="0"/>
        <w:keepLines w:val="0"/>
        <w:pageBreakBefore w:val="0"/>
        <w:widowControl w:val="0"/>
        <w:spacing w:line="400" w:lineRule="exact"/>
        <w:ind w:firstLine="4620"/>
        <w:rPr>
          <w:rFonts w:ascii="宋体" w:hAnsi="宋体"/>
          <w:color w:val="auto"/>
          <w:highlight w:val="none"/>
        </w:rPr>
      </w:pPr>
      <w:r>
        <w:rPr>
          <w:rFonts w:hint="eastAsia" w:ascii="宋体" w:hAnsi="宋体"/>
          <w:color w:val="auto"/>
          <w:highlight w:val="none"/>
        </w:rPr>
        <w:t>投标方：</w:t>
      </w:r>
    </w:p>
    <w:p w14:paraId="3C77ACE5">
      <w:pPr>
        <w:keepNext w:val="0"/>
        <w:keepLines w:val="0"/>
        <w:pageBreakBefore w:val="0"/>
        <w:widowControl w:val="0"/>
        <w:spacing w:line="400" w:lineRule="exact"/>
        <w:ind w:firstLine="4410"/>
        <w:rPr>
          <w:rFonts w:ascii="宋体" w:hAnsi="宋体"/>
          <w:color w:val="auto"/>
          <w:highlight w:val="none"/>
        </w:rPr>
      </w:pPr>
      <w:r>
        <w:rPr>
          <w:rFonts w:hint="eastAsia" w:ascii="宋体" w:hAnsi="宋体"/>
          <w:color w:val="auto"/>
          <w:highlight w:val="none"/>
        </w:rPr>
        <w:t>（单位盖章）</w:t>
      </w:r>
    </w:p>
    <w:p w14:paraId="353BEE2C">
      <w:pPr>
        <w:keepNext w:val="0"/>
        <w:keepLines w:val="0"/>
        <w:pageBreakBefore w:val="0"/>
        <w:widowControl w:val="0"/>
        <w:spacing w:line="400" w:lineRule="exact"/>
        <w:ind w:firstLine="4620"/>
        <w:rPr>
          <w:rFonts w:ascii="宋体" w:hAnsi="宋体"/>
          <w:color w:val="auto"/>
          <w:highlight w:val="none"/>
        </w:rPr>
      </w:pPr>
      <w:r>
        <w:rPr>
          <w:rFonts w:hint="eastAsia" w:ascii="宋体" w:hAnsi="宋体"/>
          <w:color w:val="auto"/>
          <w:highlight w:val="none"/>
        </w:rPr>
        <w:t>法定代表人或授权委托人：（签字或盖章）</w:t>
      </w:r>
    </w:p>
    <w:p w14:paraId="15C60F1A">
      <w:pPr>
        <w:keepNext w:val="0"/>
        <w:keepLines w:val="0"/>
        <w:pageBreakBefore w:val="0"/>
        <w:widowControl w:val="0"/>
        <w:spacing w:line="400" w:lineRule="exact"/>
        <w:ind w:firstLine="5197"/>
        <w:rPr>
          <w:rFonts w:ascii="宋体" w:hAnsi="宋体"/>
          <w:color w:val="auto"/>
          <w:sz w:val="28"/>
          <w:szCs w:val="28"/>
          <w:highlight w:val="none"/>
        </w:rPr>
      </w:pPr>
      <w:r>
        <w:rPr>
          <w:rFonts w:hint="eastAsia" w:ascii="宋体" w:hAnsi="宋体"/>
          <w:color w:val="auto"/>
          <w:highlight w:val="none"/>
        </w:rPr>
        <w:t>年月日</w:t>
      </w:r>
    </w:p>
    <w:p w14:paraId="3E228527">
      <w:pPr>
        <w:rPr>
          <w:rFonts w:ascii="宋体" w:hAnsi="宋体"/>
          <w:b/>
          <w:color w:val="auto"/>
          <w:sz w:val="32"/>
          <w:szCs w:val="32"/>
          <w:highlight w:val="none"/>
        </w:rPr>
      </w:pPr>
    </w:p>
    <w:p w14:paraId="4B227855">
      <w:pPr>
        <w:numPr>
          <w:ilvl w:val="0"/>
          <w:numId w:val="0"/>
        </w:numPr>
        <w:jc w:val="both"/>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投标单位情况表</w:t>
      </w:r>
    </w:p>
    <w:p w14:paraId="55B32FF6">
      <w:pPr>
        <w:pStyle w:val="14"/>
        <w:numPr>
          <w:ilvl w:val="0"/>
          <w:numId w:val="0"/>
        </w:numPr>
        <w:jc w:val="center"/>
        <w:rPr>
          <w:rFonts w:ascii="宋体" w:hAnsi="宋体"/>
          <w:color w:val="auto"/>
          <w:sz w:val="30"/>
          <w:szCs w:val="30"/>
          <w:highlight w:val="none"/>
        </w:rPr>
      </w:pPr>
      <w:r>
        <w:rPr>
          <w:rFonts w:hint="eastAsia" w:ascii="宋体" w:hAnsi="宋体" w:cs="宋体"/>
          <w:b/>
          <w:color w:val="auto"/>
          <w:sz w:val="28"/>
          <w:szCs w:val="28"/>
          <w:highlight w:val="none"/>
        </w:rPr>
        <w:t>投标单位情况表</w:t>
      </w:r>
    </w:p>
    <w:p w14:paraId="64A8F809">
      <w:pPr>
        <w:pStyle w:val="14"/>
        <w:ind w:firstLine="210"/>
        <w:rPr>
          <w:rFonts w:ascii="宋体" w:hAnsi="宋体"/>
          <w:color w:val="auto"/>
          <w:szCs w:val="21"/>
          <w:highlight w:val="none"/>
        </w:rPr>
      </w:pPr>
      <w:r>
        <w:rPr>
          <w:rFonts w:hint="eastAsia" w:ascii="宋体" w:hAnsi="宋体"/>
          <w:color w:val="auto"/>
          <w:szCs w:val="21"/>
          <w:highlight w:val="none"/>
        </w:rPr>
        <w:t>单位名称（盖章）：</w:t>
      </w:r>
    </w:p>
    <w:tbl>
      <w:tblPr>
        <w:tblStyle w:val="56"/>
        <w:tblW w:w="8827" w:type="dxa"/>
        <w:tblInd w:w="33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608"/>
        <w:gridCol w:w="1845"/>
        <w:gridCol w:w="1344"/>
        <w:gridCol w:w="1892"/>
        <w:gridCol w:w="1138"/>
      </w:tblGrid>
      <w:tr w14:paraId="6B606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2608" w:type="dxa"/>
            <w:noWrap w:val="0"/>
          </w:tcPr>
          <w:p w14:paraId="49E3746A">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法定代表人</w:t>
            </w:r>
          </w:p>
        </w:tc>
        <w:tc>
          <w:tcPr>
            <w:tcW w:w="1845" w:type="dxa"/>
            <w:noWrap w:val="0"/>
          </w:tcPr>
          <w:p w14:paraId="7B887CDE">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c>
          <w:tcPr>
            <w:tcW w:w="1344" w:type="dxa"/>
            <w:noWrap w:val="0"/>
          </w:tcPr>
          <w:p w14:paraId="37EDD07A">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成立日期</w:t>
            </w:r>
          </w:p>
        </w:tc>
        <w:tc>
          <w:tcPr>
            <w:tcW w:w="3030" w:type="dxa"/>
            <w:gridSpan w:val="2"/>
            <w:noWrap w:val="0"/>
          </w:tcPr>
          <w:p w14:paraId="7C216C12">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r>
      <w:tr w14:paraId="151F6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0CE0A844">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企业地址</w:t>
            </w:r>
          </w:p>
        </w:tc>
        <w:tc>
          <w:tcPr>
            <w:tcW w:w="1845" w:type="dxa"/>
            <w:noWrap w:val="0"/>
          </w:tcPr>
          <w:p w14:paraId="24359E17">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c>
          <w:tcPr>
            <w:tcW w:w="1344" w:type="dxa"/>
            <w:noWrap w:val="0"/>
          </w:tcPr>
          <w:p w14:paraId="623FAFEA">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注册资本</w:t>
            </w:r>
          </w:p>
        </w:tc>
        <w:tc>
          <w:tcPr>
            <w:tcW w:w="3030" w:type="dxa"/>
            <w:gridSpan w:val="2"/>
            <w:noWrap w:val="0"/>
          </w:tcPr>
          <w:p w14:paraId="5E4FC74D">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 xml:space="preserve">                  万元</w:t>
            </w:r>
          </w:p>
        </w:tc>
      </w:tr>
      <w:tr w14:paraId="22353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7EA1C651">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经营范围</w:t>
            </w:r>
          </w:p>
        </w:tc>
        <w:tc>
          <w:tcPr>
            <w:tcW w:w="6219" w:type="dxa"/>
            <w:gridSpan w:val="4"/>
            <w:noWrap w:val="0"/>
          </w:tcPr>
          <w:p w14:paraId="7C5FD154">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r>
      <w:tr w14:paraId="65AF0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5FAB1F33">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职工人数</w:t>
            </w:r>
          </w:p>
        </w:tc>
        <w:tc>
          <w:tcPr>
            <w:tcW w:w="1845" w:type="dxa"/>
            <w:noWrap w:val="0"/>
          </w:tcPr>
          <w:p w14:paraId="33C9CC63">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p>
        </w:tc>
        <w:tc>
          <w:tcPr>
            <w:tcW w:w="3236" w:type="dxa"/>
            <w:gridSpan w:val="2"/>
            <w:noWrap w:val="0"/>
          </w:tcPr>
          <w:p w14:paraId="11830B6A">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其中：有中高级以上职称的人数</w:t>
            </w:r>
          </w:p>
        </w:tc>
        <w:tc>
          <w:tcPr>
            <w:tcW w:w="1138" w:type="dxa"/>
            <w:noWrap w:val="0"/>
          </w:tcPr>
          <w:p w14:paraId="35F61B9B">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r>
      <w:tr w14:paraId="205A1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vAlign w:val="center"/>
          </w:tcPr>
          <w:p w14:paraId="373DF988">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资产总计</w:t>
            </w:r>
          </w:p>
        </w:tc>
        <w:tc>
          <w:tcPr>
            <w:tcW w:w="1845" w:type="dxa"/>
            <w:noWrap w:val="0"/>
            <w:vAlign w:val="center"/>
          </w:tcPr>
          <w:p w14:paraId="2A8DEFD2">
            <w:pPr>
              <w:pStyle w:val="14"/>
              <w:keepNext w:val="0"/>
              <w:keepLines w:val="0"/>
              <w:suppressLineNumbers w:val="0"/>
              <w:spacing w:before="0" w:beforeAutospacing="0" w:after="0" w:afterAutospacing="0"/>
              <w:ind w:left="0" w:right="0" w:firstLine="105"/>
              <w:rPr>
                <w:rFonts w:hint="default" w:ascii="宋体" w:hAnsi="宋体"/>
                <w:color w:val="auto"/>
                <w:szCs w:val="21"/>
                <w:highlight w:val="none"/>
              </w:rPr>
            </w:pPr>
            <w:r>
              <w:rPr>
                <w:rFonts w:hint="eastAsia" w:ascii="宋体" w:hAnsi="宋体"/>
                <w:color w:val="auto"/>
                <w:szCs w:val="21"/>
                <w:highlight w:val="none"/>
              </w:rPr>
              <w:t xml:space="preserve">       万元</w:t>
            </w:r>
          </w:p>
        </w:tc>
        <w:tc>
          <w:tcPr>
            <w:tcW w:w="1344" w:type="dxa"/>
            <w:noWrap w:val="0"/>
            <w:vAlign w:val="center"/>
          </w:tcPr>
          <w:p w14:paraId="25FD0DD9">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净资产</w:t>
            </w:r>
          </w:p>
        </w:tc>
        <w:tc>
          <w:tcPr>
            <w:tcW w:w="3030" w:type="dxa"/>
            <w:gridSpan w:val="2"/>
            <w:noWrap w:val="0"/>
            <w:vAlign w:val="center"/>
          </w:tcPr>
          <w:p w14:paraId="2AD0123F">
            <w:pPr>
              <w:pStyle w:val="14"/>
              <w:keepNext w:val="0"/>
              <w:keepLines w:val="0"/>
              <w:suppressLineNumbers w:val="0"/>
              <w:spacing w:before="0" w:beforeAutospacing="0" w:after="0" w:afterAutospacing="0"/>
              <w:ind w:left="1260" w:right="0" w:firstLine="0"/>
              <w:jc w:val="center"/>
              <w:rPr>
                <w:rFonts w:hint="default" w:ascii="宋体" w:hAnsi="宋体"/>
                <w:color w:val="auto"/>
                <w:szCs w:val="21"/>
                <w:highlight w:val="none"/>
              </w:rPr>
            </w:pPr>
            <w:r>
              <w:rPr>
                <w:rFonts w:hint="eastAsia" w:ascii="宋体" w:hAnsi="宋体"/>
                <w:color w:val="auto"/>
                <w:szCs w:val="21"/>
                <w:highlight w:val="none"/>
              </w:rPr>
              <w:t xml:space="preserve">     万元</w:t>
            </w:r>
          </w:p>
        </w:tc>
      </w:tr>
      <w:tr w14:paraId="340A7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vAlign w:val="center"/>
          </w:tcPr>
          <w:p w14:paraId="5168C475">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股东权益</w:t>
            </w:r>
          </w:p>
        </w:tc>
        <w:tc>
          <w:tcPr>
            <w:tcW w:w="1845" w:type="dxa"/>
            <w:noWrap w:val="0"/>
            <w:vAlign w:val="center"/>
          </w:tcPr>
          <w:p w14:paraId="2FE19156">
            <w:pPr>
              <w:pStyle w:val="14"/>
              <w:keepNext w:val="0"/>
              <w:keepLines w:val="0"/>
              <w:suppressLineNumbers w:val="0"/>
              <w:spacing w:before="0" w:beforeAutospacing="0" w:after="0" w:afterAutospacing="0"/>
              <w:ind w:left="0" w:right="0" w:firstLine="840"/>
              <w:rPr>
                <w:rFonts w:hint="default" w:ascii="宋体" w:hAnsi="宋体"/>
                <w:color w:val="auto"/>
                <w:szCs w:val="21"/>
                <w:highlight w:val="none"/>
              </w:rPr>
            </w:pPr>
            <w:r>
              <w:rPr>
                <w:rFonts w:hint="eastAsia" w:ascii="宋体" w:hAnsi="宋体"/>
                <w:color w:val="auto"/>
                <w:szCs w:val="21"/>
                <w:highlight w:val="none"/>
              </w:rPr>
              <w:t>万元</w:t>
            </w:r>
          </w:p>
        </w:tc>
        <w:tc>
          <w:tcPr>
            <w:tcW w:w="1344" w:type="dxa"/>
            <w:vMerge w:val="restart"/>
            <w:noWrap w:val="0"/>
            <w:vAlign w:val="center"/>
          </w:tcPr>
          <w:p w14:paraId="4F5117C2">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销售收入</w:t>
            </w:r>
          </w:p>
        </w:tc>
        <w:tc>
          <w:tcPr>
            <w:tcW w:w="3030" w:type="dxa"/>
            <w:gridSpan w:val="2"/>
            <w:noWrap w:val="0"/>
            <w:vAlign w:val="center"/>
          </w:tcPr>
          <w:p w14:paraId="0D0512E9">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p>
        </w:tc>
      </w:tr>
      <w:tr w14:paraId="05A57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0362BEF8">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实现利润</w:t>
            </w:r>
          </w:p>
        </w:tc>
        <w:tc>
          <w:tcPr>
            <w:tcW w:w="1845" w:type="dxa"/>
            <w:noWrap w:val="0"/>
          </w:tcPr>
          <w:p w14:paraId="355118E2">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202</w:t>
            </w:r>
            <w:r>
              <w:rPr>
                <w:rFonts w:hint="eastAsia" w:ascii="宋体" w:hAnsi="宋体"/>
                <w:color w:val="auto"/>
                <w:szCs w:val="21"/>
                <w:highlight w:val="none"/>
                <w:lang w:val="en-US" w:eastAsia="zh-CN"/>
              </w:rPr>
              <w:t>5</w:t>
            </w:r>
            <w:r>
              <w:rPr>
                <w:rFonts w:hint="eastAsia" w:ascii="宋体" w:hAnsi="宋体"/>
                <w:color w:val="auto"/>
                <w:szCs w:val="21"/>
                <w:highlight w:val="none"/>
              </w:rPr>
              <w:t>年   万元</w:t>
            </w:r>
          </w:p>
        </w:tc>
        <w:tc>
          <w:tcPr>
            <w:tcW w:w="1344" w:type="dxa"/>
            <w:vMerge w:val="continue"/>
            <w:noWrap w:val="0"/>
          </w:tcPr>
          <w:p w14:paraId="767FFB18">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c>
          <w:tcPr>
            <w:tcW w:w="3030" w:type="dxa"/>
            <w:gridSpan w:val="2"/>
            <w:noWrap w:val="0"/>
          </w:tcPr>
          <w:p w14:paraId="7BF6EAAF">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202</w:t>
            </w:r>
            <w:r>
              <w:rPr>
                <w:rFonts w:hint="eastAsia" w:ascii="宋体" w:hAnsi="宋体"/>
                <w:color w:val="auto"/>
                <w:szCs w:val="21"/>
                <w:highlight w:val="none"/>
                <w:lang w:val="en-US" w:eastAsia="zh-CN"/>
              </w:rPr>
              <w:t>5</w:t>
            </w:r>
            <w:r>
              <w:rPr>
                <w:rFonts w:hint="eastAsia" w:ascii="宋体" w:hAnsi="宋体"/>
                <w:color w:val="auto"/>
                <w:szCs w:val="21"/>
                <w:highlight w:val="none"/>
              </w:rPr>
              <w:t>年           万元</w:t>
            </w:r>
          </w:p>
        </w:tc>
      </w:tr>
      <w:tr w14:paraId="12E12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4FDA0E58">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营业面积（含厂房面积）</w:t>
            </w:r>
          </w:p>
        </w:tc>
        <w:tc>
          <w:tcPr>
            <w:tcW w:w="1845" w:type="dxa"/>
            <w:noWrap w:val="0"/>
            <w:vAlign w:val="center"/>
          </w:tcPr>
          <w:p w14:paraId="6D198C85">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 xml:space="preserve">       平方米</w:t>
            </w:r>
          </w:p>
        </w:tc>
        <w:tc>
          <w:tcPr>
            <w:tcW w:w="1344" w:type="dxa"/>
            <w:noWrap w:val="0"/>
          </w:tcPr>
          <w:p w14:paraId="2B8F9FE2">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其中</w:t>
            </w:r>
          </w:p>
        </w:tc>
        <w:tc>
          <w:tcPr>
            <w:tcW w:w="3030" w:type="dxa"/>
            <w:gridSpan w:val="2"/>
            <w:noWrap w:val="0"/>
          </w:tcPr>
          <w:p w14:paraId="33D5D622">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自有面积平方米</w:t>
            </w:r>
          </w:p>
          <w:p w14:paraId="7C0319DF">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承租面积平方米</w:t>
            </w:r>
          </w:p>
        </w:tc>
      </w:tr>
      <w:tr w14:paraId="47EBF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26" w:hRule="atLeast"/>
        </w:trPr>
        <w:tc>
          <w:tcPr>
            <w:tcW w:w="2608" w:type="dxa"/>
            <w:noWrap w:val="0"/>
            <w:vAlign w:val="center"/>
          </w:tcPr>
          <w:p w14:paraId="53560CD5">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单位简历及内设机构情况</w:t>
            </w:r>
          </w:p>
        </w:tc>
        <w:tc>
          <w:tcPr>
            <w:tcW w:w="6219" w:type="dxa"/>
            <w:gridSpan w:val="4"/>
            <w:noWrap w:val="0"/>
          </w:tcPr>
          <w:p w14:paraId="02603451">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p>
        </w:tc>
      </w:tr>
      <w:tr w14:paraId="12F02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2608" w:type="dxa"/>
            <w:noWrap w:val="0"/>
            <w:vAlign w:val="center"/>
          </w:tcPr>
          <w:p w14:paraId="24FD1D53">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单位优势及特长</w:t>
            </w:r>
          </w:p>
        </w:tc>
        <w:tc>
          <w:tcPr>
            <w:tcW w:w="6219" w:type="dxa"/>
            <w:gridSpan w:val="4"/>
            <w:noWrap w:val="0"/>
          </w:tcPr>
          <w:p w14:paraId="2E45228B">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r>
      <w:tr w14:paraId="37A7D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0C9FA90A">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近两年来完成或正在履行的重大合同情况</w:t>
            </w:r>
          </w:p>
        </w:tc>
        <w:tc>
          <w:tcPr>
            <w:tcW w:w="6219" w:type="dxa"/>
            <w:gridSpan w:val="4"/>
            <w:noWrap w:val="0"/>
          </w:tcPr>
          <w:p w14:paraId="0DF3348E">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r>
      <w:tr w14:paraId="74E0E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5D797C2D">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最近</w:t>
            </w:r>
            <w:r>
              <w:rPr>
                <w:rFonts w:hint="default" w:ascii="宋体" w:hAnsi="宋体"/>
                <w:color w:val="auto"/>
                <w:szCs w:val="21"/>
                <w:highlight w:val="none"/>
              </w:rPr>
              <w:t>2</w:t>
            </w:r>
            <w:r>
              <w:rPr>
                <w:rFonts w:hint="eastAsia" w:ascii="宋体" w:hAnsi="宋体"/>
                <w:color w:val="auto"/>
                <w:szCs w:val="21"/>
                <w:highlight w:val="none"/>
              </w:rPr>
              <w:t>年内在经营过程中受到何种奖励或处分（包括情况和结果）</w:t>
            </w:r>
          </w:p>
        </w:tc>
        <w:tc>
          <w:tcPr>
            <w:tcW w:w="6219" w:type="dxa"/>
            <w:gridSpan w:val="4"/>
            <w:noWrap w:val="0"/>
            <w:vAlign w:val="center"/>
          </w:tcPr>
          <w:p w14:paraId="0C633136">
            <w:pPr>
              <w:keepNext w:val="0"/>
              <w:keepLines w:val="0"/>
              <w:suppressLineNumbers w:val="0"/>
              <w:spacing w:before="0" w:beforeAutospacing="0" w:after="0" w:afterAutospacing="0"/>
              <w:ind w:left="0" w:right="0"/>
              <w:jc w:val="center"/>
              <w:rPr>
                <w:rFonts w:hint="default" w:ascii="宋体" w:hAnsi="宋体"/>
                <w:color w:val="auto"/>
                <w:highlight w:val="none"/>
              </w:rPr>
            </w:pPr>
            <w:r>
              <w:rPr>
                <w:rFonts w:hint="eastAsia" w:ascii="宋体" w:hAnsi="宋体"/>
                <w:color w:val="auto"/>
                <w:highlight w:val="none"/>
              </w:rPr>
              <w:t>（包括财政、工商、税务、物价、技监部门稽查情况、结果）</w:t>
            </w:r>
          </w:p>
        </w:tc>
      </w:tr>
      <w:tr w14:paraId="563DB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095CF185">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最近</w:t>
            </w:r>
            <w:r>
              <w:rPr>
                <w:rFonts w:hint="default" w:ascii="宋体" w:hAnsi="宋体"/>
                <w:color w:val="auto"/>
                <w:szCs w:val="21"/>
                <w:highlight w:val="none"/>
              </w:rPr>
              <w:t>3</w:t>
            </w:r>
            <w:r>
              <w:rPr>
                <w:rFonts w:hint="eastAsia" w:ascii="宋体" w:hAnsi="宋体"/>
                <w:color w:val="auto"/>
                <w:szCs w:val="21"/>
                <w:highlight w:val="none"/>
              </w:rPr>
              <w:t>年内有无因售假、售劣或是其他原因被消费者投诉或起诉的情况及说明（包括解决方式和结果）</w:t>
            </w:r>
          </w:p>
        </w:tc>
        <w:tc>
          <w:tcPr>
            <w:tcW w:w="6219" w:type="dxa"/>
            <w:gridSpan w:val="4"/>
            <w:noWrap w:val="0"/>
          </w:tcPr>
          <w:p w14:paraId="6060AC24">
            <w:pPr>
              <w:keepNext w:val="0"/>
              <w:keepLines w:val="0"/>
              <w:suppressLineNumbers w:val="0"/>
              <w:spacing w:before="0" w:beforeAutospacing="0" w:after="0" w:afterAutospacing="0"/>
              <w:ind w:left="0" w:right="0"/>
              <w:rPr>
                <w:rFonts w:hint="default" w:ascii="宋体" w:hAnsi="宋体"/>
                <w:color w:val="auto"/>
                <w:highlight w:val="none"/>
              </w:rPr>
            </w:pPr>
          </w:p>
          <w:p w14:paraId="162F9E89">
            <w:pPr>
              <w:keepNext w:val="0"/>
              <w:keepLines w:val="0"/>
              <w:suppressLineNumbers w:val="0"/>
              <w:spacing w:before="0" w:beforeAutospacing="0" w:after="0" w:afterAutospacing="0"/>
              <w:ind w:left="0" w:right="0" w:firstLine="105"/>
              <w:rPr>
                <w:rFonts w:hint="default" w:ascii="宋体" w:hAnsi="宋体"/>
                <w:color w:val="auto"/>
                <w:highlight w:val="none"/>
              </w:rPr>
            </w:pPr>
            <w:r>
              <w:rPr>
                <w:rFonts w:hint="eastAsia" w:ascii="宋体" w:hAnsi="宋体"/>
                <w:color w:val="auto"/>
                <w:highlight w:val="none"/>
              </w:rPr>
              <w:t>（包括解决方式和结果）</w:t>
            </w:r>
          </w:p>
        </w:tc>
      </w:tr>
      <w:tr w14:paraId="0ACD6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207BEFD2">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最近</w:t>
            </w:r>
            <w:r>
              <w:rPr>
                <w:rFonts w:hint="default" w:ascii="宋体" w:hAnsi="宋体"/>
                <w:color w:val="auto"/>
                <w:szCs w:val="21"/>
                <w:highlight w:val="none"/>
              </w:rPr>
              <w:t>3</w:t>
            </w:r>
            <w:r>
              <w:rPr>
                <w:rFonts w:hint="eastAsia" w:ascii="宋体" w:hAnsi="宋体"/>
                <w:color w:val="auto"/>
                <w:szCs w:val="21"/>
                <w:highlight w:val="none"/>
              </w:rPr>
              <w:t>年内主要负责人有无因经济犯罪被司法机关追究的情况及说明</w:t>
            </w:r>
          </w:p>
        </w:tc>
        <w:tc>
          <w:tcPr>
            <w:tcW w:w="6219" w:type="dxa"/>
            <w:gridSpan w:val="4"/>
            <w:noWrap w:val="0"/>
          </w:tcPr>
          <w:p w14:paraId="3565B11C">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r>
      <w:tr w14:paraId="65BA1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608" w:type="dxa"/>
            <w:noWrap w:val="0"/>
          </w:tcPr>
          <w:p w14:paraId="3D8A5745">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获得技术认证的工程师及简介</w:t>
            </w:r>
          </w:p>
        </w:tc>
        <w:tc>
          <w:tcPr>
            <w:tcW w:w="6219" w:type="dxa"/>
            <w:gridSpan w:val="4"/>
            <w:noWrap w:val="0"/>
          </w:tcPr>
          <w:p w14:paraId="7C7A738D">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r>
      <w:tr w14:paraId="39421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608" w:type="dxa"/>
            <w:noWrap w:val="0"/>
          </w:tcPr>
          <w:p w14:paraId="6B47EED9">
            <w:pPr>
              <w:pStyle w:val="14"/>
              <w:keepNext w:val="0"/>
              <w:keepLines w:val="0"/>
              <w:suppressLineNumbers w:val="0"/>
              <w:spacing w:before="0" w:beforeAutospacing="0" w:after="0" w:afterAutospacing="0"/>
              <w:ind w:left="0" w:right="0" w:firstLine="0"/>
              <w:rPr>
                <w:rFonts w:hint="default" w:ascii="宋体" w:hAnsi="宋体"/>
                <w:color w:val="auto"/>
                <w:szCs w:val="21"/>
                <w:highlight w:val="none"/>
              </w:rPr>
            </w:pPr>
            <w:r>
              <w:rPr>
                <w:rFonts w:hint="eastAsia" w:ascii="宋体" w:hAnsi="宋体"/>
                <w:color w:val="auto"/>
                <w:szCs w:val="21"/>
                <w:highlight w:val="none"/>
              </w:rPr>
              <w:t>其他需要说明的情况</w:t>
            </w:r>
          </w:p>
        </w:tc>
        <w:tc>
          <w:tcPr>
            <w:tcW w:w="6219" w:type="dxa"/>
            <w:gridSpan w:val="4"/>
            <w:noWrap w:val="0"/>
          </w:tcPr>
          <w:p w14:paraId="431BF4AD">
            <w:pPr>
              <w:pStyle w:val="14"/>
              <w:keepNext w:val="0"/>
              <w:keepLines w:val="0"/>
              <w:suppressLineNumbers w:val="0"/>
              <w:spacing w:before="0" w:beforeAutospacing="0" w:after="0" w:afterAutospacing="0"/>
              <w:ind w:left="1260" w:right="0" w:firstLine="0"/>
              <w:rPr>
                <w:rFonts w:hint="default" w:ascii="宋体" w:hAnsi="宋体"/>
                <w:color w:val="auto"/>
                <w:szCs w:val="21"/>
                <w:highlight w:val="none"/>
              </w:rPr>
            </w:pPr>
          </w:p>
        </w:tc>
      </w:tr>
    </w:tbl>
    <w:p w14:paraId="7E244640">
      <w:pPr>
        <w:rPr>
          <w:rFonts w:ascii="宋体" w:hAnsi="宋体"/>
          <w:b/>
          <w:color w:val="auto"/>
          <w:sz w:val="32"/>
          <w:szCs w:val="32"/>
          <w:highlight w:val="none"/>
        </w:rPr>
      </w:pPr>
      <w:r>
        <w:rPr>
          <w:rFonts w:hint="eastAsia" w:ascii="宋体" w:hAnsi="宋体"/>
          <w:b/>
          <w:color w:val="auto"/>
          <w:sz w:val="32"/>
          <w:szCs w:val="32"/>
          <w:highlight w:val="none"/>
        </w:rPr>
        <w:br w:type="page" w:clear="all"/>
      </w:r>
    </w:p>
    <w:p w14:paraId="34DDEF48">
      <w:pPr>
        <w:numPr>
          <w:ilvl w:val="0"/>
          <w:numId w:val="0"/>
        </w:numPr>
        <w:spacing w:line="360" w:lineRule="auto"/>
        <w:ind w:left="403"/>
        <w:outlineLvl w:val="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：参加政府采购活动前三年内，在经营活动中没有重大违法记录声明</w:t>
      </w:r>
    </w:p>
    <w:p w14:paraId="5F6A49A5">
      <w:pPr>
        <w:numPr>
          <w:ilvl w:val="0"/>
          <w:numId w:val="0"/>
        </w:numPr>
        <w:spacing w:line="360" w:lineRule="auto"/>
        <w:ind w:left="403"/>
        <w:jc w:val="center"/>
        <w:outlineLvl w:val="0"/>
        <w:rPr>
          <w:rFonts w:ascii="宋体" w:hAnsi="宋体"/>
          <w:b/>
          <w:color w:val="auto"/>
          <w:sz w:val="24"/>
          <w:szCs w:val="24"/>
          <w:highlight w:val="none"/>
        </w:rPr>
      </w:pPr>
      <w:r>
        <w:rPr>
          <w:rFonts w:hint="eastAsia" w:ascii="宋体" w:hAnsi="宋体"/>
          <w:b/>
          <w:color w:val="auto"/>
          <w:sz w:val="24"/>
          <w:szCs w:val="24"/>
          <w:highlight w:val="none"/>
        </w:rPr>
        <w:t>参加政府采购活动前三年内，在经营活动中没有重大违法记录声明</w:t>
      </w:r>
    </w:p>
    <w:p w14:paraId="179BF037">
      <w:pPr>
        <w:spacing w:line="360" w:lineRule="auto"/>
        <w:rPr>
          <w:rFonts w:ascii="宋体" w:hAnsi="宋体"/>
          <w:color w:val="auto"/>
          <w:highlight w:val="none"/>
        </w:rPr>
      </w:pPr>
    </w:p>
    <w:p w14:paraId="5626C7AE">
      <w:pPr>
        <w:spacing w:line="360" w:lineRule="auto"/>
        <w:rPr>
          <w:rFonts w:ascii="宋体" w:hAnsi="宋体"/>
          <w:color w:val="auto"/>
          <w:highlight w:val="none"/>
        </w:rPr>
      </w:pPr>
      <w:r>
        <w:rPr>
          <w:rFonts w:hint="eastAsia" w:ascii="宋体" w:hAnsi="宋体"/>
          <w:color w:val="auto"/>
          <w:highlight w:val="none"/>
        </w:rPr>
        <w:t>致：</w:t>
      </w:r>
      <w:r>
        <w:rPr>
          <w:rFonts w:hint="eastAsia" w:ascii="宋体" w:hAnsi="宋体"/>
          <w:color w:val="auto"/>
          <w:highlight w:val="none"/>
          <w:lang w:eastAsia="zh-CN"/>
        </w:rPr>
        <w:t>汇建（苏州）项目管理有限公司</w:t>
      </w:r>
      <w:r>
        <w:rPr>
          <w:rFonts w:hint="eastAsia" w:ascii="宋体" w:hAnsi="宋体"/>
          <w:color w:val="auto"/>
          <w:highlight w:val="none"/>
        </w:rPr>
        <w:t>：</w:t>
      </w:r>
    </w:p>
    <w:p w14:paraId="0E4D901A">
      <w:pPr>
        <w:spacing w:line="360" w:lineRule="auto"/>
        <w:ind w:firstLine="420"/>
        <w:rPr>
          <w:rFonts w:ascii="宋体" w:hAnsi="宋体"/>
          <w:color w:val="auto"/>
          <w:highlight w:val="none"/>
        </w:rPr>
      </w:pPr>
      <w:r>
        <w:rPr>
          <w:rFonts w:hint="eastAsia" w:ascii="宋体" w:hAnsi="宋体"/>
          <w:color w:val="auto"/>
          <w:highlight w:val="none"/>
        </w:rPr>
        <w:t>我单位</w:t>
      </w:r>
      <w:r>
        <w:rPr>
          <w:rFonts w:hint="eastAsia" w:ascii="宋体" w:hAnsi="宋体"/>
          <w:color w:val="auto"/>
          <w:highlight w:val="none"/>
          <w:u w:val="single"/>
        </w:rPr>
        <w:t xml:space="preserve">         （供应商名称）        </w:t>
      </w:r>
      <w:r>
        <w:rPr>
          <w:rFonts w:hint="eastAsia" w:ascii="宋体" w:hAnsi="宋体"/>
          <w:color w:val="auto"/>
          <w:highlight w:val="none"/>
        </w:rPr>
        <w:t xml:space="preserve"> 在参加政府采购活动前三年内，没有重大违法记录，特此声明。</w:t>
      </w:r>
    </w:p>
    <w:p w14:paraId="4DB81389">
      <w:pPr>
        <w:spacing w:line="360" w:lineRule="auto"/>
        <w:ind w:firstLine="420"/>
        <w:rPr>
          <w:rFonts w:ascii="宋体" w:hAnsi="宋体"/>
          <w:color w:val="auto"/>
          <w:highlight w:val="none"/>
        </w:rPr>
      </w:pPr>
      <w:r>
        <w:rPr>
          <w:rFonts w:hint="eastAsia" w:ascii="宋体" w:hAnsi="宋体"/>
          <w:color w:val="auto"/>
          <w:highlight w:val="none"/>
        </w:rPr>
        <w:t>若采购人或采购代理机构在本项目采购过程中发现我单位近三年内在政府采购活动中有重大违法记录，我单位将无条件退出本项目的招标，并承担因此引起的一起后果。</w:t>
      </w:r>
    </w:p>
    <w:p w14:paraId="5835C705">
      <w:pPr>
        <w:spacing w:line="360" w:lineRule="auto"/>
        <w:ind w:firstLine="420"/>
        <w:rPr>
          <w:rFonts w:ascii="宋体" w:hAnsi="宋体"/>
          <w:color w:val="auto"/>
          <w:highlight w:val="none"/>
        </w:rPr>
      </w:pPr>
    </w:p>
    <w:p w14:paraId="35BC94E2">
      <w:pPr>
        <w:widowControl w:val="0"/>
        <w:spacing w:line="500" w:lineRule="exact"/>
        <w:ind w:left="1259" w:firstLine="426"/>
        <w:jc w:val="both"/>
        <w:rPr>
          <w:rFonts w:ascii="宋体" w:hAnsi="宋体" w:eastAsia="宋体" w:cs="Times New Roman"/>
          <w:color w:val="auto"/>
          <w:sz w:val="21"/>
          <w:szCs w:val="21"/>
          <w:highlight w:val="none"/>
          <w:lang w:val="en-US" w:eastAsia="zh-CN" w:bidi="ar-SA"/>
        </w:rPr>
      </w:pPr>
    </w:p>
    <w:p w14:paraId="07674DF9">
      <w:pPr>
        <w:spacing w:line="500" w:lineRule="exact"/>
        <w:ind w:firstLine="3990"/>
        <w:rPr>
          <w:rFonts w:ascii="宋体" w:hAnsi="宋体"/>
          <w:color w:val="auto"/>
          <w:highlight w:val="none"/>
        </w:rPr>
      </w:pPr>
      <w:r>
        <w:rPr>
          <w:rFonts w:hint="eastAsia" w:ascii="宋体" w:hAnsi="宋体"/>
          <w:color w:val="auto"/>
          <w:highlight w:val="none"/>
        </w:rPr>
        <w:t>投标单位（单位盖章）：</w:t>
      </w:r>
    </w:p>
    <w:p w14:paraId="7E9C652C">
      <w:pPr>
        <w:spacing w:line="500" w:lineRule="exact"/>
        <w:ind w:firstLine="3990"/>
        <w:rPr>
          <w:rFonts w:ascii="宋体" w:hAnsi="宋体"/>
          <w:color w:val="auto"/>
          <w:highlight w:val="none"/>
        </w:rPr>
      </w:pPr>
      <w:r>
        <w:rPr>
          <w:rFonts w:hint="eastAsia" w:ascii="宋体" w:hAnsi="宋体"/>
          <w:color w:val="auto"/>
          <w:highlight w:val="none"/>
        </w:rPr>
        <w:t>法定代表人（签字或盖章）：</w:t>
      </w:r>
    </w:p>
    <w:p w14:paraId="37743758">
      <w:pPr>
        <w:pStyle w:val="14"/>
        <w:numPr>
          <w:ilvl w:val="0"/>
          <w:numId w:val="0"/>
        </w:numPr>
        <w:ind w:left="403"/>
        <w:jc w:val="both"/>
        <w:rPr>
          <w:rFonts w:hint="eastAsia" w:ascii="宋体" w:hAnsi="宋体" w:eastAsia="宋体" w:cs="宋体"/>
          <w:b/>
          <w:bCs/>
          <w:color w:val="auto"/>
          <w:sz w:val="21"/>
          <w:szCs w:val="21"/>
          <w:highlight w:val="none"/>
          <w:lang w:val="en-US" w:eastAsia="zh-CN"/>
        </w:rPr>
      </w:pPr>
      <w:r>
        <w:rPr>
          <w:rFonts w:hint="eastAsia" w:ascii="宋体" w:hAnsi="宋体"/>
          <w:color w:val="auto"/>
          <w:highlight w:val="none"/>
        </w:rPr>
        <w:t xml:space="preserve">日期：     年  </w:t>
      </w:r>
      <w:r>
        <w:rPr>
          <w:rFonts w:ascii="宋体" w:hAnsi="宋体"/>
          <w:color w:val="auto"/>
          <w:highlight w:val="none"/>
        </w:rPr>
        <w:tab/>
      </w:r>
      <w:r>
        <w:rPr>
          <w:rFonts w:hint="eastAsia" w:ascii="宋体" w:hAnsi="宋体"/>
          <w:color w:val="auto"/>
          <w:highlight w:val="none"/>
        </w:rPr>
        <w:t>月</w:t>
      </w:r>
      <w:r>
        <w:rPr>
          <w:rFonts w:ascii="宋体" w:hAnsi="宋体"/>
          <w:color w:val="auto"/>
          <w:highlight w:val="none"/>
        </w:rPr>
        <w:tab/>
      </w:r>
      <w:r>
        <w:rPr>
          <w:rFonts w:hint="eastAsia" w:ascii="宋体" w:hAnsi="宋体"/>
          <w:color w:val="auto"/>
          <w:highlight w:val="none"/>
        </w:rPr>
        <w:t>日</w:t>
      </w:r>
    </w:p>
    <w:p w14:paraId="3E94F4EA">
      <w:pPr>
        <w:pStyle w:val="14"/>
        <w:numPr>
          <w:ilvl w:val="0"/>
          <w:numId w:val="0"/>
        </w:numPr>
        <w:ind w:left="403"/>
        <w:jc w:val="both"/>
        <w:rPr>
          <w:rFonts w:hint="eastAsia" w:ascii="宋体" w:hAnsi="宋体" w:cs="宋体"/>
          <w:b/>
          <w:bCs/>
          <w:color w:val="auto"/>
          <w:sz w:val="21"/>
          <w:szCs w:val="21"/>
          <w:highlight w:val="none"/>
          <w:lang w:val="en-US" w:eastAsia="zh-CN"/>
        </w:rPr>
      </w:pPr>
    </w:p>
    <w:p w14:paraId="6D472F80">
      <w:pPr>
        <w:pStyle w:val="14"/>
        <w:numPr>
          <w:ilvl w:val="0"/>
          <w:numId w:val="0"/>
        </w:numPr>
        <w:ind w:left="403"/>
        <w:jc w:val="both"/>
        <w:rPr>
          <w:rFonts w:hint="eastAsia" w:ascii="宋体" w:hAnsi="宋体" w:cs="宋体"/>
          <w:b/>
          <w:bCs/>
          <w:color w:val="auto"/>
          <w:sz w:val="21"/>
          <w:szCs w:val="21"/>
          <w:highlight w:val="none"/>
          <w:lang w:val="en-US" w:eastAsia="zh-CN"/>
        </w:rPr>
      </w:pPr>
    </w:p>
    <w:p w14:paraId="50DAF6C2">
      <w:pPr>
        <w:pStyle w:val="14"/>
        <w:numPr>
          <w:ilvl w:val="0"/>
          <w:numId w:val="0"/>
        </w:numPr>
        <w:ind w:left="403"/>
        <w:jc w:val="both"/>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格式7：授权委托书</w:t>
      </w:r>
    </w:p>
    <w:p w14:paraId="42A86734">
      <w:pPr>
        <w:pStyle w:val="14"/>
        <w:numPr>
          <w:ilvl w:val="0"/>
          <w:numId w:val="0"/>
        </w:numPr>
        <w:jc w:val="center"/>
        <w:rPr>
          <w:rFonts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33A02E9C">
      <w:pPr>
        <w:spacing w:line="440" w:lineRule="exact"/>
        <w:ind w:firstLine="420"/>
        <w:rPr>
          <w:rFonts w:ascii="宋体" w:hAnsi="宋体"/>
          <w:color w:val="auto"/>
          <w:highlight w:val="none"/>
        </w:rPr>
      </w:pPr>
      <w:r>
        <w:rPr>
          <w:rFonts w:hint="eastAsia" w:ascii="宋体" w:hAnsi="宋体"/>
          <w:color w:val="auto"/>
          <w:highlight w:val="none"/>
        </w:rPr>
        <w:t xml:space="preserve">本授权委托书声明：我  </w:t>
      </w:r>
      <w:r>
        <w:rPr>
          <w:rFonts w:hint="eastAsia" w:ascii="宋体" w:hAnsi="宋体"/>
          <w:color w:val="auto"/>
          <w:highlight w:val="none"/>
          <w:u w:val="single"/>
        </w:rPr>
        <w:t>（姓名）</w:t>
      </w:r>
      <w:r>
        <w:rPr>
          <w:rFonts w:hint="eastAsia" w:ascii="宋体" w:hAnsi="宋体"/>
          <w:color w:val="auto"/>
          <w:highlight w:val="none"/>
        </w:rPr>
        <w:t>系</w:t>
      </w:r>
      <w:r>
        <w:rPr>
          <w:rFonts w:hint="eastAsia" w:ascii="宋体" w:hAnsi="宋体"/>
          <w:color w:val="auto"/>
          <w:highlight w:val="none"/>
          <w:u w:val="single"/>
        </w:rPr>
        <w:t>（投标单位名称）</w:t>
      </w:r>
      <w:r>
        <w:rPr>
          <w:rFonts w:hint="eastAsia" w:ascii="宋体" w:hAnsi="宋体"/>
          <w:color w:val="auto"/>
          <w:highlight w:val="none"/>
        </w:rPr>
        <w:t>的法定代表人，现授权委托</w:t>
      </w:r>
      <w:r>
        <w:rPr>
          <w:rFonts w:hint="eastAsia" w:ascii="宋体" w:hAnsi="宋体"/>
          <w:color w:val="auto"/>
          <w:highlight w:val="none"/>
          <w:u w:val="single"/>
        </w:rPr>
        <w:t xml:space="preserve">    （单位名称）</w:t>
      </w:r>
      <w:r>
        <w:rPr>
          <w:rFonts w:hint="eastAsia" w:ascii="宋体" w:hAnsi="宋体"/>
          <w:color w:val="auto"/>
          <w:highlight w:val="none"/>
        </w:rPr>
        <w:t>的</w:t>
      </w:r>
      <w:r>
        <w:rPr>
          <w:rFonts w:hint="eastAsia" w:ascii="宋体" w:hAnsi="宋体"/>
          <w:color w:val="auto"/>
          <w:highlight w:val="none"/>
          <w:u w:val="single"/>
        </w:rPr>
        <w:t>（姓名）</w:t>
      </w:r>
      <w:r>
        <w:rPr>
          <w:rFonts w:hint="eastAsia" w:ascii="宋体" w:hAnsi="宋体"/>
          <w:color w:val="auto"/>
          <w:highlight w:val="none"/>
        </w:rPr>
        <w:t>为我公司代理人，以本公司的名义参加</w:t>
      </w:r>
      <w:r>
        <w:rPr>
          <w:rFonts w:hint="eastAsia" w:ascii="宋体" w:hAnsi="宋体"/>
          <w:color w:val="auto"/>
          <w:highlight w:val="none"/>
          <w:u w:val="single"/>
          <w:lang w:eastAsia="zh-CN"/>
        </w:rPr>
        <w:t>汇建（苏州）项目管理有限公司</w:t>
      </w:r>
      <w:r>
        <w:rPr>
          <w:rFonts w:hint="eastAsia" w:ascii="宋体" w:hAnsi="宋体"/>
          <w:color w:val="auto"/>
          <w:highlight w:val="none"/>
        </w:rPr>
        <w:t>组织实施的编号为</w:t>
      </w:r>
      <w:r>
        <w:rPr>
          <w:rFonts w:hint="eastAsia" w:ascii="宋体" w:hAnsi="宋体"/>
          <w:color w:val="auto"/>
          <w:highlight w:val="none"/>
          <w:u w:val="single"/>
          <w:lang w:eastAsia="zh-CN"/>
        </w:rPr>
        <w:t>JSZC-320585-HJSZ-G2026-0002</w:t>
      </w:r>
      <w:r>
        <w:rPr>
          <w:rFonts w:hint="eastAsia" w:ascii="宋体" w:hAnsi="宋体"/>
          <w:color w:val="auto"/>
          <w:highlight w:val="none"/>
        </w:rPr>
        <w:t>号的招标活动。代理人在开标、评标、合同谈判过程中所签署的一切文件和处理与这有关的一切事务，我均予以承认。</w:t>
      </w:r>
    </w:p>
    <w:p w14:paraId="4A9C765F">
      <w:pPr>
        <w:spacing w:line="440" w:lineRule="exact"/>
        <w:ind w:firstLine="420"/>
        <w:rPr>
          <w:rFonts w:ascii="宋体" w:hAnsi="宋体"/>
          <w:color w:val="auto"/>
          <w:highlight w:val="none"/>
        </w:rPr>
      </w:pPr>
      <w:r>
        <w:rPr>
          <w:rFonts w:hint="eastAsia" w:ascii="宋体" w:hAnsi="宋体"/>
          <w:color w:val="auto"/>
          <w:highlight w:val="none"/>
        </w:rPr>
        <w:t>代理人在授权委托书有效期内签署的所有文件不因授权委托的撤销而失效，除非有撤销授权委托的书面通知，本授权委托书自投标开始至合同履行完毕止。</w:t>
      </w:r>
    </w:p>
    <w:p w14:paraId="377AC860">
      <w:pPr>
        <w:spacing w:line="440" w:lineRule="exact"/>
        <w:ind w:firstLine="420"/>
        <w:rPr>
          <w:rFonts w:ascii="宋体" w:hAnsi="宋体"/>
          <w:color w:val="auto"/>
          <w:highlight w:val="none"/>
        </w:rPr>
      </w:pPr>
      <w:r>
        <w:rPr>
          <w:rFonts w:hint="eastAsia" w:ascii="宋体" w:hAnsi="宋体"/>
          <w:color w:val="auto"/>
          <w:highlight w:val="none"/>
        </w:rPr>
        <w:t>代理人无转委托权。特此委托！</w:t>
      </w:r>
    </w:p>
    <w:p w14:paraId="2B0C8CA7">
      <w:pPr>
        <w:ind w:firstLine="420"/>
        <w:rPr>
          <w:rFonts w:ascii="宋体" w:hAnsi="宋体"/>
          <w:color w:val="auto"/>
          <w:highlight w:val="none"/>
        </w:rPr>
      </w:pPr>
    </w:p>
    <w:p w14:paraId="2364064B">
      <w:pPr>
        <w:ind w:right="960" w:firstLine="420"/>
        <w:jc w:val="center"/>
        <w:rPr>
          <w:rFonts w:ascii="宋体" w:hAnsi="宋体"/>
          <w:color w:val="auto"/>
          <w:highlight w:val="none"/>
        </w:rPr>
      </w:pPr>
      <w:r>
        <w:rPr>
          <w:rFonts w:hint="eastAsia" w:ascii="宋体" w:hAnsi="宋体"/>
          <w:color w:val="auto"/>
          <w:highlight w:val="none"/>
        </w:rPr>
        <w:t xml:space="preserve">                                     投标单位（盖章）：</w:t>
      </w:r>
    </w:p>
    <w:p w14:paraId="039B4870">
      <w:pPr>
        <w:ind w:right="960" w:firstLine="5040"/>
        <w:rPr>
          <w:rFonts w:ascii="宋体" w:hAnsi="宋体"/>
          <w:color w:val="auto"/>
          <w:highlight w:val="none"/>
        </w:rPr>
      </w:pPr>
      <w:r>
        <w:rPr>
          <w:rFonts w:hint="eastAsia" w:ascii="宋体" w:hAnsi="宋体"/>
          <w:color w:val="auto"/>
          <w:highlight w:val="none"/>
        </w:rPr>
        <w:t>法定代表人（签字）：</w:t>
      </w:r>
    </w:p>
    <w:p w14:paraId="4F4EB956">
      <w:pPr>
        <w:ind w:right="960" w:firstLine="5040"/>
        <w:rPr>
          <w:rFonts w:ascii="宋体" w:hAnsi="宋体"/>
          <w:color w:val="auto"/>
          <w:highlight w:val="none"/>
        </w:rPr>
      </w:pPr>
      <w:r>
        <w:rPr>
          <w:rFonts w:hint="eastAsia" w:ascii="宋体" w:hAnsi="宋体"/>
          <w:color w:val="auto"/>
          <w:highlight w:val="none"/>
        </w:rPr>
        <w:t>代理人（签字）：</w:t>
      </w:r>
    </w:p>
    <w:p w14:paraId="27107575">
      <w:pPr>
        <w:ind w:firstLine="420"/>
        <w:jc w:val="center"/>
        <w:rPr>
          <w:rFonts w:ascii="宋体" w:hAnsi="宋体"/>
          <w:color w:val="auto"/>
          <w:highlight w:val="none"/>
        </w:rPr>
      </w:pPr>
      <w:r>
        <w:rPr>
          <w:rFonts w:hint="eastAsia" w:ascii="宋体" w:hAnsi="宋体"/>
          <w:color w:val="auto"/>
          <w:highlight w:val="none"/>
        </w:rPr>
        <w:t xml:space="preserve">                                         年  月   日</w:t>
      </w:r>
    </w:p>
    <w:p w14:paraId="36B5858F">
      <w:pPr>
        <w:pStyle w:val="4"/>
        <w:rPr>
          <w:rFonts w:hint="default"/>
          <w:color w:val="auto"/>
          <w:sz w:val="21"/>
          <w:szCs w:val="21"/>
          <w:highlight w:val="none"/>
        </w:rPr>
      </w:pPr>
    </w:p>
    <w:p w14:paraId="23C38E7E">
      <w:pPr>
        <w:spacing w:line="440" w:lineRule="exact"/>
        <w:ind w:firstLine="420"/>
        <w:rPr>
          <w:rFonts w:ascii="宋体" w:hAnsi="宋体"/>
          <w:color w:val="auto"/>
          <w:highlight w:val="none"/>
        </w:rPr>
      </w:pPr>
      <w:r>
        <w:rPr>
          <w:rFonts w:hint="eastAsia" w:ascii="宋体" w:hAnsi="宋体"/>
          <w:color w:val="auto"/>
          <w:highlight w:val="none"/>
        </w:rPr>
        <w:t>注：1、投标代理人为法人的无需提供授权委托书，但需提供本人身份证复印件。</w:t>
      </w:r>
    </w:p>
    <w:p w14:paraId="35FE85C9">
      <w:pPr>
        <w:spacing w:line="440" w:lineRule="exact"/>
        <w:ind w:firstLine="420"/>
        <w:rPr>
          <w:rFonts w:ascii="宋体" w:hAnsi="宋体"/>
          <w:color w:val="auto"/>
          <w:highlight w:val="none"/>
        </w:rPr>
      </w:pPr>
      <w:r>
        <w:rPr>
          <w:rFonts w:hint="eastAsia" w:ascii="宋体" w:hAnsi="宋体"/>
          <w:color w:val="auto"/>
          <w:highlight w:val="none"/>
        </w:rPr>
        <w:t>2、投标代理人不是法人的需提供授权委托书，并附本人身份证复印件。</w:t>
      </w:r>
    </w:p>
    <w:p w14:paraId="2C9F6DBF">
      <w:pPr>
        <w:spacing w:line="480" w:lineRule="auto"/>
        <w:jc w:val="center"/>
        <w:rPr>
          <w:rFonts w:ascii="宋体" w:hAnsi="宋体"/>
          <w:b/>
          <w:color w:val="auto"/>
          <w:sz w:val="32"/>
          <w:szCs w:val="32"/>
          <w:highlight w:val="none"/>
        </w:rPr>
      </w:pPr>
    </w:p>
    <w:p w14:paraId="53B12751">
      <w:pPr>
        <w:rPr>
          <w:rFonts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br w:type="page" w:clear="all"/>
      </w:r>
    </w:p>
    <w:p w14:paraId="4045B465">
      <w:pPr>
        <w:numPr>
          <w:ilvl w:val="0"/>
          <w:numId w:val="0"/>
        </w:numPr>
        <w:spacing w:line="480" w:lineRule="auto"/>
        <w:ind w:left="403"/>
        <w:jc w:val="both"/>
        <w:rPr>
          <w:rFonts w:hint="eastAsia" w:ascii="宋体" w:hAnsi="宋体"/>
          <w:b/>
          <w:color w:val="auto"/>
          <w:sz w:val="32"/>
          <w:szCs w:val="32"/>
          <w:highlight w:val="none"/>
          <w:lang w:val="en-US" w:eastAsia="zh-CN"/>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en-US" w:eastAsia="zh-CN"/>
        </w:rPr>
        <w:t>：服</w:t>
      </w:r>
      <w:r>
        <w:rPr>
          <w:rFonts w:hint="eastAsia" w:ascii="宋体" w:hAnsi="宋体" w:cs="宋体"/>
          <w:b/>
          <w:bCs/>
          <w:color w:val="auto"/>
          <w:sz w:val="21"/>
          <w:szCs w:val="21"/>
          <w:highlight w:val="none"/>
          <w:lang w:val="en-US" w:eastAsia="zh-CN"/>
        </w:rPr>
        <w:t>务</w:t>
      </w:r>
      <w:r>
        <w:rPr>
          <w:rFonts w:hint="eastAsia" w:ascii="宋体" w:hAnsi="宋体" w:eastAsia="宋体" w:cs="宋体"/>
          <w:b/>
          <w:bCs/>
          <w:color w:val="auto"/>
          <w:sz w:val="21"/>
          <w:szCs w:val="21"/>
          <w:highlight w:val="none"/>
          <w:lang w:val="en-US" w:eastAsia="zh-CN"/>
        </w:rPr>
        <w:t>要求偏离表</w:t>
      </w:r>
    </w:p>
    <w:p w14:paraId="42AAA113">
      <w:pPr>
        <w:numPr>
          <w:ilvl w:val="0"/>
          <w:numId w:val="0"/>
        </w:numPr>
        <w:spacing w:line="480" w:lineRule="auto"/>
        <w:ind w:left="403"/>
        <w:jc w:val="center"/>
        <w:rPr>
          <w:rFonts w:ascii="宋体" w:hAnsi="宋体"/>
          <w:b/>
          <w:color w:val="auto"/>
          <w:sz w:val="28"/>
          <w:szCs w:val="28"/>
          <w:highlight w:val="none"/>
        </w:rPr>
      </w:pPr>
      <w:r>
        <w:rPr>
          <w:rFonts w:hint="eastAsia" w:ascii="宋体" w:hAnsi="宋体"/>
          <w:b/>
          <w:color w:val="auto"/>
          <w:sz w:val="28"/>
          <w:szCs w:val="28"/>
          <w:highlight w:val="none"/>
          <w:lang w:val="en-US" w:eastAsia="zh-CN"/>
        </w:rPr>
        <w:t>技术（服务）</w:t>
      </w:r>
      <w:r>
        <w:rPr>
          <w:rFonts w:hint="eastAsia" w:ascii="宋体" w:hAnsi="宋体"/>
          <w:b/>
          <w:color w:val="auto"/>
          <w:sz w:val="28"/>
          <w:szCs w:val="28"/>
          <w:highlight w:val="none"/>
        </w:rPr>
        <w:t>要求偏离表</w:t>
      </w:r>
    </w:p>
    <w:p w14:paraId="0B549072">
      <w:pPr>
        <w:ind w:firstLine="420"/>
        <w:rPr>
          <w:rFonts w:ascii="宋体" w:hAnsi="宋体"/>
          <w:color w:val="auto"/>
          <w:highlight w:val="none"/>
        </w:rPr>
      </w:pPr>
      <w:r>
        <w:rPr>
          <w:rFonts w:hint="eastAsia" w:ascii="宋体" w:hAnsi="宋体"/>
          <w:color w:val="auto"/>
          <w:highlight w:val="none"/>
        </w:rPr>
        <w:t>单位名称（盖章）：</w:t>
      </w:r>
    </w:p>
    <w:tbl>
      <w:tblPr>
        <w:tblStyle w:val="56"/>
        <w:tblW w:w="8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776"/>
        <w:gridCol w:w="1666"/>
        <w:gridCol w:w="1143"/>
        <w:gridCol w:w="1768"/>
      </w:tblGrid>
      <w:tr w14:paraId="2E78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noWrap w:val="0"/>
            <w:vAlign w:val="center"/>
          </w:tcPr>
          <w:p w14:paraId="5D7C0973">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r>
              <w:rPr>
                <w:rFonts w:hint="eastAsia" w:hAnsi="宋体" w:eastAsia="宋体"/>
                <w:b/>
                <w:color w:val="auto"/>
                <w:sz w:val="21"/>
                <w:highlight w:val="none"/>
              </w:rPr>
              <w:t>序号</w:t>
            </w:r>
          </w:p>
        </w:tc>
        <w:tc>
          <w:tcPr>
            <w:tcW w:w="1823" w:type="dxa"/>
            <w:noWrap w:val="0"/>
            <w:vAlign w:val="center"/>
          </w:tcPr>
          <w:p w14:paraId="3C557798">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lang w:val="en-US"/>
              </w:rPr>
            </w:pPr>
            <w:r>
              <w:rPr>
                <w:rFonts w:hint="eastAsia" w:hAnsi="宋体" w:eastAsia="宋体"/>
                <w:b/>
                <w:color w:val="auto"/>
                <w:sz w:val="21"/>
                <w:highlight w:val="none"/>
                <w:lang w:val="en-US" w:eastAsia="zh-CN"/>
              </w:rPr>
              <w:t>内容</w:t>
            </w:r>
          </w:p>
        </w:tc>
        <w:tc>
          <w:tcPr>
            <w:tcW w:w="1776" w:type="dxa"/>
            <w:noWrap w:val="0"/>
            <w:vAlign w:val="center"/>
          </w:tcPr>
          <w:p w14:paraId="221F2D36">
            <w:pPr>
              <w:pStyle w:val="256"/>
              <w:keepNext w:val="0"/>
              <w:keepLines w:val="0"/>
              <w:suppressLineNumbers w:val="0"/>
              <w:spacing w:before="0" w:beforeAutospacing="0" w:after="0" w:afterAutospacing="0" w:line="400" w:lineRule="exact"/>
              <w:ind w:left="0" w:right="0"/>
              <w:jc w:val="center"/>
              <w:rPr>
                <w:rFonts w:hint="default" w:ascii="宋体" w:hAnsi="宋体" w:eastAsia="宋体" w:cs="宋体"/>
                <w:b/>
                <w:color w:val="auto"/>
                <w:sz w:val="21"/>
                <w:highlight w:val="none"/>
                <w:lang w:val="en-US" w:eastAsia="zh-CN"/>
              </w:rPr>
            </w:pPr>
            <w:r>
              <w:rPr>
                <w:rFonts w:hint="eastAsia" w:ascii="宋体" w:hAnsi="宋体" w:eastAsia="宋体" w:cs="宋体"/>
                <w:b/>
                <w:color w:val="auto"/>
                <w:sz w:val="21"/>
                <w:highlight w:val="none"/>
                <w:lang w:val="en-US" w:eastAsia="zh-CN"/>
              </w:rPr>
              <w:t>招标文件</w:t>
            </w:r>
          </w:p>
          <w:p w14:paraId="327515B6">
            <w:pPr>
              <w:pStyle w:val="256"/>
              <w:keepNext w:val="0"/>
              <w:keepLines w:val="0"/>
              <w:suppressLineNumbers w:val="0"/>
              <w:spacing w:before="0" w:beforeAutospacing="0" w:after="0" w:afterAutospacing="0" w:line="400" w:lineRule="exact"/>
              <w:ind w:left="0" w:right="0"/>
              <w:jc w:val="center"/>
              <w:rPr>
                <w:rFonts w:hint="default" w:ascii="宋体" w:hAnsi="宋体" w:eastAsia="宋体" w:cs="宋体"/>
                <w:b/>
                <w:color w:val="auto"/>
                <w:sz w:val="21"/>
                <w:highlight w:val="none"/>
                <w:lang w:val="en-US" w:eastAsia="zh-CN"/>
              </w:rPr>
            </w:pPr>
            <w:r>
              <w:rPr>
                <w:rFonts w:hint="eastAsia" w:ascii="宋体" w:hAnsi="宋体" w:eastAsia="宋体" w:cs="宋体"/>
                <w:b/>
                <w:color w:val="auto"/>
                <w:sz w:val="21"/>
                <w:highlight w:val="none"/>
                <w:lang w:val="en-US" w:eastAsia="zh-CN"/>
              </w:rPr>
              <w:t>服务要求</w:t>
            </w:r>
          </w:p>
        </w:tc>
        <w:tc>
          <w:tcPr>
            <w:tcW w:w="1666" w:type="dxa"/>
            <w:noWrap w:val="0"/>
            <w:vAlign w:val="center"/>
          </w:tcPr>
          <w:p w14:paraId="0000F1DD">
            <w:pPr>
              <w:pStyle w:val="256"/>
              <w:keepNext w:val="0"/>
              <w:keepLines w:val="0"/>
              <w:suppressLineNumbers w:val="0"/>
              <w:spacing w:before="0" w:beforeAutospacing="0" w:after="0" w:afterAutospacing="0" w:line="400" w:lineRule="exact"/>
              <w:ind w:left="0" w:right="0"/>
              <w:jc w:val="center"/>
              <w:rPr>
                <w:rFonts w:hint="default" w:ascii="宋体" w:hAnsi="宋体" w:eastAsia="宋体" w:cs="宋体"/>
                <w:b/>
                <w:color w:val="auto"/>
                <w:sz w:val="21"/>
                <w:highlight w:val="none"/>
                <w:lang w:val="en-US" w:eastAsia="zh-CN"/>
              </w:rPr>
            </w:pPr>
            <w:r>
              <w:rPr>
                <w:rFonts w:hint="eastAsia" w:ascii="宋体" w:hAnsi="宋体" w:eastAsia="宋体" w:cs="宋体"/>
                <w:b/>
                <w:color w:val="auto"/>
                <w:sz w:val="21"/>
                <w:highlight w:val="none"/>
                <w:lang w:val="en-US" w:eastAsia="zh-CN"/>
              </w:rPr>
              <w:t>投标文件</w:t>
            </w:r>
          </w:p>
          <w:p w14:paraId="1F1EDB29">
            <w:pPr>
              <w:pStyle w:val="256"/>
              <w:keepNext w:val="0"/>
              <w:keepLines w:val="0"/>
              <w:suppressLineNumbers w:val="0"/>
              <w:spacing w:before="0" w:beforeAutospacing="0" w:after="0" w:afterAutospacing="0" w:line="400" w:lineRule="exact"/>
              <w:ind w:left="0" w:right="0"/>
              <w:jc w:val="center"/>
              <w:rPr>
                <w:rFonts w:hint="default" w:ascii="宋体" w:hAnsi="宋体" w:eastAsia="宋体" w:cs="宋体"/>
                <w:b/>
                <w:color w:val="auto"/>
                <w:sz w:val="21"/>
                <w:highlight w:val="none"/>
                <w:lang w:val="en-US" w:eastAsia="zh-CN"/>
              </w:rPr>
            </w:pPr>
            <w:r>
              <w:rPr>
                <w:rFonts w:hint="eastAsia" w:ascii="宋体" w:hAnsi="宋体" w:eastAsia="宋体" w:cs="宋体"/>
                <w:b/>
                <w:color w:val="auto"/>
                <w:sz w:val="21"/>
                <w:highlight w:val="none"/>
                <w:lang w:val="en-US" w:eastAsia="zh-CN"/>
              </w:rPr>
              <w:t>响应要求</w:t>
            </w:r>
          </w:p>
        </w:tc>
        <w:tc>
          <w:tcPr>
            <w:tcW w:w="1143" w:type="dxa"/>
            <w:noWrap w:val="0"/>
            <w:vAlign w:val="center"/>
          </w:tcPr>
          <w:p w14:paraId="384852BD">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r>
              <w:rPr>
                <w:rFonts w:hint="eastAsia" w:hAnsi="宋体" w:eastAsia="宋体"/>
                <w:b/>
                <w:color w:val="auto"/>
                <w:sz w:val="21"/>
                <w:highlight w:val="none"/>
              </w:rPr>
              <w:t>偏离说明</w:t>
            </w:r>
          </w:p>
        </w:tc>
        <w:tc>
          <w:tcPr>
            <w:tcW w:w="1768" w:type="dxa"/>
            <w:noWrap w:val="0"/>
            <w:vAlign w:val="center"/>
          </w:tcPr>
          <w:p w14:paraId="1F2C8165">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lang w:val="en-US" w:eastAsia="zh-CN"/>
              </w:rPr>
            </w:pPr>
            <w:r>
              <w:rPr>
                <w:rFonts w:hint="eastAsia" w:hAnsi="宋体" w:eastAsia="宋体"/>
                <w:b/>
                <w:color w:val="auto"/>
                <w:sz w:val="21"/>
                <w:highlight w:val="none"/>
                <w:lang w:val="en-US" w:eastAsia="zh-CN"/>
              </w:rPr>
              <w:t>证明材料</w:t>
            </w:r>
          </w:p>
        </w:tc>
      </w:tr>
      <w:tr w14:paraId="35BA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724" w:type="dxa"/>
            <w:noWrap w:val="0"/>
          </w:tcPr>
          <w:p w14:paraId="2459B4BF">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823" w:type="dxa"/>
            <w:noWrap w:val="0"/>
          </w:tcPr>
          <w:p w14:paraId="7AB0B9BD">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776" w:type="dxa"/>
            <w:noWrap w:val="0"/>
          </w:tcPr>
          <w:p w14:paraId="76E363C4">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666" w:type="dxa"/>
            <w:noWrap w:val="0"/>
          </w:tcPr>
          <w:p w14:paraId="1845F202">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143" w:type="dxa"/>
            <w:noWrap w:val="0"/>
          </w:tcPr>
          <w:p w14:paraId="181E9DCE">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768" w:type="dxa"/>
            <w:noWrap w:val="0"/>
          </w:tcPr>
          <w:p w14:paraId="5C6AE74F">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r>
      <w:tr w14:paraId="4A464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noWrap w:val="0"/>
          </w:tcPr>
          <w:p w14:paraId="0B8686B6">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823" w:type="dxa"/>
            <w:noWrap w:val="0"/>
          </w:tcPr>
          <w:p w14:paraId="6E3522EE">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776" w:type="dxa"/>
            <w:noWrap w:val="0"/>
          </w:tcPr>
          <w:p w14:paraId="3F27FC4B">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666" w:type="dxa"/>
            <w:noWrap w:val="0"/>
          </w:tcPr>
          <w:p w14:paraId="6A601678">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143" w:type="dxa"/>
            <w:noWrap w:val="0"/>
          </w:tcPr>
          <w:p w14:paraId="0AAEE61E">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768" w:type="dxa"/>
            <w:noWrap w:val="0"/>
          </w:tcPr>
          <w:p w14:paraId="1A6095AA">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r>
      <w:tr w14:paraId="7DAB8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4" w:type="dxa"/>
            <w:noWrap w:val="0"/>
          </w:tcPr>
          <w:p w14:paraId="7D3A9ADD">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823" w:type="dxa"/>
            <w:noWrap w:val="0"/>
          </w:tcPr>
          <w:p w14:paraId="7863319D">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776" w:type="dxa"/>
            <w:noWrap w:val="0"/>
          </w:tcPr>
          <w:p w14:paraId="62705805">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666" w:type="dxa"/>
            <w:noWrap w:val="0"/>
          </w:tcPr>
          <w:p w14:paraId="4EE2F579">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143" w:type="dxa"/>
            <w:noWrap w:val="0"/>
          </w:tcPr>
          <w:p w14:paraId="2A74F558">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c>
          <w:tcPr>
            <w:tcW w:w="1768" w:type="dxa"/>
            <w:noWrap w:val="0"/>
          </w:tcPr>
          <w:p w14:paraId="2E98E36D">
            <w:pPr>
              <w:pStyle w:val="256"/>
              <w:keepNext w:val="0"/>
              <w:keepLines w:val="0"/>
              <w:suppressLineNumbers w:val="0"/>
              <w:spacing w:before="0" w:beforeAutospacing="0" w:after="0" w:afterAutospacing="0" w:line="400" w:lineRule="exact"/>
              <w:ind w:left="0" w:right="0"/>
              <w:jc w:val="center"/>
              <w:rPr>
                <w:rFonts w:hint="default" w:hAnsi="宋体" w:eastAsia="宋体"/>
                <w:b/>
                <w:color w:val="auto"/>
                <w:sz w:val="21"/>
                <w:highlight w:val="none"/>
              </w:rPr>
            </w:pPr>
          </w:p>
        </w:tc>
      </w:tr>
    </w:tbl>
    <w:p w14:paraId="114054D8">
      <w:pPr>
        <w:ind w:firstLine="420"/>
        <w:rPr>
          <w:rFonts w:ascii="宋体" w:hAnsi="宋体"/>
          <w:color w:val="auto"/>
          <w:highlight w:val="none"/>
        </w:rPr>
      </w:pPr>
    </w:p>
    <w:p w14:paraId="21521626">
      <w:pPr>
        <w:spacing w:line="360" w:lineRule="auto"/>
        <w:rPr>
          <w:rFonts w:ascii="宋体" w:hAnsi="宋体"/>
          <w:color w:val="auto"/>
          <w:highlight w:val="none"/>
        </w:rPr>
      </w:pPr>
      <w:r>
        <w:rPr>
          <w:rFonts w:hint="eastAsia" w:ascii="宋体" w:hAnsi="宋体"/>
          <w:color w:val="auto"/>
          <w:highlight w:val="none"/>
        </w:rPr>
        <w:t>注：1、投标人应在本表中对照招标文件服务要求与实际投标服务要求逐项对应列出，并在“偏离说明”项下填写以下内容：优于的，填写“正偏离”；符合的，填写“无偏离”；低于的，填写“负偏离”。</w:t>
      </w:r>
    </w:p>
    <w:p w14:paraId="537FFE05">
      <w:pPr>
        <w:spacing w:line="360" w:lineRule="auto"/>
        <w:ind w:firstLine="420"/>
        <w:jc w:val="left"/>
        <w:rPr>
          <w:rFonts w:ascii="宋体" w:hAnsi="宋体"/>
          <w:color w:val="auto"/>
          <w:highlight w:val="none"/>
        </w:rPr>
      </w:pPr>
      <w:r>
        <w:rPr>
          <w:rFonts w:hint="eastAsia" w:ascii="宋体" w:hAnsi="宋体"/>
          <w:color w:val="auto"/>
          <w:highlight w:val="none"/>
        </w:rPr>
        <w:t>2.若事项较多，投标人可根据响应内容的实际情况另纸说明。</w:t>
      </w:r>
    </w:p>
    <w:p w14:paraId="18176DBC">
      <w:pPr>
        <w:ind w:firstLine="420"/>
        <w:rPr>
          <w:rFonts w:ascii="宋体" w:hAnsi="宋体"/>
          <w:color w:val="auto"/>
          <w:highlight w:val="none"/>
        </w:rPr>
      </w:pPr>
      <w:r>
        <w:rPr>
          <w:rFonts w:hint="eastAsia" w:ascii="宋体" w:hAnsi="宋体"/>
          <w:color w:val="auto"/>
          <w:highlight w:val="none"/>
        </w:rPr>
        <w:t>3.未在上表中说明的，将被认为完全响应招标文件的规定。</w:t>
      </w:r>
    </w:p>
    <w:p w14:paraId="0C616D20">
      <w:pPr>
        <w:spacing w:line="360" w:lineRule="auto"/>
        <w:ind w:firstLine="3360"/>
        <w:rPr>
          <w:rFonts w:ascii="宋体" w:hAnsi="宋体"/>
          <w:color w:val="auto"/>
          <w:highlight w:val="none"/>
        </w:rPr>
      </w:pPr>
    </w:p>
    <w:p w14:paraId="243A6570">
      <w:pPr>
        <w:spacing w:line="360" w:lineRule="auto"/>
        <w:ind w:firstLine="3360"/>
        <w:rPr>
          <w:rFonts w:ascii="宋体" w:hAnsi="宋体"/>
          <w:color w:val="auto"/>
          <w:highlight w:val="none"/>
        </w:rPr>
      </w:pPr>
      <w:r>
        <w:rPr>
          <w:rFonts w:hint="eastAsia" w:ascii="宋体" w:hAnsi="宋体"/>
          <w:color w:val="auto"/>
          <w:highlight w:val="none"/>
        </w:rPr>
        <w:t>投标单位（单位盖章）：</w:t>
      </w:r>
    </w:p>
    <w:p w14:paraId="0B1CCF41">
      <w:pPr>
        <w:spacing w:line="360" w:lineRule="auto"/>
        <w:ind w:firstLine="3360"/>
        <w:rPr>
          <w:rFonts w:ascii="宋体" w:hAnsi="宋体"/>
          <w:color w:val="auto"/>
          <w:highlight w:val="none"/>
        </w:rPr>
      </w:pPr>
      <w:r>
        <w:rPr>
          <w:rFonts w:hint="eastAsia" w:ascii="宋体" w:hAnsi="宋体"/>
          <w:color w:val="auto"/>
          <w:highlight w:val="none"/>
        </w:rPr>
        <w:t>法定代表人或代理人（签字或盖章）：</w:t>
      </w:r>
    </w:p>
    <w:p w14:paraId="3A0B375C">
      <w:pPr>
        <w:ind w:firstLine="3360"/>
        <w:rPr>
          <w:rFonts w:ascii="宋体" w:hAnsi="宋体"/>
          <w:color w:val="auto"/>
          <w:highlight w:val="none"/>
        </w:rPr>
      </w:pPr>
      <w:r>
        <w:rPr>
          <w:rFonts w:hint="eastAsia" w:ascii="宋体" w:hAnsi="宋体"/>
          <w:color w:val="auto"/>
          <w:highlight w:val="none"/>
        </w:rPr>
        <w:t>日期：年月日</w:t>
      </w:r>
    </w:p>
    <w:p w14:paraId="6B90A65E">
      <w:pPr>
        <w:numPr>
          <w:ilvl w:val="0"/>
          <w:numId w:val="0"/>
        </w:numPr>
        <w:spacing w:line="480" w:lineRule="auto"/>
        <w:ind w:left="403"/>
        <w:jc w:val="both"/>
        <w:rPr>
          <w:rFonts w:hint="default" w:ascii="宋体" w:hAnsi="宋体"/>
          <w:b/>
          <w:color w:val="auto"/>
          <w:sz w:val="32"/>
          <w:szCs w:val="32"/>
          <w:highlight w:val="none"/>
          <w:lang w:val="en-US"/>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9</w:t>
      </w: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商务条款偏离表</w:t>
      </w:r>
    </w:p>
    <w:p w14:paraId="6CC061EC">
      <w:pPr>
        <w:numPr>
          <w:ilvl w:val="0"/>
          <w:numId w:val="0"/>
        </w:numPr>
        <w:spacing w:line="480" w:lineRule="auto"/>
        <w:ind w:left="403"/>
        <w:jc w:val="center"/>
        <w:rPr>
          <w:rFonts w:ascii="宋体" w:hAnsi="宋体"/>
          <w:b/>
          <w:color w:val="auto"/>
          <w:sz w:val="32"/>
          <w:szCs w:val="32"/>
          <w:highlight w:val="none"/>
        </w:rPr>
      </w:pPr>
      <w:r>
        <w:rPr>
          <w:rFonts w:hint="eastAsia" w:ascii="宋体" w:hAnsi="宋体"/>
          <w:b/>
          <w:color w:val="auto"/>
          <w:sz w:val="28"/>
          <w:szCs w:val="28"/>
          <w:highlight w:val="none"/>
        </w:rPr>
        <w:t>商务条款偏离表</w:t>
      </w:r>
    </w:p>
    <w:p w14:paraId="32DD7BEC">
      <w:pPr>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单位名称（盖章）：</w:t>
      </w:r>
    </w:p>
    <w:tbl>
      <w:tblPr>
        <w:tblStyle w:val="56"/>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800"/>
        <w:gridCol w:w="2490"/>
        <w:gridCol w:w="2136"/>
        <w:gridCol w:w="1757"/>
      </w:tblGrid>
      <w:tr w14:paraId="0BAE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noWrap w:val="0"/>
            <w:vAlign w:val="center"/>
          </w:tcPr>
          <w:p w14:paraId="0E1CB339">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r>
              <w:rPr>
                <w:rFonts w:hint="eastAsia" w:asciiTheme="minorEastAsia" w:hAnsiTheme="minorEastAsia" w:eastAsiaTheme="minorEastAsia"/>
                <w:b/>
                <w:color w:val="auto"/>
                <w:sz w:val="21"/>
                <w:highlight w:val="none"/>
              </w:rPr>
              <w:t>序号</w:t>
            </w:r>
          </w:p>
        </w:tc>
        <w:tc>
          <w:tcPr>
            <w:tcW w:w="1800" w:type="dxa"/>
            <w:noWrap w:val="0"/>
            <w:vAlign w:val="center"/>
          </w:tcPr>
          <w:p w14:paraId="63AA930F">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r>
              <w:rPr>
                <w:rFonts w:hint="eastAsia" w:asciiTheme="minorEastAsia" w:hAnsiTheme="minorEastAsia" w:eastAsiaTheme="minorEastAsia"/>
                <w:b/>
                <w:color w:val="auto"/>
                <w:sz w:val="21"/>
                <w:highlight w:val="none"/>
              </w:rPr>
              <w:t>商务内容</w:t>
            </w:r>
          </w:p>
        </w:tc>
        <w:tc>
          <w:tcPr>
            <w:tcW w:w="2490" w:type="dxa"/>
            <w:noWrap w:val="0"/>
            <w:vAlign w:val="center"/>
          </w:tcPr>
          <w:p w14:paraId="7A15FE07">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r>
              <w:rPr>
                <w:rFonts w:hint="eastAsia" w:asciiTheme="minorEastAsia" w:hAnsiTheme="minorEastAsia" w:eastAsiaTheme="minorEastAsia"/>
                <w:b/>
                <w:color w:val="auto"/>
                <w:sz w:val="21"/>
                <w:highlight w:val="none"/>
              </w:rPr>
              <w:t>投标响应</w:t>
            </w:r>
          </w:p>
        </w:tc>
        <w:tc>
          <w:tcPr>
            <w:tcW w:w="2136" w:type="dxa"/>
            <w:noWrap w:val="0"/>
            <w:vAlign w:val="center"/>
          </w:tcPr>
          <w:p w14:paraId="30EB6BA7">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r>
              <w:rPr>
                <w:rFonts w:hint="eastAsia" w:asciiTheme="minorEastAsia" w:hAnsiTheme="minorEastAsia" w:eastAsiaTheme="minorEastAsia"/>
                <w:b/>
                <w:color w:val="auto"/>
                <w:sz w:val="21"/>
                <w:highlight w:val="none"/>
              </w:rPr>
              <w:t>偏离说明</w:t>
            </w:r>
          </w:p>
        </w:tc>
        <w:tc>
          <w:tcPr>
            <w:tcW w:w="1757" w:type="dxa"/>
            <w:noWrap w:val="0"/>
            <w:vAlign w:val="center"/>
          </w:tcPr>
          <w:p w14:paraId="2BA0EDC7">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r>
              <w:rPr>
                <w:rFonts w:hint="eastAsia" w:asciiTheme="minorEastAsia" w:hAnsiTheme="minorEastAsia" w:eastAsiaTheme="minorEastAsia"/>
                <w:b/>
                <w:color w:val="auto"/>
                <w:sz w:val="21"/>
                <w:highlight w:val="none"/>
              </w:rPr>
              <w:t>备注</w:t>
            </w:r>
          </w:p>
        </w:tc>
      </w:tr>
      <w:tr w14:paraId="1712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noWrap w:val="0"/>
          </w:tcPr>
          <w:p w14:paraId="21A7088E">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1</w:t>
            </w:r>
          </w:p>
        </w:tc>
        <w:tc>
          <w:tcPr>
            <w:tcW w:w="1800" w:type="dxa"/>
            <w:noWrap w:val="0"/>
            <w:vAlign w:val="center"/>
          </w:tcPr>
          <w:p w14:paraId="3D0D6873">
            <w:pPr>
              <w:keepNext w:val="0"/>
              <w:keepLines w:val="0"/>
              <w:suppressLineNumbers w:val="0"/>
              <w:spacing w:before="0" w:beforeAutospacing="0" w:after="0" w:afterAutospacing="0" w:line="440" w:lineRule="exact"/>
              <w:ind w:left="0" w:right="0"/>
              <w:jc w:val="center"/>
              <w:rPr>
                <w:rFonts w:hint="default" w:ascii="宋体" w:hAnsi="宋体"/>
                <w:color w:val="auto"/>
                <w:highlight w:val="none"/>
                <w:lang w:val="zh-CN"/>
              </w:rPr>
            </w:pPr>
            <w:r>
              <w:rPr>
                <w:rFonts w:hint="eastAsia" w:ascii="宋体" w:hAnsi="宋体"/>
                <w:color w:val="auto"/>
                <w:highlight w:val="none"/>
                <w:lang w:val="zh-CN"/>
              </w:rPr>
              <w:t>服务期限</w:t>
            </w:r>
          </w:p>
        </w:tc>
        <w:tc>
          <w:tcPr>
            <w:tcW w:w="2490" w:type="dxa"/>
            <w:noWrap w:val="0"/>
          </w:tcPr>
          <w:p w14:paraId="58C5A47D">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color w:val="auto"/>
                <w:sz w:val="21"/>
                <w:highlight w:val="none"/>
              </w:rPr>
            </w:pPr>
          </w:p>
        </w:tc>
        <w:tc>
          <w:tcPr>
            <w:tcW w:w="2136" w:type="dxa"/>
            <w:noWrap w:val="0"/>
          </w:tcPr>
          <w:p w14:paraId="540FA875">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color w:val="auto"/>
                <w:sz w:val="21"/>
                <w:highlight w:val="none"/>
              </w:rPr>
            </w:pPr>
          </w:p>
        </w:tc>
        <w:tc>
          <w:tcPr>
            <w:tcW w:w="1757" w:type="dxa"/>
            <w:noWrap w:val="0"/>
          </w:tcPr>
          <w:p w14:paraId="0D1D0C1C">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color w:val="auto"/>
                <w:sz w:val="21"/>
                <w:highlight w:val="none"/>
              </w:rPr>
            </w:pPr>
          </w:p>
        </w:tc>
      </w:tr>
      <w:tr w14:paraId="06E24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noWrap w:val="0"/>
          </w:tcPr>
          <w:p w14:paraId="6383E143">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2</w:t>
            </w:r>
          </w:p>
        </w:tc>
        <w:tc>
          <w:tcPr>
            <w:tcW w:w="1800" w:type="dxa"/>
            <w:noWrap w:val="0"/>
            <w:vAlign w:val="center"/>
          </w:tcPr>
          <w:p w14:paraId="09C9889B">
            <w:pPr>
              <w:keepNext w:val="0"/>
              <w:keepLines w:val="0"/>
              <w:suppressLineNumbers w:val="0"/>
              <w:spacing w:before="0" w:beforeAutospacing="0" w:after="0" w:afterAutospacing="0" w:line="440" w:lineRule="exact"/>
              <w:ind w:left="0" w:right="0"/>
              <w:jc w:val="center"/>
              <w:rPr>
                <w:rFonts w:hint="default" w:ascii="宋体" w:hAnsi="宋体"/>
                <w:color w:val="auto"/>
                <w:highlight w:val="none"/>
                <w:lang w:val="zh-CN"/>
              </w:rPr>
            </w:pPr>
            <w:r>
              <w:rPr>
                <w:rFonts w:hint="eastAsia" w:ascii="宋体" w:hAnsi="宋体"/>
                <w:color w:val="auto"/>
                <w:highlight w:val="none"/>
                <w:lang w:val="zh-CN"/>
              </w:rPr>
              <w:t>服务地点</w:t>
            </w:r>
          </w:p>
        </w:tc>
        <w:tc>
          <w:tcPr>
            <w:tcW w:w="2490" w:type="dxa"/>
            <w:noWrap w:val="0"/>
          </w:tcPr>
          <w:p w14:paraId="7AF20714">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c>
          <w:tcPr>
            <w:tcW w:w="2136" w:type="dxa"/>
            <w:noWrap w:val="0"/>
          </w:tcPr>
          <w:p w14:paraId="64D49EEA">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c>
          <w:tcPr>
            <w:tcW w:w="1757" w:type="dxa"/>
            <w:noWrap w:val="0"/>
          </w:tcPr>
          <w:p w14:paraId="020FFAE7">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r>
      <w:tr w14:paraId="5354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noWrap w:val="0"/>
          </w:tcPr>
          <w:p w14:paraId="262B47C8">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3</w:t>
            </w:r>
          </w:p>
        </w:tc>
        <w:tc>
          <w:tcPr>
            <w:tcW w:w="1800" w:type="dxa"/>
            <w:noWrap w:val="0"/>
            <w:vAlign w:val="center"/>
          </w:tcPr>
          <w:p w14:paraId="0AD081BC">
            <w:pPr>
              <w:keepNext w:val="0"/>
              <w:keepLines w:val="0"/>
              <w:suppressLineNumbers w:val="0"/>
              <w:spacing w:before="0" w:beforeAutospacing="0" w:after="0" w:afterAutospacing="0" w:line="440" w:lineRule="exact"/>
              <w:ind w:left="0" w:right="0"/>
              <w:jc w:val="center"/>
              <w:rPr>
                <w:rFonts w:hint="default" w:ascii="宋体" w:hAnsi="宋体" w:eastAsia="宋体"/>
                <w:color w:val="auto"/>
                <w:highlight w:val="none"/>
                <w:lang w:val="en-US" w:eastAsia="zh-CN"/>
              </w:rPr>
            </w:pPr>
            <w:r>
              <w:rPr>
                <w:rFonts w:hint="eastAsia" w:ascii="宋体" w:hAnsi="宋体"/>
                <w:color w:val="auto"/>
                <w:highlight w:val="none"/>
              </w:rPr>
              <w:t>付款</w:t>
            </w:r>
            <w:r>
              <w:rPr>
                <w:rFonts w:hint="eastAsia" w:ascii="宋体" w:hAnsi="宋体"/>
                <w:color w:val="auto"/>
                <w:highlight w:val="none"/>
                <w:lang w:val="en-US" w:eastAsia="zh-CN"/>
              </w:rPr>
              <w:t>方式</w:t>
            </w:r>
          </w:p>
        </w:tc>
        <w:tc>
          <w:tcPr>
            <w:tcW w:w="2490" w:type="dxa"/>
            <w:noWrap w:val="0"/>
          </w:tcPr>
          <w:p w14:paraId="3139DFDD">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c>
          <w:tcPr>
            <w:tcW w:w="2136" w:type="dxa"/>
            <w:noWrap w:val="0"/>
          </w:tcPr>
          <w:p w14:paraId="64203730">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c>
          <w:tcPr>
            <w:tcW w:w="1757" w:type="dxa"/>
            <w:noWrap w:val="0"/>
          </w:tcPr>
          <w:p w14:paraId="33344151">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r>
      <w:tr w14:paraId="0BEF3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noWrap w:val="0"/>
          </w:tcPr>
          <w:p w14:paraId="5106B9DF">
            <w:pPr>
              <w:pStyle w:val="256"/>
              <w:keepNext w:val="0"/>
              <w:keepLines w:val="0"/>
              <w:suppressLineNumbers w:val="0"/>
              <w:spacing w:before="0" w:beforeAutospacing="0" w:after="0" w:afterAutospacing="0" w:line="400" w:lineRule="exact"/>
              <w:ind w:left="0" w:right="0"/>
              <w:jc w:val="center"/>
              <w:rPr>
                <w:rFonts w:hint="eastAsia" w:eastAsia="宋体" w:asciiTheme="minorEastAsia" w:hAnsiTheme="minorEastAsia"/>
                <w:color w:val="auto"/>
                <w:sz w:val="21"/>
                <w:highlight w:val="none"/>
                <w:lang w:val="en-US" w:eastAsia="zh-CN"/>
              </w:rPr>
            </w:pPr>
            <w:r>
              <w:rPr>
                <w:rFonts w:hint="eastAsia" w:eastAsia="宋体" w:asciiTheme="minorEastAsia" w:hAnsiTheme="minorEastAsia"/>
                <w:color w:val="auto"/>
                <w:sz w:val="21"/>
                <w:highlight w:val="none"/>
                <w:lang w:val="en-US" w:eastAsia="zh-CN"/>
              </w:rPr>
              <w:t>4</w:t>
            </w:r>
          </w:p>
        </w:tc>
        <w:tc>
          <w:tcPr>
            <w:tcW w:w="1800" w:type="dxa"/>
            <w:noWrap w:val="0"/>
            <w:vAlign w:val="center"/>
          </w:tcPr>
          <w:p w14:paraId="097517BF">
            <w:pPr>
              <w:keepNext w:val="0"/>
              <w:keepLines w:val="0"/>
              <w:suppressLineNumbers w:val="0"/>
              <w:spacing w:before="0" w:beforeAutospacing="0" w:after="0" w:afterAutospacing="0" w:line="440" w:lineRule="exact"/>
              <w:ind w:left="0" w:right="0"/>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结算方式</w:t>
            </w:r>
          </w:p>
        </w:tc>
        <w:tc>
          <w:tcPr>
            <w:tcW w:w="2490" w:type="dxa"/>
            <w:noWrap w:val="0"/>
          </w:tcPr>
          <w:p w14:paraId="51AD7FCA">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c>
          <w:tcPr>
            <w:tcW w:w="2136" w:type="dxa"/>
            <w:noWrap w:val="0"/>
          </w:tcPr>
          <w:p w14:paraId="4428725B">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c>
          <w:tcPr>
            <w:tcW w:w="1757" w:type="dxa"/>
            <w:noWrap w:val="0"/>
          </w:tcPr>
          <w:p w14:paraId="377D6675">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r>
      <w:tr w14:paraId="701BC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noWrap w:val="0"/>
          </w:tcPr>
          <w:p w14:paraId="74A42C0C">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w:t>
            </w:r>
          </w:p>
        </w:tc>
        <w:tc>
          <w:tcPr>
            <w:tcW w:w="1800" w:type="dxa"/>
            <w:noWrap w:val="0"/>
            <w:vAlign w:val="center"/>
          </w:tcPr>
          <w:p w14:paraId="4A976523">
            <w:pPr>
              <w:keepNext w:val="0"/>
              <w:keepLines w:val="0"/>
              <w:suppressLineNumbers w:val="0"/>
              <w:spacing w:before="0" w:beforeAutospacing="0" w:after="0" w:afterAutospacing="0" w:line="440" w:lineRule="exact"/>
              <w:ind w:left="0" w:right="0"/>
              <w:jc w:val="center"/>
              <w:rPr>
                <w:rFonts w:hint="default" w:ascii="宋体" w:hAnsi="宋体"/>
                <w:bCs/>
                <w:color w:val="auto"/>
                <w:highlight w:val="none"/>
              </w:rPr>
            </w:pPr>
            <w:r>
              <w:rPr>
                <w:rFonts w:hint="eastAsia" w:ascii="宋体" w:hAnsi="宋体"/>
                <w:color w:val="auto"/>
                <w:highlight w:val="none"/>
                <w:lang w:val="zh-CN"/>
              </w:rPr>
              <w:t>其他商务要求</w:t>
            </w:r>
          </w:p>
        </w:tc>
        <w:tc>
          <w:tcPr>
            <w:tcW w:w="2490" w:type="dxa"/>
            <w:noWrap w:val="0"/>
          </w:tcPr>
          <w:p w14:paraId="53913499">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c>
          <w:tcPr>
            <w:tcW w:w="2136" w:type="dxa"/>
            <w:noWrap w:val="0"/>
          </w:tcPr>
          <w:p w14:paraId="39746C6A">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c>
          <w:tcPr>
            <w:tcW w:w="1757" w:type="dxa"/>
            <w:noWrap w:val="0"/>
          </w:tcPr>
          <w:p w14:paraId="6CF2C618">
            <w:pPr>
              <w:pStyle w:val="256"/>
              <w:keepNext w:val="0"/>
              <w:keepLines w:val="0"/>
              <w:suppressLineNumbers w:val="0"/>
              <w:spacing w:before="0" w:beforeAutospacing="0" w:after="0" w:afterAutospacing="0" w:line="400" w:lineRule="exact"/>
              <w:ind w:left="0" w:right="0"/>
              <w:jc w:val="center"/>
              <w:rPr>
                <w:rFonts w:hint="default" w:asciiTheme="minorEastAsia" w:hAnsiTheme="minorEastAsia" w:eastAsiaTheme="minorEastAsia"/>
                <w:b/>
                <w:color w:val="auto"/>
                <w:sz w:val="21"/>
                <w:highlight w:val="none"/>
              </w:rPr>
            </w:pPr>
          </w:p>
        </w:tc>
      </w:tr>
    </w:tbl>
    <w:p w14:paraId="702CAA29">
      <w:pPr>
        <w:spacing w:line="360" w:lineRule="auto"/>
        <w:rPr>
          <w:rFonts w:ascii="宋体" w:hAnsi="宋体"/>
          <w:color w:val="auto"/>
          <w:highlight w:val="none"/>
        </w:rPr>
      </w:pPr>
      <w:r>
        <w:rPr>
          <w:rFonts w:hint="eastAsia" w:asciiTheme="minorEastAsia" w:hAnsiTheme="minorEastAsia" w:eastAsiaTheme="minorEastAsia"/>
          <w:color w:val="auto"/>
          <w:highlight w:val="none"/>
        </w:rPr>
        <w:t>注：</w:t>
      </w:r>
      <w:r>
        <w:rPr>
          <w:rFonts w:hint="eastAsia" w:ascii="宋体" w:hAnsi="宋体"/>
          <w:color w:val="auto"/>
          <w:highlight w:val="none"/>
        </w:rPr>
        <w:t>1、投标人应在本表中对照招标文件服务要求与实际投标服务要求逐项对应列出，并在“偏离说明”项下填写以下内容：优于的，填写“正偏离”；符合的，填写“无偏离”；低于的，填写“负偏离”。</w:t>
      </w:r>
    </w:p>
    <w:p w14:paraId="7D0CA728">
      <w:pPr>
        <w:spacing w:line="360" w:lineRule="auto"/>
        <w:ind w:firstLine="420"/>
        <w:jc w:val="left"/>
        <w:rPr>
          <w:rFonts w:ascii="宋体" w:hAnsi="宋体"/>
          <w:color w:val="auto"/>
          <w:highlight w:val="none"/>
        </w:rPr>
      </w:pPr>
      <w:r>
        <w:rPr>
          <w:rFonts w:hint="eastAsia" w:ascii="宋体" w:hAnsi="宋体"/>
          <w:color w:val="auto"/>
          <w:highlight w:val="none"/>
        </w:rPr>
        <w:t>2.若事项较多，投标人可根据响应内容的实际情况另纸说明。</w:t>
      </w:r>
    </w:p>
    <w:p w14:paraId="54745489">
      <w:pPr>
        <w:ind w:firstLine="420"/>
        <w:rPr>
          <w:rFonts w:ascii="宋体" w:hAnsi="宋体"/>
          <w:color w:val="auto"/>
          <w:highlight w:val="none"/>
        </w:rPr>
      </w:pPr>
      <w:r>
        <w:rPr>
          <w:rFonts w:hint="eastAsia" w:ascii="宋体" w:hAnsi="宋体"/>
          <w:color w:val="auto"/>
          <w:highlight w:val="none"/>
        </w:rPr>
        <w:t>3.未在上表中说明的，将被认为完全响应招标文件的规定。</w:t>
      </w:r>
    </w:p>
    <w:p w14:paraId="0ACEEE17">
      <w:pPr>
        <w:spacing w:line="360" w:lineRule="auto"/>
        <w:ind w:firstLine="3360"/>
        <w:rPr>
          <w:rFonts w:ascii="宋体" w:hAnsi="宋体"/>
          <w:color w:val="auto"/>
          <w:highlight w:val="none"/>
        </w:rPr>
      </w:pPr>
      <w:r>
        <w:rPr>
          <w:rFonts w:hint="eastAsia" w:ascii="宋体" w:hAnsi="宋体"/>
          <w:color w:val="auto"/>
          <w:highlight w:val="none"/>
        </w:rPr>
        <w:t>投标单位（单位盖章）：</w:t>
      </w:r>
    </w:p>
    <w:p w14:paraId="55EFFEBD">
      <w:pPr>
        <w:spacing w:line="360" w:lineRule="auto"/>
        <w:ind w:firstLine="3360"/>
        <w:rPr>
          <w:rFonts w:ascii="宋体" w:hAnsi="宋体"/>
          <w:color w:val="auto"/>
          <w:highlight w:val="none"/>
        </w:rPr>
      </w:pPr>
      <w:r>
        <w:rPr>
          <w:rFonts w:hint="eastAsia" w:ascii="宋体" w:hAnsi="宋体"/>
          <w:color w:val="auto"/>
          <w:highlight w:val="none"/>
        </w:rPr>
        <w:t>法定代表人或代理人（签字或盖章）：</w:t>
      </w:r>
    </w:p>
    <w:p w14:paraId="711305D6">
      <w:pPr>
        <w:ind w:firstLine="3360"/>
        <w:rPr>
          <w:rFonts w:ascii="宋体" w:hAnsi="宋体"/>
          <w:b/>
          <w:color w:val="auto"/>
          <w:sz w:val="30"/>
          <w:szCs w:val="30"/>
          <w:highlight w:val="none"/>
        </w:rPr>
      </w:pPr>
      <w:r>
        <w:rPr>
          <w:rFonts w:hint="eastAsia" w:ascii="宋体" w:hAnsi="宋体"/>
          <w:color w:val="auto"/>
          <w:highlight w:val="none"/>
        </w:rPr>
        <w:t>日期：年月日</w:t>
      </w:r>
    </w:p>
    <w:p w14:paraId="5021E74C">
      <w:pPr>
        <w:widowControl/>
        <w:jc w:val="left"/>
        <w:rPr>
          <w:rFonts w:cs="仿宋" w:asciiTheme="minorEastAsia" w:hAnsiTheme="minorEastAsia" w:eastAsiaTheme="minorEastAsia"/>
          <w:color w:val="auto"/>
          <w:highlight w:val="none"/>
        </w:rPr>
      </w:pPr>
    </w:p>
    <w:p w14:paraId="7E38011C">
      <w:pPr>
        <w:numPr>
          <w:ilvl w:val="0"/>
          <w:numId w:val="0"/>
        </w:numPr>
        <w:spacing w:line="480" w:lineRule="auto"/>
        <w:ind w:left="403"/>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en-US" w:eastAsia="zh-CN"/>
        </w:rPr>
        <w:t>：针对本项目的技术及服务方案</w:t>
      </w:r>
    </w:p>
    <w:p w14:paraId="1CC7E2D9">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color w:val="auto"/>
          <w:szCs w:val="21"/>
          <w:highlight w:val="none"/>
        </w:rPr>
        <w:t>投标人根据项目需求编写针对本项目的技术服务方案</w:t>
      </w:r>
      <w:r>
        <w:rPr>
          <w:rFonts w:hint="eastAsia" w:ascii="宋体" w:hAnsi="宋体" w:eastAsia="宋体" w:cs="宋体"/>
          <w:b w:val="0"/>
          <w:bCs/>
          <w:color w:val="auto"/>
          <w:sz w:val="21"/>
          <w:szCs w:val="21"/>
          <w:highlight w:val="none"/>
          <w:lang w:bidi="ar-SA"/>
        </w:rPr>
        <w:t>。</w:t>
      </w:r>
    </w:p>
    <w:p w14:paraId="2EF4D818">
      <w:pPr>
        <w:pStyle w:val="55"/>
        <w:rPr>
          <w:rFonts w:hint="eastAsia" w:ascii="宋体" w:hAnsi="宋体" w:eastAsia="宋体" w:cs="宋体"/>
          <w:b w:val="0"/>
          <w:bCs/>
          <w:color w:val="auto"/>
          <w:sz w:val="21"/>
          <w:szCs w:val="21"/>
          <w:highlight w:val="none"/>
          <w:lang w:bidi="ar-SA"/>
        </w:rPr>
      </w:pPr>
    </w:p>
    <w:p w14:paraId="43E2C99D">
      <w:pPr>
        <w:numPr>
          <w:ilvl w:val="0"/>
          <w:numId w:val="0"/>
        </w:numPr>
        <w:spacing w:line="480" w:lineRule="auto"/>
        <w:ind w:left="403"/>
        <w:jc w:val="both"/>
        <w:rPr>
          <w:rFonts w:hint="default" w:ascii="宋体" w:hAnsi="宋体"/>
          <w:b/>
          <w:color w:val="auto"/>
          <w:sz w:val="28"/>
          <w:szCs w:val="28"/>
          <w:highlight w:val="none"/>
          <w:lang w:val="en-US"/>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11</w:t>
      </w:r>
      <w:r>
        <w:rPr>
          <w:rFonts w:hint="eastAsia" w:ascii="宋体" w:hAnsi="宋体" w:eastAsia="宋体" w:cs="宋体"/>
          <w:b/>
          <w:bCs/>
          <w:color w:val="auto"/>
          <w:sz w:val="21"/>
          <w:szCs w:val="21"/>
          <w:highlight w:val="none"/>
          <w:lang w:val="en-US" w:eastAsia="zh-CN"/>
        </w:rPr>
        <w:t>：</w:t>
      </w:r>
      <w:bookmarkStart w:id="24" w:name="_Toc13889375"/>
      <w:bookmarkStart w:id="25" w:name="_Toc13642115"/>
      <w:bookmarkStart w:id="26" w:name="_Toc271546206"/>
      <w:r>
        <w:rPr>
          <w:rFonts w:hint="eastAsia" w:ascii="宋体" w:hAnsi="宋体" w:eastAsia="宋体" w:cs="宋体"/>
          <w:b/>
          <w:bCs/>
          <w:color w:val="auto"/>
          <w:sz w:val="21"/>
          <w:szCs w:val="21"/>
          <w:highlight w:val="none"/>
          <w:lang w:val="en-US" w:eastAsia="zh-CN"/>
        </w:rPr>
        <w:t>拟投入本项目的专业技术（服务）人员情况一</w:t>
      </w:r>
      <w:r>
        <w:rPr>
          <w:rFonts w:hint="eastAsia" w:ascii="宋体" w:hAnsi="宋体" w:cs="宋体"/>
          <w:b/>
          <w:bCs/>
          <w:color w:val="auto"/>
          <w:sz w:val="21"/>
          <w:szCs w:val="21"/>
          <w:highlight w:val="none"/>
          <w:lang w:val="en-US" w:eastAsia="zh-CN"/>
        </w:rPr>
        <w:t>览表</w:t>
      </w:r>
    </w:p>
    <w:p w14:paraId="0D00DFCB">
      <w:pPr>
        <w:numPr>
          <w:ilvl w:val="0"/>
          <w:numId w:val="0"/>
        </w:numPr>
        <w:spacing w:line="360" w:lineRule="auto"/>
        <w:jc w:val="center"/>
        <w:outlineLvl w:val="0"/>
        <w:rPr>
          <w:rFonts w:ascii="宋体" w:hAnsi="宋体"/>
          <w:b/>
          <w:color w:val="auto"/>
          <w:sz w:val="24"/>
          <w:szCs w:val="24"/>
          <w:highlight w:val="none"/>
        </w:rPr>
      </w:pPr>
      <w:r>
        <w:rPr>
          <w:rFonts w:hint="eastAsia" w:ascii="宋体" w:hAnsi="宋体"/>
          <w:b/>
          <w:color w:val="auto"/>
          <w:sz w:val="24"/>
          <w:szCs w:val="24"/>
          <w:highlight w:val="none"/>
        </w:rPr>
        <w:t>拟投入本项目的专业技术（服务）人员情况一览表</w:t>
      </w:r>
    </w:p>
    <w:tbl>
      <w:tblPr>
        <w:tblStyle w:val="56"/>
        <w:tblW w:w="924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0"/>
        <w:gridCol w:w="1173"/>
        <w:gridCol w:w="1053"/>
        <w:gridCol w:w="750"/>
        <w:gridCol w:w="796"/>
        <w:gridCol w:w="753"/>
        <w:gridCol w:w="1381"/>
        <w:gridCol w:w="1243"/>
        <w:gridCol w:w="1490"/>
      </w:tblGrid>
      <w:tr w14:paraId="5086DE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610" w:type="dxa"/>
            <w:tcBorders>
              <w:top w:val="single" w:color="auto" w:sz="4" w:space="0"/>
              <w:left w:val="single" w:color="auto" w:sz="4" w:space="0"/>
              <w:bottom w:val="single" w:color="auto" w:sz="4" w:space="0"/>
              <w:right w:val="single" w:color="auto" w:sz="4" w:space="0"/>
            </w:tcBorders>
            <w:noWrap w:val="0"/>
            <w:vAlign w:val="center"/>
          </w:tcPr>
          <w:p w14:paraId="08E04E48">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623B4383">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项目组所任职务</w:t>
            </w:r>
          </w:p>
        </w:tc>
        <w:tc>
          <w:tcPr>
            <w:tcW w:w="1053" w:type="dxa"/>
            <w:tcBorders>
              <w:top w:val="single" w:color="auto" w:sz="4" w:space="0"/>
              <w:left w:val="single" w:color="auto" w:sz="4" w:space="0"/>
              <w:bottom w:val="single" w:color="auto" w:sz="4" w:space="0"/>
              <w:right w:val="single" w:color="auto" w:sz="4" w:space="0"/>
            </w:tcBorders>
            <w:noWrap w:val="0"/>
            <w:vAlign w:val="center"/>
          </w:tcPr>
          <w:p w14:paraId="5982E9CD">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318129CB">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796" w:type="dxa"/>
            <w:tcBorders>
              <w:top w:val="single" w:color="auto" w:sz="4" w:space="0"/>
              <w:left w:val="single" w:color="auto" w:sz="4" w:space="0"/>
              <w:bottom w:val="single" w:color="auto" w:sz="4" w:space="0"/>
              <w:right w:val="single" w:color="auto" w:sz="4" w:space="0"/>
            </w:tcBorders>
            <w:noWrap w:val="0"/>
            <w:vAlign w:val="center"/>
          </w:tcPr>
          <w:p w14:paraId="0949714F">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年龄</w:t>
            </w:r>
          </w:p>
        </w:tc>
        <w:tc>
          <w:tcPr>
            <w:tcW w:w="753" w:type="dxa"/>
            <w:tcBorders>
              <w:top w:val="single" w:color="auto" w:sz="4" w:space="0"/>
              <w:left w:val="single" w:color="auto" w:sz="4" w:space="0"/>
              <w:bottom w:val="single" w:color="auto" w:sz="4" w:space="0"/>
              <w:right w:val="single" w:color="auto" w:sz="4" w:space="0"/>
            </w:tcBorders>
            <w:noWrap w:val="0"/>
            <w:vAlign w:val="center"/>
          </w:tcPr>
          <w:p w14:paraId="30A3D8FF">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6DD0713E">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专业资格</w:t>
            </w:r>
          </w:p>
        </w:tc>
        <w:tc>
          <w:tcPr>
            <w:tcW w:w="1243" w:type="dxa"/>
            <w:tcBorders>
              <w:top w:val="single" w:color="auto" w:sz="4" w:space="0"/>
              <w:left w:val="single" w:color="auto" w:sz="4" w:space="0"/>
              <w:bottom w:val="single" w:color="auto" w:sz="4" w:space="0"/>
              <w:right w:val="single" w:color="auto" w:sz="4" w:space="0"/>
            </w:tcBorders>
            <w:noWrap w:val="0"/>
            <w:vAlign w:val="center"/>
          </w:tcPr>
          <w:p w14:paraId="69C1FD76">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工作年限</w:t>
            </w:r>
          </w:p>
        </w:tc>
        <w:tc>
          <w:tcPr>
            <w:tcW w:w="1490" w:type="dxa"/>
            <w:tcBorders>
              <w:top w:val="single" w:color="auto" w:sz="4" w:space="0"/>
              <w:left w:val="single" w:color="auto" w:sz="4" w:space="0"/>
              <w:bottom w:val="single" w:color="auto" w:sz="4" w:space="0"/>
              <w:right w:val="single" w:color="auto" w:sz="4" w:space="0"/>
            </w:tcBorders>
            <w:noWrap w:val="0"/>
            <w:vAlign w:val="center"/>
          </w:tcPr>
          <w:p w14:paraId="564E8EFB">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0F3694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10" w:type="dxa"/>
            <w:tcBorders>
              <w:top w:val="single" w:color="auto" w:sz="4" w:space="0"/>
              <w:left w:val="single" w:color="auto" w:sz="4" w:space="0"/>
              <w:bottom w:val="single" w:color="auto" w:sz="4" w:space="0"/>
              <w:right w:val="single" w:color="auto" w:sz="4" w:space="0"/>
            </w:tcBorders>
            <w:noWrap w:val="0"/>
            <w:vAlign w:val="center"/>
          </w:tcPr>
          <w:p w14:paraId="11CADB0C">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5E943A7B">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53" w:type="dxa"/>
            <w:tcBorders>
              <w:top w:val="single" w:color="auto" w:sz="4" w:space="0"/>
              <w:left w:val="single" w:color="auto" w:sz="4" w:space="0"/>
              <w:bottom w:val="single" w:color="auto" w:sz="4" w:space="0"/>
              <w:right w:val="single" w:color="auto" w:sz="4" w:space="0"/>
            </w:tcBorders>
            <w:noWrap w:val="0"/>
            <w:vAlign w:val="center"/>
          </w:tcPr>
          <w:p w14:paraId="3AF9E92A">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14:paraId="493F31D7">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03BEFB0F">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3" w:type="dxa"/>
            <w:tcBorders>
              <w:top w:val="single" w:color="auto" w:sz="4" w:space="0"/>
              <w:left w:val="single" w:color="auto" w:sz="4" w:space="0"/>
              <w:bottom w:val="single" w:color="auto" w:sz="4" w:space="0"/>
              <w:right w:val="single" w:color="auto" w:sz="4" w:space="0"/>
            </w:tcBorders>
            <w:noWrap w:val="0"/>
            <w:vAlign w:val="center"/>
          </w:tcPr>
          <w:p w14:paraId="2A1A6E0A">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130D630D">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4300EB50">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90" w:type="dxa"/>
            <w:tcBorders>
              <w:top w:val="single" w:color="auto" w:sz="4" w:space="0"/>
              <w:left w:val="single" w:color="auto" w:sz="4" w:space="0"/>
              <w:bottom w:val="single" w:color="auto" w:sz="4" w:space="0"/>
              <w:right w:val="single" w:color="auto" w:sz="4" w:space="0"/>
            </w:tcBorders>
            <w:noWrap w:val="0"/>
            <w:vAlign w:val="center"/>
          </w:tcPr>
          <w:p w14:paraId="4F6ED81B">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2D6C4C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10" w:type="dxa"/>
            <w:tcBorders>
              <w:top w:val="single" w:color="auto" w:sz="4" w:space="0"/>
              <w:left w:val="single" w:color="auto" w:sz="4" w:space="0"/>
              <w:bottom w:val="single" w:color="auto" w:sz="4" w:space="0"/>
              <w:right w:val="single" w:color="auto" w:sz="4" w:space="0"/>
            </w:tcBorders>
            <w:noWrap w:val="0"/>
            <w:vAlign w:val="center"/>
          </w:tcPr>
          <w:p w14:paraId="2E85279C">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0151D734">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53" w:type="dxa"/>
            <w:tcBorders>
              <w:top w:val="single" w:color="auto" w:sz="4" w:space="0"/>
              <w:left w:val="single" w:color="auto" w:sz="4" w:space="0"/>
              <w:bottom w:val="single" w:color="auto" w:sz="4" w:space="0"/>
              <w:right w:val="single" w:color="auto" w:sz="4" w:space="0"/>
            </w:tcBorders>
            <w:noWrap w:val="0"/>
            <w:vAlign w:val="center"/>
          </w:tcPr>
          <w:p w14:paraId="7A0150D9">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14:paraId="2A768E3C">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57F2455F">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3" w:type="dxa"/>
            <w:tcBorders>
              <w:top w:val="single" w:color="auto" w:sz="4" w:space="0"/>
              <w:left w:val="single" w:color="auto" w:sz="4" w:space="0"/>
              <w:bottom w:val="single" w:color="auto" w:sz="4" w:space="0"/>
              <w:right w:val="single" w:color="auto" w:sz="4" w:space="0"/>
            </w:tcBorders>
            <w:noWrap w:val="0"/>
            <w:vAlign w:val="center"/>
          </w:tcPr>
          <w:p w14:paraId="2E39EA0C">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053B397E">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55302298">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90" w:type="dxa"/>
            <w:tcBorders>
              <w:top w:val="single" w:color="auto" w:sz="4" w:space="0"/>
              <w:left w:val="single" w:color="auto" w:sz="4" w:space="0"/>
              <w:bottom w:val="single" w:color="auto" w:sz="4" w:space="0"/>
              <w:right w:val="single" w:color="auto" w:sz="4" w:space="0"/>
            </w:tcBorders>
            <w:noWrap w:val="0"/>
            <w:vAlign w:val="center"/>
          </w:tcPr>
          <w:p w14:paraId="224E23A9">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1CA262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10" w:type="dxa"/>
            <w:tcBorders>
              <w:top w:val="single" w:color="auto" w:sz="4" w:space="0"/>
              <w:left w:val="single" w:color="auto" w:sz="4" w:space="0"/>
              <w:bottom w:val="single" w:color="auto" w:sz="4" w:space="0"/>
              <w:right w:val="single" w:color="auto" w:sz="4" w:space="0"/>
            </w:tcBorders>
            <w:noWrap w:val="0"/>
            <w:vAlign w:val="center"/>
          </w:tcPr>
          <w:p w14:paraId="0DCC88A7">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458E28C9">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53" w:type="dxa"/>
            <w:tcBorders>
              <w:top w:val="single" w:color="auto" w:sz="4" w:space="0"/>
              <w:left w:val="single" w:color="auto" w:sz="4" w:space="0"/>
              <w:bottom w:val="single" w:color="auto" w:sz="4" w:space="0"/>
              <w:right w:val="single" w:color="auto" w:sz="4" w:space="0"/>
            </w:tcBorders>
            <w:noWrap w:val="0"/>
            <w:vAlign w:val="center"/>
          </w:tcPr>
          <w:p w14:paraId="4684B38E">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14:paraId="60B962F8">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1C519A5A">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3" w:type="dxa"/>
            <w:tcBorders>
              <w:top w:val="single" w:color="auto" w:sz="4" w:space="0"/>
              <w:left w:val="single" w:color="auto" w:sz="4" w:space="0"/>
              <w:bottom w:val="single" w:color="auto" w:sz="4" w:space="0"/>
              <w:right w:val="single" w:color="auto" w:sz="4" w:space="0"/>
            </w:tcBorders>
            <w:noWrap w:val="0"/>
            <w:vAlign w:val="center"/>
          </w:tcPr>
          <w:p w14:paraId="1E2EABD9">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7DD819AC">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3315F936">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90" w:type="dxa"/>
            <w:tcBorders>
              <w:top w:val="single" w:color="auto" w:sz="4" w:space="0"/>
              <w:left w:val="single" w:color="auto" w:sz="4" w:space="0"/>
              <w:bottom w:val="single" w:color="auto" w:sz="4" w:space="0"/>
              <w:right w:val="single" w:color="auto" w:sz="4" w:space="0"/>
            </w:tcBorders>
            <w:noWrap w:val="0"/>
            <w:vAlign w:val="center"/>
          </w:tcPr>
          <w:p w14:paraId="5DF93623">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58F1D0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10" w:type="dxa"/>
            <w:tcBorders>
              <w:top w:val="single" w:color="auto" w:sz="4" w:space="0"/>
              <w:left w:val="single" w:color="auto" w:sz="4" w:space="0"/>
              <w:bottom w:val="single" w:color="auto" w:sz="4" w:space="0"/>
              <w:right w:val="single" w:color="auto" w:sz="4" w:space="0"/>
            </w:tcBorders>
            <w:noWrap w:val="0"/>
            <w:vAlign w:val="center"/>
          </w:tcPr>
          <w:p w14:paraId="23835415">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6835F2CD">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53" w:type="dxa"/>
            <w:tcBorders>
              <w:top w:val="single" w:color="auto" w:sz="4" w:space="0"/>
              <w:left w:val="single" w:color="auto" w:sz="4" w:space="0"/>
              <w:bottom w:val="single" w:color="auto" w:sz="4" w:space="0"/>
              <w:right w:val="single" w:color="auto" w:sz="4" w:space="0"/>
            </w:tcBorders>
            <w:noWrap w:val="0"/>
            <w:vAlign w:val="center"/>
          </w:tcPr>
          <w:p w14:paraId="3B5FAD31">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14:paraId="448D5B64">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DC6582A">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3" w:type="dxa"/>
            <w:tcBorders>
              <w:top w:val="single" w:color="auto" w:sz="4" w:space="0"/>
              <w:left w:val="single" w:color="auto" w:sz="4" w:space="0"/>
              <w:bottom w:val="single" w:color="auto" w:sz="4" w:space="0"/>
              <w:right w:val="single" w:color="auto" w:sz="4" w:space="0"/>
            </w:tcBorders>
            <w:noWrap w:val="0"/>
            <w:vAlign w:val="center"/>
          </w:tcPr>
          <w:p w14:paraId="5EA2D03A">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18E7EB3F">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33CBEC4F">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90" w:type="dxa"/>
            <w:tcBorders>
              <w:top w:val="single" w:color="auto" w:sz="4" w:space="0"/>
              <w:left w:val="single" w:color="auto" w:sz="4" w:space="0"/>
              <w:bottom w:val="single" w:color="auto" w:sz="4" w:space="0"/>
              <w:right w:val="single" w:color="auto" w:sz="4" w:space="0"/>
            </w:tcBorders>
            <w:noWrap w:val="0"/>
            <w:vAlign w:val="center"/>
          </w:tcPr>
          <w:p w14:paraId="18ADCCFD">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6D6EC3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10" w:type="dxa"/>
            <w:tcBorders>
              <w:top w:val="single" w:color="auto" w:sz="4" w:space="0"/>
              <w:left w:val="single" w:color="auto" w:sz="4" w:space="0"/>
              <w:bottom w:val="single" w:color="auto" w:sz="4" w:space="0"/>
              <w:right w:val="single" w:color="auto" w:sz="4" w:space="0"/>
            </w:tcBorders>
            <w:noWrap w:val="0"/>
            <w:vAlign w:val="center"/>
          </w:tcPr>
          <w:p w14:paraId="3C710DF2">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543B7D50">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53" w:type="dxa"/>
            <w:tcBorders>
              <w:top w:val="single" w:color="auto" w:sz="4" w:space="0"/>
              <w:left w:val="single" w:color="auto" w:sz="4" w:space="0"/>
              <w:bottom w:val="single" w:color="auto" w:sz="4" w:space="0"/>
              <w:right w:val="single" w:color="auto" w:sz="4" w:space="0"/>
            </w:tcBorders>
            <w:noWrap w:val="0"/>
            <w:vAlign w:val="center"/>
          </w:tcPr>
          <w:p w14:paraId="17B5E403">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14:paraId="05C0F176">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96" w:type="dxa"/>
            <w:tcBorders>
              <w:top w:val="single" w:color="auto" w:sz="4" w:space="0"/>
              <w:left w:val="single" w:color="auto" w:sz="4" w:space="0"/>
              <w:bottom w:val="single" w:color="auto" w:sz="4" w:space="0"/>
              <w:right w:val="single" w:color="auto" w:sz="4" w:space="0"/>
            </w:tcBorders>
            <w:noWrap w:val="0"/>
            <w:vAlign w:val="center"/>
          </w:tcPr>
          <w:p w14:paraId="6FF49EFA">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53" w:type="dxa"/>
            <w:tcBorders>
              <w:top w:val="single" w:color="auto" w:sz="4" w:space="0"/>
              <w:left w:val="single" w:color="auto" w:sz="4" w:space="0"/>
              <w:bottom w:val="single" w:color="auto" w:sz="4" w:space="0"/>
              <w:right w:val="single" w:color="auto" w:sz="4" w:space="0"/>
            </w:tcBorders>
            <w:noWrap w:val="0"/>
            <w:vAlign w:val="center"/>
          </w:tcPr>
          <w:p w14:paraId="09336084">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4545C39A">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0"/>
            <w:vAlign w:val="center"/>
          </w:tcPr>
          <w:p w14:paraId="0806D702">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90" w:type="dxa"/>
            <w:tcBorders>
              <w:top w:val="single" w:color="auto" w:sz="4" w:space="0"/>
              <w:left w:val="single" w:color="auto" w:sz="4" w:space="0"/>
              <w:bottom w:val="single" w:color="auto" w:sz="4" w:space="0"/>
              <w:right w:val="single" w:color="auto" w:sz="4" w:space="0"/>
            </w:tcBorders>
            <w:noWrap w:val="0"/>
            <w:vAlign w:val="center"/>
          </w:tcPr>
          <w:p w14:paraId="6B5A3A07">
            <w:pPr>
              <w:pStyle w:val="33"/>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r>
    </w:tbl>
    <w:p w14:paraId="112FFA43">
      <w:pPr>
        <w:spacing w:line="360" w:lineRule="auto"/>
        <w:rPr>
          <w:rFonts w:ascii="宋体" w:hAnsi="宋体"/>
          <w:color w:val="auto"/>
          <w:sz w:val="21"/>
          <w:szCs w:val="21"/>
          <w:highlight w:val="none"/>
        </w:rPr>
      </w:pPr>
      <w:r>
        <w:rPr>
          <w:rFonts w:hint="eastAsia" w:ascii="宋体" w:hAnsi="宋体"/>
          <w:color w:val="auto"/>
          <w:sz w:val="21"/>
          <w:szCs w:val="21"/>
          <w:highlight w:val="none"/>
        </w:rPr>
        <w:t>注：1.附各专业人员简历及相关证明材料</w:t>
      </w:r>
      <w:r>
        <w:rPr>
          <w:rFonts w:hint="eastAsia" w:ascii="宋体" w:hAnsi="宋体"/>
          <w:color w:val="auto"/>
          <w:sz w:val="21"/>
          <w:szCs w:val="21"/>
          <w:highlight w:val="none"/>
          <w:lang w:val="en-US" w:eastAsia="zh-CN"/>
        </w:rPr>
        <w:t>原件扫描件</w:t>
      </w:r>
      <w:r>
        <w:rPr>
          <w:rFonts w:hint="eastAsia" w:ascii="宋体" w:hAnsi="宋体"/>
          <w:color w:val="auto"/>
          <w:sz w:val="21"/>
          <w:szCs w:val="21"/>
          <w:highlight w:val="none"/>
        </w:rPr>
        <w:t>；2.表格不够填写可添加。</w:t>
      </w:r>
    </w:p>
    <w:p w14:paraId="14BAF645">
      <w:pPr>
        <w:spacing w:line="460" w:lineRule="exact"/>
        <w:ind w:firstLine="420"/>
        <w:rPr>
          <w:rFonts w:ascii="宋体" w:hAnsi="宋体"/>
          <w:color w:val="auto"/>
          <w:sz w:val="21"/>
          <w:szCs w:val="21"/>
          <w:highlight w:val="none"/>
        </w:rPr>
      </w:pPr>
      <w:r>
        <w:rPr>
          <w:rFonts w:hint="eastAsia" w:ascii="宋体" w:hAnsi="宋体"/>
          <w:color w:val="auto"/>
          <w:sz w:val="21"/>
          <w:szCs w:val="21"/>
          <w:highlight w:val="none"/>
        </w:rPr>
        <w:t xml:space="preserve">投标单位（单位盖章）： </w:t>
      </w:r>
    </w:p>
    <w:p w14:paraId="3AB98911">
      <w:pPr>
        <w:spacing w:line="460" w:lineRule="exact"/>
        <w:ind w:firstLine="420"/>
        <w:rPr>
          <w:rFonts w:ascii="宋体" w:hAnsi="宋体"/>
          <w:color w:val="auto"/>
          <w:sz w:val="21"/>
          <w:szCs w:val="21"/>
          <w:highlight w:val="none"/>
        </w:rPr>
      </w:pPr>
      <w:r>
        <w:rPr>
          <w:rFonts w:hint="eastAsia" w:ascii="宋体" w:hAnsi="宋体"/>
          <w:color w:val="auto"/>
          <w:sz w:val="21"/>
          <w:szCs w:val="21"/>
          <w:highlight w:val="none"/>
        </w:rPr>
        <w:t>法定代表人或代理人（签字或盖章）</w:t>
      </w:r>
    </w:p>
    <w:p w14:paraId="099953EC">
      <w:pPr>
        <w:pStyle w:val="23"/>
        <w:rPr>
          <w:rFonts w:hAnsi="宋体"/>
          <w:b/>
          <w:color w:val="auto"/>
          <w:highlight w:val="none"/>
        </w:rPr>
      </w:pPr>
      <w:r>
        <w:rPr>
          <w:rFonts w:hint="eastAsia" w:hAnsi="宋体"/>
          <w:color w:val="auto"/>
          <w:sz w:val="21"/>
          <w:szCs w:val="21"/>
          <w:highlight w:val="none"/>
        </w:rPr>
        <w:t>日期：    年     月    日</w:t>
      </w:r>
    </w:p>
    <w:p w14:paraId="146BFD5C">
      <w:pPr>
        <w:pStyle w:val="14"/>
        <w:spacing w:line="360" w:lineRule="auto"/>
        <w:ind w:firstLine="422"/>
        <w:jc w:val="both"/>
        <w:rPr>
          <w:rFonts w:hint="eastAsia" w:ascii="宋体" w:hAnsi="宋体" w:eastAsia="宋体" w:cs="宋体"/>
          <w:b/>
          <w:bCs/>
          <w:color w:val="auto"/>
          <w:sz w:val="21"/>
          <w:szCs w:val="21"/>
          <w:highlight w:val="none"/>
          <w:lang w:val="en-US" w:eastAsia="zh-CN"/>
        </w:rPr>
      </w:pPr>
    </w:p>
    <w:p w14:paraId="1A1DDBF3">
      <w:pPr>
        <w:pStyle w:val="14"/>
        <w:spacing w:line="360" w:lineRule="auto"/>
        <w:ind w:firstLine="422"/>
        <w:jc w:val="both"/>
        <w:rPr>
          <w:rFonts w:hint="default" w:asciiTheme="minorEastAsia" w:hAnsiTheme="minorEastAsia" w:eastAsiaTheme="minorEastAsia"/>
          <w:b/>
          <w:color w:val="auto"/>
          <w:sz w:val="28"/>
          <w:szCs w:val="28"/>
          <w:highlight w:val="none"/>
          <w:lang w:val="en-US"/>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企业类似业绩一览表</w:t>
      </w:r>
    </w:p>
    <w:p w14:paraId="441EC08F">
      <w:pPr>
        <w:pStyle w:val="14"/>
        <w:numPr>
          <w:ilvl w:val="0"/>
          <w:numId w:val="0"/>
        </w:numPr>
        <w:spacing w:line="360" w:lineRule="auto"/>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企业类似业绩一览表</w:t>
      </w:r>
    </w:p>
    <w:tbl>
      <w:tblPr>
        <w:tblStyle w:val="56"/>
        <w:tblW w:w="8683"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505"/>
        <w:gridCol w:w="1347"/>
        <w:gridCol w:w="1965"/>
        <w:gridCol w:w="1274"/>
      </w:tblGrid>
      <w:tr w14:paraId="26366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noWrap w:val="0"/>
            <w:vAlign w:val="center"/>
          </w:tcPr>
          <w:p w14:paraId="778D44ED">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序号</w:t>
            </w:r>
          </w:p>
        </w:tc>
        <w:tc>
          <w:tcPr>
            <w:tcW w:w="1356" w:type="dxa"/>
            <w:noWrap w:val="0"/>
            <w:vAlign w:val="center"/>
          </w:tcPr>
          <w:p w14:paraId="43F4559E">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项目名称</w:t>
            </w:r>
          </w:p>
        </w:tc>
        <w:tc>
          <w:tcPr>
            <w:tcW w:w="1505" w:type="dxa"/>
            <w:noWrap w:val="0"/>
            <w:vAlign w:val="center"/>
          </w:tcPr>
          <w:p w14:paraId="363E1903">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合同签订时间</w:t>
            </w:r>
          </w:p>
        </w:tc>
        <w:tc>
          <w:tcPr>
            <w:tcW w:w="1347" w:type="dxa"/>
            <w:noWrap w:val="0"/>
            <w:vAlign w:val="center"/>
          </w:tcPr>
          <w:p w14:paraId="037F1922">
            <w:pPr>
              <w:keepNext w:val="0"/>
              <w:keepLines w:val="0"/>
              <w:suppressLineNumbers w:val="0"/>
              <w:tabs>
                <w:tab w:val="left" w:pos="6252"/>
              </w:tabs>
              <w:spacing w:before="0" w:beforeAutospacing="0" w:after="0" w:afterAutospacing="0"/>
              <w:ind w:left="0" w:right="0"/>
              <w:jc w:val="center"/>
              <w:rPr>
                <w:rFonts w:hint="default" w:ascii="宋体" w:hAnsi="宋体"/>
                <w:color w:val="auto"/>
                <w:highlight w:val="none"/>
              </w:rPr>
            </w:pPr>
            <w:r>
              <w:rPr>
                <w:rFonts w:hint="eastAsia" w:ascii="宋体" w:hAnsi="宋体"/>
                <w:color w:val="auto"/>
                <w:highlight w:val="none"/>
              </w:rPr>
              <w:t>合同金额</w:t>
            </w:r>
          </w:p>
          <w:p w14:paraId="55C57024">
            <w:pPr>
              <w:keepNext w:val="0"/>
              <w:keepLines w:val="0"/>
              <w:suppressLineNumbers w:val="0"/>
              <w:tabs>
                <w:tab w:val="left" w:pos="6252"/>
              </w:tabs>
              <w:spacing w:before="0" w:beforeAutospacing="0" w:after="0" w:afterAutospacing="0"/>
              <w:ind w:left="0" w:right="0"/>
              <w:jc w:val="center"/>
              <w:rPr>
                <w:rFonts w:hint="default" w:ascii="宋体" w:hAnsi="宋体"/>
                <w:color w:val="auto"/>
                <w:highlight w:val="none"/>
              </w:rPr>
            </w:pPr>
            <w:r>
              <w:rPr>
                <w:rFonts w:hint="eastAsia" w:ascii="宋体" w:hAnsi="宋体"/>
                <w:color w:val="auto"/>
                <w:highlight w:val="none"/>
              </w:rPr>
              <w:t>（人民币）</w:t>
            </w:r>
          </w:p>
        </w:tc>
        <w:tc>
          <w:tcPr>
            <w:tcW w:w="1965" w:type="dxa"/>
            <w:noWrap w:val="0"/>
            <w:vAlign w:val="center"/>
          </w:tcPr>
          <w:p w14:paraId="39CC7CAD">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业主单位</w:t>
            </w:r>
          </w:p>
        </w:tc>
        <w:tc>
          <w:tcPr>
            <w:tcW w:w="1274" w:type="dxa"/>
            <w:noWrap w:val="0"/>
            <w:vAlign w:val="center"/>
          </w:tcPr>
          <w:p w14:paraId="3F3BC9B1">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备注</w:t>
            </w:r>
          </w:p>
        </w:tc>
      </w:tr>
      <w:tr w14:paraId="07B4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noWrap w:val="0"/>
            <w:vAlign w:val="center"/>
          </w:tcPr>
          <w:p w14:paraId="033F3BFD">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1</w:t>
            </w:r>
          </w:p>
        </w:tc>
        <w:tc>
          <w:tcPr>
            <w:tcW w:w="1356" w:type="dxa"/>
            <w:noWrap w:val="0"/>
            <w:vAlign w:val="center"/>
          </w:tcPr>
          <w:p w14:paraId="4C85DDD8">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505" w:type="dxa"/>
            <w:noWrap w:val="0"/>
          </w:tcPr>
          <w:p w14:paraId="582B3B98">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347" w:type="dxa"/>
            <w:noWrap w:val="0"/>
            <w:vAlign w:val="center"/>
          </w:tcPr>
          <w:p w14:paraId="10CB51B6">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965" w:type="dxa"/>
            <w:noWrap w:val="0"/>
            <w:vAlign w:val="center"/>
          </w:tcPr>
          <w:p w14:paraId="18B46B7B">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274" w:type="dxa"/>
            <w:noWrap w:val="0"/>
            <w:vAlign w:val="center"/>
          </w:tcPr>
          <w:p w14:paraId="6489BEEF">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7BD5C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noWrap w:val="0"/>
            <w:vAlign w:val="center"/>
          </w:tcPr>
          <w:p w14:paraId="5F187FDF">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2</w:t>
            </w:r>
          </w:p>
        </w:tc>
        <w:tc>
          <w:tcPr>
            <w:tcW w:w="1356" w:type="dxa"/>
            <w:noWrap w:val="0"/>
            <w:vAlign w:val="center"/>
          </w:tcPr>
          <w:p w14:paraId="3481F28B">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505" w:type="dxa"/>
            <w:noWrap w:val="0"/>
          </w:tcPr>
          <w:p w14:paraId="2450A455">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347" w:type="dxa"/>
            <w:noWrap w:val="0"/>
            <w:vAlign w:val="center"/>
          </w:tcPr>
          <w:p w14:paraId="7064924F">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965" w:type="dxa"/>
            <w:noWrap w:val="0"/>
            <w:vAlign w:val="center"/>
          </w:tcPr>
          <w:p w14:paraId="1C26125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274" w:type="dxa"/>
            <w:noWrap w:val="0"/>
            <w:vAlign w:val="center"/>
          </w:tcPr>
          <w:p w14:paraId="0DD3B282">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7845C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noWrap w:val="0"/>
            <w:vAlign w:val="center"/>
          </w:tcPr>
          <w:p w14:paraId="065A3019">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3</w:t>
            </w:r>
          </w:p>
        </w:tc>
        <w:tc>
          <w:tcPr>
            <w:tcW w:w="1356" w:type="dxa"/>
            <w:noWrap w:val="0"/>
            <w:vAlign w:val="center"/>
          </w:tcPr>
          <w:p w14:paraId="3B9074DE">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505" w:type="dxa"/>
            <w:noWrap w:val="0"/>
          </w:tcPr>
          <w:p w14:paraId="1CE83620">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347" w:type="dxa"/>
            <w:noWrap w:val="0"/>
            <w:vAlign w:val="center"/>
          </w:tcPr>
          <w:p w14:paraId="11A507CC">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965" w:type="dxa"/>
            <w:noWrap w:val="0"/>
            <w:vAlign w:val="center"/>
          </w:tcPr>
          <w:p w14:paraId="0A7A401C">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274" w:type="dxa"/>
            <w:noWrap w:val="0"/>
            <w:vAlign w:val="center"/>
          </w:tcPr>
          <w:p w14:paraId="5C5531D7">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47A2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noWrap w:val="0"/>
            <w:vAlign w:val="center"/>
          </w:tcPr>
          <w:p w14:paraId="0B47052B">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4</w:t>
            </w:r>
          </w:p>
        </w:tc>
        <w:tc>
          <w:tcPr>
            <w:tcW w:w="1356" w:type="dxa"/>
            <w:noWrap w:val="0"/>
            <w:vAlign w:val="center"/>
          </w:tcPr>
          <w:p w14:paraId="63182A97">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505" w:type="dxa"/>
            <w:noWrap w:val="0"/>
          </w:tcPr>
          <w:p w14:paraId="00AFD0AB">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347" w:type="dxa"/>
            <w:noWrap w:val="0"/>
            <w:vAlign w:val="center"/>
          </w:tcPr>
          <w:p w14:paraId="5CE5CE7C">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965" w:type="dxa"/>
            <w:noWrap w:val="0"/>
            <w:vAlign w:val="center"/>
          </w:tcPr>
          <w:p w14:paraId="7D5E498C">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274" w:type="dxa"/>
            <w:noWrap w:val="0"/>
            <w:vAlign w:val="center"/>
          </w:tcPr>
          <w:p w14:paraId="0ACEAED4">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r w14:paraId="41BB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noWrap w:val="0"/>
            <w:vAlign w:val="center"/>
          </w:tcPr>
          <w:p w14:paraId="20B5A62D">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r>
              <w:rPr>
                <w:rFonts w:hint="eastAsia" w:ascii="宋体" w:hAnsi="宋体"/>
                <w:color w:val="auto"/>
                <w:highlight w:val="none"/>
              </w:rPr>
              <w:t>……</w:t>
            </w:r>
          </w:p>
        </w:tc>
        <w:tc>
          <w:tcPr>
            <w:tcW w:w="1356" w:type="dxa"/>
            <w:noWrap w:val="0"/>
            <w:vAlign w:val="center"/>
          </w:tcPr>
          <w:p w14:paraId="2D0161B3">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505" w:type="dxa"/>
            <w:noWrap w:val="0"/>
          </w:tcPr>
          <w:p w14:paraId="1637334A">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347" w:type="dxa"/>
            <w:noWrap w:val="0"/>
            <w:vAlign w:val="center"/>
          </w:tcPr>
          <w:p w14:paraId="4BD5D210">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965" w:type="dxa"/>
            <w:noWrap w:val="0"/>
            <w:vAlign w:val="center"/>
          </w:tcPr>
          <w:p w14:paraId="06D534FC">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c>
          <w:tcPr>
            <w:tcW w:w="1274" w:type="dxa"/>
            <w:noWrap w:val="0"/>
            <w:vAlign w:val="center"/>
          </w:tcPr>
          <w:p w14:paraId="3DE6EE09">
            <w:pPr>
              <w:keepNext w:val="0"/>
              <w:keepLines w:val="0"/>
              <w:suppressLineNumbers w:val="0"/>
              <w:spacing w:before="0" w:beforeAutospacing="0" w:after="0" w:afterAutospacing="0" w:line="360" w:lineRule="auto"/>
              <w:ind w:left="0" w:right="0"/>
              <w:jc w:val="center"/>
              <w:rPr>
                <w:rFonts w:hint="default" w:ascii="宋体" w:hAnsi="宋体"/>
                <w:color w:val="auto"/>
                <w:highlight w:val="none"/>
              </w:rPr>
            </w:pPr>
          </w:p>
        </w:tc>
      </w:tr>
    </w:tbl>
    <w:p w14:paraId="161F2A61">
      <w:pPr>
        <w:spacing w:line="440" w:lineRule="exact"/>
        <w:ind w:firstLine="210"/>
        <w:rPr>
          <w:rFonts w:ascii="宋体" w:hAnsi="宋体"/>
          <w:color w:val="auto"/>
          <w:sz w:val="21"/>
          <w:szCs w:val="21"/>
          <w:highlight w:val="none"/>
        </w:rPr>
      </w:pPr>
      <w:r>
        <w:rPr>
          <w:rFonts w:ascii="宋体" w:hAnsi="宋体"/>
          <w:color w:val="auto"/>
          <w:sz w:val="21"/>
          <w:szCs w:val="21"/>
          <w:highlight w:val="none"/>
        </w:rPr>
        <w:t>附：</w:t>
      </w:r>
      <w:r>
        <w:rPr>
          <w:rFonts w:hint="eastAsia" w:ascii="宋体" w:hAnsi="宋体"/>
          <w:color w:val="auto"/>
          <w:sz w:val="21"/>
          <w:szCs w:val="21"/>
          <w:highlight w:val="none"/>
        </w:rPr>
        <w:t>按照招标文件要求提供相应证明材料</w:t>
      </w:r>
    </w:p>
    <w:p w14:paraId="4DB54763">
      <w:pP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投标单位（单位盖章）： </w:t>
      </w:r>
    </w:p>
    <w:p w14:paraId="21A91229">
      <w:pPr>
        <w:spacing w:line="500" w:lineRule="exact"/>
        <w:rPr>
          <w:rFonts w:ascii="宋体" w:hAnsi="宋体"/>
          <w:color w:val="auto"/>
          <w:sz w:val="21"/>
          <w:szCs w:val="21"/>
          <w:highlight w:val="none"/>
        </w:rPr>
      </w:pPr>
      <w:r>
        <w:rPr>
          <w:rFonts w:hint="eastAsia" w:ascii="宋体" w:hAnsi="宋体"/>
          <w:color w:val="auto"/>
          <w:sz w:val="21"/>
          <w:szCs w:val="21"/>
          <w:highlight w:val="none"/>
        </w:rPr>
        <w:t>法定代表人或代理人（</w:t>
      </w:r>
      <w:r>
        <w:rPr>
          <w:rFonts w:ascii="宋体" w:hAnsi="宋体"/>
          <w:color w:val="auto"/>
          <w:sz w:val="21"/>
          <w:szCs w:val="21"/>
          <w:highlight w:val="none"/>
        </w:rPr>
        <w:t>签字或盖章</w:t>
      </w:r>
      <w:r>
        <w:rPr>
          <w:rFonts w:hint="eastAsia" w:ascii="宋体" w:hAnsi="宋体"/>
          <w:color w:val="auto"/>
          <w:sz w:val="21"/>
          <w:szCs w:val="21"/>
          <w:highlight w:val="none"/>
        </w:rPr>
        <w:t>）：</w:t>
      </w:r>
    </w:p>
    <w:p w14:paraId="72237820">
      <w:pPr>
        <w:spacing w:line="500" w:lineRule="exact"/>
        <w:rPr>
          <w:rFonts w:ascii="宋体" w:hAnsi="宋体"/>
          <w:b/>
          <w:color w:val="auto"/>
          <w:sz w:val="21"/>
          <w:szCs w:val="21"/>
          <w:highlight w:val="none"/>
        </w:rPr>
      </w:pPr>
      <w:r>
        <w:rPr>
          <w:rFonts w:hint="eastAsia" w:ascii="宋体" w:hAnsi="宋体"/>
          <w:color w:val="auto"/>
          <w:sz w:val="21"/>
          <w:szCs w:val="21"/>
          <w:highlight w:val="none"/>
        </w:rPr>
        <w:t>日期：年月日</w:t>
      </w:r>
      <w:r>
        <w:rPr>
          <w:rFonts w:ascii="宋体" w:hAnsi="宋体"/>
          <w:b/>
          <w:color w:val="auto"/>
          <w:sz w:val="21"/>
          <w:szCs w:val="21"/>
          <w:highlight w:val="none"/>
        </w:rPr>
        <w:br w:type="page" w:clear="all"/>
      </w:r>
    </w:p>
    <w:p w14:paraId="72E7B5E9">
      <w:pPr>
        <w:numPr>
          <w:ilvl w:val="0"/>
          <w:numId w:val="0"/>
        </w:numPr>
        <w:spacing w:line="360" w:lineRule="auto"/>
        <w:ind w:left="403"/>
        <w:rPr>
          <w:rFonts w:ascii="宋体" w:hAnsi="宋体"/>
          <w:b/>
          <w:color w:val="auto"/>
          <w:sz w:val="28"/>
          <w:szCs w:val="28"/>
          <w:highlight w:val="none"/>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13</w:t>
      </w:r>
      <w:r>
        <w:rPr>
          <w:rFonts w:hint="eastAsia" w:ascii="宋体" w:hAnsi="宋体" w:eastAsia="宋体" w:cs="宋体"/>
          <w:b/>
          <w:bCs/>
          <w:color w:val="auto"/>
          <w:sz w:val="21"/>
          <w:szCs w:val="21"/>
          <w:highlight w:val="none"/>
          <w:lang w:val="en-US" w:eastAsia="zh-CN"/>
        </w:rPr>
        <w:t>：中小企业声明函</w:t>
      </w:r>
    </w:p>
    <w:p w14:paraId="2D2BEDAF">
      <w:pPr>
        <w:spacing w:line="400" w:lineRule="exact"/>
        <w:jc w:val="center"/>
        <w:rPr>
          <w:rFonts w:ascii="宋体"/>
          <w:b/>
          <w:color w:val="auto"/>
          <w:sz w:val="24"/>
          <w:szCs w:val="24"/>
          <w:highlight w:val="none"/>
          <w:lang w:val="zh-CN"/>
        </w:rPr>
      </w:pPr>
      <w:r>
        <w:rPr>
          <w:rFonts w:hint="eastAsia" w:ascii="宋体"/>
          <w:b/>
          <w:color w:val="auto"/>
          <w:sz w:val="24"/>
          <w:szCs w:val="24"/>
          <w:highlight w:val="none"/>
          <w:lang w:val="zh-CN"/>
        </w:rPr>
        <w:t>中小企业声明函（</w:t>
      </w:r>
      <w:r>
        <w:rPr>
          <w:rFonts w:hint="eastAsia" w:ascii="宋体"/>
          <w:b/>
          <w:color w:val="auto"/>
          <w:sz w:val="24"/>
          <w:szCs w:val="24"/>
          <w:highlight w:val="none"/>
          <w:lang w:val="en-US" w:eastAsia="zh-CN"/>
        </w:rPr>
        <w:t>服务</w:t>
      </w:r>
      <w:r>
        <w:rPr>
          <w:rFonts w:hint="eastAsia" w:ascii="宋体"/>
          <w:b/>
          <w:color w:val="auto"/>
          <w:sz w:val="24"/>
          <w:szCs w:val="24"/>
          <w:highlight w:val="none"/>
          <w:lang w:val="zh-CN"/>
        </w:rPr>
        <w:t>）</w:t>
      </w:r>
    </w:p>
    <w:p w14:paraId="10007B55">
      <w:pPr>
        <w:pStyle w:val="14"/>
        <w:spacing w:line="360" w:lineRule="auto"/>
        <w:ind w:firstLine="0"/>
        <w:rPr>
          <w:color w:val="auto"/>
          <w:szCs w:val="21"/>
          <w:highlight w:val="none"/>
        </w:rPr>
      </w:pPr>
    </w:p>
    <w:p w14:paraId="124FBFAE">
      <w:pPr>
        <w:pStyle w:val="22"/>
        <w:spacing w:line="480" w:lineRule="auto"/>
        <w:ind w:right="355" w:firstLine="6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本公司（联合体）郑重声明，根据《政府采购促进中小企业发展管理办法》（财库﹝2020﹞46 号）的规定，本公司（联合体）参加</w:t>
      </w:r>
      <w:r>
        <w:rPr>
          <w:rFonts w:hint="eastAsia" w:ascii="宋体" w:hAnsi="宋体" w:eastAsia="宋体" w:cs="宋体"/>
          <w:bCs/>
          <w:i/>
          <w:color w:val="auto"/>
          <w:sz w:val="21"/>
          <w:szCs w:val="21"/>
          <w:highlight w:val="none"/>
          <w:u w:val="single"/>
        </w:rPr>
        <w:t>（单位名称）</w:t>
      </w:r>
      <w:r>
        <w:rPr>
          <w:rFonts w:hint="eastAsia" w:ascii="宋体" w:hAnsi="宋体" w:eastAsia="宋体" w:cs="宋体"/>
          <w:color w:val="auto"/>
          <w:sz w:val="21"/>
          <w:szCs w:val="21"/>
          <w:highlight w:val="none"/>
        </w:rPr>
        <w:t>的</w:t>
      </w:r>
      <w:r>
        <w:rPr>
          <w:rFonts w:hint="eastAsia" w:ascii="宋体" w:hAnsi="宋体" w:eastAsia="宋体" w:cs="宋体"/>
          <w:bCs/>
          <w:i/>
          <w:color w:val="auto"/>
          <w:sz w:val="21"/>
          <w:szCs w:val="21"/>
          <w:highlight w:val="none"/>
          <w:u w:val="single"/>
        </w:rPr>
        <w:t>（项目名称）</w:t>
      </w:r>
      <w:r>
        <w:rPr>
          <w:rFonts w:hint="eastAsia" w:ascii="宋体" w:hAnsi="宋体" w:eastAsia="宋体" w:cs="宋体"/>
          <w:color w:val="auto"/>
          <w:sz w:val="21"/>
          <w:szCs w:val="21"/>
          <w:highlight w:val="none"/>
        </w:rPr>
        <w:t>采购活动，服务全部由符合政策要求的中小企业承接。相关企业的具体情况如下：</w:t>
      </w:r>
    </w:p>
    <w:p w14:paraId="68FA25D7">
      <w:pPr>
        <w:widowControl w:val="0"/>
        <w:numPr>
          <w:ilvl w:val="0"/>
          <w:numId w:val="21"/>
        </w:numPr>
        <w:spacing w:line="480" w:lineRule="auto"/>
        <w:ind w:firstLine="420"/>
        <w:jc w:val="both"/>
        <w:rPr>
          <w:rFonts w:ascii="宋体" w:hAnsi="宋体" w:eastAsia="宋体" w:cs="宋体"/>
          <w:color w:val="auto"/>
          <w:sz w:val="21"/>
          <w:szCs w:val="21"/>
          <w:highlight w:val="none"/>
          <w:u w:val="single"/>
          <w:lang w:val="en-US" w:eastAsia="zh-CN" w:bidi="ar-SA"/>
        </w:rPr>
      </w:pPr>
      <w:r>
        <w:rPr>
          <w:rFonts w:hint="eastAsia" w:ascii="宋体" w:hAnsi="宋体" w:eastAsia="宋体" w:cs="宋体"/>
          <w:bCs/>
          <w:i/>
          <w:color w:val="auto"/>
          <w:sz w:val="21"/>
          <w:szCs w:val="21"/>
          <w:highlight w:val="none"/>
          <w:u w:val="single"/>
          <w:lang w:val="en-US" w:eastAsia="zh-CN" w:bidi="ar-SA"/>
        </w:rPr>
        <w:t xml:space="preserve">（标的名称） </w:t>
      </w:r>
      <w:r>
        <w:rPr>
          <w:rFonts w:hint="eastAsia" w:ascii="宋体" w:hAnsi="宋体" w:eastAsia="宋体" w:cs="宋体"/>
          <w:color w:val="auto"/>
          <w:sz w:val="21"/>
          <w:szCs w:val="21"/>
          <w:highlight w:val="none"/>
          <w:lang w:val="en-US" w:eastAsia="zh-CN" w:bidi="ar-SA"/>
        </w:rPr>
        <w:t>属于</w:t>
      </w:r>
      <w:r>
        <w:rPr>
          <w:rFonts w:hint="eastAsia" w:ascii="宋体" w:hAnsi="宋体" w:eastAsia="宋体" w:cs="宋体"/>
          <w:bCs/>
          <w:i/>
          <w:color w:val="auto"/>
          <w:sz w:val="21"/>
          <w:szCs w:val="21"/>
          <w:highlight w:val="none"/>
          <w:u w:val="single"/>
          <w:lang w:val="en-US" w:eastAsia="zh-CN" w:bidi="ar-SA"/>
        </w:rPr>
        <w:t>（采购文件中明确的所属行业）</w:t>
      </w:r>
      <w:r>
        <w:rPr>
          <w:rFonts w:hint="eastAsia" w:ascii="宋体" w:hAnsi="宋体" w:eastAsia="宋体" w:cs="宋体"/>
          <w:color w:val="auto"/>
          <w:sz w:val="21"/>
          <w:szCs w:val="21"/>
          <w:highlight w:val="none"/>
          <w:lang w:val="en-US" w:eastAsia="zh-CN" w:bidi="ar-SA"/>
        </w:rPr>
        <w:t>；承接企业为</w:t>
      </w:r>
      <w:r>
        <w:rPr>
          <w:rFonts w:hint="eastAsia" w:ascii="宋体" w:hAnsi="宋体" w:eastAsia="宋体" w:cs="宋体"/>
          <w:bCs/>
          <w:i/>
          <w:color w:val="auto"/>
          <w:sz w:val="21"/>
          <w:szCs w:val="21"/>
          <w:highlight w:val="none"/>
          <w:u w:val="single"/>
          <w:lang w:val="en-US" w:eastAsia="zh-CN" w:bidi="ar-SA"/>
        </w:rPr>
        <w:t>（企业名称）</w:t>
      </w:r>
      <w:r>
        <w:rPr>
          <w:rFonts w:hint="eastAsia" w:ascii="宋体" w:hAnsi="宋体" w:eastAsia="宋体" w:cs="宋体"/>
          <w:color w:val="auto"/>
          <w:sz w:val="21"/>
          <w:szCs w:val="21"/>
          <w:highlight w:val="none"/>
          <w:lang w:val="en-US" w:eastAsia="zh-CN" w:bidi="ar-SA"/>
        </w:rPr>
        <w:t>，从业人员</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人，营业收入为</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万元，资产总额为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万元，属于</w:t>
      </w:r>
      <w:r>
        <w:rPr>
          <w:rFonts w:hint="eastAsia" w:ascii="宋体" w:hAnsi="宋体" w:eastAsia="宋体" w:cs="宋体"/>
          <w:bCs/>
          <w:i/>
          <w:color w:val="auto"/>
          <w:sz w:val="21"/>
          <w:szCs w:val="21"/>
          <w:highlight w:val="none"/>
          <w:u w:val="single"/>
          <w:lang w:val="en-US" w:eastAsia="zh-CN" w:bidi="ar-SA"/>
        </w:rPr>
        <w:t>（中型企业、小型企业、微型企业）</w:t>
      </w:r>
      <w:r>
        <w:rPr>
          <w:rFonts w:hint="eastAsia" w:ascii="宋体" w:hAnsi="宋体" w:eastAsia="宋体" w:cs="宋体"/>
          <w:color w:val="auto"/>
          <w:sz w:val="21"/>
          <w:szCs w:val="21"/>
          <w:highlight w:val="none"/>
          <w:lang w:val="en-US" w:eastAsia="zh-CN" w:bidi="ar-SA"/>
        </w:rPr>
        <w:t>；</w:t>
      </w:r>
    </w:p>
    <w:p w14:paraId="3D34F21B">
      <w:pPr>
        <w:pStyle w:val="22"/>
        <w:tabs>
          <w:tab w:val="left" w:pos="4320"/>
        </w:tabs>
        <w:spacing w:before="11" w:line="480" w:lineRule="auto"/>
        <w:ind w:left="86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tab/>
      </w:r>
    </w:p>
    <w:p w14:paraId="4136EA3A">
      <w:pPr>
        <w:pStyle w:val="22"/>
        <w:keepNext w:val="0"/>
        <w:keepLines w:val="0"/>
        <w:pageBreakBefore w:val="0"/>
        <w:widowControl w:val="0"/>
        <w:spacing w:before="108" w:line="360" w:lineRule="auto"/>
        <w:ind w:right="357" w:firstLine="64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7CA9A449">
      <w:pPr>
        <w:spacing w:line="360" w:lineRule="auto"/>
        <w:rPr>
          <w:color w:val="auto"/>
          <w:sz w:val="24"/>
          <w:szCs w:val="24"/>
          <w:highlight w:val="none"/>
        </w:rPr>
      </w:pPr>
      <w:r>
        <w:rPr>
          <w:rFonts w:hint="eastAsia" w:ascii="宋体" w:hAnsi="宋体" w:eastAsia="宋体" w:cs="宋体"/>
          <w:color w:val="auto"/>
          <w:highlight w:val="none"/>
        </w:rPr>
        <w:t xml:space="preserve">      本企业对上述声明内容的真实性负责。如有虚假，将依法承担相应责任</w:t>
      </w:r>
      <w:r>
        <w:rPr>
          <w:rFonts w:hint="eastAsia" w:ascii="宋体" w:hAnsi="宋体"/>
          <w:color w:val="auto"/>
          <w:highlight w:val="none"/>
        </w:rPr>
        <w:t>。</w:t>
      </w:r>
    </w:p>
    <w:p w14:paraId="75DF6212">
      <w:pPr>
        <w:pStyle w:val="253"/>
        <w:spacing w:line="400" w:lineRule="exact"/>
        <w:rPr>
          <w:rFonts w:hAnsi="宋体" w:eastAsia="宋体"/>
          <w:color w:val="auto"/>
          <w:sz w:val="21"/>
          <w:highlight w:val="none"/>
        </w:rPr>
      </w:pPr>
    </w:p>
    <w:p w14:paraId="33B0100C">
      <w:pPr>
        <w:pStyle w:val="253"/>
        <w:spacing w:line="400" w:lineRule="exact"/>
        <w:rPr>
          <w:rFonts w:hAnsi="宋体" w:eastAsia="宋体"/>
          <w:color w:val="auto"/>
          <w:sz w:val="21"/>
          <w:highlight w:val="none"/>
        </w:rPr>
      </w:pPr>
      <w:r>
        <w:rPr>
          <w:rFonts w:hint="eastAsia" w:hAnsi="宋体" w:eastAsia="宋体"/>
          <w:color w:val="auto"/>
          <w:sz w:val="21"/>
          <w:highlight w:val="none"/>
        </w:rPr>
        <w:t xml:space="preserve">                                          </w:t>
      </w:r>
      <w:r>
        <w:rPr>
          <w:rFonts w:hint="eastAsia" w:hAnsi="宋体" w:eastAsia="宋体"/>
          <w:color w:val="auto"/>
          <w:sz w:val="21"/>
          <w:highlight w:val="none"/>
          <w:lang w:val="en-US" w:eastAsia="zh-CN"/>
        </w:rPr>
        <w:t>企业名称</w:t>
      </w:r>
      <w:r>
        <w:rPr>
          <w:rFonts w:hint="eastAsia" w:hAnsi="宋体" w:eastAsia="宋体"/>
          <w:color w:val="auto"/>
          <w:sz w:val="21"/>
          <w:highlight w:val="none"/>
        </w:rPr>
        <w:t>（盖章）：</w:t>
      </w:r>
    </w:p>
    <w:p w14:paraId="0D28CF49">
      <w:pPr>
        <w:pStyle w:val="253"/>
        <w:spacing w:line="400" w:lineRule="exact"/>
        <w:rPr>
          <w:rFonts w:hAnsi="宋体" w:eastAsia="宋体"/>
          <w:color w:val="auto"/>
          <w:sz w:val="21"/>
          <w:highlight w:val="none"/>
        </w:rPr>
      </w:pPr>
      <w:r>
        <w:rPr>
          <w:rFonts w:hint="eastAsia" w:hAnsi="宋体" w:eastAsia="宋体"/>
          <w:color w:val="auto"/>
          <w:sz w:val="21"/>
          <w:highlight w:val="none"/>
        </w:rPr>
        <w:t xml:space="preserve">                                           日  期：</w:t>
      </w:r>
    </w:p>
    <w:p w14:paraId="217EEBE4">
      <w:pPr>
        <w:rPr>
          <w:rFonts w:ascii="宋体" w:hAnsi="宋体"/>
          <w:color w:val="auto"/>
          <w:highlight w:val="none"/>
        </w:rPr>
      </w:pPr>
      <w:r>
        <w:rPr>
          <w:rFonts w:hint="eastAsia" w:ascii="宋体" w:hAnsi="宋体"/>
          <w:color w:val="auto"/>
          <w:highlight w:val="none"/>
        </w:rPr>
        <w:t>备注：</w:t>
      </w:r>
    </w:p>
    <w:p w14:paraId="56C7B759">
      <w:pPr>
        <w:numPr>
          <w:ilvl w:val="0"/>
          <w:numId w:val="22"/>
        </w:numPr>
        <w:spacing w:line="360" w:lineRule="auto"/>
        <w:ind w:left="0" w:firstLine="403"/>
        <w:rPr>
          <w:rFonts w:hint="eastAsia" w:ascii="宋体" w:hAnsi="宋体"/>
          <w:color w:val="auto"/>
          <w:highlight w:val="none"/>
        </w:rPr>
      </w:pPr>
      <w:r>
        <w:rPr>
          <w:rFonts w:hint="eastAsia" w:ascii="宋体" w:hAnsi="宋体"/>
          <w:color w:val="auto"/>
          <w:highlight w:val="none"/>
        </w:rPr>
        <w:t>从业人员、营业收入、资产总额填报上一年度数据，无上一年度数据的新成立企业可不填报</w:t>
      </w:r>
      <w:r>
        <w:rPr>
          <w:rFonts w:hint="eastAsia" w:ascii="宋体" w:hAnsi="宋体"/>
          <w:color w:val="auto"/>
          <w:highlight w:val="none"/>
          <w:lang w:eastAsia="zh-CN"/>
        </w:rPr>
        <w:t>。</w:t>
      </w:r>
    </w:p>
    <w:p w14:paraId="3C4FA72F">
      <w:pPr>
        <w:numPr>
          <w:ilvl w:val="0"/>
          <w:numId w:val="22"/>
        </w:numPr>
        <w:spacing w:line="440" w:lineRule="exact"/>
        <w:ind w:left="0" w:firstLine="403"/>
        <w:rPr>
          <w:rFonts w:hint="eastAsia" w:ascii="宋体" w:hAnsi="宋体" w:eastAsia="宋体"/>
          <w:color w:val="auto"/>
          <w:highlight w:val="none"/>
          <w:lang w:eastAsia="zh-CN"/>
        </w:rPr>
      </w:pPr>
      <w:r>
        <w:rPr>
          <w:rFonts w:hint="eastAsia" w:ascii="宋体" w:hAnsi="宋体"/>
          <w:color w:val="auto"/>
          <w:highlight w:val="none"/>
          <w:lang w:val="en-US" w:eastAsia="zh-CN"/>
        </w:rPr>
        <w:t>本次采购项目所属行业为</w:t>
      </w:r>
      <w:r>
        <w:rPr>
          <w:rFonts w:hint="eastAsia" w:ascii="宋体" w:hAnsi="宋体"/>
          <w:b/>
          <w:bCs/>
          <w:color w:val="auto"/>
          <w:highlight w:val="none"/>
          <w:u w:val="single"/>
        </w:rPr>
        <w:t>（</w:t>
      </w:r>
      <w:r>
        <w:rPr>
          <w:rFonts w:hint="eastAsia" w:ascii="宋体" w:hAnsi="宋体"/>
          <w:b/>
          <w:bCs/>
          <w:color w:val="auto"/>
          <w:highlight w:val="none"/>
          <w:u w:val="single"/>
          <w:lang w:val="en-US" w:eastAsia="zh-CN"/>
        </w:rPr>
        <w:t>十五</w:t>
      </w:r>
      <w:r>
        <w:rPr>
          <w:rFonts w:hint="eastAsia" w:ascii="宋体" w:hAnsi="宋体"/>
          <w:b/>
          <w:bCs/>
          <w:color w:val="auto"/>
          <w:highlight w:val="none"/>
          <w:u w:val="single"/>
        </w:rPr>
        <w:t>）</w:t>
      </w:r>
      <w:r>
        <w:rPr>
          <w:rFonts w:hint="eastAsia" w:ascii="宋体" w:hAnsi="宋体"/>
          <w:b/>
          <w:bCs/>
          <w:color w:val="auto"/>
          <w:highlight w:val="none"/>
          <w:u w:val="single"/>
          <w:lang w:val="en-US" w:eastAsia="zh-CN"/>
        </w:rPr>
        <w:t>租赁和商务服务业</w:t>
      </w:r>
      <w:r>
        <w:rPr>
          <w:rFonts w:hint="eastAsia" w:ascii="宋体" w:hAnsi="宋体"/>
          <w:color w:val="auto"/>
          <w:highlight w:val="none"/>
          <w:lang w:eastAsia="zh-CN"/>
        </w:rPr>
        <w:t>。</w:t>
      </w:r>
      <w:r>
        <w:rPr>
          <w:rFonts w:hint="eastAsia" w:ascii="宋体" w:hAnsi="宋体"/>
          <w:color w:val="auto"/>
          <w:highlight w:val="none"/>
        </w:rPr>
        <w:t>中小微企业划型标准请根据《中小企业划型标准规定》（工信部联企业〔2011〕300号）。投标人提供的</w:t>
      </w:r>
      <w:r>
        <w:rPr>
          <w:rFonts w:hint="eastAsia" w:ascii="宋体" w:hAnsi="宋体"/>
          <w:color w:val="auto"/>
          <w:highlight w:val="none"/>
          <w:lang w:val="en-US" w:eastAsia="zh-CN"/>
        </w:rPr>
        <w:t>声明</w:t>
      </w:r>
      <w:r>
        <w:rPr>
          <w:rFonts w:hint="eastAsia" w:ascii="宋体" w:hAnsi="宋体"/>
          <w:color w:val="auto"/>
          <w:highlight w:val="none"/>
        </w:rPr>
        <w:t>函须按本项目规定行业填写，否则其声明函不予认可</w:t>
      </w:r>
      <w:r>
        <w:rPr>
          <w:rFonts w:hint="eastAsia" w:ascii="宋体" w:hAnsi="宋体"/>
          <w:color w:val="auto"/>
          <w:highlight w:val="none"/>
          <w:lang w:eastAsia="zh-CN"/>
        </w:rPr>
        <w:t>。</w:t>
      </w:r>
    </w:p>
    <w:p w14:paraId="27841EE0">
      <w:pPr>
        <w:numPr>
          <w:ilvl w:val="0"/>
          <w:numId w:val="22"/>
        </w:numPr>
        <w:spacing w:line="440" w:lineRule="exact"/>
        <w:ind w:left="0" w:firstLine="403"/>
        <w:rPr>
          <w:rFonts w:ascii="宋体" w:hAnsi="宋体"/>
          <w:color w:val="auto"/>
          <w:highlight w:val="none"/>
        </w:rPr>
      </w:pPr>
      <w:r>
        <w:rPr>
          <w:rFonts w:hint="eastAsia" w:ascii="宋体" w:hAnsi="宋体"/>
          <w:color w:val="auto"/>
          <w:highlight w:val="none"/>
        </w:rPr>
        <w:t>监狱企业参加政府采购活动时，应当提供由省级以上监狱管理局、戒毒管理局（含新疆生产建设兵团）出具的属于监狱企业的证明文件。</w:t>
      </w:r>
    </w:p>
    <w:p w14:paraId="2C56139C">
      <w:pPr>
        <w:numPr>
          <w:ilvl w:val="0"/>
          <w:numId w:val="22"/>
        </w:numPr>
        <w:spacing w:line="440" w:lineRule="exact"/>
        <w:ind w:left="0" w:firstLine="403"/>
        <w:rPr>
          <w:rFonts w:hint="eastAsia" w:ascii="宋体" w:hAnsi="宋体"/>
          <w:color w:val="auto"/>
          <w:highlight w:val="none"/>
        </w:rPr>
      </w:pPr>
      <w:r>
        <w:rPr>
          <w:rFonts w:hint="eastAsia" w:ascii="宋体" w:hAnsi="宋体"/>
          <w:color w:val="auto"/>
          <w:highlight w:val="none"/>
        </w:rPr>
        <w:t>若供应商提供的“中小企业声明函” 或认定证明为虚假声明则视同提供虚假材料，按“政府采购法”相关规定处理并报请政府监管部门给予行政处罚。</w:t>
      </w:r>
    </w:p>
    <w:p w14:paraId="53D1D441">
      <w:pPr>
        <w:numPr>
          <w:ilvl w:val="0"/>
          <w:numId w:val="22"/>
        </w:numPr>
        <w:spacing w:line="440" w:lineRule="exact"/>
        <w:ind w:left="0" w:firstLine="403"/>
        <w:rPr>
          <w:rFonts w:hint="eastAsia" w:ascii="宋体" w:hAnsi="宋体"/>
          <w:color w:val="auto"/>
          <w:highlight w:val="none"/>
        </w:rPr>
      </w:pPr>
      <w:r>
        <w:rPr>
          <w:rFonts w:hint="eastAsia" w:ascii="宋体" w:hAnsi="宋体"/>
          <w:color w:val="auto"/>
          <w:highlight w:val="none"/>
        </w:rPr>
        <w:t>在货物采购项目中，供应商提供的货物既有中小微企业制造货物，也有大型企业制造货物的，不享受扶持政策。</w:t>
      </w:r>
    </w:p>
    <w:p w14:paraId="5E960E28">
      <w:pPr>
        <w:numPr>
          <w:ilvl w:val="0"/>
          <w:numId w:val="22"/>
        </w:numPr>
        <w:spacing w:line="440" w:lineRule="exact"/>
        <w:ind w:left="0" w:firstLine="403"/>
        <w:rPr>
          <w:rFonts w:hint="eastAsia"/>
          <w:color w:val="auto"/>
          <w:highlight w:val="none"/>
        </w:rPr>
      </w:pPr>
      <w:r>
        <w:rPr>
          <w:rFonts w:hint="eastAsia" w:ascii="宋体" w:hAnsi="宋体"/>
          <w:color w:val="auto"/>
          <w:szCs w:val="21"/>
          <w:highlight w:val="none"/>
        </w:rPr>
        <w:t>依据《政府采购促进中小企业发展管理办法》规定享受扶持政策获得政府采购合同的，小微企业不得将合同分包给大中型企业，中型企业不得将合同分包给大型企业</w:t>
      </w:r>
      <w:r>
        <w:rPr>
          <w:rFonts w:hint="eastAsia" w:ascii="宋体" w:hAnsi="宋体"/>
          <w:color w:val="auto"/>
          <w:szCs w:val="21"/>
          <w:highlight w:val="none"/>
          <w:lang w:eastAsia="zh-CN"/>
        </w:rPr>
        <w:t>。</w:t>
      </w:r>
    </w:p>
    <w:p w14:paraId="5A291A5E">
      <w:pPr>
        <w:numPr>
          <w:ilvl w:val="0"/>
          <w:numId w:val="0"/>
        </w:numPr>
        <w:spacing w:line="360" w:lineRule="auto"/>
        <w:ind w:left="403"/>
        <w:rPr>
          <w:rFonts w:hint="eastAsia" w:ascii="宋体" w:hAnsi="宋体" w:eastAsia="宋体" w:cs="宋体"/>
          <w:b/>
          <w:bCs/>
          <w:color w:val="auto"/>
          <w:sz w:val="21"/>
          <w:szCs w:val="21"/>
          <w:highlight w:val="none"/>
          <w:lang w:val="en-US" w:eastAsia="zh-CN"/>
        </w:rPr>
        <w:sectPr>
          <w:pgSz w:w="11907" w:h="16840"/>
          <w:pgMar w:top="1134" w:right="1134" w:bottom="1134" w:left="1134" w:header="851" w:footer="680" w:gutter="0"/>
          <w:cols w:space="0" w:num="1"/>
          <w:titlePg/>
          <w:docGrid w:linePitch="360" w:charSpace="0"/>
        </w:sectPr>
      </w:pPr>
    </w:p>
    <w:p w14:paraId="7587D812">
      <w:pPr>
        <w:numPr>
          <w:ilvl w:val="0"/>
          <w:numId w:val="0"/>
        </w:numPr>
        <w:spacing w:line="360" w:lineRule="auto"/>
        <w:ind w:left="403"/>
        <w:rPr>
          <w:rFonts w:ascii="宋体" w:hAnsi="宋体"/>
          <w:b/>
          <w:color w:val="auto"/>
          <w:sz w:val="28"/>
          <w:szCs w:val="28"/>
          <w:highlight w:val="none"/>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14</w:t>
      </w:r>
      <w:r>
        <w:rPr>
          <w:rFonts w:hint="eastAsia" w:ascii="宋体" w:hAnsi="宋体" w:eastAsia="宋体" w:cs="宋体"/>
          <w:b/>
          <w:bCs/>
          <w:color w:val="auto"/>
          <w:sz w:val="21"/>
          <w:szCs w:val="21"/>
          <w:highlight w:val="none"/>
          <w:lang w:val="en-US" w:eastAsia="zh-CN"/>
        </w:rPr>
        <w:t>：残疾人福利性单位声明函（如有）</w:t>
      </w:r>
    </w:p>
    <w:p w14:paraId="7C61D02C">
      <w:pPr>
        <w:spacing w:line="580" w:lineRule="exact"/>
        <w:jc w:val="center"/>
        <w:rPr>
          <w:rFonts w:ascii="宋体" w:hAnsi="宋体"/>
          <w:b/>
          <w:bCs/>
          <w:color w:val="auto"/>
          <w:spacing w:val="6"/>
          <w:sz w:val="24"/>
          <w:szCs w:val="24"/>
          <w:highlight w:val="none"/>
        </w:rPr>
      </w:pPr>
      <w:r>
        <w:rPr>
          <w:rFonts w:hint="eastAsia" w:ascii="宋体" w:hAnsi="宋体"/>
          <w:b/>
          <w:bCs/>
          <w:color w:val="auto"/>
          <w:spacing w:val="6"/>
          <w:sz w:val="24"/>
          <w:szCs w:val="24"/>
          <w:highlight w:val="none"/>
        </w:rPr>
        <w:t>残疾人福利性单位声明函</w:t>
      </w:r>
    </w:p>
    <w:p w14:paraId="33A81AF3">
      <w:pPr>
        <w:spacing w:line="580" w:lineRule="exact"/>
        <w:rPr>
          <w:rFonts w:ascii="宋体" w:hAnsi="宋体"/>
          <w:b/>
          <w:color w:val="auto"/>
          <w:spacing w:val="6"/>
          <w:szCs w:val="24"/>
          <w:highlight w:val="none"/>
        </w:rPr>
      </w:pPr>
    </w:p>
    <w:p w14:paraId="699272C3">
      <w:pPr>
        <w:spacing w:line="360" w:lineRule="auto"/>
        <w:ind w:firstLine="549"/>
        <w:rPr>
          <w:rFonts w:ascii="宋体" w:hAnsi="宋体"/>
          <w:color w:val="auto"/>
          <w:highlight w:val="none"/>
        </w:rPr>
      </w:pPr>
      <w:r>
        <w:rPr>
          <w:rFonts w:hint="eastAsia" w:ascii="宋体" w:hAnsi="宋体"/>
          <w:color w:val="auto"/>
          <w:highlight w:val="none"/>
        </w:rPr>
        <w:t>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0D5E9838">
      <w:pPr>
        <w:spacing w:line="360" w:lineRule="auto"/>
        <w:ind w:firstLine="549"/>
        <w:rPr>
          <w:rFonts w:ascii="宋体" w:hAnsi="宋体"/>
          <w:color w:val="auto"/>
          <w:highlight w:val="none"/>
        </w:rPr>
      </w:pPr>
      <w:r>
        <w:rPr>
          <w:rFonts w:hint="eastAsia" w:ascii="宋体" w:hAnsi="宋体"/>
          <w:color w:val="auto"/>
          <w:highlight w:val="none"/>
        </w:rPr>
        <w:t>本单位对上述声明的真实性负责。如有虚假，将依法承担相应责任。</w:t>
      </w:r>
    </w:p>
    <w:p w14:paraId="55AEAD18">
      <w:pPr>
        <w:spacing w:line="360" w:lineRule="auto"/>
        <w:ind w:firstLine="549"/>
        <w:rPr>
          <w:rFonts w:ascii="宋体" w:hAnsi="宋体"/>
          <w:color w:val="auto"/>
          <w:highlight w:val="none"/>
        </w:rPr>
      </w:pPr>
    </w:p>
    <w:p w14:paraId="04AC44FC">
      <w:pPr>
        <w:spacing w:line="360" w:lineRule="auto"/>
        <w:ind w:firstLine="549"/>
        <w:rPr>
          <w:rFonts w:ascii="宋体" w:hAnsi="宋体"/>
          <w:color w:val="auto"/>
          <w:highlight w:val="none"/>
        </w:rPr>
      </w:pPr>
    </w:p>
    <w:p w14:paraId="6E0E94DB">
      <w:pPr>
        <w:spacing w:line="360" w:lineRule="auto"/>
        <w:ind w:firstLine="549"/>
        <w:rPr>
          <w:rFonts w:ascii="宋体" w:hAnsi="宋体"/>
          <w:color w:val="auto"/>
          <w:highlight w:val="none"/>
        </w:rPr>
      </w:pPr>
      <w:r>
        <w:rPr>
          <w:rFonts w:hint="eastAsia" w:ascii="宋体" w:hAnsi="宋体"/>
          <w:color w:val="auto"/>
          <w:highlight w:val="none"/>
        </w:rPr>
        <w:t>响应单位：（盖章）</w:t>
      </w:r>
    </w:p>
    <w:p w14:paraId="291ED039">
      <w:pPr>
        <w:spacing w:line="360" w:lineRule="auto"/>
        <w:ind w:firstLine="549"/>
        <w:rPr>
          <w:rFonts w:ascii="宋体" w:hAnsi="宋体"/>
          <w:color w:val="auto"/>
          <w:highlight w:val="none"/>
        </w:rPr>
      </w:pPr>
      <w:r>
        <w:rPr>
          <w:rFonts w:hint="eastAsia" w:ascii="宋体" w:hAnsi="宋体"/>
          <w:color w:val="auto"/>
          <w:highlight w:val="none"/>
        </w:rPr>
        <w:t>法定代表人或委托代理人：（签字或盖章）</w:t>
      </w:r>
    </w:p>
    <w:p w14:paraId="7400A609">
      <w:pPr>
        <w:spacing w:line="360" w:lineRule="auto"/>
        <w:ind w:firstLine="549"/>
        <w:rPr>
          <w:rFonts w:ascii="宋体" w:hAnsi="宋体"/>
          <w:color w:val="auto"/>
          <w:highlight w:val="none"/>
        </w:rPr>
      </w:pPr>
      <w:r>
        <w:rPr>
          <w:rFonts w:hint="eastAsia" w:ascii="宋体" w:hAnsi="宋体"/>
          <w:color w:val="auto"/>
          <w:highlight w:val="none"/>
        </w:rPr>
        <w:t>日期</w:t>
      </w:r>
      <w:r>
        <w:rPr>
          <w:rFonts w:ascii="宋体" w:hAnsi="宋体"/>
          <w:color w:val="auto"/>
          <w:highlight w:val="none"/>
        </w:rPr>
        <w:t>:</w:t>
      </w:r>
    </w:p>
    <w:p w14:paraId="64F21B61">
      <w:pPr>
        <w:rPr>
          <w:rFonts w:ascii="宋体" w:hAnsi="宋体"/>
          <w:color w:val="auto"/>
          <w:highlight w:val="none"/>
        </w:rPr>
      </w:pPr>
    </w:p>
    <w:p w14:paraId="51451BA9">
      <w:pPr>
        <w:spacing w:line="360" w:lineRule="auto"/>
        <w:jc w:val="left"/>
        <w:rPr>
          <w:rFonts w:hint="eastAsia" w:ascii="宋体" w:hAnsi="宋体"/>
          <w:color w:val="auto"/>
          <w:highlight w:val="none"/>
        </w:rPr>
      </w:pPr>
      <w:r>
        <w:rPr>
          <w:rFonts w:hint="eastAsia" w:ascii="宋体" w:hAnsi="宋体"/>
          <w:color w:val="auto"/>
          <w:highlight w:val="none"/>
        </w:rPr>
        <w:t>注：如投标人不属于福利企业，则本表不需要提供。</w:t>
      </w:r>
    </w:p>
    <w:p w14:paraId="256A93AD">
      <w:pPr>
        <w:spacing w:line="360" w:lineRule="auto"/>
        <w:jc w:val="left"/>
        <w:rPr>
          <w:rFonts w:hint="eastAsia" w:ascii="宋体" w:hAnsi="宋体"/>
          <w:color w:val="auto"/>
          <w:highlight w:val="none"/>
        </w:rPr>
      </w:pPr>
    </w:p>
    <w:p w14:paraId="6AFB92EA">
      <w:pPr>
        <w:numPr>
          <w:ilvl w:val="0"/>
          <w:numId w:val="0"/>
        </w:numPr>
        <w:spacing w:line="360" w:lineRule="auto"/>
        <w:ind w:left="403"/>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w:t>
      </w: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lang w:val="en-US" w:eastAsia="zh-CN"/>
        </w:rPr>
        <w:t>：拟投入本项目工具、物资情况表</w:t>
      </w:r>
    </w:p>
    <w:p w14:paraId="73CDE08A">
      <w:pPr>
        <w:widowControl w:val="0"/>
        <w:spacing w:line="360" w:lineRule="auto"/>
        <w:ind w:firstLine="0"/>
        <w:rPr>
          <w:rFonts w:hint="eastAsia" w:ascii="宋体" w:hAnsi="宋体" w:eastAsia="宋体" w:cs="宋体"/>
          <w:color w:val="auto"/>
          <w:sz w:val="21"/>
          <w:szCs w:val="21"/>
          <w:highlight w:val="none"/>
          <w:lang w:val="en-US"/>
        </w:rPr>
      </w:pPr>
    </w:p>
    <w:p w14:paraId="51ECFAC4">
      <w:pPr>
        <w:spacing w:line="360" w:lineRule="auto"/>
        <w:jc w:val="center"/>
        <w:rPr>
          <w:rFonts w:hint="eastAsia" w:ascii="宋体" w:hAnsi="宋体" w:eastAsia="宋体" w:cs="宋体"/>
          <w:b/>
          <w:color w:val="auto"/>
          <w:sz w:val="21"/>
          <w:szCs w:val="21"/>
          <w:highlight w:val="none"/>
          <w:lang w:val="zh-CN"/>
        </w:rPr>
      </w:pPr>
      <w:bookmarkStart w:id="27" w:name="OLE_LINK28"/>
      <w:r>
        <w:rPr>
          <w:rFonts w:hint="eastAsia" w:ascii="宋体" w:hAnsi="宋体" w:eastAsia="宋体" w:cs="宋体"/>
          <w:b/>
          <w:color w:val="auto"/>
          <w:sz w:val="21"/>
          <w:szCs w:val="21"/>
          <w:highlight w:val="none"/>
          <w:lang w:val="zh-CN"/>
        </w:rPr>
        <w:t>拟投入本项目工具、物资情况表</w:t>
      </w:r>
    </w:p>
    <w:p w14:paraId="552F7199">
      <w:pPr>
        <w:spacing w:line="360" w:lineRule="auto"/>
        <w:jc w:val="left"/>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采购项目名称：                                           采购项目编号：</w:t>
      </w:r>
    </w:p>
    <w:tbl>
      <w:tblPr>
        <w:tblStyle w:val="56"/>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709"/>
        <w:gridCol w:w="1134"/>
        <w:gridCol w:w="1843"/>
        <w:gridCol w:w="1559"/>
        <w:gridCol w:w="1559"/>
      </w:tblGrid>
      <w:tr w14:paraId="260F0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612ED755">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序号</w:t>
            </w:r>
          </w:p>
        </w:tc>
        <w:tc>
          <w:tcPr>
            <w:tcW w:w="2126" w:type="dxa"/>
            <w:noWrap w:val="0"/>
            <w:vAlign w:val="center"/>
          </w:tcPr>
          <w:p w14:paraId="109CE80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名称</w:t>
            </w:r>
          </w:p>
        </w:tc>
        <w:tc>
          <w:tcPr>
            <w:tcW w:w="709" w:type="dxa"/>
            <w:noWrap w:val="0"/>
            <w:vAlign w:val="center"/>
          </w:tcPr>
          <w:p w14:paraId="4EDF8140">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品牌</w:t>
            </w:r>
          </w:p>
        </w:tc>
        <w:tc>
          <w:tcPr>
            <w:tcW w:w="1134" w:type="dxa"/>
            <w:noWrap w:val="0"/>
            <w:vAlign w:val="center"/>
          </w:tcPr>
          <w:p w14:paraId="1743DFD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规格型号</w:t>
            </w:r>
          </w:p>
        </w:tc>
        <w:tc>
          <w:tcPr>
            <w:tcW w:w="1843" w:type="dxa"/>
            <w:noWrap w:val="0"/>
            <w:vAlign w:val="center"/>
          </w:tcPr>
          <w:p w14:paraId="658BBC8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生产厂家/产地</w:t>
            </w:r>
          </w:p>
        </w:tc>
        <w:tc>
          <w:tcPr>
            <w:tcW w:w="1559" w:type="dxa"/>
            <w:noWrap w:val="0"/>
            <w:vAlign w:val="center"/>
          </w:tcPr>
          <w:p w14:paraId="13BA6DB2">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数量</w:t>
            </w:r>
          </w:p>
        </w:tc>
        <w:tc>
          <w:tcPr>
            <w:tcW w:w="1559" w:type="dxa"/>
            <w:noWrap w:val="0"/>
            <w:vAlign w:val="center"/>
          </w:tcPr>
          <w:p w14:paraId="328CE28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用途</w:t>
            </w:r>
          </w:p>
        </w:tc>
      </w:tr>
      <w:tr w14:paraId="1543E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089D7501">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2126" w:type="dxa"/>
            <w:noWrap w:val="0"/>
            <w:vAlign w:val="center"/>
          </w:tcPr>
          <w:p w14:paraId="623BF30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709" w:type="dxa"/>
            <w:noWrap w:val="0"/>
            <w:vAlign w:val="center"/>
          </w:tcPr>
          <w:p w14:paraId="0E21B09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134" w:type="dxa"/>
            <w:noWrap w:val="0"/>
            <w:vAlign w:val="center"/>
          </w:tcPr>
          <w:p w14:paraId="722AFBF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843" w:type="dxa"/>
            <w:noWrap w:val="0"/>
            <w:vAlign w:val="center"/>
          </w:tcPr>
          <w:p w14:paraId="0F01CD4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vAlign w:val="center"/>
          </w:tcPr>
          <w:p w14:paraId="5AD318F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tcPr>
          <w:p w14:paraId="7944EEB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r>
      <w:tr w14:paraId="6F9C6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787E0B1A">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2126" w:type="dxa"/>
            <w:noWrap w:val="0"/>
            <w:vAlign w:val="center"/>
          </w:tcPr>
          <w:p w14:paraId="363FAAA7">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709" w:type="dxa"/>
            <w:noWrap w:val="0"/>
            <w:vAlign w:val="center"/>
          </w:tcPr>
          <w:p w14:paraId="455390F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134" w:type="dxa"/>
            <w:noWrap w:val="0"/>
            <w:vAlign w:val="center"/>
          </w:tcPr>
          <w:p w14:paraId="0A579240">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843" w:type="dxa"/>
            <w:noWrap w:val="0"/>
            <w:vAlign w:val="center"/>
          </w:tcPr>
          <w:p w14:paraId="134143F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vAlign w:val="center"/>
          </w:tcPr>
          <w:p w14:paraId="32009FE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tcPr>
          <w:p w14:paraId="77F15A7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r>
      <w:tr w14:paraId="5F512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993160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2126" w:type="dxa"/>
            <w:noWrap w:val="0"/>
            <w:vAlign w:val="center"/>
          </w:tcPr>
          <w:p w14:paraId="590431D5">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709" w:type="dxa"/>
            <w:noWrap w:val="0"/>
            <w:vAlign w:val="center"/>
          </w:tcPr>
          <w:p w14:paraId="3A3FFEF5">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134" w:type="dxa"/>
            <w:noWrap w:val="0"/>
            <w:vAlign w:val="center"/>
          </w:tcPr>
          <w:p w14:paraId="42277C4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843" w:type="dxa"/>
            <w:noWrap w:val="0"/>
            <w:vAlign w:val="center"/>
          </w:tcPr>
          <w:p w14:paraId="45DB81E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vAlign w:val="center"/>
          </w:tcPr>
          <w:p w14:paraId="0B6B3E1A">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tcPr>
          <w:p w14:paraId="44E2C780">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r>
      <w:tr w14:paraId="0565C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76021857">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2126" w:type="dxa"/>
            <w:noWrap w:val="0"/>
            <w:vAlign w:val="center"/>
          </w:tcPr>
          <w:p w14:paraId="47FFFCC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709" w:type="dxa"/>
            <w:noWrap w:val="0"/>
            <w:vAlign w:val="center"/>
          </w:tcPr>
          <w:p w14:paraId="0719BC6A">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134" w:type="dxa"/>
            <w:noWrap w:val="0"/>
            <w:vAlign w:val="center"/>
          </w:tcPr>
          <w:p w14:paraId="1F9B289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843" w:type="dxa"/>
            <w:noWrap w:val="0"/>
            <w:vAlign w:val="center"/>
          </w:tcPr>
          <w:p w14:paraId="7C2A09C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vAlign w:val="center"/>
          </w:tcPr>
          <w:p w14:paraId="797DE75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tcPr>
          <w:p w14:paraId="36C35B0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r>
      <w:tr w14:paraId="3D830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172D493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2126" w:type="dxa"/>
            <w:noWrap w:val="0"/>
            <w:vAlign w:val="center"/>
          </w:tcPr>
          <w:p w14:paraId="2E17562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709" w:type="dxa"/>
            <w:noWrap w:val="0"/>
            <w:vAlign w:val="center"/>
          </w:tcPr>
          <w:p w14:paraId="37B3CACA">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134" w:type="dxa"/>
            <w:noWrap w:val="0"/>
            <w:vAlign w:val="center"/>
          </w:tcPr>
          <w:p w14:paraId="048D60A9">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843" w:type="dxa"/>
            <w:noWrap w:val="0"/>
            <w:vAlign w:val="center"/>
          </w:tcPr>
          <w:p w14:paraId="6DB0B702">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vAlign w:val="center"/>
          </w:tcPr>
          <w:p w14:paraId="4BAA1FC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tcPr>
          <w:p w14:paraId="16CE4DA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r>
      <w:tr w14:paraId="5972B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28CFB57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2126" w:type="dxa"/>
            <w:noWrap w:val="0"/>
            <w:vAlign w:val="center"/>
          </w:tcPr>
          <w:p w14:paraId="36C6E51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709" w:type="dxa"/>
            <w:noWrap w:val="0"/>
            <w:vAlign w:val="center"/>
          </w:tcPr>
          <w:p w14:paraId="4CCBADA1">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134" w:type="dxa"/>
            <w:noWrap w:val="0"/>
            <w:vAlign w:val="center"/>
          </w:tcPr>
          <w:p w14:paraId="30CC08D4">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843" w:type="dxa"/>
            <w:noWrap w:val="0"/>
            <w:vAlign w:val="center"/>
          </w:tcPr>
          <w:p w14:paraId="0C102C57">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vAlign w:val="center"/>
          </w:tcPr>
          <w:p w14:paraId="48AE3CE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tcPr>
          <w:p w14:paraId="478924C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r>
      <w:tr w14:paraId="07ED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170652D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2126" w:type="dxa"/>
            <w:noWrap w:val="0"/>
            <w:vAlign w:val="center"/>
          </w:tcPr>
          <w:p w14:paraId="408FD252">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709" w:type="dxa"/>
            <w:noWrap w:val="0"/>
            <w:vAlign w:val="center"/>
          </w:tcPr>
          <w:p w14:paraId="3D8F307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134" w:type="dxa"/>
            <w:noWrap w:val="0"/>
            <w:vAlign w:val="center"/>
          </w:tcPr>
          <w:p w14:paraId="147A397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843" w:type="dxa"/>
            <w:noWrap w:val="0"/>
            <w:vAlign w:val="center"/>
          </w:tcPr>
          <w:p w14:paraId="37E23FB4">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vAlign w:val="center"/>
          </w:tcPr>
          <w:p w14:paraId="4AD3F0D0">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c>
          <w:tcPr>
            <w:tcW w:w="1559" w:type="dxa"/>
            <w:noWrap w:val="0"/>
          </w:tcPr>
          <w:p w14:paraId="1A9F0969">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val="zh-CN"/>
              </w:rPr>
            </w:pPr>
          </w:p>
        </w:tc>
      </w:tr>
    </w:tbl>
    <w:p w14:paraId="6B935338">
      <w:pPr>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注：1、本表格式仅供参考，投标单位可根据自身情况自行增减；</w:t>
      </w:r>
    </w:p>
    <w:p w14:paraId="5D4C5830">
      <w:pPr>
        <w:spacing w:line="360" w:lineRule="auto"/>
        <w:jc w:val="left"/>
        <w:rPr>
          <w:rFonts w:hint="eastAsia" w:ascii="宋体" w:hAnsi="宋体" w:eastAsia="宋体" w:cs="宋体"/>
          <w:color w:val="auto"/>
          <w:sz w:val="21"/>
          <w:szCs w:val="21"/>
          <w:highlight w:val="none"/>
        </w:rPr>
      </w:pPr>
    </w:p>
    <w:p w14:paraId="5DB38C8D">
      <w:pPr>
        <w:spacing w:line="360" w:lineRule="auto"/>
        <w:jc w:val="left"/>
        <w:rPr>
          <w:rFonts w:hint="eastAsia" w:ascii="宋体" w:hAnsi="宋体" w:eastAsia="宋体" w:cs="宋体"/>
          <w:color w:val="auto"/>
          <w:sz w:val="21"/>
          <w:szCs w:val="21"/>
          <w:highlight w:val="none"/>
        </w:rPr>
      </w:pPr>
    </w:p>
    <w:p w14:paraId="0DBF53C0">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30F75E10">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法定代表人或委托代理人（签字或盖章）：</w:t>
      </w:r>
    </w:p>
    <w:p w14:paraId="39971317">
      <w:pPr>
        <w:spacing w:line="360" w:lineRule="auto"/>
        <w:jc w:val="left"/>
        <w:rPr>
          <w:rFonts w:ascii="宋体" w:hAnsi="宋体"/>
          <w:b/>
          <w:color w:val="auto"/>
          <w:sz w:val="32"/>
          <w:szCs w:val="32"/>
          <w:highlight w:val="none"/>
        </w:rPr>
      </w:pPr>
      <w:r>
        <w:rPr>
          <w:rFonts w:hint="eastAsia" w:ascii="宋体" w:hAnsi="宋体" w:eastAsia="宋体" w:cs="宋体"/>
          <w:color w:val="auto"/>
          <w:sz w:val="21"/>
          <w:szCs w:val="21"/>
          <w:highlight w:val="none"/>
        </w:rPr>
        <w:t>日期：    年  月  日</w:t>
      </w:r>
      <w:bookmarkEnd w:id="27"/>
    </w:p>
    <w:p w14:paraId="2E6E6E17">
      <w:pPr>
        <w:widowControl/>
        <w:spacing w:after="200" w:line="276" w:lineRule="auto"/>
        <w:jc w:val="left"/>
        <w:outlineLvl w:val="0"/>
        <w:rPr>
          <w:rFonts w:hint="eastAsia" w:ascii="宋体" w:hAnsi="宋体" w:eastAsia="宋体" w:cs="宋体"/>
          <w:b/>
          <w:bCs/>
          <w:color w:val="auto"/>
          <w:sz w:val="24"/>
          <w:szCs w:val="24"/>
          <w:highlight w:val="none"/>
          <w:lang w:val="en-US" w:eastAsia="zh-CN"/>
        </w:rPr>
        <w:sectPr>
          <w:pgSz w:w="11907" w:h="16840"/>
          <w:pgMar w:top="1134" w:right="1134" w:bottom="1134" w:left="1134" w:header="851" w:footer="680" w:gutter="0"/>
          <w:cols w:space="0" w:num="1"/>
          <w:titlePg/>
          <w:docGrid w:linePitch="360" w:charSpace="0"/>
        </w:sectPr>
      </w:pPr>
    </w:p>
    <w:p w14:paraId="51CA721B">
      <w:pPr>
        <w:numPr>
          <w:ilvl w:val="0"/>
          <w:numId w:val="0"/>
        </w:numPr>
        <w:jc w:val="both"/>
        <w:rPr>
          <w:rFonts w:hint="eastAsia" w:ascii="宋体" w:hAnsi="宋体" w:eastAsia="宋体" w:cs="宋体"/>
          <w:b/>
          <w:bCs/>
          <w:color w:val="auto"/>
          <w:sz w:val="24"/>
          <w:szCs w:val="24"/>
          <w:highlight w:val="none"/>
          <w:lang w:val="en-US" w:eastAsia="zh-CN"/>
        </w:rPr>
      </w:pPr>
    </w:p>
    <w:p w14:paraId="32DAB088">
      <w:pPr>
        <w:numPr>
          <w:ilvl w:val="0"/>
          <w:numId w:val="0"/>
        </w:numPr>
        <w:jc w:val="center"/>
        <w:rPr>
          <w:rFonts w:ascii="宋体" w:hAnsi="宋体"/>
          <w:b/>
          <w:color w:val="auto"/>
          <w:sz w:val="28"/>
          <w:szCs w:val="28"/>
          <w:highlight w:val="none"/>
        </w:rPr>
      </w:pPr>
      <w:r>
        <w:rPr>
          <w:rFonts w:hint="eastAsia" w:ascii="宋体" w:hAnsi="宋体" w:cs="宋体"/>
          <w:b/>
          <w:bCs/>
          <w:color w:val="auto"/>
          <w:sz w:val="24"/>
          <w:szCs w:val="24"/>
          <w:highlight w:val="none"/>
          <w:lang w:val="en-US" w:eastAsia="zh-CN"/>
        </w:rPr>
        <w:t>格式16：</w:t>
      </w:r>
      <w:r>
        <w:rPr>
          <w:rFonts w:hint="eastAsia" w:ascii="宋体" w:hAnsi="宋体"/>
          <w:b/>
          <w:color w:val="auto"/>
          <w:sz w:val="24"/>
          <w:szCs w:val="24"/>
          <w:highlight w:val="none"/>
        </w:rPr>
        <w:t>技术、商务评分标准对应情况表</w:t>
      </w:r>
    </w:p>
    <w:p w14:paraId="525A2DBB">
      <w:pPr>
        <w:ind w:firstLine="432"/>
        <w:rPr>
          <w:rFonts w:ascii="宋体" w:hAnsi="宋体"/>
          <w:b/>
          <w:color w:val="auto"/>
          <w:highlight w:val="none"/>
        </w:rPr>
      </w:pPr>
    </w:p>
    <w:tbl>
      <w:tblPr>
        <w:tblStyle w:val="56"/>
        <w:tblW w:w="8505"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3118"/>
        <w:gridCol w:w="2484"/>
        <w:gridCol w:w="1802"/>
      </w:tblGrid>
      <w:tr w14:paraId="0030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6523C8F6">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序号</w:t>
            </w:r>
          </w:p>
        </w:tc>
        <w:tc>
          <w:tcPr>
            <w:tcW w:w="3118" w:type="dxa"/>
            <w:noWrap w:val="0"/>
            <w:vAlign w:val="center"/>
          </w:tcPr>
          <w:p w14:paraId="0E0DDE47">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技术、商务评分内容</w:t>
            </w:r>
          </w:p>
        </w:tc>
        <w:tc>
          <w:tcPr>
            <w:tcW w:w="2484" w:type="dxa"/>
            <w:noWrap w:val="0"/>
            <w:vAlign w:val="center"/>
          </w:tcPr>
          <w:p w14:paraId="2E9AA3A3">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投标响应情况</w:t>
            </w:r>
          </w:p>
        </w:tc>
        <w:tc>
          <w:tcPr>
            <w:tcW w:w="1802" w:type="dxa"/>
            <w:noWrap w:val="0"/>
            <w:vAlign w:val="center"/>
          </w:tcPr>
          <w:p w14:paraId="2D6217E1">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详见页码</w:t>
            </w:r>
          </w:p>
        </w:tc>
      </w:tr>
      <w:tr w14:paraId="448EA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073CE9C6">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1</w:t>
            </w:r>
          </w:p>
        </w:tc>
        <w:tc>
          <w:tcPr>
            <w:tcW w:w="3118" w:type="dxa"/>
            <w:noWrap w:val="0"/>
            <w:vAlign w:val="center"/>
          </w:tcPr>
          <w:p w14:paraId="59EF6D19">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2484" w:type="dxa"/>
            <w:noWrap w:val="0"/>
            <w:vAlign w:val="center"/>
          </w:tcPr>
          <w:p w14:paraId="07501972">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1802" w:type="dxa"/>
            <w:noWrap w:val="0"/>
            <w:vAlign w:val="center"/>
          </w:tcPr>
          <w:p w14:paraId="7ACCF711">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r>
      <w:tr w14:paraId="0EAD1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3213AC3F">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2</w:t>
            </w:r>
          </w:p>
        </w:tc>
        <w:tc>
          <w:tcPr>
            <w:tcW w:w="3118" w:type="dxa"/>
            <w:noWrap w:val="0"/>
            <w:vAlign w:val="center"/>
          </w:tcPr>
          <w:p w14:paraId="12B9B4DE">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2484" w:type="dxa"/>
            <w:noWrap w:val="0"/>
            <w:vAlign w:val="center"/>
          </w:tcPr>
          <w:p w14:paraId="003AD457">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1802" w:type="dxa"/>
            <w:noWrap w:val="0"/>
            <w:vAlign w:val="center"/>
          </w:tcPr>
          <w:p w14:paraId="3D9DF6EB">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r>
      <w:tr w14:paraId="6F397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62D66189">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3</w:t>
            </w:r>
          </w:p>
        </w:tc>
        <w:tc>
          <w:tcPr>
            <w:tcW w:w="3118" w:type="dxa"/>
            <w:noWrap w:val="0"/>
            <w:vAlign w:val="center"/>
          </w:tcPr>
          <w:p w14:paraId="762A975D">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2484" w:type="dxa"/>
            <w:noWrap w:val="0"/>
            <w:vAlign w:val="center"/>
          </w:tcPr>
          <w:p w14:paraId="007B9FDC">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1802" w:type="dxa"/>
            <w:noWrap w:val="0"/>
            <w:vAlign w:val="center"/>
          </w:tcPr>
          <w:p w14:paraId="47260799">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r>
      <w:tr w14:paraId="416FE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146B0C9E">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4</w:t>
            </w:r>
          </w:p>
        </w:tc>
        <w:tc>
          <w:tcPr>
            <w:tcW w:w="3118" w:type="dxa"/>
            <w:noWrap w:val="0"/>
            <w:vAlign w:val="center"/>
          </w:tcPr>
          <w:p w14:paraId="7A8F9B04">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2484" w:type="dxa"/>
            <w:noWrap w:val="0"/>
            <w:vAlign w:val="center"/>
          </w:tcPr>
          <w:p w14:paraId="0EA0048A">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1802" w:type="dxa"/>
            <w:noWrap w:val="0"/>
            <w:vAlign w:val="center"/>
          </w:tcPr>
          <w:p w14:paraId="5B99C7CB">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r>
      <w:tr w14:paraId="702F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4126A484">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eastAsia" w:ascii="宋体" w:hAnsi="宋体"/>
                <w:color w:val="auto"/>
                <w:sz w:val="21"/>
                <w:szCs w:val="21"/>
                <w:highlight w:val="none"/>
              </w:rPr>
              <w:t>5</w:t>
            </w:r>
          </w:p>
        </w:tc>
        <w:tc>
          <w:tcPr>
            <w:tcW w:w="3118" w:type="dxa"/>
            <w:noWrap w:val="0"/>
            <w:vAlign w:val="center"/>
          </w:tcPr>
          <w:p w14:paraId="6372CD5E">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2484" w:type="dxa"/>
            <w:noWrap w:val="0"/>
            <w:vAlign w:val="center"/>
          </w:tcPr>
          <w:p w14:paraId="730B5E9D">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1802" w:type="dxa"/>
            <w:noWrap w:val="0"/>
            <w:vAlign w:val="center"/>
          </w:tcPr>
          <w:p w14:paraId="77C500CC">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r>
      <w:tr w14:paraId="4EE17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1E1BBAE6">
            <w:pPr>
              <w:keepNext w:val="0"/>
              <w:keepLines w:val="0"/>
              <w:suppressLineNumbers w:val="0"/>
              <w:spacing w:before="0" w:beforeAutospacing="0" w:after="0" w:afterAutospacing="0"/>
              <w:ind w:left="0" w:right="0"/>
              <w:jc w:val="center"/>
              <w:rPr>
                <w:rFonts w:hint="default" w:ascii="宋体" w:hAnsi="宋体"/>
                <w:color w:val="auto"/>
                <w:sz w:val="21"/>
                <w:szCs w:val="21"/>
                <w:highlight w:val="none"/>
              </w:rPr>
            </w:pPr>
            <w:r>
              <w:rPr>
                <w:rFonts w:hint="default" w:ascii="宋体" w:hAnsi="宋体"/>
                <w:color w:val="auto"/>
                <w:sz w:val="21"/>
                <w:szCs w:val="21"/>
                <w:highlight w:val="none"/>
              </w:rPr>
              <w:t>…</w:t>
            </w:r>
          </w:p>
        </w:tc>
        <w:tc>
          <w:tcPr>
            <w:tcW w:w="3118" w:type="dxa"/>
            <w:noWrap w:val="0"/>
            <w:vAlign w:val="center"/>
          </w:tcPr>
          <w:p w14:paraId="6E6B675D">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2484" w:type="dxa"/>
            <w:noWrap w:val="0"/>
            <w:vAlign w:val="center"/>
          </w:tcPr>
          <w:p w14:paraId="42373E8E">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c>
          <w:tcPr>
            <w:tcW w:w="1802" w:type="dxa"/>
            <w:noWrap w:val="0"/>
            <w:vAlign w:val="center"/>
          </w:tcPr>
          <w:p w14:paraId="13DE14EA">
            <w:pPr>
              <w:keepNext w:val="0"/>
              <w:keepLines w:val="0"/>
              <w:suppressLineNumbers w:val="0"/>
              <w:spacing w:before="0" w:beforeAutospacing="0" w:after="0" w:afterAutospacing="0"/>
              <w:ind w:left="0" w:right="0"/>
              <w:rPr>
                <w:rFonts w:hint="default" w:ascii="宋体" w:hAnsi="宋体"/>
                <w:color w:val="auto"/>
                <w:sz w:val="21"/>
                <w:szCs w:val="21"/>
                <w:highlight w:val="none"/>
              </w:rPr>
            </w:pPr>
          </w:p>
        </w:tc>
      </w:tr>
    </w:tbl>
    <w:p w14:paraId="77E8D4BE">
      <w:pPr>
        <w:spacing w:before="25" w:after="25" w:line="360" w:lineRule="auto"/>
        <w:ind w:firstLine="480"/>
        <w:rPr>
          <w:rFonts w:ascii="宋体" w:hAnsi="宋体"/>
          <w:color w:val="auto"/>
          <w:sz w:val="24"/>
          <w:highlight w:val="none"/>
        </w:rPr>
      </w:pPr>
      <w:r>
        <w:rPr>
          <w:rFonts w:hint="eastAsia" w:ascii="宋体" w:hAnsi="宋体"/>
          <w:color w:val="auto"/>
          <w:sz w:val="24"/>
          <w:highlight w:val="none"/>
        </w:rPr>
        <w:t>为方便评审，请投标人按照评分标准内容，按序填写此表。</w:t>
      </w:r>
      <w:r>
        <w:rPr>
          <w:rFonts w:hint="eastAsia" w:ascii="宋体" w:hAnsi="宋体"/>
          <w:color w:val="auto"/>
          <w:sz w:val="24"/>
          <w:highlight w:val="none"/>
        </w:rPr>
        <w:br w:type="page" w:clear="all"/>
      </w:r>
      <w:bookmarkEnd w:id="19"/>
      <w:bookmarkEnd w:id="20"/>
      <w:bookmarkEnd w:id="21"/>
      <w:bookmarkEnd w:id="22"/>
      <w:bookmarkEnd w:id="23"/>
      <w:bookmarkEnd w:id="24"/>
      <w:bookmarkEnd w:id="25"/>
      <w:bookmarkEnd w:id="26"/>
    </w:p>
    <w:p w14:paraId="6BB41F2E">
      <w:pPr>
        <w:spacing w:line="440" w:lineRule="exact"/>
        <w:jc w:val="center"/>
        <w:rPr>
          <w:color w:val="auto"/>
          <w:sz w:val="36"/>
          <w:szCs w:val="36"/>
          <w:highlight w:val="none"/>
        </w:rPr>
      </w:pPr>
      <w:r>
        <w:rPr>
          <w:rFonts w:hint="eastAsia" w:hAnsi="宋体"/>
          <w:b/>
          <w:color w:val="auto"/>
          <w:sz w:val="36"/>
          <w:szCs w:val="36"/>
          <w:highlight w:val="none"/>
        </w:rPr>
        <w:t>第五部分 评标方法与评标标准</w:t>
      </w:r>
    </w:p>
    <w:p w14:paraId="2AE675DB">
      <w:pPr>
        <w:spacing w:line="400" w:lineRule="exact"/>
        <w:ind w:firstLine="422"/>
        <w:rPr>
          <w:b/>
          <w:color w:val="auto"/>
          <w:sz w:val="24"/>
          <w:szCs w:val="24"/>
          <w:highlight w:val="none"/>
        </w:rPr>
      </w:pPr>
      <w:r>
        <w:rPr>
          <w:rFonts w:hint="eastAsia"/>
          <w:b/>
          <w:color w:val="auto"/>
          <w:sz w:val="24"/>
          <w:szCs w:val="24"/>
          <w:highlight w:val="none"/>
        </w:rPr>
        <w:t>一、评标方法</w:t>
      </w:r>
    </w:p>
    <w:p w14:paraId="4FE8754C">
      <w:pPr>
        <w:numPr>
          <w:ilvl w:val="0"/>
          <w:numId w:val="23"/>
        </w:numPr>
        <w:spacing w:line="400" w:lineRule="exact"/>
        <w:ind w:left="0" w:firstLine="403"/>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本次招标评标采用为综合评分法，即在满足招标文件实质性要求前提下，按照招标文件中规定的评分标准和各项因素进行综合评审，</w:t>
      </w:r>
      <w:r>
        <w:rPr>
          <w:rFonts w:hint="eastAsia" w:ascii="宋体" w:hAnsi="宋体"/>
          <w:color w:val="auto"/>
          <w:highlight w:val="none"/>
        </w:rPr>
        <w:t>以评标总得分最高的投标人作为相应标段的中标候选人</w:t>
      </w:r>
      <w:r>
        <w:rPr>
          <w:rFonts w:hint="eastAsia" w:ascii="宋体" w:hAnsi="宋体"/>
          <w:b/>
          <w:color w:val="auto"/>
          <w:highlight w:val="none"/>
        </w:rPr>
        <w:t>。</w:t>
      </w:r>
    </w:p>
    <w:p w14:paraId="00071532">
      <w:pPr>
        <w:numPr>
          <w:ilvl w:val="0"/>
          <w:numId w:val="23"/>
        </w:numPr>
        <w:spacing w:line="400" w:lineRule="exact"/>
        <w:ind w:left="0" w:firstLine="403"/>
        <w:rPr>
          <w:rFonts w:hint="eastAsia" w:asciiTheme="minorEastAsia" w:hAnsiTheme="minorEastAsia" w:eastAsiaTheme="minorEastAsia"/>
          <w:color w:val="auto"/>
          <w:highlight w:val="none"/>
        </w:rPr>
      </w:pPr>
      <w:r>
        <w:rPr>
          <w:rFonts w:ascii="宋体" w:hAnsi="宋体" w:cs="Arial"/>
          <w:color w:val="auto"/>
          <w:szCs w:val="21"/>
          <w:highlight w:val="none"/>
        </w:rPr>
        <w:t>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s="Arial"/>
          <w:color w:val="auto"/>
          <w:szCs w:val="21"/>
          <w:highlight w:val="none"/>
        </w:rPr>
        <w:t>由报价较低的</w:t>
      </w:r>
      <w:r>
        <w:rPr>
          <w:rFonts w:ascii="宋体" w:hAnsi="宋体" w:cs="Arial"/>
          <w:color w:val="auto"/>
          <w:szCs w:val="21"/>
          <w:highlight w:val="none"/>
        </w:rPr>
        <w:t>投标人获得中标人推荐资格，</w:t>
      </w:r>
      <w:r>
        <w:rPr>
          <w:rFonts w:hint="eastAsia" w:ascii="宋体" w:hAnsi="宋体" w:cs="Arial"/>
          <w:color w:val="auto"/>
          <w:szCs w:val="21"/>
          <w:highlight w:val="none"/>
        </w:rPr>
        <w:t>如报价也相同，则</w:t>
      </w:r>
      <w:r>
        <w:rPr>
          <w:rFonts w:ascii="宋体" w:hAnsi="宋体" w:cs="Arial"/>
          <w:color w:val="auto"/>
          <w:szCs w:val="21"/>
          <w:highlight w:val="none"/>
        </w:rPr>
        <w:t>采取随机抽取方式确定，其他同品牌投标人不作为中标候选人。非单一产品采购项目，多家投标人提供的核心产品</w:t>
      </w:r>
      <w:r>
        <w:rPr>
          <w:rFonts w:hint="eastAsia" w:ascii="宋体" w:hAnsi="宋体" w:cs="Arial"/>
          <w:color w:val="auto"/>
          <w:szCs w:val="21"/>
          <w:highlight w:val="none"/>
        </w:rPr>
        <w:t>（标注）</w:t>
      </w:r>
      <w:r>
        <w:rPr>
          <w:rFonts w:ascii="宋体" w:hAnsi="宋体" w:cs="Arial"/>
          <w:color w:val="auto"/>
          <w:szCs w:val="21"/>
          <w:highlight w:val="none"/>
        </w:rPr>
        <w:t>品牌相同的，按</w:t>
      </w:r>
      <w:r>
        <w:rPr>
          <w:rFonts w:hint="eastAsia" w:ascii="宋体" w:hAnsi="宋体" w:cs="Arial"/>
          <w:color w:val="auto"/>
          <w:szCs w:val="21"/>
          <w:highlight w:val="none"/>
        </w:rPr>
        <w:t>上述</w:t>
      </w:r>
      <w:r>
        <w:rPr>
          <w:rFonts w:ascii="宋体" w:hAnsi="宋体" w:cs="Arial"/>
          <w:color w:val="auto"/>
          <w:szCs w:val="21"/>
          <w:highlight w:val="none"/>
        </w:rPr>
        <w:t>规定处理</w:t>
      </w:r>
      <w:r>
        <w:rPr>
          <w:rFonts w:hint="eastAsia" w:ascii="宋体" w:hAnsi="宋体" w:cs="Arial"/>
          <w:color w:val="auto"/>
          <w:szCs w:val="21"/>
          <w:highlight w:val="none"/>
        </w:rPr>
        <w:t>，</w:t>
      </w:r>
      <w:r>
        <w:rPr>
          <w:rFonts w:hint="eastAsia" w:ascii="宋体" w:hAnsi="宋体"/>
          <w:color w:val="auto"/>
          <w:highlight w:val="none"/>
        </w:rPr>
        <w:t>对招标文件作实质响应的投标人不足三家的，将作废标处理</w:t>
      </w:r>
      <w:r>
        <w:rPr>
          <w:rFonts w:hint="eastAsia" w:ascii="宋体" w:hAnsi="宋体"/>
          <w:color w:val="auto"/>
          <w:highlight w:val="none"/>
          <w:lang w:eastAsia="zh-CN"/>
        </w:rPr>
        <w:t>。</w:t>
      </w:r>
    </w:p>
    <w:p w14:paraId="79502A97">
      <w:pPr>
        <w:numPr>
          <w:ilvl w:val="0"/>
          <w:numId w:val="23"/>
        </w:numPr>
        <w:spacing w:line="400" w:lineRule="exact"/>
        <w:ind w:left="0" w:firstLine="403"/>
        <w:rPr>
          <w:rFonts w:ascii="宋体" w:hAnsi="宋体" w:cs="Arial"/>
          <w:color w:val="auto"/>
          <w:szCs w:val="21"/>
          <w:highlight w:val="none"/>
        </w:rPr>
      </w:pPr>
      <w:r>
        <w:rPr>
          <w:rFonts w:hint="default" w:ascii="宋体" w:hAnsi="宋体" w:cs="Arial"/>
          <w:color w:val="auto"/>
          <w:szCs w:val="21"/>
          <w:highlight w:val="none"/>
        </w:rPr>
        <w:t>评标时，评标委员会各成员应当按照招标文件规定的评分标准独立对每个投标人的投标文件进行评价</w:t>
      </w:r>
      <w:r>
        <w:rPr>
          <w:rFonts w:hint="eastAsia" w:ascii="宋体" w:hAnsi="宋体" w:cs="Arial"/>
          <w:color w:val="auto"/>
          <w:szCs w:val="21"/>
          <w:highlight w:val="none"/>
          <w:lang w:eastAsia="zh-CN"/>
        </w:rPr>
        <w:t>、</w:t>
      </w:r>
      <w:r>
        <w:rPr>
          <w:rFonts w:hint="eastAsia" w:ascii="宋体" w:hAnsi="宋体" w:cs="Arial"/>
          <w:color w:val="auto"/>
          <w:szCs w:val="21"/>
          <w:highlight w:val="none"/>
          <w:lang w:val="en-US" w:eastAsia="zh-CN"/>
        </w:rPr>
        <w:t>打分</w:t>
      </w:r>
      <w:r>
        <w:rPr>
          <w:rFonts w:hint="default" w:ascii="宋体" w:hAnsi="宋体" w:cs="Arial"/>
          <w:color w:val="auto"/>
          <w:szCs w:val="21"/>
          <w:highlight w:val="none"/>
        </w:rPr>
        <w:t>，并汇总每个投标人的得分。对评委的评分(除价格分外)进行统计汇总，直接算术平均，计算出每个投标人的得分，加上价格得分即为每个投标人的综合得分</w:t>
      </w:r>
      <w:r>
        <w:rPr>
          <w:rFonts w:hint="eastAsia" w:ascii="宋体" w:hAnsi="宋体" w:cs="Arial"/>
          <w:color w:val="auto"/>
          <w:szCs w:val="21"/>
          <w:highlight w:val="none"/>
        </w:rPr>
        <w:t>。</w:t>
      </w:r>
    </w:p>
    <w:p w14:paraId="0ED11357">
      <w:pPr>
        <w:numPr>
          <w:ilvl w:val="0"/>
          <w:numId w:val="23"/>
        </w:numPr>
        <w:spacing w:line="400" w:lineRule="exact"/>
        <w:ind w:left="0" w:firstLine="403"/>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如出现评标总得分最高的投标人有两个或两个以上的，以投标报价较低者优先作为中标候选人，如果投标报价也相同的，则由评标委员会组织以抽签方式确定中标候选人。</w:t>
      </w:r>
    </w:p>
    <w:p w14:paraId="65BA045B">
      <w:pPr>
        <w:numPr>
          <w:ilvl w:val="0"/>
          <w:numId w:val="23"/>
        </w:numPr>
        <w:spacing w:line="400" w:lineRule="exact"/>
        <w:ind w:left="0" w:firstLine="403"/>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lang w:val="en-US"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7D7DDC10">
      <w:pPr>
        <w:numPr>
          <w:ilvl w:val="0"/>
          <w:numId w:val="23"/>
        </w:numPr>
        <w:spacing w:line="400" w:lineRule="exact"/>
        <w:ind w:left="0" w:firstLine="403"/>
        <w:rPr>
          <w:rFonts w:hint="eastAsia" w:eastAsiaTheme="minorEastAsia"/>
          <w:color w:val="auto"/>
          <w:highlight w:val="none"/>
          <w:lang w:val="en-US" w:eastAsia="zh-CN"/>
        </w:rPr>
      </w:pPr>
      <w:r>
        <w:rPr>
          <w:rFonts w:hint="eastAsia" w:asciiTheme="minorEastAsia" w:hAnsiTheme="minorEastAsia" w:eastAsiaTheme="minorEastAsia"/>
          <w:b/>
          <w:bCs/>
          <w:color w:val="auto"/>
          <w:highlight w:val="none"/>
          <w:lang w:val="en-US" w:eastAsia="zh-CN"/>
        </w:rPr>
        <w:t>专门面向中小企业采购的项目，不再执行价格评审优惠的扶持政策。</w:t>
      </w:r>
    </w:p>
    <w:p w14:paraId="78D7C1F8">
      <w:pPr>
        <w:numPr>
          <w:ilvl w:val="0"/>
          <w:numId w:val="23"/>
        </w:numPr>
        <w:spacing w:line="400" w:lineRule="exact"/>
        <w:ind w:left="0" w:firstLine="403"/>
        <w:rPr>
          <w:rFonts w:hint="default"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val="en-US" w:eastAsia="zh-CN"/>
        </w:rPr>
        <w:t>信用查询</w:t>
      </w:r>
    </w:p>
    <w:p w14:paraId="66B76B11">
      <w:pPr>
        <w:widowControl/>
        <w:spacing w:line="44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462A41A">
      <w:pPr>
        <w:widowControl/>
        <w:spacing w:line="440" w:lineRule="atLeast"/>
        <w:ind w:firstLine="42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（1）查询时间：投标文件递交截止时间后。</w:t>
      </w:r>
    </w:p>
    <w:p w14:paraId="01705E3B">
      <w:pPr>
        <w:widowControl/>
        <w:spacing w:line="440" w:lineRule="atLeast"/>
        <w:ind w:firstLine="42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（2）查询渠道：“信用中国”网站(www.creditchina.gov.cn)或中国政府采购网(https://www.ccgp.gov.cn/search/cr/)未被列入失信被执行人、重大税收违法案件当事人名单、政府采购严重违法失信行为记录名单。</w:t>
      </w:r>
    </w:p>
    <w:p w14:paraId="4ECD8963">
      <w:pPr>
        <w:widowControl/>
        <w:spacing w:line="440" w:lineRule="atLeast"/>
        <w:ind w:firstLine="42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p>
    <w:p w14:paraId="2046E204">
      <w:pPr>
        <w:numPr>
          <w:ilvl w:val="0"/>
          <w:numId w:val="0"/>
        </w:num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（4）信用记录使用规则：对供应商进行资格审查时，应根据查询结果对供应商的不良信用记录逐项甄别确认。</w:t>
      </w:r>
    </w:p>
    <w:p w14:paraId="4713DB71">
      <w:pPr>
        <w:keepNext w:val="0"/>
        <w:keepLines w:val="0"/>
        <w:pageBreakBefore w:val="0"/>
        <w:widowControl w:val="0"/>
        <w:numPr>
          <w:ilvl w:val="0"/>
          <w:numId w:val="24"/>
        </w:numPr>
        <w:spacing w:before="154" w:line="400" w:lineRule="exact"/>
        <w:ind w:firstLine="420"/>
        <w:rPr>
          <w:b/>
          <w:color w:val="auto"/>
          <w:sz w:val="24"/>
          <w:szCs w:val="24"/>
          <w:highlight w:val="none"/>
        </w:rPr>
      </w:pPr>
      <w:r>
        <w:rPr>
          <w:rFonts w:hint="eastAsia"/>
          <w:b/>
          <w:color w:val="auto"/>
          <w:sz w:val="24"/>
          <w:szCs w:val="24"/>
          <w:highlight w:val="none"/>
        </w:rPr>
        <w:t>评分标准</w:t>
      </w:r>
    </w:p>
    <w:p w14:paraId="51700E98">
      <w:pPr>
        <w:numPr>
          <w:ilvl w:val="0"/>
          <w:numId w:val="25"/>
        </w:numPr>
        <w:spacing w:line="400" w:lineRule="exact"/>
        <w:ind w:left="0" w:firstLine="420"/>
        <w:rPr>
          <w:rFonts w:ascii="宋体" w:hAnsi="宋体"/>
          <w:b/>
          <w:color w:val="auto"/>
          <w:highlight w:val="none"/>
        </w:rPr>
      </w:pPr>
      <w:r>
        <w:rPr>
          <w:rFonts w:hint="eastAsia" w:ascii="宋体" w:hAnsi="宋体"/>
          <w:b/>
          <w:color w:val="auto"/>
          <w:highlight w:val="none"/>
        </w:rPr>
        <w:t>价格基准分：（满分</w:t>
      </w:r>
      <w:r>
        <w:rPr>
          <w:rFonts w:hint="eastAsia" w:ascii="宋体" w:hAnsi="宋体"/>
          <w:b/>
          <w:color w:val="auto"/>
          <w:highlight w:val="none"/>
          <w:lang w:val="en-US" w:eastAsia="zh-CN"/>
        </w:rPr>
        <w:t>20</w:t>
      </w:r>
      <w:r>
        <w:rPr>
          <w:rFonts w:hint="eastAsia" w:ascii="宋体" w:hAnsi="宋体"/>
          <w:b/>
          <w:color w:val="auto"/>
          <w:highlight w:val="none"/>
        </w:rPr>
        <w:t>分、价格权值</w:t>
      </w:r>
      <w:r>
        <w:rPr>
          <w:rFonts w:hint="eastAsia" w:ascii="宋体" w:hAnsi="宋体"/>
          <w:b/>
          <w:color w:val="auto"/>
          <w:highlight w:val="none"/>
          <w:lang w:val="en-US" w:eastAsia="zh-CN"/>
        </w:rPr>
        <w:t>20</w:t>
      </w:r>
      <w:r>
        <w:rPr>
          <w:rFonts w:hint="eastAsia" w:ascii="宋体" w:hAnsi="宋体"/>
          <w:b/>
          <w:color w:val="auto"/>
          <w:highlight w:val="none"/>
        </w:rPr>
        <w:t>%）</w:t>
      </w:r>
    </w:p>
    <w:p w14:paraId="1F79FF82">
      <w:pPr>
        <w:spacing w:line="400" w:lineRule="exact"/>
        <w:ind w:firstLine="48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第一步：投标报价低于或等于财政预算价格（或最高限价）的，为有效投标报价。超财政预算（或最高限价）的投标报价为无效投标报价。</w:t>
      </w:r>
    </w:p>
    <w:p w14:paraId="420DEF5A">
      <w:pPr>
        <w:spacing w:line="400" w:lineRule="exact"/>
        <w:ind w:firstLine="48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第二步：在所有有效投标报价中满足招标文件要求，且投标价格最低的投标报价为评标基准价，</w:t>
      </w:r>
      <w:r>
        <w:rPr>
          <w:rFonts w:hint="eastAsia" w:ascii="宋体" w:hAnsi="宋体" w:cs="宋体"/>
          <w:b w:val="0"/>
          <w:bCs/>
          <w:color w:val="auto"/>
          <w:sz w:val="21"/>
          <w:szCs w:val="21"/>
          <w:highlight w:val="none"/>
          <w:lang w:val="en-US" w:eastAsia="zh-CN"/>
        </w:rPr>
        <w:t>其价格分为满分。</w:t>
      </w:r>
      <w:r>
        <w:rPr>
          <w:rFonts w:hint="eastAsia" w:ascii="宋体" w:hAnsi="宋体" w:eastAsia="宋体" w:cs="宋体"/>
          <w:b w:val="0"/>
          <w:bCs/>
          <w:color w:val="auto"/>
          <w:sz w:val="21"/>
          <w:szCs w:val="21"/>
          <w:highlight w:val="none"/>
        </w:rPr>
        <w:t>其他投标人的价格分按照下列公式计算（计算结果四舍五入保留两位小数）。</w:t>
      </w:r>
    </w:p>
    <w:p w14:paraId="6A90E3F5">
      <w:pPr>
        <w:spacing w:line="400" w:lineRule="exact"/>
        <w:ind w:firstLine="480"/>
        <w:rPr>
          <w:rFonts w:ascii="宋体" w:hAnsi="宋体"/>
          <w:color w:val="auto"/>
          <w:highlight w:val="none"/>
        </w:rPr>
      </w:pPr>
      <w:r>
        <w:rPr>
          <w:rFonts w:hint="eastAsia" w:ascii="宋体" w:hAnsi="宋体" w:eastAsia="宋体" w:cs="宋体"/>
          <w:b w:val="0"/>
          <w:bCs/>
          <w:color w:val="auto"/>
          <w:sz w:val="21"/>
          <w:szCs w:val="21"/>
          <w:highlight w:val="none"/>
        </w:rPr>
        <w:t>投标报价得分＝（评标基准价/投标报价）×</w:t>
      </w:r>
      <w:r>
        <w:rPr>
          <w:rFonts w:hint="eastAsia" w:ascii="宋体" w:hAnsi="宋体" w:cs="宋体"/>
          <w:b w:val="0"/>
          <w:bCs/>
          <w:color w:val="auto"/>
          <w:sz w:val="21"/>
          <w:szCs w:val="21"/>
          <w:highlight w:val="none"/>
          <w:lang w:val="en-US" w:eastAsia="zh-CN"/>
        </w:rPr>
        <w:t>2</w:t>
      </w:r>
      <w:r>
        <w:rPr>
          <w:rFonts w:hint="default" w:ascii="宋体" w:hAnsi="宋体" w:eastAsia="宋体" w:cs="宋体"/>
          <w:b w:val="0"/>
          <w:bCs/>
          <w:color w:val="auto"/>
          <w:sz w:val="21"/>
          <w:szCs w:val="21"/>
          <w:highlight w:val="none"/>
        </w:rPr>
        <w:t>0</w:t>
      </w:r>
      <w:r>
        <w:rPr>
          <w:rFonts w:hint="eastAsia" w:ascii="宋体" w:hAnsi="宋体" w:eastAsia="宋体" w:cs="宋体"/>
          <w:b w:val="0"/>
          <w:bCs/>
          <w:color w:val="auto"/>
          <w:sz w:val="21"/>
          <w:szCs w:val="21"/>
          <w:highlight w:val="none"/>
        </w:rPr>
        <w:t>％×100</w:t>
      </w:r>
    </w:p>
    <w:p w14:paraId="3998A6B3">
      <w:pPr>
        <w:numPr>
          <w:ilvl w:val="0"/>
          <w:numId w:val="25"/>
        </w:numPr>
        <w:spacing w:line="400" w:lineRule="exact"/>
        <w:ind w:left="0" w:firstLine="420"/>
        <w:rPr>
          <w:rFonts w:hint="eastAsia" w:ascii="宋体" w:hAnsi="宋体"/>
          <w:b/>
          <w:color w:val="auto"/>
          <w:highlight w:val="none"/>
        </w:rPr>
      </w:pPr>
      <w:r>
        <w:rPr>
          <w:rFonts w:hint="eastAsia" w:ascii="宋体" w:hAnsi="宋体"/>
          <w:b/>
          <w:color w:val="auto"/>
          <w:highlight w:val="none"/>
        </w:rPr>
        <w:t>运维方案（</w:t>
      </w:r>
      <w:r>
        <w:rPr>
          <w:rFonts w:hint="eastAsia" w:ascii="宋体" w:hAnsi="宋体"/>
          <w:b/>
          <w:color w:val="auto"/>
          <w:highlight w:val="none"/>
          <w:lang w:val="en-US" w:eastAsia="zh-CN"/>
        </w:rPr>
        <w:t>60</w:t>
      </w:r>
      <w:r>
        <w:rPr>
          <w:rFonts w:hint="eastAsia" w:ascii="宋体" w:hAnsi="宋体"/>
          <w:b/>
          <w:color w:val="auto"/>
          <w:highlight w:val="none"/>
        </w:rPr>
        <w:t>分）</w:t>
      </w:r>
    </w:p>
    <w:p w14:paraId="12B1F03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1、总体架构设计方案（1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14E69E0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评委根据投标单位针对本项目所提供的总体架构设计方案，进行综合评审：（1）化工园区综合平台（卡口车辆）管理；（2）化工园区</w:t>
      </w:r>
      <w:r>
        <w:rPr>
          <w:rFonts w:hint="eastAsia" w:ascii="宋体" w:hAnsi="宋体" w:eastAsia="宋体" w:cs="宋体"/>
          <w:color w:val="auto"/>
          <w:sz w:val="21"/>
          <w:szCs w:val="21"/>
          <w:highlight w:val="none"/>
          <w:lang w:val="en-US" w:eastAsia="zh-CN"/>
        </w:rPr>
        <w:t>智慧平台</w:t>
      </w:r>
      <w:r>
        <w:rPr>
          <w:rFonts w:hint="eastAsia" w:ascii="宋体" w:hAnsi="宋体" w:eastAsia="宋体" w:cs="宋体"/>
          <w:color w:val="auto"/>
          <w:sz w:val="21"/>
          <w:szCs w:val="21"/>
          <w:highlight w:val="none"/>
        </w:rPr>
        <w:t>重大危险源管理及</w:t>
      </w:r>
      <w:r>
        <w:rPr>
          <w:rFonts w:hint="eastAsia" w:ascii="宋体" w:hAnsi="宋体" w:eastAsia="宋体" w:cs="宋体"/>
          <w:color w:val="auto"/>
          <w:sz w:val="21"/>
          <w:szCs w:val="21"/>
          <w:highlight w:val="none"/>
          <w:lang w:val="en-US" w:eastAsia="zh-CN"/>
        </w:rPr>
        <w:t>预警处置</w:t>
      </w:r>
      <w:r>
        <w:rPr>
          <w:rFonts w:hint="eastAsia" w:ascii="宋体" w:hAnsi="宋体" w:eastAsia="宋体" w:cs="宋体"/>
          <w:color w:val="auto"/>
          <w:sz w:val="21"/>
          <w:szCs w:val="21"/>
          <w:highlight w:val="none"/>
        </w:rPr>
        <w:t>；（3）化工园区</w:t>
      </w:r>
      <w:r>
        <w:rPr>
          <w:rFonts w:hint="eastAsia" w:ascii="宋体" w:hAnsi="宋体" w:eastAsia="宋体" w:cs="宋体"/>
          <w:color w:val="auto"/>
          <w:sz w:val="21"/>
          <w:szCs w:val="21"/>
          <w:highlight w:val="none"/>
          <w:lang w:val="en-US" w:eastAsia="zh-CN"/>
        </w:rPr>
        <w:t>智慧平台</w:t>
      </w:r>
      <w:r>
        <w:rPr>
          <w:rFonts w:hint="eastAsia" w:ascii="宋体" w:hAnsi="宋体" w:eastAsia="宋体" w:cs="宋体"/>
          <w:color w:val="auto"/>
          <w:sz w:val="21"/>
          <w:szCs w:val="21"/>
          <w:highlight w:val="none"/>
        </w:rPr>
        <w:t>环保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安全、消防等模块</w:t>
      </w:r>
      <w:r>
        <w:rPr>
          <w:rFonts w:hint="eastAsia" w:ascii="宋体" w:hAnsi="宋体" w:eastAsia="宋体" w:cs="宋体"/>
          <w:color w:val="auto"/>
          <w:sz w:val="21"/>
          <w:szCs w:val="21"/>
          <w:highlight w:val="none"/>
        </w:rPr>
        <w:t>管理及预警（4）化工园区突发事件响应机制；（5）保密管理措施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方案内容</w:t>
      </w:r>
      <w:r>
        <w:rPr>
          <w:rFonts w:hint="eastAsia" w:ascii="宋体" w:hAnsi="宋体" w:cs="宋体"/>
          <w:color w:val="auto"/>
          <w:sz w:val="21"/>
          <w:szCs w:val="21"/>
          <w:highlight w:val="none"/>
          <w:lang w:val="en-US" w:eastAsia="zh-CN"/>
        </w:rPr>
        <w:t>完全</w:t>
      </w:r>
      <w:r>
        <w:rPr>
          <w:rFonts w:hint="eastAsia" w:ascii="宋体" w:hAnsi="宋体" w:eastAsia="宋体" w:cs="宋体"/>
          <w:color w:val="auto"/>
          <w:sz w:val="21"/>
          <w:szCs w:val="21"/>
          <w:highlight w:val="none"/>
          <w:lang w:val="en-US" w:eastAsia="zh-CN"/>
        </w:rPr>
        <w:t>针对本项目且符合本项目实际需求的，</w:t>
      </w:r>
      <w:r>
        <w:rPr>
          <w:rFonts w:hint="eastAsia" w:ascii="宋体" w:hAnsi="宋体"/>
          <w:color w:val="auto"/>
          <w:sz w:val="21"/>
          <w:szCs w:val="21"/>
          <w:highlight w:val="none"/>
        </w:rPr>
        <w:t>每提供一项得</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分，本项最高</w:t>
      </w:r>
      <w:r>
        <w:rPr>
          <w:rFonts w:hint="eastAsia" w:ascii="宋体" w:hAnsi="宋体"/>
          <w:color w:val="auto"/>
          <w:sz w:val="21"/>
          <w:szCs w:val="21"/>
          <w:highlight w:val="none"/>
          <w:lang w:val="en-US" w:eastAsia="zh-CN"/>
        </w:rPr>
        <w:t>15</w:t>
      </w:r>
      <w:r>
        <w:rPr>
          <w:rFonts w:hint="eastAsia" w:ascii="宋体" w:hAnsi="宋体"/>
          <w:color w:val="auto"/>
          <w:sz w:val="21"/>
          <w:szCs w:val="21"/>
          <w:highlight w:val="none"/>
        </w:rPr>
        <w:t>分</w:t>
      </w:r>
      <w:r>
        <w:rPr>
          <w:rFonts w:hint="eastAsia" w:ascii="宋体" w:hAnsi="宋体" w:eastAsia="宋体" w:cs="宋体"/>
          <w:color w:val="auto"/>
          <w:sz w:val="21"/>
          <w:szCs w:val="21"/>
          <w:highlight w:val="none"/>
        </w:rPr>
        <w:t>。</w:t>
      </w:r>
    </w:p>
    <w:p w14:paraId="648265E0">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2、运维运行管理方案（1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p w14:paraId="5A43D520">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投标人针对本项目的运维运行管理方案，方案至少包括：（1）</w:t>
      </w:r>
      <w:r>
        <w:rPr>
          <w:rFonts w:hint="eastAsia" w:ascii="宋体" w:hAnsi="宋体" w:eastAsia="宋体" w:cs="宋体"/>
          <w:color w:val="auto"/>
          <w:sz w:val="21"/>
          <w:szCs w:val="21"/>
          <w:highlight w:val="none"/>
          <w:lang w:val="en-US" w:eastAsia="zh-CN"/>
        </w:rPr>
        <w:t>运维人员</w:t>
      </w:r>
      <w:r>
        <w:rPr>
          <w:rFonts w:hint="eastAsia" w:ascii="宋体" w:hAnsi="宋体" w:eastAsia="宋体" w:cs="宋体"/>
          <w:color w:val="auto"/>
          <w:sz w:val="21"/>
          <w:szCs w:val="21"/>
          <w:highlight w:val="none"/>
        </w:rPr>
        <w:t>管理制度；（2）考勤</w:t>
      </w:r>
      <w:r>
        <w:rPr>
          <w:rFonts w:hint="eastAsia" w:ascii="宋体" w:hAnsi="宋体" w:eastAsia="宋体" w:cs="宋体"/>
          <w:color w:val="auto"/>
          <w:sz w:val="21"/>
          <w:szCs w:val="21"/>
          <w:highlight w:val="none"/>
          <w:lang w:val="en-US" w:eastAsia="zh-CN"/>
        </w:rPr>
        <w:t>制度计划</w:t>
      </w:r>
      <w:r>
        <w:rPr>
          <w:rFonts w:hint="eastAsia" w:ascii="宋体" w:hAnsi="宋体" w:eastAsia="宋体" w:cs="宋体"/>
          <w:color w:val="auto"/>
          <w:sz w:val="21"/>
          <w:szCs w:val="21"/>
          <w:highlight w:val="none"/>
        </w:rPr>
        <w:t>；（3）通讯录</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应急处置流程；（4）排班计划；（5）资产清单；（6）</w:t>
      </w:r>
      <w:r>
        <w:rPr>
          <w:rFonts w:hint="eastAsia" w:ascii="宋体" w:hAnsi="宋体" w:eastAsia="宋体" w:cs="宋体"/>
          <w:color w:val="auto"/>
          <w:sz w:val="21"/>
          <w:szCs w:val="21"/>
          <w:highlight w:val="none"/>
          <w:lang w:val="en-US" w:eastAsia="zh-CN"/>
        </w:rPr>
        <w:t>台账管理计划</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平台</w:t>
      </w:r>
      <w:r>
        <w:rPr>
          <w:rFonts w:hint="eastAsia" w:ascii="宋体" w:hAnsi="宋体" w:eastAsia="宋体" w:cs="宋体"/>
          <w:color w:val="auto"/>
          <w:sz w:val="21"/>
          <w:szCs w:val="21"/>
          <w:highlight w:val="none"/>
        </w:rPr>
        <w:t>巡检</w:t>
      </w:r>
      <w:r>
        <w:rPr>
          <w:rFonts w:hint="eastAsia" w:ascii="宋体" w:hAnsi="宋体" w:eastAsia="宋体" w:cs="宋体"/>
          <w:color w:val="auto"/>
          <w:sz w:val="21"/>
          <w:szCs w:val="21"/>
          <w:highlight w:val="none"/>
          <w:lang w:val="en-US" w:eastAsia="zh-CN"/>
        </w:rPr>
        <w:t>计划</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机房等巡查计划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运维人员培训计划</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方案内容</w:t>
      </w:r>
      <w:r>
        <w:rPr>
          <w:rFonts w:hint="eastAsia" w:ascii="宋体" w:hAnsi="宋体" w:cs="宋体"/>
          <w:color w:val="auto"/>
          <w:sz w:val="21"/>
          <w:szCs w:val="21"/>
          <w:highlight w:val="none"/>
          <w:lang w:val="en-US" w:eastAsia="zh-CN"/>
        </w:rPr>
        <w:t>完全</w:t>
      </w:r>
      <w:r>
        <w:rPr>
          <w:rFonts w:hint="eastAsia" w:ascii="宋体" w:hAnsi="宋体" w:eastAsia="宋体" w:cs="宋体"/>
          <w:color w:val="auto"/>
          <w:sz w:val="21"/>
          <w:szCs w:val="21"/>
          <w:highlight w:val="none"/>
          <w:lang w:val="en-US" w:eastAsia="zh-CN"/>
        </w:rPr>
        <w:t>针对本项目且符合本项目实际需求的，</w:t>
      </w:r>
      <w:r>
        <w:rPr>
          <w:rFonts w:hint="eastAsia" w:ascii="宋体" w:hAnsi="宋体"/>
          <w:color w:val="auto"/>
          <w:sz w:val="21"/>
          <w:szCs w:val="21"/>
          <w:highlight w:val="none"/>
        </w:rPr>
        <w:t>每提供一项得</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分，本项最高</w:t>
      </w:r>
      <w:r>
        <w:rPr>
          <w:rFonts w:hint="eastAsia" w:ascii="宋体" w:hAnsi="宋体"/>
          <w:color w:val="auto"/>
          <w:sz w:val="21"/>
          <w:szCs w:val="21"/>
          <w:highlight w:val="none"/>
          <w:lang w:val="en-US" w:eastAsia="zh-CN"/>
        </w:rPr>
        <w:t>18</w:t>
      </w:r>
      <w:r>
        <w:rPr>
          <w:rFonts w:hint="eastAsia" w:ascii="宋体" w:hAnsi="宋体"/>
          <w:color w:val="auto"/>
          <w:sz w:val="21"/>
          <w:szCs w:val="21"/>
          <w:highlight w:val="none"/>
        </w:rPr>
        <w:t>分</w:t>
      </w:r>
      <w:r>
        <w:rPr>
          <w:rFonts w:hint="eastAsia" w:ascii="宋体" w:hAnsi="宋体" w:eastAsia="宋体" w:cs="宋体"/>
          <w:color w:val="auto"/>
          <w:sz w:val="21"/>
          <w:szCs w:val="21"/>
          <w:highlight w:val="none"/>
        </w:rPr>
        <w:t>。</w:t>
      </w:r>
    </w:p>
    <w:p w14:paraId="520490EA">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3、运维质量保障方案（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0C312EE2">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投标人针对本项目的运维质量保障方案，方案至少包括：（1）人员服务质量控制；（2）作业风险控制；（3）质量监督机制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方案内容</w:t>
      </w:r>
      <w:r>
        <w:rPr>
          <w:rFonts w:hint="eastAsia" w:ascii="宋体" w:hAnsi="宋体" w:cs="宋体"/>
          <w:color w:val="auto"/>
          <w:sz w:val="21"/>
          <w:szCs w:val="21"/>
          <w:highlight w:val="none"/>
          <w:lang w:val="en-US" w:eastAsia="zh-CN"/>
        </w:rPr>
        <w:t>完全</w:t>
      </w:r>
      <w:r>
        <w:rPr>
          <w:rFonts w:hint="eastAsia" w:ascii="宋体" w:hAnsi="宋体" w:eastAsia="宋体" w:cs="宋体"/>
          <w:color w:val="auto"/>
          <w:sz w:val="21"/>
          <w:szCs w:val="21"/>
          <w:highlight w:val="none"/>
          <w:lang w:val="en-US" w:eastAsia="zh-CN"/>
        </w:rPr>
        <w:t>针对本项目且符合本项目实际需求的，</w:t>
      </w:r>
      <w:r>
        <w:rPr>
          <w:rFonts w:hint="eastAsia" w:ascii="宋体" w:hAnsi="宋体"/>
          <w:color w:val="auto"/>
          <w:sz w:val="21"/>
          <w:szCs w:val="21"/>
          <w:highlight w:val="none"/>
        </w:rPr>
        <w:t>每提供一项得</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分，本项最高</w:t>
      </w:r>
      <w:r>
        <w:rPr>
          <w:rFonts w:hint="eastAsia" w:ascii="宋体" w:hAnsi="宋体"/>
          <w:color w:val="auto"/>
          <w:sz w:val="21"/>
          <w:szCs w:val="21"/>
          <w:highlight w:val="none"/>
          <w:lang w:val="en-US" w:eastAsia="zh-CN"/>
        </w:rPr>
        <w:t>9</w:t>
      </w:r>
      <w:r>
        <w:rPr>
          <w:rFonts w:hint="eastAsia" w:ascii="宋体" w:hAnsi="宋体"/>
          <w:color w:val="auto"/>
          <w:sz w:val="21"/>
          <w:szCs w:val="21"/>
          <w:highlight w:val="none"/>
        </w:rPr>
        <w:t>分</w:t>
      </w:r>
      <w:r>
        <w:rPr>
          <w:rFonts w:hint="eastAsia" w:ascii="宋体" w:hAnsi="宋体" w:eastAsia="宋体" w:cs="宋体"/>
          <w:color w:val="auto"/>
          <w:sz w:val="21"/>
          <w:szCs w:val="21"/>
          <w:highlight w:val="none"/>
        </w:rPr>
        <w:t>。</w:t>
      </w:r>
    </w:p>
    <w:p w14:paraId="71AF3D83">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4、应急处置措施（</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61B08FCF">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投标人针对本项目的应急处置措施，措施至少包括：（1）人员应急预案；（2）设备应急方案；（3）突发安全预案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方案内容</w:t>
      </w:r>
      <w:r>
        <w:rPr>
          <w:rFonts w:hint="eastAsia" w:ascii="宋体" w:hAnsi="宋体" w:cs="宋体"/>
          <w:color w:val="auto"/>
          <w:sz w:val="21"/>
          <w:szCs w:val="21"/>
          <w:highlight w:val="none"/>
          <w:lang w:val="en-US" w:eastAsia="zh-CN"/>
        </w:rPr>
        <w:t>完全</w:t>
      </w:r>
      <w:r>
        <w:rPr>
          <w:rFonts w:hint="eastAsia" w:ascii="宋体" w:hAnsi="宋体" w:eastAsia="宋体" w:cs="宋体"/>
          <w:color w:val="auto"/>
          <w:sz w:val="21"/>
          <w:szCs w:val="21"/>
          <w:highlight w:val="none"/>
          <w:lang w:val="en-US" w:eastAsia="zh-CN"/>
        </w:rPr>
        <w:t>针对本项目且符合本项目实际需求的，</w:t>
      </w:r>
      <w:r>
        <w:rPr>
          <w:rFonts w:hint="eastAsia" w:ascii="宋体" w:hAnsi="宋体"/>
          <w:color w:val="auto"/>
          <w:sz w:val="21"/>
          <w:szCs w:val="21"/>
          <w:highlight w:val="none"/>
        </w:rPr>
        <w:t>每提供一项得</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分，本项最高</w:t>
      </w:r>
      <w:r>
        <w:rPr>
          <w:rFonts w:hint="eastAsia" w:ascii="宋体" w:hAnsi="宋体"/>
          <w:color w:val="auto"/>
          <w:sz w:val="21"/>
          <w:szCs w:val="21"/>
          <w:highlight w:val="none"/>
          <w:lang w:val="en-US" w:eastAsia="zh-CN"/>
        </w:rPr>
        <w:t>9</w:t>
      </w:r>
      <w:r>
        <w:rPr>
          <w:rFonts w:hint="eastAsia" w:ascii="宋体" w:hAnsi="宋体"/>
          <w:color w:val="auto"/>
          <w:sz w:val="21"/>
          <w:szCs w:val="21"/>
          <w:highlight w:val="none"/>
        </w:rPr>
        <w:t>分</w:t>
      </w:r>
      <w:r>
        <w:rPr>
          <w:rFonts w:hint="eastAsia" w:ascii="宋体" w:hAnsi="宋体" w:eastAsia="宋体" w:cs="宋体"/>
          <w:color w:val="auto"/>
          <w:sz w:val="21"/>
          <w:szCs w:val="21"/>
          <w:highlight w:val="none"/>
        </w:rPr>
        <w:t>。</w:t>
      </w:r>
    </w:p>
    <w:p w14:paraId="04E95757">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5、运维人员培训方案（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4657589C">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由评委根据投标方案的运维人员培训方案进行评审。方案至少包括：（1）工作流程培训；（2）运维规章制度培训；（3）运维各岗位职责培训。</w:t>
      </w:r>
      <w:r>
        <w:rPr>
          <w:rFonts w:hint="eastAsia" w:ascii="宋体" w:hAnsi="宋体" w:eastAsia="宋体" w:cs="宋体"/>
          <w:color w:val="auto"/>
          <w:sz w:val="21"/>
          <w:szCs w:val="21"/>
          <w:highlight w:val="none"/>
          <w:lang w:val="en-US" w:eastAsia="zh-CN"/>
        </w:rPr>
        <w:t>方案内容</w:t>
      </w:r>
      <w:r>
        <w:rPr>
          <w:rFonts w:hint="eastAsia" w:ascii="宋体" w:hAnsi="宋体" w:cs="宋体"/>
          <w:color w:val="auto"/>
          <w:sz w:val="21"/>
          <w:szCs w:val="21"/>
          <w:highlight w:val="none"/>
          <w:lang w:val="en-US" w:eastAsia="zh-CN"/>
        </w:rPr>
        <w:t>完全</w:t>
      </w:r>
      <w:r>
        <w:rPr>
          <w:rFonts w:hint="eastAsia" w:ascii="宋体" w:hAnsi="宋体" w:eastAsia="宋体" w:cs="宋体"/>
          <w:color w:val="auto"/>
          <w:sz w:val="21"/>
          <w:szCs w:val="21"/>
          <w:highlight w:val="none"/>
          <w:lang w:val="en-US" w:eastAsia="zh-CN"/>
        </w:rPr>
        <w:t>针对本项目且符合本项目实际需求的，</w:t>
      </w:r>
      <w:r>
        <w:rPr>
          <w:rFonts w:hint="eastAsia" w:ascii="宋体" w:hAnsi="宋体"/>
          <w:color w:val="auto"/>
          <w:sz w:val="21"/>
          <w:szCs w:val="21"/>
          <w:highlight w:val="none"/>
        </w:rPr>
        <w:t>每提供一项得</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分，本项最高</w:t>
      </w:r>
      <w:r>
        <w:rPr>
          <w:rFonts w:hint="eastAsia" w:ascii="宋体" w:hAnsi="宋体"/>
          <w:color w:val="auto"/>
          <w:sz w:val="21"/>
          <w:szCs w:val="21"/>
          <w:highlight w:val="none"/>
          <w:lang w:val="en-US" w:eastAsia="zh-CN"/>
        </w:rPr>
        <w:t>9</w:t>
      </w:r>
      <w:r>
        <w:rPr>
          <w:rFonts w:hint="eastAsia" w:ascii="宋体" w:hAnsi="宋体"/>
          <w:color w:val="auto"/>
          <w:sz w:val="21"/>
          <w:szCs w:val="21"/>
          <w:highlight w:val="none"/>
        </w:rPr>
        <w:t>分</w:t>
      </w:r>
      <w:r>
        <w:rPr>
          <w:rFonts w:hint="eastAsia" w:ascii="宋体" w:hAnsi="宋体" w:eastAsia="宋体" w:cs="宋体"/>
          <w:color w:val="auto"/>
          <w:sz w:val="21"/>
          <w:szCs w:val="21"/>
          <w:highlight w:val="none"/>
        </w:rPr>
        <w:t>。</w:t>
      </w:r>
    </w:p>
    <w:p w14:paraId="3BC51D46">
      <w:pPr>
        <w:keepNext w:val="0"/>
        <w:keepLines w:val="0"/>
        <w:pageBreakBefore w:val="0"/>
        <w:widowControl w:val="0"/>
        <w:numPr>
          <w:ilvl w:val="0"/>
          <w:numId w:val="25"/>
        </w:numPr>
        <w:spacing w:line="360" w:lineRule="auto"/>
        <w:ind w:left="0" w:firstLine="420"/>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企业实力（20分）</w:t>
      </w:r>
    </w:p>
    <w:p w14:paraId="00C53D95">
      <w:pPr>
        <w:keepNext w:val="0"/>
        <w:keepLines w:val="0"/>
        <w:pageBreakBefore w:val="0"/>
        <w:widowControl w:val="0"/>
        <w:numPr>
          <w:ilvl w:val="0"/>
          <w:numId w:val="0"/>
        </w:numPr>
        <w:spacing w:line="360" w:lineRule="auto"/>
        <w:ind w:left="420"/>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1、</w:t>
      </w:r>
      <w:r>
        <w:rPr>
          <w:rFonts w:hint="eastAsia" w:ascii="宋体" w:hAnsi="宋体" w:eastAsia="宋体" w:cs="宋体"/>
          <w:color w:val="auto"/>
          <w:sz w:val="21"/>
          <w:szCs w:val="21"/>
          <w:highlight w:val="none"/>
        </w:rPr>
        <w:t>项目团队（</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783CE5F5">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团队成员中具有安全或环保相关专业中级及以上职称的，每有一个的得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分，本项最多得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须</w:t>
      </w:r>
      <w:r>
        <w:rPr>
          <w:rFonts w:hint="eastAsia" w:ascii="宋体" w:hAnsi="宋体" w:eastAsia="宋体" w:cs="宋体"/>
          <w:color w:val="auto"/>
          <w:sz w:val="21"/>
          <w:szCs w:val="21"/>
          <w:highlight w:val="none"/>
        </w:rPr>
        <w:t>提供上述相关人员证书、证明</w:t>
      </w:r>
      <w:r>
        <w:rPr>
          <w:rFonts w:hint="eastAsia" w:ascii="宋体" w:hAnsi="宋体" w:eastAsia="宋体" w:cs="宋体"/>
          <w:color w:val="auto"/>
          <w:sz w:val="21"/>
          <w:szCs w:val="21"/>
          <w:highlight w:val="none"/>
          <w:lang w:val="en-US" w:eastAsia="zh-CN"/>
        </w:rPr>
        <w:t>材料扫描件</w:t>
      </w:r>
      <w:r>
        <w:rPr>
          <w:rFonts w:hint="eastAsia" w:ascii="宋体" w:hAnsi="宋体" w:eastAsia="宋体" w:cs="宋体"/>
          <w:color w:val="auto"/>
          <w:sz w:val="21"/>
          <w:szCs w:val="21"/>
          <w:highlight w:val="none"/>
        </w:rPr>
        <w:t>，未提供不得分。</w:t>
      </w:r>
    </w:p>
    <w:p w14:paraId="50C8B844">
      <w:pPr>
        <w:keepNext w:val="0"/>
        <w:keepLines w:val="0"/>
        <w:pageBreakBefore w:val="0"/>
        <w:widowControl w:val="0"/>
        <w:numPr>
          <w:ilvl w:val="0"/>
          <w:numId w:val="0"/>
        </w:numPr>
        <w:spacing w:line="360" w:lineRule="auto"/>
        <w:ind w:left="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2、业绩（16分）</w:t>
      </w:r>
    </w:p>
    <w:p w14:paraId="1E45B025">
      <w:pPr>
        <w:pStyle w:val="253"/>
        <w:keepNext w:val="0"/>
        <w:keepLines w:val="0"/>
        <w:pageBreakBefore w:val="0"/>
        <w:widowControl w:val="0"/>
        <w:numPr>
          <w:ilvl w:val="0"/>
          <w:numId w:val="0"/>
        </w:numP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投标单位自202</w:t>
      </w:r>
      <w:r>
        <w:rPr>
          <w:rFonts w:hint="eastAsia"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06</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1日至今（以合同签订日期为准）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曾签订类似指挥中心、化工（危化）企业的中控运维、智能生产</w:t>
      </w:r>
      <w:r>
        <w:rPr>
          <w:rFonts w:hint="eastAsia"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视频监控等智能化信息化系统运营或维护相关业绩合同（以合同为准），</w:t>
      </w:r>
      <w:r>
        <w:rPr>
          <w:rFonts w:hint="eastAsia" w:ascii="宋体" w:hAnsi="宋体" w:eastAsia="宋体" w:cs="宋体"/>
          <w:color w:val="auto"/>
          <w:sz w:val="21"/>
          <w:szCs w:val="21"/>
          <w:highlight w:val="none"/>
          <w:lang w:val="en-US" w:eastAsia="zh-CN"/>
        </w:rPr>
        <w:t>每</w:t>
      </w:r>
      <w:r>
        <w:rPr>
          <w:rFonts w:hint="eastAsia" w:ascii="宋体" w:hAnsi="宋体" w:eastAsia="宋体" w:cs="宋体"/>
          <w:color w:val="auto"/>
          <w:sz w:val="21"/>
          <w:szCs w:val="21"/>
          <w:highlight w:val="none"/>
        </w:rPr>
        <w:t>有1个得2分</w:t>
      </w:r>
      <w:r>
        <w:rPr>
          <w:rFonts w:hint="eastAsia" w:hAnsi="宋体" w:eastAsia="宋体" w:cs="宋体"/>
          <w:color w:val="auto"/>
          <w:sz w:val="21"/>
          <w:szCs w:val="21"/>
          <w:highlight w:val="none"/>
          <w:lang w:val="en-US" w:eastAsia="zh-CN"/>
        </w:rPr>
        <w:t>；同时</w:t>
      </w:r>
      <w:r>
        <w:rPr>
          <w:rFonts w:hint="eastAsia" w:ascii="宋体" w:hAnsi="宋体" w:eastAsia="宋体" w:cs="宋体"/>
          <w:color w:val="auto"/>
          <w:sz w:val="21"/>
          <w:szCs w:val="21"/>
          <w:highlight w:val="none"/>
          <w:lang w:val="en-US" w:eastAsia="zh-CN"/>
        </w:rPr>
        <w:t>类似</w:t>
      </w:r>
      <w:r>
        <w:rPr>
          <w:rFonts w:hint="eastAsia" w:hAnsi="宋体" w:eastAsia="宋体" w:cs="宋体"/>
          <w:color w:val="auto"/>
          <w:sz w:val="21"/>
          <w:szCs w:val="21"/>
          <w:highlight w:val="none"/>
          <w:lang w:val="en-US" w:eastAsia="zh-CN"/>
        </w:rPr>
        <w:t>业绩能提供具</w:t>
      </w:r>
      <w:r>
        <w:rPr>
          <w:rFonts w:hint="eastAsia" w:ascii="宋体" w:hAnsi="宋体" w:eastAsia="宋体" w:cs="宋体"/>
          <w:color w:val="auto"/>
          <w:sz w:val="21"/>
          <w:szCs w:val="21"/>
          <w:highlight w:val="none"/>
          <w:lang w:val="en-US" w:eastAsia="zh-CN"/>
        </w:rPr>
        <w:t>有相关的年度报告或履约验收报告</w:t>
      </w:r>
      <w:r>
        <w:rPr>
          <w:rFonts w:hint="eastAsia"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，且运行情况良好、运维顺利的，每有1个得2分</w:t>
      </w:r>
      <w:r>
        <w:rPr>
          <w:rFonts w:hint="eastAsia"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本项最高1</w:t>
      </w:r>
      <w:r>
        <w:rPr>
          <w:rFonts w:hint="eastAsia"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。需提供</w:t>
      </w:r>
      <w:r>
        <w:rPr>
          <w:rFonts w:hint="eastAsia" w:ascii="宋体" w:hAnsi="宋体" w:eastAsia="宋体" w:cs="宋体"/>
          <w:color w:val="auto"/>
          <w:sz w:val="21"/>
          <w:szCs w:val="21"/>
          <w:highlight w:val="none"/>
          <w:lang w:val="en-US" w:eastAsia="zh-CN"/>
        </w:rPr>
        <w:t>合同</w:t>
      </w:r>
      <w:r>
        <w:rPr>
          <w:rFonts w:hint="eastAsia"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年度报告或履约验收报告扫描件，未提供不得分</w:t>
      </w:r>
      <w:r>
        <w:rPr>
          <w:rFonts w:hint="eastAsia" w:ascii="宋体" w:hAnsi="宋体" w:eastAsia="宋体" w:cs="宋体"/>
          <w:color w:val="auto"/>
          <w:sz w:val="21"/>
          <w:szCs w:val="21"/>
          <w:highlight w:val="none"/>
          <w:lang w:eastAsia="zh-CN"/>
        </w:rPr>
        <w:t>。</w:t>
      </w:r>
    </w:p>
    <w:p w14:paraId="3C1A416C">
      <w:pPr>
        <w:pStyle w:val="253"/>
        <w:spacing w:line="400" w:lineRule="exact"/>
        <w:ind w:firstLine="420"/>
        <w:rPr>
          <w:rFonts w:hint="eastAsia" w:ascii="宋体" w:hAnsi="宋体" w:eastAsia="宋体" w:cs="Times New Roman"/>
          <w:color w:val="auto"/>
          <w:sz w:val="24"/>
          <w:szCs w:val="24"/>
          <w:highlight w:val="none"/>
        </w:rPr>
      </w:pPr>
    </w:p>
    <w:p w14:paraId="3AFC3A25">
      <w:pPr>
        <w:pStyle w:val="253"/>
        <w:spacing w:line="400" w:lineRule="exact"/>
        <w:ind w:firstLine="420"/>
        <w:rPr>
          <w:rFonts w:hAnsi="宋体" w:eastAsia="宋体" w:cs="宋体"/>
          <w:bCs/>
          <w:color w:val="auto"/>
          <w:sz w:val="21"/>
          <w:highlight w:val="none"/>
        </w:rPr>
      </w:pPr>
      <w:r>
        <w:rPr>
          <w:rFonts w:hint="eastAsia" w:hAnsi="宋体" w:eastAsia="宋体" w:cs="宋体"/>
          <w:bCs/>
          <w:color w:val="auto"/>
          <w:sz w:val="21"/>
          <w:highlight w:val="none"/>
        </w:rPr>
        <w:t>注：</w:t>
      </w:r>
    </w:p>
    <w:p w14:paraId="553F8832">
      <w:pPr>
        <w:pStyle w:val="253"/>
        <w:spacing w:line="400" w:lineRule="exact"/>
        <w:ind w:firstLine="420"/>
        <w:rPr>
          <w:rFonts w:hAnsi="宋体" w:eastAsia="宋体" w:cs="宋体"/>
          <w:bCs/>
          <w:color w:val="auto"/>
          <w:sz w:val="21"/>
          <w:highlight w:val="none"/>
        </w:rPr>
      </w:pPr>
      <w:r>
        <w:rPr>
          <w:rFonts w:hint="eastAsia" w:hAnsi="宋体" w:eastAsia="宋体" w:cs="宋体"/>
          <w:bCs/>
          <w:color w:val="auto"/>
          <w:sz w:val="21"/>
          <w:highlight w:val="none"/>
        </w:rPr>
        <w:t>1、报价超过采购预算的为无效投标。</w:t>
      </w:r>
    </w:p>
    <w:p w14:paraId="4AD4243B">
      <w:pPr>
        <w:spacing w:line="400" w:lineRule="exact"/>
        <w:rPr>
          <w:rFonts w:ascii="宋体" w:hAnsi="宋体"/>
          <w:bCs/>
          <w:color w:val="auto"/>
          <w:highlight w:val="none"/>
        </w:rPr>
      </w:pPr>
      <w:r>
        <w:rPr>
          <w:rFonts w:hint="eastAsia" w:ascii="宋体" w:hAnsi="宋体"/>
          <w:bCs/>
          <w:color w:val="auto"/>
          <w:highlight w:val="none"/>
        </w:rPr>
        <w:t xml:space="preserve">    2、针对评分标准中评分的每一条，投标人均应提供相关的电子资料并作出相应说明供评委评判，不提供相关资料的视为不具备该项得分的条件。</w:t>
      </w:r>
    </w:p>
    <w:p w14:paraId="5C87E118">
      <w:pPr>
        <w:spacing w:line="400" w:lineRule="exact"/>
        <w:ind w:firstLine="420"/>
        <w:rPr>
          <w:rFonts w:ascii="宋体" w:hAnsi="宋体"/>
          <w:bCs/>
          <w:color w:val="auto"/>
          <w:highlight w:val="none"/>
        </w:rPr>
      </w:pPr>
      <w:r>
        <w:rPr>
          <w:rFonts w:hint="eastAsia" w:ascii="宋体" w:hAnsi="宋体"/>
          <w:bCs/>
          <w:color w:val="auto"/>
          <w:highlight w:val="none"/>
        </w:rPr>
        <w:t>3、所有要求提供的扫描件需字迹须清晰可见,不全或字迹不清晰的，视为未提供。</w:t>
      </w:r>
    </w:p>
    <w:p w14:paraId="672AFAD6">
      <w:pPr>
        <w:spacing w:line="400" w:lineRule="exact"/>
        <w:ind w:firstLine="420"/>
        <w:rPr>
          <w:rFonts w:ascii="宋体" w:hAnsi="宋体"/>
          <w:bCs/>
          <w:color w:val="auto"/>
          <w:highlight w:val="none"/>
        </w:rPr>
      </w:pPr>
      <w:r>
        <w:rPr>
          <w:rFonts w:hint="eastAsia" w:ascii="宋体" w:hAnsi="宋体"/>
          <w:bCs/>
          <w:color w:val="auto"/>
          <w:highlight w:val="none"/>
        </w:rPr>
        <w:t>4、防止虚假应标，招标单位保留调查的权利，并由此引发的一切调查与诉讼费用由投标方承担。</w:t>
      </w:r>
    </w:p>
    <w:p w14:paraId="3534B681">
      <w:pPr>
        <w:spacing w:line="400" w:lineRule="exact"/>
        <w:ind w:firstLine="420"/>
        <w:rPr>
          <w:rFonts w:ascii="宋体" w:hAnsi="宋体"/>
          <w:bCs/>
          <w:color w:val="auto"/>
          <w:highlight w:val="none"/>
        </w:rPr>
      </w:pPr>
      <w:r>
        <w:rPr>
          <w:rFonts w:hint="eastAsia" w:ascii="宋体" w:hAnsi="宋体"/>
          <w:bCs/>
          <w:color w:val="auto"/>
          <w:highlight w:val="none"/>
        </w:rPr>
        <w:t>5、评标委员会可以书面方式要求投标人对投标文件中含义不明、对同类问题表述不一致或有明显文字及计算错误的内容作必要澄清、说明和补正。如投标人拒绝上述请求，则视为其投标无效。</w:t>
      </w:r>
    </w:p>
    <w:p w14:paraId="1B6C0DA9">
      <w:pPr>
        <w:spacing w:line="400" w:lineRule="exact"/>
        <w:ind w:firstLine="420"/>
        <w:rPr>
          <w:rFonts w:asciiTheme="minorEastAsia" w:hAnsiTheme="minorEastAsia" w:eastAsiaTheme="minorEastAsia"/>
          <w:color w:val="auto"/>
          <w:highlight w:val="none"/>
        </w:rPr>
      </w:pPr>
      <w:r>
        <w:rPr>
          <w:rFonts w:hint="eastAsia" w:ascii="宋体" w:hAnsi="宋体"/>
          <w:color w:val="auto"/>
          <w:highlight w:val="none"/>
        </w:rPr>
        <w:t>6、请按要求填写“技术、商务评分标准对应情况表”，以方便评审。</w:t>
      </w:r>
      <w:r>
        <w:rPr>
          <w:rFonts w:asciiTheme="minorEastAsia" w:hAnsiTheme="minorEastAsia" w:eastAsiaTheme="minorEastAsia"/>
          <w:color w:val="auto"/>
          <w:highlight w:val="none"/>
        </w:rPr>
        <w:br w:type="page" w:clear="all"/>
      </w:r>
    </w:p>
    <w:p w14:paraId="47C6B4ED">
      <w:pPr>
        <w:spacing w:line="360" w:lineRule="auto"/>
        <w:jc w:val="center"/>
        <w:rPr>
          <w:b/>
          <w:color w:val="auto"/>
          <w:sz w:val="36"/>
          <w:szCs w:val="36"/>
          <w:highlight w:val="none"/>
        </w:rPr>
      </w:pPr>
      <w:r>
        <w:rPr>
          <w:rFonts w:hint="eastAsia" w:hAnsi="宋体"/>
          <w:b/>
          <w:color w:val="auto"/>
          <w:sz w:val="28"/>
          <w:szCs w:val="28"/>
          <w:highlight w:val="none"/>
        </w:rPr>
        <w:t>第六部分   合同格式</w:t>
      </w:r>
      <w:bookmarkEnd w:id="11"/>
      <w:bookmarkEnd w:id="12"/>
      <w:bookmarkEnd w:id="13"/>
      <w:bookmarkEnd w:id="14"/>
    </w:p>
    <w:p w14:paraId="4F7CC433">
      <w:pPr>
        <w:spacing w:line="360" w:lineRule="auto"/>
        <w:jc w:val="center"/>
        <w:rPr>
          <w:rFonts w:hint="eastAsia" w:ascii="宋体" w:hAnsi="宋体" w:cs="宋体"/>
          <w:b/>
          <w:color w:val="auto"/>
          <w:sz w:val="72"/>
          <w:szCs w:val="72"/>
          <w:highlight w:val="none"/>
        </w:rPr>
      </w:pPr>
    </w:p>
    <w:p w14:paraId="5CB42A16">
      <w:pPr>
        <w:spacing w:line="480" w:lineRule="auto"/>
        <w:jc w:val="center"/>
        <w:rPr>
          <w:rFonts w:hint="default" w:ascii="宋体" w:hAnsi="Times New Roman" w:eastAsia="宋体" w:cs="宋体"/>
          <w:b/>
          <w:color w:val="auto"/>
          <w:sz w:val="72"/>
          <w:szCs w:val="72"/>
          <w:highlight w:val="none"/>
        </w:rPr>
      </w:pPr>
      <w:r>
        <w:rPr>
          <w:rFonts w:hint="default" w:ascii="宋体" w:hAnsi="Times New Roman" w:eastAsia="宋体" w:cs="宋体"/>
          <w:b/>
          <w:color w:val="auto"/>
          <w:sz w:val="72"/>
          <w:szCs w:val="72"/>
          <w:highlight w:val="none"/>
        </w:rPr>
        <w:t>政府采购合同</w:t>
      </w:r>
    </w:p>
    <w:p w14:paraId="6988F6B1">
      <w:pPr>
        <w:spacing w:line="480" w:lineRule="auto"/>
        <w:jc w:val="center"/>
        <w:rPr>
          <w:rFonts w:hint="default" w:ascii="宋体" w:hAnsi="Times New Roman" w:eastAsia="宋体" w:cs="宋体"/>
          <w:b/>
          <w:color w:val="auto"/>
          <w:sz w:val="32"/>
          <w:szCs w:val="32"/>
          <w:highlight w:val="none"/>
        </w:rPr>
      </w:pPr>
      <w:r>
        <w:rPr>
          <w:rFonts w:hint="eastAsia" w:ascii="宋体" w:hAnsi="Times New Roman" w:eastAsia="宋体" w:cs="宋体"/>
          <w:b/>
          <w:color w:val="auto"/>
          <w:sz w:val="32"/>
          <w:szCs w:val="32"/>
          <w:highlight w:val="none"/>
        </w:rPr>
        <w:t>（服务类）</w:t>
      </w:r>
    </w:p>
    <w:p w14:paraId="370CB5C5">
      <w:pPr>
        <w:jc w:val="left"/>
        <w:rPr>
          <w:rFonts w:hint="default" w:ascii="宋体" w:hAnsi="Times New Roman" w:eastAsia="宋体" w:cs="宋体"/>
          <w:color w:val="auto"/>
          <w:sz w:val="24"/>
          <w:szCs w:val="24"/>
          <w:highlight w:val="none"/>
        </w:rPr>
      </w:pPr>
    </w:p>
    <w:p w14:paraId="184CFCD0">
      <w:pPr>
        <w:jc w:val="left"/>
        <w:rPr>
          <w:rFonts w:hint="default" w:ascii="宋体" w:hAnsi="Times New Roman" w:eastAsia="宋体" w:cs="宋体"/>
          <w:color w:val="auto"/>
          <w:sz w:val="24"/>
          <w:szCs w:val="24"/>
          <w:highlight w:val="none"/>
        </w:rPr>
      </w:pPr>
    </w:p>
    <w:p w14:paraId="22F923BF">
      <w:pPr>
        <w:jc w:val="left"/>
        <w:rPr>
          <w:rFonts w:hint="default" w:ascii="宋体" w:hAnsi="Times New Roman" w:eastAsia="宋体" w:cs="宋体"/>
          <w:color w:val="auto"/>
          <w:sz w:val="24"/>
          <w:szCs w:val="24"/>
          <w:highlight w:val="none"/>
        </w:rPr>
      </w:pPr>
    </w:p>
    <w:p w14:paraId="3CDAEA1F">
      <w:pPr>
        <w:jc w:val="left"/>
        <w:rPr>
          <w:rFonts w:hint="default" w:ascii="宋体" w:hAnsi="Times New Roman" w:eastAsia="宋体" w:cs="宋体"/>
          <w:color w:val="auto"/>
          <w:sz w:val="24"/>
          <w:szCs w:val="24"/>
          <w:highlight w:val="none"/>
        </w:rPr>
      </w:pPr>
    </w:p>
    <w:p w14:paraId="3719714F">
      <w:pPr>
        <w:spacing w:before="120" w:line="22" w:lineRule="atLeast"/>
        <w:jc w:val="left"/>
        <w:rPr>
          <w:rFonts w:hint="default" w:ascii="宋体" w:hAnsi="Times New Roman" w:eastAsia="宋体" w:cs="宋体"/>
          <w:color w:val="auto"/>
          <w:sz w:val="24"/>
          <w:szCs w:val="24"/>
          <w:highlight w:val="none"/>
        </w:rPr>
      </w:pPr>
    </w:p>
    <w:p w14:paraId="1C2066D1">
      <w:pPr>
        <w:spacing w:before="120" w:line="360" w:lineRule="auto"/>
        <w:ind w:left="1430"/>
        <w:jc w:val="left"/>
        <w:rPr>
          <w:rFonts w:hint="default" w:ascii="宋体" w:hAnsi="Times New Roman" w:eastAsia="宋体" w:cs="宋体"/>
          <w:color w:val="auto"/>
          <w:sz w:val="28"/>
          <w:szCs w:val="28"/>
          <w:highlight w:val="none"/>
        </w:rPr>
      </w:pPr>
      <w:r>
        <w:rPr>
          <w:rFonts w:hint="eastAsia" w:ascii="宋体" w:hAnsi="Times New Roman" w:eastAsia="宋体" w:cs="宋体"/>
          <w:color w:val="auto"/>
          <w:sz w:val="28"/>
          <w:szCs w:val="28"/>
          <w:highlight w:val="none"/>
        </w:rPr>
        <w:t>项目名称：</w:t>
      </w:r>
      <w:r>
        <w:rPr>
          <w:rFonts w:hint="eastAsia" w:ascii="宋体" w:cs="宋体"/>
          <w:color w:val="auto"/>
          <w:sz w:val="28"/>
          <w:szCs w:val="28"/>
          <w:highlight w:val="none"/>
          <w:lang w:eastAsia="zh-CN"/>
        </w:rPr>
        <w:t>2026年度化工园区应急指挥中心运维服务</w:t>
      </w:r>
      <w:r>
        <w:rPr>
          <w:rFonts w:hint="default" w:ascii="宋体" w:hAnsi="Times New Roman" w:eastAsia="宋体" w:cs="宋体"/>
          <w:color w:val="auto"/>
          <w:sz w:val="28"/>
          <w:szCs w:val="28"/>
          <w:highlight w:val="none"/>
        </w:rPr>
        <w:t xml:space="preserve"> </w:t>
      </w:r>
    </w:p>
    <w:p w14:paraId="0B7A6A84">
      <w:pPr>
        <w:spacing w:before="120" w:line="360" w:lineRule="auto"/>
        <w:ind w:left="1430"/>
        <w:jc w:val="left"/>
        <w:rPr>
          <w:rFonts w:hint="eastAsia" w:ascii="宋体" w:hAnsi="Times New Roman" w:eastAsia="宋体" w:cs="宋体"/>
          <w:color w:val="auto"/>
          <w:sz w:val="28"/>
          <w:szCs w:val="28"/>
          <w:highlight w:val="none"/>
          <w:u w:val="none"/>
          <w:lang w:eastAsia="zh-CN"/>
        </w:rPr>
      </w:pPr>
      <w:r>
        <w:rPr>
          <w:rFonts w:hint="eastAsia" w:ascii="宋体" w:hAnsi="Times New Roman" w:eastAsia="宋体" w:cs="宋体"/>
          <w:color w:val="auto"/>
          <w:sz w:val="28"/>
          <w:szCs w:val="28"/>
          <w:highlight w:val="none"/>
        </w:rPr>
        <w:t>甲方：</w:t>
      </w:r>
      <w:r>
        <w:rPr>
          <w:rFonts w:hint="eastAsia" w:ascii="宋体" w:hAnsi="Times New Roman" w:eastAsia="宋体" w:cs="宋体"/>
          <w:color w:val="auto"/>
          <w:sz w:val="28"/>
          <w:szCs w:val="28"/>
          <w:highlight w:val="none"/>
          <w:u w:val="none"/>
          <w:lang w:eastAsia="zh-CN"/>
        </w:rPr>
        <w:t>太仓港经济技术开发区管理委员会</w:t>
      </w:r>
    </w:p>
    <w:p w14:paraId="10AC0F64">
      <w:pPr>
        <w:spacing w:before="120" w:line="360" w:lineRule="auto"/>
        <w:ind w:left="1430"/>
        <w:jc w:val="left"/>
        <w:rPr>
          <w:rFonts w:hint="eastAsia" w:ascii="宋体" w:hAnsi="Times New Roman" w:eastAsia="宋体" w:cs="宋体"/>
          <w:color w:val="auto"/>
          <w:sz w:val="28"/>
          <w:szCs w:val="28"/>
          <w:highlight w:val="none"/>
        </w:rPr>
      </w:pPr>
      <w:r>
        <w:rPr>
          <w:rFonts w:hint="eastAsia" w:ascii="宋体" w:hAnsi="Times New Roman" w:eastAsia="宋体" w:cs="宋体"/>
          <w:color w:val="auto"/>
          <w:sz w:val="28"/>
          <w:szCs w:val="28"/>
          <w:highlight w:val="none"/>
        </w:rPr>
        <w:t>乙方：</w:t>
      </w:r>
    </w:p>
    <w:p w14:paraId="583F9B2B">
      <w:pPr>
        <w:spacing w:before="120" w:line="360" w:lineRule="auto"/>
        <w:ind w:left="1430"/>
        <w:jc w:val="left"/>
        <w:rPr>
          <w:rFonts w:hint="eastAsia"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签订地：</w:t>
      </w:r>
      <w:r>
        <w:rPr>
          <w:rFonts w:hint="eastAsia" w:ascii="宋体" w:hAnsi="Times New Roman" w:eastAsia="宋体" w:cs="宋体"/>
          <w:color w:val="auto"/>
          <w:sz w:val="28"/>
          <w:szCs w:val="28"/>
          <w:highlight w:val="none"/>
          <w:u w:val="single"/>
        </w:rPr>
        <w:t>太仓市</w:t>
      </w:r>
    </w:p>
    <w:p w14:paraId="2AAD4594">
      <w:pPr>
        <w:spacing w:before="120" w:line="360" w:lineRule="auto"/>
        <w:ind w:left="1430"/>
        <w:jc w:val="left"/>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签订日期：</w:t>
      </w:r>
      <w:r>
        <w:rPr>
          <w:rFonts w:hint="default" w:ascii="宋体" w:hAnsi="Times New Roman" w:eastAsia="宋体" w:cs="宋体"/>
          <w:color w:val="auto"/>
          <w:sz w:val="28"/>
          <w:szCs w:val="28"/>
          <w:highlight w:val="none"/>
          <w:u w:val="single"/>
        </w:rPr>
        <w:t>202</w:t>
      </w:r>
      <w:r>
        <w:rPr>
          <w:rFonts w:hint="eastAsia" w:ascii="宋体" w:hAnsi="Times New Roman" w:eastAsia="宋体" w:cs="宋体"/>
          <w:color w:val="auto"/>
          <w:sz w:val="28"/>
          <w:szCs w:val="28"/>
          <w:highlight w:val="none"/>
          <w:u w:val="single"/>
          <w:lang w:val="en-US" w:eastAsia="zh-CN"/>
        </w:rPr>
        <w:t>6</w:t>
      </w:r>
      <w:r>
        <w:rPr>
          <w:rFonts w:hint="eastAsia" w:ascii="宋体" w:hAnsi="Times New Roman" w:eastAsia="宋体" w:cs="宋体"/>
          <w:color w:val="auto"/>
          <w:sz w:val="28"/>
          <w:szCs w:val="28"/>
          <w:highlight w:val="none"/>
        </w:rPr>
        <w:t>年</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月</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日</w:t>
      </w:r>
    </w:p>
    <w:p w14:paraId="28A2CC0B">
      <w:pPr>
        <w:widowControl/>
        <w:spacing w:line="440" w:lineRule="exact"/>
        <w:ind w:firstLine="480"/>
        <w:jc w:val="left"/>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br w:type="page" w:clear="all"/>
      </w:r>
    </w:p>
    <w:p w14:paraId="0A4F6365">
      <w:pPr>
        <w:spacing w:line="460" w:lineRule="atLeast"/>
        <w:rPr>
          <w:rFonts w:hint="default" w:ascii="Calibri" w:hAnsi="Calibri" w:eastAsia="宋体" w:cs="Times New Roman"/>
          <w:color w:val="auto"/>
          <w:szCs w:val="21"/>
          <w:highlight w:val="none"/>
        </w:rPr>
      </w:pPr>
      <w:r>
        <w:rPr>
          <w:rFonts w:hint="eastAsia" w:ascii="宋体" w:hAnsi="宋体" w:eastAsia="宋体" w:cs="宋体"/>
          <w:color w:val="auto"/>
          <w:szCs w:val="21"/>
          <w:highlight w:val="none"/>
        </w:rPr>
        <w:t>采购人（以下称甲方）</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中标供应商：（以下称乙方）</w:t>
      </w:r>
    </w:p>
    <w:p w14:paraId="575A39AE">
      <w:pPr>
        <w:spacing w:line="460" w:lineRule="atLeast"/>
        <w:rPr>
          <w:rFonts w:hint="default" w:ascii="Calibri" w:hAnsi="Calibri" w:eastAsia="宋体" w:cs="Times New Roman"/>
          <w:color w:val="auto"/>
          <w:szCs w:val="21"/>
          <w:highlight w:val="none"/>
        </w:rPr>
      </w:pPr>
      <w:r>
        <w:rPr>
          <w:rFonts w:hint="eastAsia" w:ascii="宋体" w:hAnsi="宋体" w:eastAsia="宋体" w:cs="宋体"/>
          <w:color w:val="auto"/>
          <w:szCs w:val="21"/>
          <w:highlight w:val="none"/>
        </w:rPr>
        <w:t>地址：</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地址：</w:t>
      </w:r>
    </w:p>
    <w:p w14:paraId="1B6358EA">
      <w:pPr>
        <w:spacing w:line="460" w:lineRule="atLeast"/>
        <w:rPr>
          <w:rFonts w:hint="default" w:ascii="Calibri" w:hAnsi="Calibri" w:eastAsia="宋体" w:cs="Times New Roman"/>
          <w:color w:val="auto"/>
          <w:szCs w:val="21"/>
          <w:highlight w:val="none"/>
        </w:rPr>
      </w:pPr>
      <w:r>
        <w:rPr>
          <w:rFonts w:hint="eastAsia" w:ascii="宋体" w:hAnsi="宋体" w:eastAsia="宋体" w:cs="宋体"/>
          <w:color w:val="auto"/>
          <w:szCs w:val="21"/>
          <w:highlight w:val="none"/>
        </w:rPr>
        <w:t>电话：</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电话：</w:t>
      </w:r>
    </w:p>
    <w:p w14:paraId="587E10BD">
      <w:pPr>
        <w:spacing w:line="300" w:lineRule="auto"/>
        <w:rPr>
          <w:rFonts w:hint="eastAsia" w:ascii="宋体" w:hAnsi="宋体" w:eastAsia="宋体" w:cs="Times New Roman"/>
          <w:color w:val="auto"/>
          <w:szCs w:val="21"/>
          <w:highlight w:val="none"/>
        </w:rPr>
      </w:pPr>
    </w:p>
    <w:p w14:paraId="12C5063E">
      <w:pPr>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根据《</w:t>
      </w:r>
      <w:r>
        <w:rPr>
          <w:rFonts w:hint="default" w:ascii="宋体" w:hAnsi="宋体" w:eastAsia="宋体" w:cs="Times New Roman"/>
          <w:color w:val="auto"/>
          <w:szCs w:val="21"/>
          <w:highlight w:val="none"/>
        </w:rPr>
        <w:t>中华人民共和国</w:t>
      </w:r>
      <w:r>
        <w:rPr>
          <w:rFonts w:hint="eastAsia" w:ascii="宋体" w:hAnsi="宋体" w:eastAsia="宋体" w:cs="Times New Roman"/>
          <w:color w:val="auto"/>
          <w:szCs w:val="21"/>
          <w:highlight w:val="none"/>
        </w:rPr>
        <w:t>民法典》和《</w:t>
      </w:r>
      <w:r>
        <w:rPr>
          <w:rFonts w:hint="default" w:ascii="宋体" w:hAnsi="宋体" w:eastAsia="宋体" w:cs="Times New Roman"/>
          <w:color w:val="auto"/>
          <w:szCs w:val="21"/>
          <w:highlight w:val="none"/>
        </w:rPr>
        <w:t>中华人民共和国</w:t>
      </w:r>
      <w:r>
        <w:rPr>
          <w:rFonts w:hint="eastAsia" w:ascii="宋体" w:hAnsi="宋体" w:eastAsia="宋体" w:cs="Times New Roman"/>
          <w:color w:val="auto"/>
          <w:szCs w:val="21"/>
          <w:highlight w:val="none"/>
        </w:rPr>
        <w:t>政府采购</w:t>
      </w:r>
      <w:r>
        <w:rPr>
          <w:rFonts w:hint="default" w:ascii="宋体" w:hAnsi="宋体" w:eastAsia="宋体" w:cs="Times New Roman"/>
          <w:color w:val="auto"/>
          <w:szCs w:val="21"/>
          <w:highlight w:val="none"/>
        </w:rPr>
        <w:t>法</w:t>
      </w:r>
      <w:r>
        <w:rPr>
          <w:rFonts w:hint="eastAsia" w:ascii="宋体" w:hAnsi="宋体" w:eastAsia="宋体" w:cs="Times New Roman"/>
          <w:color w:val="auto"/>
          <w:szCs w:val="21"/>
          <w:highlight w:val="none"/>
        </w:rPr>
        <w:t>》之规定及本项目招标文件、乙方的投标文件等相关资料，经甲乙双方充分协商，遵循平等、自愿、公平和诚实信用原则，</w:t>
      </w:r>
      <w:r>
        <w:rPr>
          <w:rFonts w:hint="default" w:ascii="宋体" w:hAnsi="宋体" w:eastAsia="宋体" w:cs="Times New Roman"/>
          <w:color w:val="auto"/>
          <w:szCs w:val="21"/>
          <w:highlight w:val="none"/>
        </w:rPr>
        <w:t>甲方和乙方就</w:t>
      </w:r>
      <w:r>
        <w:rPr>
          <w:rFonts w:hint="eastAsia" w:ascii="宋体" w:hAnsi="宋体" w:eastAsia="宋体" w:cs="Times New Roman"/>
          <w:color w:val="auto"/>
          <w:szCs w:val="21"/>
          <w:highlight w:val="none"/>
          <w:u w:val="single"/>
        </w:rPr>
        <w:t xml:space="preserve"> </w:t>
      </w:r>
      <w:r>
        <w:rPr>
          <w:rFonts w:hint="eastAsia" w:ascii="宋体" w:hAnsi="宋体" w:cs="Times New Roman"/>
          <w:color w:val="auto"/>
          <w:szCs w:val="21"/>
          <w:highlight w:val="none"/>
          <w:u w:val="single"/>
          <w:lang w:eastAsia="zh-CN"/>
        </w:rPr>
        <w:t>2026年度化工园区应急指挥中心运维服务</w:t>
      </w:r>
      <w:r>
        <w:rPr>
          <w:rFonts w:hint="default" w:ascii="宋体" w:hAnsi="宋体" w:eastAsia="宋体" w:cs="Times New Roman"/>
          <w:color w:val="auto"/>
          <w:szCs w:val="21"/>
          <w:highlight w:val="none"/>
        </w:rPr>
        <w:t>的中标事宜，签订本合同</w:t>
      </w:r>
      <w:r>
        <w:rPr>
          <w:rFonts w:hint="eastAsia" w:ascii="宋体" w:hAnsi="宋体" w:eastAsia="宋体" w:cs="Times New Roman"/>
          <w:color w:val="auto"/>
          <w:szCs w:val="21"/>
          <w:highlight w:val="none"/>
        </w:rPr>
        <w:t>，以资共同遵守。</w:t>
      </w:r>
    </w:p>
    <w:p w14:paraId="511E4E1F">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b/>
          <w:color w:val="auto"/>
          <w:szCs w:val="21"/>
          <w:highlight w:val="none"/>
        </w:rPr>
        <w:t>定义：</w:t>
      </w:r>
      <w:r>
        <w:rPr>
          <w:rFonts w:hint="eastAsia" w:ascii="宋体" w:hAnsi="宋体" w:eastAsia="宋体" w:cs="Times New Roman"/>
          <w:color w:val="auto"/>
          <w:szCs w:val="21"/>
          <w:highlight w:val="none"/>
        </w:rPr>
        <w:t>以下术语有特定的含义：</w:t>
      </w:r>
    </w:p>
    <w:p w14:paraId="0AD4D36D">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“货物”本合同所称货物是指乙方基于其已中标的投标文件而应向甲方提供的符合招标要求规格及功能的</w:t>
      </w:r>
      <w:r>
        <w:rPr>
          <w:rFonts w:hint="eastAsia" w:ascii="宋体" w:hAnsi="宋体" w:eastAsia="宋体" w:cs="Times New Roman"/>
          <w:color w:val="auto"/>
          <w:szCs w:val="21"/>
          <w:highlight w:val="none"/>
          <w:u w:val="single"/>
        </w:rPr>
        <w:t xml:space="preserve"> （货物名称）</w:t>
      </w:r>
      <w:r>
        <w:rPr>
          <w:rFonts w:hint="eastAsia" w:ascii="宋体" w:hAnsi="宋体" w:eastAsia="宋体" w:cs="Times New Roman"/>
          <w:color w:val="auto"/>
          <w:szCs w:val="21"/>
          <w:highlight w:val="none"/>
        </w:rPr>
        <w:t>及其全部备件，它还应包括由乙方送交给甲方的所有与使用及测试有关的应进行的任何规定的服务。</w:t>
      </w:r>
    </w:p>
    <w:p w14:paraId="5E513C00">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p>
    <w:p w14:paraId="45F203F5">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“合同价”系指根据中标的投标文件和合同规定，乙方在正确地履行合同义务后甲方应支付乙方的价款。</w:t>
      </w:r>
    </w:p>
    <w:p w14:paraId="66392DF4">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“甲方”系指合同中明确规定的实际购买货物和接受服务单位。</w:t>
      </w:r>
    </w:p>
    <w:p w14:paraId="24A0D0AB">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“乙方”系指合同中规定的提供货物和提供服务的单位。</w:t>
      </w:r>
    </w:p>
    <w:p w14:paraId="3F0F7780">
      <w:pPr>
        <w:spacing w:line="360" w:lineRule="auto"/>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p>
    <w:p w14:paraId="139BC692">
      <w:pPr>
        <w:spacing w:line="460" w:lineRule="atLeast"/>
        <w:ind w:firstLine="47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第一条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服务范围</w:t>
      </w:r>
    </w:p>
    <w:p w14:paraId="639EE218">
      <w:pPr>
        <w:spacing w:line="460" w:lineRule="atLeast"/>
        <w:ind w:left="42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w:t>
      </w:r>
      <w:r>
        <w:rPr>
          <w:rFonts w:hint="eastAsia" w:ascii="宋体" w:hAnsi="宋体" w:eastAsia="宋体" w:cs="宋体"/>
          <w:color w:val="auto"/>
          <w:szCs w:val="21"/>
          <w:highlight w:val="none"/>
        </w:rPr>
        <w:t>甲方聘请乙方提供以下服务：</w:t>
      </w:r>
    </w:p>
    <w:p w14:paraId="7A3278A3">
      <w:pPr>
        <w:spacing w:line="460" w:lineRule="atLeas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1、服务内容：乙方</w:t>
      </w:r>
      <w:r>
        <w:rPr>
          <w:rFonts w:hint="eastAsia" w:ascii="宋体" w:hAnsi="宋体" w:eastAsia="宋体" w:cs="Times New Roman"/>
          <w:color w:val="auto"/>
          <w:szCs w:val="21"/>
          <w:highlight w:val="none"/>
        </w:rPr>
        <w:t>依据有关化工园区管理的要求，为甲方提供</w:t>
      </w:r>
      <w:r>
        <w:rPr>
          <w:rFonts w:hint="eastAsia" w:ascii="宋体" w:hAnsi="宋体" w:cs="Times New Roman"/>
          <w:color w:val="auto"/>
          <w:szCs w:val="21"/>
          <w:highlight w:val="none"/>
          <w:lang w:eastAsia="zh-CN"/>
        </w:rPr>
        <w:t>2026年度化工园区应急指挥中心运维服务</w:t>
      </w:r>
      <w:r>
        <w:rPr>
          <w:rFonts w:hint="eastAsia" w:ascii="宋体" w:hAnsi="宋体" w:eastAsia="宋体" w:cs="Times New Roman"/>
          <w:color w:val="auto"/>
          <w:szCs w:val="21"/>
          <w:highlight w:val="none"/>
        </w:rPr>
        <w:t>，具体包括化工园区急指挥中心运维24小时值守，利用化工园区智能管控平台协助封闭化管理、安全、环保等工作。</w:t>
      </w:r>
    </w:p>
    <w:p w14:paraId="31D0B693">
      <w:pPr>
        <w:spacing w:line="460" w:lineRule="atLeas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2、组织与管理：</w:t>
      </w:r>
    </w:p>
    <w:p w14:paraId="1D65D844">
      <w:pPr>
        <w:spacing w:line="460" w:lineRule="atLeas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2.1在本合同有效期内，乙方应派出专业技术人员为甲方提供技术服务。</w:t>
      </w:r>
    </w:p>
    <w:p w14:paraId="2D6768B3">
      <w:pPr>
        <w:spacing w:line="460" w:lineRule="atLeas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2.2本合同双方分别指定项目负责人如下：</w:t>
      </w:r>
    </w:p>
    <w:p w14:paraId="6E01ED41">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（1）甲方负责人：</w:t>
      </w: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，电话：</w:t>
      </w: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w:t>
      </w:r>
    </w:p>
    <w:p w14:paraId="139AD6BA">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（2）乙方负责人：</w:t>
      </w: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，电话：</w:t>
      </w: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w:t>
      </w:r>
    </w:p>
    <w:p w14:paraId="6EC86D4E">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项目负责人的主要职责为：</w:t>
      </w:r>
    </w:p>
    <w:p w14:paraId="1EF3B6D5">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（1）牵头组织本方技术服务工作；</w:t>
      </w:r>
    </w:p>
    <w:p w14:paraId="2B1AA04A">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（2）负责组织协调合同的签订、履行；</w:t>
      </w:r>
    </w:p>
    <w:p w14:paraId="0B967F95">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（3）负责跟踪或报告技术服务工作进展和成果；</w:t>
      </w:r>
    </w:p>
    <w:p w14:paraId="10AAE710">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（4）负责与另一方的沟通协调、信息传递等工作，为技术服务工作提供便利条件。</w:t>
      </w:r>
    </w:p>
    <w:p w14:paraId="415E13CF">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2.3人员更换</w:t>
      </w:r>
    </w:p>
    <w:p w14:paraId="025B518F">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2.3.1一方变更项目负责人的，应当及时以书面形式通知另一方。</w:t>
      </w:r>
    </w:p>
    <w:p w14:paraId="7328ABB7">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2.3.2乙方更换其项目负责人与其他技术服务人员，须征得甲方书面同意。</w:t>
      </w:r>
    </w:p>
    <w:p w14:paraId="533B1DCA">
      <w:pPr>
        <w:spacing w:line="460" w:lineRule="atLeast"/>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2.3.3甲方认为乙方工作人员不能胜任项目工作或玩忽职守的，有权要求乙方立即更换。上述被更换的人员无甲方另行批准不得重新参加本项目技术服务工作。</w:t>
      </w:r>
      <w:r>
        <w:rPr>
          <w:rFonts w:hint="eastAsia" w:ascii="宋体" w:hAnsi="宋体" w:eastAsia="宋体" w:cs="宋体"/>
          <w:color w:val="auto"/>
          <w:szCs w:val="21"/>
          <w:highlight w:val="none"/>
        </w:rPr>
        <w:t>：</w:t>
      </w:r>
    </w:p>
    <w:p w14:paraId="224C2C48">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Times New Roman"/>
          <w:color w:val="auto"/>
          <w:szCs w:val="21"/>
          <w:highlight w:val="none"/>
        </w:rPr>
        <w:t>服务期限：</w:t>
      </w:r>
      <w:r>
        <w:rPr>
          <w:rFonts w:hint="eastAsia" w:ascii="宋体" w:hAnsi="宋体" w:eastAsia="宋体" w:cs="Times New Roman"/>
          <w:color w:val="auto"/>
          <w:szCs w:val="21"/>
          <w:highlight w:val="none"/>
          <w:lang w:val="en-US" w:eastAsia="zh-CN"/>
        </w:rPr>
        <w:t>壹</w:t>
      </w:r>
      <w:r>
        <w:rPr>
          <w:rFonts w:hint="eastAsia" w:ascii="宋体" w:hAnsi="宋体" w:eastAsia="宋体" w:cs="Times New Roman"/>
          <w:color w:val="auto"/>
          <w:szCs w:val="21"/>
          <w:highlight w:val="none"/>
        </w:rPr>
        <w:t>年</w:t>
      </w:r>
      <w:r>
        <w:rPr>
          <w:rFonts w:hint="eastAsia" w:ascii="宋体" w:hAnsi="宋体" w:cs="Times New Roman"/>
          <w:color w:val="auto"/>
          <w:szCs w:val="21"/>
          <w:highlight w:val="none"/>
          <w:lang w:eastAsia="zh-CN"/>
        </w:rPr>
        <w:t>（</w:t>
      </w:r>
      <w:r>
        <w:rPr>
          <w:rFonts w:hint="eastAsia" w:ascii="宋体" w:hAnsi="宋体" w:cs="Times New Roman"/>
          <w:color w:val="auto"/>
          <w:szCs w:val="21"/>
          <w:highlight w:val="none"/>
          <w:lang w:val="en-US" w:eastAsia="zh-CN"/>
        </w:rPr>
        <w:t>2026年10月1日-2027年9月30日</w:t>
      </w:r>
      <w:r>
        <w:rPr>
          <w:rFonts w:hint="eastAsia" w:ascii="宋体" w:hAnsi="宋体" w:cs="Times New Roman"/>
          <w:color w:val="auto"/>
          <w:szCs w:val="21"/>
          <w:highlight w:val="none"/>
          <w:lang w:eastAsia="zh-CN"/>
        </w:rPr>
        <w:t>）</w:t>
      </w:r>
      <w:r>
        <w:rPr>
          <w:rFonts w:hint="eastAsia" w:ascii="宋体" w:hAnsi="宋体" w:eastAsia="宋体" w:cs="Times New Roman"/>
          <w:color w:val="auto"/>
          <w:szCs w:val="21"/>
          <w:highlight w:val="none"/>
        </w:rPr>
        <w:t>。</w:t>
      </w:r>
    </w:p>
    <w:p w14:paraId="13FE1704">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4、服务</w:t>
      </w:r>
      <w:r>
        <w:rPr>
          <w:rFonts w:hint="eastAsia" w:ascii="宋体" w:hAnsi="宋体" w:eastAsia="宋体" w:cs="宋体"/>
          <w:color w:val="auto"/>
          <w:szCs w:val="21"/>
          <w:highlight w:val="none"/>
        </w:rPr>
        <w:t>地点：甲方指定地点。</w:t>
      </w:r>
    </w:p>
    <w:p w14:paraId="213DAB91">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第二条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组成本合同的有关文件</w:t>
      </w:r>
      <w:r>
        <w:rPr>
          <w:rFonts w:hint="default" w:ascii="宋体" w:hAnsi="宋体" w:eastAsia="宋体" w:cs="宋体"/>
          <w:b/>
          <w:color w:val="auto"/>
          <w:szCs w:val="21"/>
          <w:highlight w:val="none"/>
        </w:rPr>
        <w:t xml:space="preserve"> </w:t>
      </w:r>
    </w:p>
    <w:p w14:paraId="4AB42E5A">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下列与本次采购活动有关的文件及有关附件是本合同不可分割的组成部分，与本合同具有同等法律效力，这些文件包括但不限于：</w:t>
      </w:r>
    </w:p>
    <w:p w14:paraId="6C232A65">
      <w:pPr>
        <w:spacing w:line="480" w:lineRule="exact"/>
        <w:ind w:firstLine="420"/>
        <w:rPr>
          <w:rFonts w:hint="eastAsia" w:ascii="宋体" w:hAnsi="宋体" w:eastAsia="宋体" w:cs="宋体"/>
          <w:color w:val="auto"/>
          <w:szCs w:val="22"/>
          <w:highlight w:val="none"/>
        </w:rPr>
      </w:pPr>
      <w:r>
        <w:rPr>
          <w:rFonts w:hint="eastAsia" w:ascii="宋体" w:hAnsi="宋体" w:eastAsia="宋体" w:cs="宋体"/>
          <w:color w:val="auto"/>
          <w:szCs w:val="22"/>
          <w:highlight w:val="none"/>
        </w:rPr>
        <w:t>1、招标采购文件（编号：</w:t>
      </w:r>
      <w:r>
        <w:rPr>
          <w:rFonts w:hint="eastAsia" w:ascii="宋体" w:hAnsi="宋体"/>
          <w:b/>
          <w:color w:val="auto"/>
          <w:highlight w:val="none"/>
          <w:lang w:eastAsia="zh-CN"/>
        </w:rPr>
        <w:t>JSZC-320585-HJSZ-G2026-0002</w:t>
      </w:r>
      <w:r>
        <w:rPr>
          <w:rFonts w:hint="eastAsia" w:ascii="宋体" w:hAnsi="宋体" w:eastAsia="宋体" w:cs="宋体"/>
          <w:color w:val="auto"/>
          <w:szCs w:val="22"/>
          <w:highlight w:val="none"/>
        </w:rPr>
        <w:t>）</w:t>
      </w:r>
    </w:p>
    <w:p w14:paraId="3792643E">
      <w:pPr>
        <w:spacing w:line="480" w:lineRule="exact"/>
        <w:ind w:firstLine="420"/>
        <w:rPr>
          <w:rFonts w:hint="eastAsia" w:ascii="宋体" w:hAnsi="宋体" w:eastAsia="宋体" w:cs="宋体"/>
          <w:color w:val="auto"/>
          <w:szCs w:val="22"/>
          <w:highlight w:val="none"/>
        </w:rPr>
      </w:pPr>
      <w:r>
        <w:rPr>
          <w:rFonts w:hint="eastAsia" w:ascii="宋体" w:hAnsi="宋体" w:eastAsia="宋体" w:cs="宋体"/>
          <w:color w:val="auto"/>
          <w:szCs w:val="22"/>
          <w:highlight w:val="none"/>
        </w:rPr>
        <w:t>2、乙方提供的投标文件和投标报价表；</w:t>
      </w:r>
    </w:p>
    <w:p w14:paraId="060B4B30">
      <w:pPr>
        <w:spacing w:line="480" w:lineRule="exact"/>
        <w:ind w:firstLine="420"/>
        <w:rPr>
          <w:rFonts w:hint="eastAsia" w:ascii="宋体" w:hAnsi="宋体" w:eastAsia="宋体" w:cs="宋体"/>
          <w:color w:val="auto"/>
          <w:szCs w:val="22"/>
          <w:highlight w:val="none"/>
        </w:rPr>
      </w:pPr>
      <w:r>
        <w:rPr>
          <w:rFonts w:hint="eastAsia" w:ascii="宋体" w:hAnsi="宋体" w:eastAsia="宋体" w:cs="宋体"/>
          <w:color w:val="auto"/>
          <w:szCs w:val="22"/>
          <w:highlight w:val="none"/>
        </w:rPr>
        <w:t>3、乙方在投标过程中所作的其他承诺、声明、书面澄清等；</w:t>
      </w:r>
    </w:p>
    <w:p w14:paraId="624A9B71">
      <w:pPr>
        <w:spacing w:line="480" w:lineRule="exact"/>
        <w:ind w:firstLine="420"/>
        <w:rPr>
          <w:rFonts w:hint="eastAsia" w:ascii="宋体" w:hAnsi="宋体" w:eastAsia="宋体" w:cs="宋体"/>
          <w:color w:val="auto"/>
          <w:szCs w:val="22"/>
          <w:highlight w:val="none"/>
        </w:rPr>
      </w:pPr>
      <w:r>
        <w:rPr>
          <w:rFonts w:hint="eastAsia" w:ascii="宋体" w:hAnsi="宋体" w:eastAsia="宋体" w:cs="宋体"/>
          <w:color w:val="auto"/>
          <w:szCs w:val="22"/>
          <w:highlight w:val="none"/>
        </w:rPr>
        <w:t>4、中标通知书；</w:t>
      </w:r>
    </w:p>
    <w:p w14:paraId="249353AD">
      <w:pPr>
        <w:spacing w:line="480" w:lineRule="exact"/>
        <w:ind w:firstLine="420"/>
        <w:rPr>
          <w:rFonts w:hint="eastAsia" w:ascii="宋体" w:hAnsi="宋体" w:eastAsia="宋体" w:cs="宋体"/>
          <w:color w:val="auto"/>
          <w:szCs w:val="22"/>
          <w:highlight w:val="none"/>
        </w:rPr>
      </w:pPr>
      <w:r>
        <w:rPr>
          <w:rFonts w:hint="eastAsia" w:ascii="宋体" w:hAnsi="宋体" w:eastAsia="宋体" w:cs="宋体"/>
          <w:color w:val="auto"/>
          <w:szCs w:val="22"/>
          <w:highlight w:val="none"/>
        </w:rPr>
        <w:t>5、甲乙双方商定的其他文件等。</w:t>
      </w:r>
    </w:p>
    <w:p w14:paraId="0624FE40">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第三条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合同总价款</w:t>
      </w:r>
      <w:r>
        <w:rPr>
          <w:rFonts w:hint="default" w:ascii="宋体" w:hAnsi="宋体" w:eastAsia="宋体" w:cs="宋体"/>
          <w:b/>
          <w:color w:val="auto"/>
          <w:szCs w:val="21"/>
          <w:highlight w:val="none"/>
        </w:rPr>
        <w:t xml:space="preserve"> </w:t>
      </w:r>
    </w:p>
    <w:p w14:paraId="6DEA74C1">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合同价格按此次成交价格执行，合同总金额为人民币</w:t>
      </w:r>
      <w:r>
        <w:rPr>
          <w:rFonts w:hint="default" w:ascii="宋体" w:hAnsi="宋体" w:eastAsia="宋体" w:cs="宋体"/>
          <w:color w:val="auto"/>
          <w:szCs w:val="21"/>
          <w:highlight w:val="none"/>
        </w:rPr>
        <w:t>___________</w:t>
      </w:r>
      <w:r>
        <w:rPr>
          <w:rFonts w:hint="eastAsia" w:ascii="宋体" w:hAnsi="宋体" w:eastAsia="宋体" w:cs="宋体"/>
          <w:color w:val="auto"/>
          <w:szCs w:val="21"/>
          <w:highlight w:val="none"/>
        </w:rPr>
        <w:t>（大写）人民币，小写：（￥：）元整。</w:t>
      </w:r>
    </w:p>
    <w:p w14:paraId="559E28AB">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41B217B6">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除非合同条款中另有规定，本合同执行期间合同总价款不变。</w:t>
      </w:r>
    </w:p>
    <w:p w14:paraId="71B93497">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第四条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合同款支付</w:t>
      </w:r>
    </w:p>
    <w:p w14:paraId="4C85DB20">
      <w:pPr>
        <w:keepNext w:val="0"/>
        <w:keepLines w:val="0"/>
        <w:pageBreakBefore w:val="0"/>
        <w:widowControl w:val="0"/>
        <w:numPr>
          <w:ilvl w:val="0"/>
          <w:numId w:val="26"/>
        </w:numPr>
        <w:spacing w:line="360" w:lineRule="auto"/>
        <w:ind w:left="0" w:firstLine="403"/>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本合同项下所有款项均以人民币支付。</w:t>
      </w:r>
    </w:p>
    <w:p w14:paraId="053D81F7">
      <w:pPr>
        <w:keepNext w:val="0"/>
        <w:keepLines w:val="0"/>
        <w:pageBreakBefore w:val="0"/>
        <w:widowControl w:val="0"/>
        <w:numPr>
          <w:ilvl w:val="0"/>
          <w:numId w:val="26"/>
        </w:numPr>
        <w:spacing w:line="360" w:lineRule="auto"/>
        <w:ind w:left="0"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本合同项下的采购资金由甲方自行支付，乙方向甲方开具发票。</w:t>
      </w:r>
    </w:p>
    <w:p w14:paraId="12B62D04">
      <w:pPr>
        <w:keepNext w:val="0"/>
        <w:keepLines w:val="0"/>
        <w:pageBreakBefore w:val="0"/>
        <w:widowControl w:val="0"/>
        <w:numPr>
          <w:ilvl w:val="0"/>
          <w:numId w:val="26"/>
        </w:numPr>
        <w:spacing w:line="360" w:lineRule="auto"/>
        <w:ind w:left="0" w:firstLine="403"/>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根据现行税法对乙方征收的与本合同有关的一切税费均由乙方承担。</w:t>
      </w:r>
    </w:p>
    <w:p w14:paraId="5C0D14C8">
      <w:pPr>
        <w:keepNext w:val="0"/>
        <w:keepLines w:val="0"/>
        <w:pageBreakBefore w:val="0"/>
        <w:widowControl w:val="0"/>
        <w:numPr>
          <w:ilvl w:val="0"/>
          <w:numId w:val="26"/>
        </w:numPr>
        <w:tabs>
          <w:tab w:val="left" w:pos="420"/>
        </w:tabs>
        <w:spacing w:line="360" w:lineRule="auto"/>
        <w:ind w:left="0" w:firstLine="403"/>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付款步骤、方式：</w:t>
      </w:r>
    </w:p>
    <w:p w14:paraId="33C073E9">
      <w:pPr>
        <w:keepNext w:val="0"/>
        <w:keepLines w:val="0"/>
        <w:pageBreakBefore w:val="0"/>
        <w:widowControl w:val="0"/>
        <w:numPr>
          <w:ilvl w:val="0"/>
          <w:numId w:val="0"/>
        </w:numPr>
        <w:tabs>
          <w:tab w:val="left" w:pos="420"/>
        </w:tabs>
        <w:spacing w:line="360" w:lineRule="auto"/>
        <w:ind w:left="403"/>
        <w:jc w:val="left"/>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4.1</w:t>
      </w:r>
      <w:r>
        <w:rPr>
          <w:rFonts w:hint="eastAsia" w:ascii="宋体" w:hAnsi="宋体" w:eastAsia="宋体" w:cs="宋体"/>
          <w:color w:val="auto"/>
          <w:sz w:val="21"/>
          <w:szCs w:val="21"/>
          <w:highlight w:val="none"/>
          <w:lang w:val="en-US" w:eastAsia="zh-CN"/>
        </w:rPr>
        <w:t>预付款</w:t>
      </w:r>
    </w:p>
    <w:p w14:paraId="4115C7BF">
      <w:pPr>
        <w:keepNext w:val="0"/>
        <w:keepLines w:val="0"/>
        <w:pageBreakBefore w:val="0"/>
        <w:widowControl w:val="0"/>
        <w:spacing w:line="360" w:lineRule="auto"/>
        <w:ind w:firstLine="420"/>
        <w:jc w:val="left"/>
        <w:rPr>
          <w:rFonts w:hint="default" w:ascii="宋体" w:hAnsi="宋体" w:eastAsia="宋体" w:cs="宋体"/>
          <w:color w:val="auto"/>
          <w:sz w:val="21"/>
          <w:szCs w:val="21"/>
          <w:highlight w:val="none"/>
        </w:rPr>
      </w:pPr>
      <w:r>
        <w:rPr>
          <w:rFonts w:ascii="Wingdings 2" w:hAnsi="Wingdings 2" w:eastAsia="Wingdings 2" w:cs="Wingdings 2"/>
          <w:color w:val="auto"/>
          <w:sz w:val="21"/>
          <w:szCs w:val="21"/>
          <w:highlight w:val="none"/>
        </w:rPr>
        <w:t>£</w:t>
      </w:r>
      <w:r>
        <w:rPr>
          <w:rFonts w:hint="default" w:ascii="宋体" w:hAnsi="宋体" w:eastAsia="宋体" w:cs="宋体"/>
          <w:color w:val="auto"/>
          <w:sz w:val="21"/>
          <w:szCs w:val="21"/>
          <w:highlight w:val="none"/>
        </w:rPr>
        <w:t>在签订合同时，乙方明确表示需要甲方支付预付款。合同生效后，甲方支付合同总价的10%作为预付款。</w:t>
      </w:r>
    </w:p>
    <w:p w14:paraId="7F2A0644">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lang w:eastAsia="zh-CN"/>
        </w:rPr>
      </w:pPr>
      <w:r>
        <w:rPr>
          <w:rFonts w:ascii="Wingdings 2" w:hAnsi="Wingdings 2" w:eastAsia="Wingdings 2" w:cs="Wingdings 2"/>
          <w:color w:val="auto"/>
          <w:sz w:val="21"/>
          <w:szCs w:val="21"/>
          <w:highlight w:val="none"/>
        </w:rPr>
        <w:t>£</w:t>
      </w:r>
      <w:r>
        <w:rPr>
          <w:rFonts w:hint="default" w:ascii="宋体" w:hAnsi="宋体" w:eastAsia="宋体" w:cs="宋体"/>
          <w:color w:val="auto"/>
          <w:sz w:val="21"/>
          <w:szCs w:val="21"/>
          <w:highlight w:val="none"/>
        </w:rPr>
        <w:t>在签订合同时，乙方明确表示无需甲方支付预付款</w:t>
      </w:r>
      <w:r>
        <w:rPr>
          <w:rFonts w:hint="eastAsia" w:ascii="宋体" w:hAnsi="宋体" w:eastAsia="宋体" w:cs="宋体"/>
          <w:color w:val="auto"/>
          <w:sz w:val="21"/>
          <w:szCs w:val="21"/>
          <w:highlight w:val="none"/>
          <w:lang w:eastAsia="zh-CN"/>
        </w:rPr>
        <w:t>。</w:t>
      </w:r>
    </w:p>
    <w:p w14:paraId="102AFF82">
      <w:pPr>
        <w:keepNext w:val="0"/>
        <w:keepLines w:val="0"/>
        <w:pageBreakBefore w:val="0"/>
        <w:widowControl w:val="0"/>
        <w:spacing w:after="120" w:line="360" w:lineRule="auto"/>
        <w:ind w:firstLine="482"/>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4.2</w:t>
      </w:r>
      <w:r>
        <w:rPr>
          <w:rFonts w:hint="eastAsia" w:ascii="宋体" w:hAnsi="宋体" w:eastAsia="宋体" w:cs="宋体"/>
          <w:color w:val="auto"/>
          <w:szCs w:val="21"/>
          <w:highlight w:val="none"/>
        </w:rPr>
        <w:t>运维服务自合同签订之日算起，每个月进行考核，</w:t>
      </w:r>
      <w:r>
        <w:rPr>
          <w:rFonts w:hint="eastAsia" w:ascii="宋体" w:hAnsi="宋体" w:eastAsia="宋体" w:cs="宋体"/>
          <w:strike w:val="0"/>
          <w:color w:val="auto"/>
          <w:szCs w:val="21"/>
          <w:highlight w:val="none"/>
        </w:rPr>
        <w:t>每</w:t>
      </w:r>
      <w:r>
        <w:rPr>
          <w:rFonts w:hint="eastAsia" w:ascii="宋体" w:hAnsi="宋体" w:cs="宋体"/>
          <w:color w:val="auto"/>
          <w:szCs w:val="21"/>
          <w:highlight w:val="none"/>
          <w:lang w:val="en-US" w:eastAsia="zh-CN"/>
        </w:rPr>
        <w:t>6个月</w:t>
      </w:r>
      <w:r>
        <w:rPr>
          <w:rFonts w:hint="eastAsia" w:ascii="宋体" w:hAnsi="宋体" w:eastAsia="宋体" w:cs="宋体"/>
          <w:color w:val="auto"/>
          <w:szCs w:val="21"/>
          <w:highlight w:val="none"/>
        </w:rPr>
        <w:t>支付一次服务费，费用为中标金额的</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0%</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如有预付款，第一次支付金额为</w:t>
      </w:r>
      <w:r>
        <w:rPr>
          <w:rFonts w:hint="eastAsia" w:ascii="宋体" w:hAnsi="宋体" w:eastAsia="宋体" w:cs="宋体"/>
          <w:color w:val="auto"/>
          <w:szCs w:val="21"/>
          <w:highlight w:val="none"/>
        </w:rPr>
        <w:t>中标金额的</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0%</w:t>
      </w:r>
      <w:r>
        <w:rPr>
          <w:rFonts w:hint="eastAsia" w:ascii="宋体" w:hAnsi="宋体" w:cs="宋体"/>
          <w:color w:val="auto"/>
          <w:szCs w:val="21"/>
          <w:highlight w:val="none"/>
          <w:lang w:val="en-US" w:eastAsia="zh-CN"/>
        </w:rPr>
        <w:t>减去预付金额</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eastAsia="zh-CN"/>
        </w:rPr>
        <w:t>，并扣除相应考核费用</w:t>
      </w:r>
      <w:r>
        <w:rPr>
          <w:rFonts w:hint="eastAsia" w:ascii="宋体" w:hAnsi="宋体" w:eastAsia="宋体" w:cs="宋体"/>
          <w:color w:val="auto"/>
          <w:szCs w:val="21"/>
          <w:highlight w:val="none"/>
        </w:rPr>
        <w:t>。</w:t>
      </w:r>
    </w:p>
    <w:p w14:paraId="6F5C1EF9">
      <w:pPr>
        <w:spacing w:line="85"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第五条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服务质量、成果要求</w:t>
      </w:r>
    </w:p>
    <w:p w14:paraId="287FD87C">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、项目完成后甲方将组织专业人员进行项目的验收工作，如存在问题，乙方应进行改进，直至验收合格为止；</w:t>
      </w:r>
    </w:p>
    <w:p w14:paraId="3367B59C">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、验收标准</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按采购文件要求、乙方的投标承诺或国家相关标准。</w:t>
      </w:r>
    </w:p>
    <w:p w14:paraId="1DE6AE4B">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第六条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甲、乙双方权利义务</w:t>
      </w:r>
    </w:p>
    <w:p w14:paraId="32252800">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、甲方应当为保证项目服务的完成，给予乙方积极支持，为乙方提供项目实施的必要条件；</w:t>
      </w:r>
    </w:p>
    <w:p w14:paraId="46A47B3C">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、甲方应当按照本合同约定按时支付合同金额。</w:t>
      </w:r>
    </w:p>
    <w:p w14:paraId="2003E46E">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、乙方提交的服务成果未经甲方书面许可，不得向任何第三方泄露。</w:t>
      </w:r>
    </w:p>
    <w:p w14:paraId="4378E483">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乙方提供必要的技术培训，协助甲方完成其他需要中标单位配合的服务。</w:t>
      </w:r>
    </w:p>
    <w:p w14:paraId="53CF3D8D">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、乙方根据国家标准、行业标准和规范要求及标书规定的服务质量标准和有关要求，保质保量地完成服务工作。</w:t>
      </w:r>
    </w:p>
    <w:p w14:paraId="600AF23D">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第七条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知识产权</w:t>
      </w:r>
    </w:p>
    <w:p w14:paraId="3F4010A8">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、在合同履行过程中，由甲方向乙方提供的资料－－包括但不限于程序、文件、报告、说明、图表等均归甲方所有。</w:t>
      </w:r>
    </w:p>
    <w:p w14:paraId="153BF4CA">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、在合同履行完毕后，乙方依据本合同及本合同附件向甲方提供的任何程序、文件、报告、说明、图表等的知识产权均归甲方所有（但属于乙方或第三方的除外），乙方不得以任何形式使用或向第三方透露。</w:t>
      </w:r>
    </w:p>
    <w:p w14:paraId="45F3089C">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第八条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保密条款</w:t>
      </w:r>
    </w:p>
    <w:p w14:paraId="4ACB2E91">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3DE1369">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第九条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风险责任</w:t>
      </w:r>
    </w:p>
    <w:p w14:paraId="7E201D80">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130C3A26">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第十条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履约保证金（本项目不涉及）</w:t>
      </w:r>
    </w:p>
    <w:p w14:paraId="1501CFAB">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、乙方应按招标文件的约定要求提供相应的履约保证金。</w:t>
      </w:r>
    </w:p>
    <w:p w14:paraId="092EA3A3">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、履约保证金的有效期为合同生效之日起至合同主要义务履行完毕止。</w:t>
      </w:r>
    </w:p>
    <w:p w14:paraId="1DC8564C">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、如乙方未能履行合同规定的义务，或因乙方责任应由乙方承担的赔偿未完成，甲方有权从履约保证金中取得补偿。</w:t>
      </w:r>
    </w:p>
    <w:p w14:paraId="1A01DCE8">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、履约保证金待合同主要义务全部履行完毕后全额退回（不计息）。</w:t>
      </w:r>
    </w:p>
    <w:p w14:paraId="538770D0">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第十一条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合同的变更和终止</w:t>
      </w:r>
    </w:p>
    <w:p w14:paraId="0E006922">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、本合同一经签订，甲乙双方不得擅自变更、中止或终止合同。</w:t>
      </w:r>
    </w:p>
    <w:p w14:paraId="7AE31FF5">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、除发生法律规定的不能预见、不能避免并不能克服的客观情况外，甲乙双方不得放弃或拒绝履行合同。乙方放弃或拒绝履行合同，保证金不予退还。</w:t>
      </w:r>
    </w:p>
    <w:p w14:paraId="305A71AE">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第十二条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合同的转让</w:t>
      </w:r>
    </w:p>
    <w:p w14:paraId="60D364F4">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、乙方不得擅自部分或全部转让其应履行的合同义务。</w:t>
      </w:r>
      <w:r>
        <w:rPr>
          <w:rFonts w:hint="default" w:ascii="宋体" w:hAnsi="宋体" w:eastAsia="宋体" w:cs="宋体"/>
          <w:color w:val="auto"/>
          <w:szCs w:val="21"/>
          <w:highlight w:val="none"/>
        </w:rPr>
        <w:t xml:space="preserve">    </w:t>
      </w:r>
    </w:p>
    <w:p w14:paraId="23F58792">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、乙方在履行合同过程中，不得将服务项目委托给第三方。</w:t>
      </w:r>
    </w:p>
    <w:p w14:paraId="133DDEEC">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第十三条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违约责任</w:t>
      </w:r>
    </w:p>
    <w:p w14:paraId="3D9FC96B">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、在合同生效后，甲方无理由要求终止服务的，应向乙方偿付合同总价款的</w:t>
      </w: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，作为违约金，违约金不足以补偿损失的，乙方有权要求甲方补足。</w:t>
      </w:r>
    </w:p>
    <w:p w14:paraId="6403900E">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、甲方逾期付款的，应按照逾期付款金额的每天万分之四支付逾期付款违约金。</w:t>
      </w:r>
    </w:p>
    <w:p w14:paraId="142E08F5">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、乙方不能按时提供服务（逾期超过十五天视为不能服务），或服务不合格从而影响甲方按期正常使用的，甲方有权解除合同，乙方应向甲方偿付合同总价款</w:t>
      </w: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的违约金，违约金不足以补偿损失的甲方有权要求乙方补足。</w:t>
      </w:r>
    </w:p>
    <w:p w14:paraId="794338BA">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、乙方项目组成员须按招标文件承诺人员配备，未经甲方同意不得擅自更换；如更换需向甲方支付赔偿金。</w:t>
      </w:r>
    </w:p>
    <w:p w14:paraId="351D66C8">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01252A8A">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6</w:t>
      </w:r>
      <w:r>
        <w:rPr>
          <w:rFonts w:hint="eastAsia" w:ascii="宋体" w:hAnsi="宋体" w:eastAsia="宋体" w:cs="宋体"/>
          <w:color w:val="auto"/>
          <w:szCs w:val="21"/>
          <w:highlight w:val="none"/>
        </w:rPr>
        <w:t>、其他未尽事宜，以《民法典》和《政府采购法》等有关法律法规规定为准，无相关规定的，双方协商解决。</w:t>
      </w:r>
    </w:p>
    <w:p w14:paraId="7E2BD8B8">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第十四条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不可抗力</w:t>
      </w:r>
    </w:p>
    <w:p w14:paraId="78287098">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甲、乙方中任何一方，因不可抗力不能按时或完全履行合同的</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6C71445C">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因合同一方迟延履行后发生不可抗力的，不能免除责任。</w:t>
      </w:r>
    </w:p>
    <w:p w14:paraId="562B2B60">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第十五条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索赔</w:t>
      </w:r>
    </w:p>
    <w:p w14:paraId="32FE2567">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hint="default" w:ascii="宋体" w:hAnsi="宋体" w:eastAsia="宋体" w:cs="宋体"/>
          <w:color w:val="auto"/>
          <w:szCs w:val="21"/>
          <w:highlight w:val="none"/>
        </w:rPr>
        <w:t>(   )</w:t>
      </w:r>
      <w:r>
        <w:rPr>
          <w:rFonts w:hint="eastAsia" w:ascii="宋体" w:hAnsi="宋体" w:eastAsia="宋体" w:cs="宋体"/>
          <w:color w:val="auto"/>
          <w:szCs w:val="21"/>
          <w:highlight w:val="none"/>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7AFF3D6B">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第十六条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争议的解决</w:t>
      </w:r>
    </w:p>
    <w:p w14:paraId="1A10FEBE">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、因服务的质量问题发生争议的，应当邀请国家认可的质量检测机构对服务项目质量进行鉴定。项目符合标准的，鉴定费由甲方承担；项目不符合质量标准的，鉴定费由乙方承担。</w:t>
      </w:r>
    </w:p>
    <w:p w14:paraId="3D8F147E">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、因履行本合同引起的或与本合同有关的争议，甲、乙双方应首先通过友好协商解决，如果协商不能解决争议，则向甲方所在地有管辖权的人民法院提起诉讼；</w:t>
      </w:r>
    </w:p>
    <w:p w14:paraId="04CB0BFF">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、在法院审理和仲裁期间，除有争议部分外，本合同其他部分应继续履行。</w:t>
      </w:r>
    </w:p>
    <w:p w14:paraId="375637F8">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第十七条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诚实信用</w:t>
      </w:r>
      <w:r>
        <w:rPr>
          <w:rFonts w:hint="default" w:ascii="宋体" w:hAnsi="宋体" w:eastAsia="宋体" w:cs="宋体"/>
          <w:b/>
          <w:color w:val="auto"/>
          <w:szCs w:val="21"/>
          <w:highlight w:val="none"/>
        </w:rPr>
        <w:t xml:space="preserve"> </w:t>
      </w:r>
    </w:p>
    <w:p w14:paraId="62366DBD">
      <w:pPr>
        <w:spacing w:line="460" w:lineRule="atLeast"/>
        <w:ind w:firstLine="48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乙方应诚实信用，严格按照招标文件要求和投标承诺履行合同，不向甲方进行商业贿赂或者提供不正当利益。</w:t>
      </w:r>
    </w:p>
    <w:p w14:paraId="7258444C">
      <w:pPr>
        <w:spacing w:line="460" w:lineRule="atLeast"/>
        <w:ind w:firstLine="482"/>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第十八条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合同生效及其他</w:t>
      </w:r>
    </w:p>
    <w:p w14:paraId="21073F0F">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、本合同自经甲乙双方授权代表签订并加盖公章后，自签订之日起生效。</w:t>
      </w:r>
    </w:p>
    <w:p w14:paraId="502D8D05">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lang w:val="en-US" w:eastAsia="zh-CN"/>
        </w:rPr>
        <w:t>叁</w:t>
      </w:r>
      <w:r>
        <w:rPr>
          <w:rFonts w:hint="eastAsia" w:ascii="宋体" w:hAnsi="宋体" w:eastAsia="宋体" w:cs="宋体"/>
          <w:color w:val="auto"/>
          <w:szCs w:val="21"/>
          <w:highlight w:val="none"/>
        </w:rPr>
        <w:t>份，甲乙双方各执一份</w:t>
      </w:r>
      <w:r>
        <w:rPr>
          <w:rFonts w:hint="eastAsia" w:ascii="宋体" w:hAnsi="宋体" w:eastAsia="宋体" w:cs="宋体"/>
          <w:color w:val="auto"/>
          <w:szCs w:val="21"/>
          <w:highlight w:val="none"/>
          <w:lang w:eastAsia="zh-CN"/>
        </w:rPr>
        <w:t>，</w:t>
      </w:r>
      <w:r>
        <w:rPr>
          <w:rFonts w:hint="eastAsia" w:ascii="宋体" w:hAnsi="宋体" w:eastAsia="宋体" w:cs="宋体"/>
          <w:color w:val="auto"/>
          <w:sz w:val="21"/>
          <w:szCs w:val="21"/>
          <w:highlight w:val="none"/>
          <w:lang w:val="zh-CN" w:eastAsia="zh-TW" w:bidi="ar-SA"/>
        </w:rPr>
        <w:t>代理机构执一份存档</w:t>
      </w:r>
      <w:r>
        <w:rPr>
          <w:rFonts w:hint="eastAsia" w:ascii="宋体" w:hAnsi="宋体" w:eastAsia="宋体" w:cs="宋体"/>
          <w:color w:val="auto"/>
          <w:szCs w:val="21"/>
          <w:highlight w:val="none"/>
        </w:rPr>
        <w:t>。</w:t>
      </w:r>
    </w:p>
    <w:p w14:paraId="1AAFE868">
      <w:pPr>
        <w:spacing w:line="460" w:lineRule="atLeast"/>
        <w:ind w:firstLine="480"/>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、本合同应按照中华人民共和国的现行法律进行解释。</w:t>
      </w:r>
    </w:p>
    <w:p w14:paraId="2538CABC">
      <w:pPr>
        <w:spacing w:line="360" w:lineRule="auto"/>
        <w:rPr>
          <w:rFonts w:hint="eastAsia" w:ascii="宋体" w:hAnsi="宋体" w:eastAsia="宋体" w:cs="Times New Roman"/>
          <w:color w:val="auto"/>
          <w:szCs w:val="21"/>
          <w:highlight w:val="none"/>
        </w:rPr>
      </w:pPr>
    </w:p>
    <w:p w14:paraId="35BB8BEA">
      <w:pPr>
        <w:widowControl w:val="0"/>
        <w:spacing w:line="360" w:lineRule="auto"/>
        <w:ind w:firstLine="420"/>
        <w:jc w:val="both"/>
        <w:rPr>
          <w:rFonts w:hint="eastAsia"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 xml:space="preserve">甲方（盖章）：    </w:t>
      </w:r>
      <w:r>
        <w:rPr>
          <w:rFonts w:hint="eastAsia" w:ascii="宋体" w:hAnsi="宋体" w:eastAsia="宋体" w:cs="Times New Roman"/>
          <w:b/>
          <w:bCs/>
          <w:color w:val="auto"/>
          <w:sz w:val="21"/>
          <w:szCs w:val="21"/>
          <w:highlight w:val="none"/>
        </w:rPr>
        <w:t xml:space="preserve">           </w:t>
      </w:r>
      <w:r>
        <w:rPr>
          <w:rFonts w:hint="default" w:ascii="宋体" w:hAnsi="宋体" w:eastAsia="宋体" w:cs="Times New Roman"/>
          <w:b/>
          <w:bCs/>
          <w:color w:val="auto"/>
          <w:sz w:val="21"/>
          <w:szCs w:val="21"/>
          <w:highlight w:val="none"/>
        </w:rPr>
        <w:t xml:space="preserve">       乙方（盖章）：</w:t>
      </w:r>
    </w:p>
    <w:p w14:paraId="74DD257D">
      <w:pPr>
        <w:widowControl w:val="0"/>
        <w:spacing w:line="360" w:lineRule="auto"/>
        <w:ind w:firstLine="420"/>
        <w:jc w:val="both"/>
        <w:rPr>
          <w:rFonts w:hint="eastAsia"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 xml:space="preserve">甲方代表：      </w:t>
      </w:r>
      <w:r>
        <w:rPr>
          <w:rFonts w:hint="eastAsia" w:ascii="宋体" w:hAnsi="宋体" w:eastAsia="宋体" w:cs="Times New Roman"/>
          <w:b/>
          <w:bCs/>
          <w:color w:val="auto"/>
          <w:sz w:val="21"/>
          <w:szCs w:val="21"/>
          <w:highlight w:val="none"/>
        </w:rPr>
        <w:t xml:space="preserve">               </w:t>
      </w:r>
      <w:r>
        <w:rPr>
          <w:rFonts w:hint="default" w:ascii="宋体" w:hAnsi="宋体" w:eastAsia="宋体" w:cs="Times New Roman"/>
          <w:b/>
          <w:bCs/>
          <w:color w:val="auto"/>
          <w:sz w:val="21"/>
          <w:szCs w:val="21"/>
          <w:highlight w:val="none"/>
        </w:rPr>
        <w:t xml:space="preserve">    乙方代表：</w:t>
      </w:r>
    </w:p>
    <w:p w14:paraId="5B463E38">
      <w:pPr>
        <w:spacing w:line="360" w:lineRule="auto"/>
        <w:jc w:val="both"/>
        <w:rPr>
          <w:rFonts w:hint="eastAsia" w:eastAsia="宋体"/>
          <w:color w:val="auto"/>
          <w:sz w:val="21"/>
          <w:szCs w:val="21"/>
          <w:highlight w:val="none"/>
        </w:rPr>
        <w:sectPr>
          <w:endnotePr>
            <w:numFmt w:val="decimal"/>
          </w:endnotePr>
          <w:pgSz w:w="11906" w:h="16838"/>
          <w:pgMar w:top="1304" w:right="1304" w:bottom="1304" w:left="1304" w:header="953" w:footer="799" w:gutter="0"/>
          <w:cols w:space="425" w:num="1"/>
          <w:docGrid w:linePitch="360" w:charSpace="0"/>
        </w:sectPr>
      </w:pPr>
      <w:r>
        <w:rPr>
          <w:rFonts w:hint="default" w:ascii="宋体" w:hAnsi="宋体" w:eastAsia="宋体" w:cs="Times New Roman"/>
          <w:b/>
          <w:bCs/>
          <w:color w:val="auto"/>
          <w:sz w:val="21"/>
          <w:szCs w:val="21"/>
          <w:highlight w:val="none"/>
        </w:rPr>
        <w:t>日期：  年  月  日</w:t>
      </w:r>
      <w:r>
        <w:rPr>
          <w:rFonts w:hint="eastAsia" w:ascii="宋体" w:hAnsi="宋体" w:eastAsia="宋体" w:cs="Times New Roman"/>
          <w:b/>
          <w:bCs/>
          <w:color w:val="auto"/>
          <w:sz w:val="21"/>
          <w:szCs w:val="21"/>
          <w:highlight w:val="none"/>
        </w:rPr>
        <w:t xml:space="preserve">             </w:t>
      </w:r>
      <w:r>
        <w:rPr>
          <w:rFonts w:hint="default" w:ascii="宋体" w:hAnsi="宋体" w:eastAsia="宋体" w:cs="Times New Roman"/>
          <w:b/>
          <w:bCs/>
          <w:color w:val="auto"/>
          <w:sz w:val="21"/>
          <w:szCs w:val="21"/>
          <w:highlight w:val="none"/>
        </w:rPr>
        <w:t xml:space="preserve">   </w:t>
      </w:r>
      <w:r>
        <w:rPr>
          <w:rFonts w:hint="eastAsia" w:ascii="宋体" w:hAnsi="宋体" w:eastAsia="宋体" w:cs="Times New Roman"/>
          <w:b/>
          <w:bCs/>
          <w:color w:val="auto"/>
          <w:sz w:val="21"/>
          <w:szCs w:val="21"/>
          <w:highlight w:val="none"/>
        </w:rPr>
        <w:t xml:space="preserve"> </w:t>
      </w:r>
      <w:r>
        <w:rPr>
          <w:rFonts w:hint="default" w:ascii="宋体" w:hAnsi="宋体" w:eastAsia="宋体" w:cs="Times New Roman"/>
          <w:b/>
          <w:bCs/>
          <w:color w:val="auto"/>
          <w:sz w:val="21"/>
          <w:szCs w:val="21"/>
          <w:highlight w:val="none"/>
        </w:rPr>
        <w:t>日期：     年  月   日</w:t>
      </w:r>
    </w:p>
    <w:p w14:paraId="70612EE5">
      <w:pPr>
        <w:jc w:val="left"/>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附件1：</w:t>
      </w:r>
    </w:p>
    <w:p w14:paraId="0C0AF5BA">
      <w:pPr>
        <w:widowControl w:val="0"/>
        <w:spacing w:before="156" w:beforeAutospacing="0" w:after="156" w:afterAutospacing="0" w:line="360" w:lineRule="auto"/>
        <w:ind w:firstLine="0"/>
        <w:jc w:val="center"/>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本项目的专业技术（服务）人员情况一览表</w:t>
      </w:r>
    </w:p>
    <w:tbl>
      <w:tblPr>
        <w:tblStyle w:val="56"/>
        <w:tblW w:w="8821"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606CC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noWrap w:val="0"/>
            <w:vAlign w:val="center"/>
          </w:tcPr>
          <w:p w14:paraId="68C24FC6">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序号</w:t>
            </w:r>
          </w:p>
        </w:tc>
        <w:tc>
          <w:tcPr>
            <w:tcW w:w="1766" w:type="dxa"/>
            <w:tcBorders>
              <w:top w:val="single" w:color="000000" w:sz="2" w:space="0"/>
              <w:left w:val="single" w:color="auto" w:sz="4" w:space="0"/>
              <w:bottom w:val="single" w:color="000000" w:sz="2" w:space="0"/>
              <w:right w:val="single" w:color="auto" w:sz="4" w:space="0"/>
            </w:tcBorders>
            <w:noWrap w:val="0"/>
            <w:vAlign w:val="center"/>
          </w:tcPr>
          <w:p w14:paraId="577FCA66">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岗位</w:t>
            </w:r>
          </w:p>
        </w:tc>
        <w:tc>
          <w:tcPr>
            <w:tcW w:w="1168" w:type="dxa"/>
            <w:tcBorders>
              <w:top w:val="single" w:color="000000" w:sz="2" w:space="0"/>
              <w:left w:val="single" w:color="auto" w:sz="4" w:space="0"/>
              <w:bottom w:val="single" w:color="000000" w:sz="2" w:space="0"/>
              <w:right w:val="single" w:color="000000" w:sz="2" w:space="0"/>
            </w:tcBorders>
            <w:noWrap w:val="0"/>
            <w:vAlign w:val="center"/>
          </w:tcPr>
          <w:p w14:paraId="201A590A">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姓名</w:t>
            </w:r>
          </w:p>
        </w:tc>
        <w:tc>
          <w:tcPr>
            <w:tcW w:w="968" w:type="dxa"/>
            <w:tcBorders>
              <w:top w:val="single" w:color="000000" w:sz="2" w:space="0"/>
              <w:left w:val="single" w:color="auto" w:sz="4" w:space="0"/>
              <w:bottom w:val="single" w:color="000000" w:sz="2" w:space="0"/>
              <w:right w:val="single" w:color="auto" w:sz="4" w:space="0"/>
            </w:tcBorders>
            <w:noWrap w:val="0"/>
            <w:vAlign w:val="center"/>
          </w:tcPr>
          <w:p w14:paraId="187CC19B">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性别</w:t>
            </w:r>
          </w:p>
        </w:tc>
        <w:tc>
          <w:tcPr>
            <w:tcW w:w="659" w:type="dxa"/>
            <w:tcBorders>
              <w:top w:val="single" w:color="000000" w:sz="2" w:space="0"/>
              <w:left w:val="single" w:color="auto" w:sz="4" w:space="0"/>
              <w:bottom w:val="single" w:color="000000" w:sz="2" w:space="0"/>
              <w:right w:val="single" w:color="auto" w:sz="4" w:space="0"/>
            </w:tcBorders>
            <w:noWrap w:val="0"/>
            <w:vAlign w:val="center"/>
          </w:tcPr>
          <w:p w14:paraId="65A671A5">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年龄</w:t>
            </w:r>
          </w:p>
        </w:tc>
        <w:tc>
          <w:tcPr>
            <w:tcW w:w="1032" w:type="dxa"/>
            <w:tcBorders>
              <w:top w:val="single" w:color="000000" w:sz="2" w:space="0"/>
              <w:left w:val="single" w:color="auto" w:sz="4" w:space="0"/>
              <w:bottom w:val="single" w:color="000000" w:sz="2" w:space="0"/>
              <w:right w:val="single" w:color="auto" w:sz="4" w:space="0"/>
            </w:tcBorders>
            <w:noWrap w:val="0"/>
            <w:vAlign w:val="center"/>
          </w:tcPr>
          <w:p w14:paraId="672A95F2">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学历</w:t>
            </w:r>
          </w:p>
        </w:tc>
        <w:tc>
          <w:tcPr>
            <w:tcW w:w="1683" w:type="dxa"/>
            <w:tcBorders>
              <w:top w:val="single" w:color="000000" w:sz="2" w:space="0"/>
              <w:left w:val="single" w:color="auto" w:sz="4" w:space="0"/>
              <w:bottom w:val="single" w:color="000000" w:sz="2" w:space="0"/>
              <w:right w:val="single" w:color="000000" w:sz="2" w:space="0"/>
            </w:tcBorders>
            <w:noWrap w:val="0"/>
            <w:vAlign w:val="center"/>
          </w:tcPr>
          <w:p w14:paraId="68DFFE43">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noWrap w:val="0"/>
            <w:vAlign w:val="center"/>
          </w:tcPr>
          <w:p w14:paraId="0C9588A5">
            <w:pPr>
              <w:keepNext w:val="0"/>
              <w:keepLines w:val="0"/>
              <w:suppressLineNumbers w:val="0"/>
              <w:spacing w:before="0" w:beforeAutospacing="0" w:after="0" w:afterAutospacing="0"/>
              <w:ind w:left="0" w:right="0" w:firstLine="220"/>
              <w:jc w:val="lef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备注</w:t>
            </w:r>
          </w:p>
        </w:tc>
      </w:tr>
      <w:tr w14:paraId="659A4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03BFED08">
            <w:pPr>
              <w:keepNext w:val="0"/>
              <w:keepLines w:val="0"/>
              <w:suppressLineNumbers w:val="0"/>
              <w:spacing w:before="0" w:beforeAutospacing="0" w:after="0" w:afterAutospacing="0"/>
              <w:ind w:left="0" w:right="0" w:firstLine="220"/>
              <w:jc w:val="lef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72DE86A7">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2574C733">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3764939E">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011B6E23">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000A37E1">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24846B4F">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00EB3B03">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r>
      <w:tr w14:paraId="137E7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2365FA1">
            <w:pPr>
              <w:keepNext w:val="0"/>
              <w:keepLines w:val="0"/>
              <w:suppressLineNumbers w:val="0"/>
              <w:spacing w:before="0" w:beforeAutospacing="0" w:after="0" w:afterAutospacing="0"/>
              <w:ind w:left="0" w:right="0" w:firstLine="220"/>
              <w:jc w:val="lef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w:t>
            </w: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48737566">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790CBD4D">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6AA24D2C">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5D0D9972">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2FA72FAA">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5E8B27AD">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05B7ECBE">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r>
      <w:tr w14:paraId="4C90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318D36C">
            <w:pPr>
              <w:keepNext w:val="0"/>
              <w:keepLines w:val="0"/>
              <w:suppressLineNumbers w:val="0"/>
              <w:spacing w:before="0" w:beforeAutospacing="0" w:after="0" w:afterAutospacing="0"/>
              <w:ind w:left="0" w:right="0" w:firstLine="220"/>
              <w:jc w:val="lef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w:t>
            </w: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4BE71779">
            <w:pPr>
              <w:keepNext w:val="0"/>
              <w:keepLines w:val="0"/>
              <w:suppressLineNumbers w:val="0"/>
              <w:spacing w:before="0" w:beforeAutospacing="0" w:after="0" w:afterAutospacing="0"/>
              <w:ind w:left="0" w:right="0"/>
              <w:jc w:val="center"/>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687E76C6">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528FCF8C">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5D4B3F68">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4EEB256D">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39FE13C4">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12C9CE5C">
            <w:pPr>
              <w:keepNext w:val="0"/>
              <w:keepLines w:val="0"/>
              <w:suppressLineNumbers w:val="0"/>
              <w:spacing w:before="0" w:beforeAutospacing="0" w:after="0" w:afterAutospacing="0"/>
              <w:ind w:left="0" w:right="0" w:firstLine="480"/>
              <w:jc w:val="center"/>
              <w:rPr>
                <w:rFonts w:hint="default" w:ascii="宋体" w:hAnsi="宋体" w:eastAsia="宋体" w:cs="宋体"/>
                <w:bCs/>
                <w:color w:val="auto"/>
                <w:sz w:val="22"/>
                <w:szCs w:val="22"/>
                <w:highlight w:val="none"/>
              </w:rPr>
            </w:pPr>
          </w:p>
        </w:tc>
      </w:tr>
      <w:tr w14:paraId="605B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9C46D5B">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0B783FA9">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w:t>
            </w: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2D263891">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730FE64B">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6F5B19DA">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690984FD">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4BEF31DE">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1D21B963">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7F8DE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235EC07A">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5D9BE2B2">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58FB8385">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6EFA0B5F">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14B87B78">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6928B6DB">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00B00EC8">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148871AD">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72870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23F6FA71">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01EAB6CB">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43B34E9E">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2D43C8C8">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6A244195">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39D7AA2C">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73ADE834">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0433EFBB">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1A491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673E9FC3">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0A57FF70">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6722DA15">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72E8FFC0">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5692F144">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71D6CAB4">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2A3FC60C">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1AE18422">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071E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71F30F75">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54E3329B">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58E1ACB3">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650F93A9">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3DDBA790">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075C5790">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2C0BFCB3">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744AE578">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3A9A4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17F0620">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7BBEB54F">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6682C5E3">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2B260DB8">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406074A6">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35177B4C">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20F11246">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1E8E4425">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1BFCF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4341DC85">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0BC19547">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72254415">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3E07808D">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4DD00E24">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05081B5C">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25BB754D">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2B4BA24C">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5F5D1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03A58D9F">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3CA581FD">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45382364">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7091EED6">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24533A7B">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35746A53">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57AA7EEC">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1726E0F1">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6C088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noWrap w:val="0"/>
            <w:vAlign w:val="center"/>
          </w:tcPr>
          <w:p w14:paraId="37E3F6F1">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top w:val="single" w:color="auto" w:sz="4" w:space="0"/>
              <w:left w:val="single" w:color="auto" w:sz="4" w:space="0"/>
              <w:bottom w:val="single" w:color="000000" w:sz="2" w:space="0"/>
              <w:right w:val="single" w:color="auto" w:sz="4" w:space="0"/>
            </w:tcBorders>
            <w:noWrap w:val="0"/>
            <w:vAlign w:val="center"/>
          </w:tcPr>
          <w:p w14:paraId="14B3C370">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top w:val="single" w:color="auto" w:sz="4" w:space="0"/>
              <w:left w:val="single" w:color="auto" w:sz="4" w:space="0"/>
              <w:bottom w:val="single" w:color="000000" w:sz="2" w:space="0"/>
              <w:right w:val="single" w:color="000000" w:sz="2" w:space="0"/>
            </w:tcBorders>
            <w:noWrap w:val="0"/>
            <w:vAlign w:val="center"/>
          </w:tcPr>
          <w:p w14:paraId="274EC53A">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top w:val="single" w:color="auto" w:sz="4" w:space="0"/>
              <w:left w:val="single" w:color="auto" w:sz="4" w:space="0"/>
              <w:bottom w:val="single" w:color="000000" w:sz="2" w:space="0"/>
              <w:right w:val="single" w:color="auto" w:sz="4" w:space="0"/>
            </w:tcBorders>
            <w:noWrap w:val="0"/>
            <w:vAlign w:val="center"/>
          </w:tcPr>
          <w:p w14:paraId="3B7995BD">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top w:val="single" w:color="auto" w:sz="4" w:space="0"/>
              <w:left w:val="single" w:color="auto" w:sz="4" w:space="0"/>
              <w:bottom w:val="single" w:color="000000" w:sz="2" w:space="0"/>
              <w:right w:val="single" w:color="auto" w:sz="4" w:space="0"/>
            </w:tcBorders>
            <w:noWrap w:val="0"/>
            <w:vAlign w:val="center"/>
          </w:tcPr>
          <w:p w14:paraId="22A681AF">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000000" w:sz="2" w:space="0"/>
              <w:right w:val="single" w:color="auto" w:sz="4" w:space="0"/>
            </w:tcBorders>
            <w:noWrap w:val="0"/>
            <w:vAlign w:val="center"/>
          </w:tcPr>
          <w:p w14:paraId="2AA44EE2">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000000" w:sz="2" w:space="0"/>
              <w:right w:val="single" w:color="000000" w:sz="2" w:space="0"/>
            </w:tcBorders>
            <w:noWrap w:val="0"/>
            <w:vAlign w:val="center"/>
          </w:tcPr>
          <w:p w14:paraId="521FE092">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000000" w:sz="2" w:space="0"/>
              <w:right w:val="single" w:color="000000" w:sz="2" w:space="0"/>
            </w:tcBorders>
            <w:noWrap w:val="0"/>
            <w:vAlign w:val="center"/>
          </w:tcPr>
          <w:p w14:paraId="441ED494">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24BB4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left w:val="single" w:color="000000" w:sz="2" w:space="0"/>
              <w:right w:val="single" w:color="000000" w:sz="2" w:space="0"/>
            </w:tcBorders>
            <w:noWrap w:val="0"/>
            <w:vAlign w:val="center"/>
          </w:tcPr>
          <w:p w14:paraId="5D92FCC2">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left w:val="single" w:color="auto" w:sz="4" w:space="0"/>
              <w:right w:val="single" w:color="auto" w:sz="4" w:space="0"/>
            </w:tcBorders>
            <w:noWrap w:val="0"/>
            <w:vAlign w:val="center"/>
          </w:tcPr>
          <w:p w14:paraId="41B5CD7F">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left w:val="single" w:color="auto" w:sz="4" w:space="0"/>
              <w:right w:val="single" w:color="000000" w:sz="2" w:space="0"/>
            </w:tcBorders>
            <w:noWrap w:val="0"/>
            <w:vAlign w:val="center"/>
          </w:tcPr>
          <w:p w14:paraId="547C429C">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left w:val="single" w:color="auto" w:sz="4" w:space="0"/>
              <w:right w:val="single" w:color="auto" w:sz="4" w:space="0"/>
            </w:tcBorders>
            <w:noWrap w:val="0"/>
            <w:vAlign w:val="center"/>
          </w:tcPr>
          <w:p w14:paraId="585B7FA7">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left w:val="single" w:color="auto" w:sz="4" w:space="0"/>
              <w:right w:val="single" w:color="auto" w:sz="4" w:space="0"/>
            </w:tcBorders>
            <w:noWrap w:val="0"/>
            <w:vAlign w:val="center"/>
          </w:tcPr>
          <w:p w14:paraId="2A8A42A0">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auto" w:sz="4" w:space="0"/>
              <w:right w:val="single" w:color="000000" w:sz="2" w:space="0"/>
            </w:tcBorders>
            <w:noWrap w:val="0"/>
            <w:vAlign w:val="center"/>
          </w:tcPr>
          <w:p w14:paraId="2B82EE2B">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auto" w:sz="4" w:space="0"/>
              <w:right w:val="single" w:color="000000" w:sz="2" w:space="0"/>
            </w:tcBorders>
            <w:noWrap w:val="0"/>
            <w:vAlign w:val="center"/>
          </w:tcPr>
          <w:p w14:paraId="03F979C9">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auto" w:sz="4" w:space="0"/>
              <w:right w:val="single" w:color="000000" w:sz="2" w:space="0"/>
            </w:tcBorders>
            <w:noWrap w:val="0"/>
            <w:vAlign w:val="center"/>
          </w:tcPr>
          <w:p w14:paraId="2DB5BDA1">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r w14:paraId="3019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left w:val="single" w:color="000000" w:sz="2" w:space="0"/>
              <w:bottom w:val="single" w:color="auto" w:sz="4" w:space="0"/>
              <w:right w:val="single" w:color="000000" w:sz="2" w:space="0"/>
            </w:tcBorders>
            <w:noWrap w:val="0"/>
            <w:vAlign w:val="center"/>
          </w:tcPr>
          <w:p w14:paraId="68CA0D8B">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766" w:type="dxa"/>
            <w:tcBorders>
              <w:left w:val="single" w:color="auto" w:sz="4" w:space="0"/>
              <w:bottom w:val="single" w:color="auto" w:sz="4" w:space="0"/>
              <w:right w:val="single" w:color="auto" w:sz="4" w:space="0"/>
            </w:tcBorders>
            <w:noWrap w:val="0"/>
            <w:vAlign w:val="center"/>
          </w:tcPr>
          <w:p w14:paraId="7541E0BE">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168" w:type="dxa"/>
            <w:tcBorders>
              <w:left w:val="single" w:color="auto" w:sz="4" w:space="0"/>
              <w:bottom w:val="single" w:color="auto" w:sz="4" w:space="0"/>
              <w:right w:val="single" w:color="000000" w:sz="2" w:space="0"/>
            </w:tcBorders>
            <w:noWrap w:val="0"/>
            <w:vAlign w:val="center"/>
          </w:tcPr>
          <w:p w14:paraId="08F56BE2">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968" w:type="dxa"/>
            <w:tcBorders>
              <w:left w:val="single" w:color="auto" w:sz="4" w:space="0"/>
              <w:bottom w:val="single" w:color="auto" w:sz="4" w:space="0"/>
              <w:right w:val="single" w:color="auto" w:sz="4" w:space="0"/>
            </w:tcBorders>
            <w:noWrap w:val="0"/>
            <w:vAlign w:val="center"/>
          </w:tcPr>
          <w:p w14:paraId="73F608C6">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659" w:type="dxa"/>
            <w:tcBorders>
              <w:left w:val="single" w:color="auto" w:sz="4" w:space="0"/>
              <w:bottom w:val="single" w:color="auto" w:sz="4" w:space="0"/>
              <w:right w:val="single" w:color="auto" w:sz="4" w:space="0"/>
            </w:tcBorders>
            <w:noWrap w:val="0"/>
            <w:vAlign w:val="center"/>
          </w:tcPr>
          <w:p w14:paraId="07BDFA75">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032" w:type="dxa"/>
            <w:tcBorders>
              <w:top w:val="single" w:color="auto" w:sz="4" w:space="0"/>
              <w:left w:val="single" w:color="auto" w:sz="4" w:space="0"/>
              <w:bottom w:val="single" w:color="auto" w:sz="4" w:space="0"/>
              <w:right w:val="single" w:color="000000" w:sz="2" w:space="0"/>
            </w:tcBorders>
            <w:noWrap w:val="0"/>
            <w:vAlign w:val="center"/>
          </w:tcPr>
          <w:p w14:paraId="606EA7E2">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1683" w:type="dxa"/>
            <w:tcBorders>
              <w:top w:val="single" w:color="auto" w:sz="4" w:space="0"/>
              <w:left w:val="single" w:color="auto" w:sz="4" w:space="0"/>
              <w:bottom w:val="single" w:color="auto" w:sz="4" w:space="0"/>
              <w:right w:val="single" w:color="000000" w:sz="2" w:space="0"/>
            </w:tcBorders>
            <w:noWrap w:val="0"/>
            <w:vAlign w:val="center"/>
          </w:tcPr>
          <w:p w14:paraId="093F828F">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c>
          <w:tcPr>
            <w:tcW w:w="898" w:type="dxa"/>
            <w:tcBorders>
              <w:top w:val="single" w:color="auto" w:sz="4" w:space="0"/>
              <w:left w:val="single" w:color="auto" w:sz="4" w:space="0"/>
              <w:bottom w:val="single" w:color="auto" w:sz="4" w:space="0"/>
              <w:right w:val="single" w:color="000000" w:sz="2" w:space="0"/>
            </w:tcBorders>
            <w:noWrap w:val="0"/>
            <w:vAlign w:val="center"/>
          </w:tcPr>
          <w:p w14:paraId="12339102">
            <w:pPr>
              <w:keepNext w:val="0"/>
              <w:keepLines w:val="0"/>
              <w:suppressLineNumbers w:val="0"/>
              <w:spacing w:before="0" w:beforeAutospacing="0" w:after="0" w:afterAutospacing="0"/>
              <w:ind w:left="0" w:right="0" w:firstLine="480"/>
              <w:jc w:val="left"/>
              <w:rPr>
                <w:rFonts w:hint="default" w:ascii="宋体" w:hAnsi="宋体" w:eastAsia="宋体" w:cs="宋体"/>
                <w:bCs/>
                <w:color w:val="auto"/>
                <w:sz w:val="22"/>
                <w:szCs w:val="22"/>
                <w:highlight w:val="none"/>
              </w:rPr>
            </w:pPr>
          </w:p>
        </w:tc>
      </w:tr>
    </w:tbl>
    <w:p w14:paraId="6C114BC8">
      <w:pP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注：人员未经允许不得随意调整。</w:t>
      </w:r>
    </w:p>
    <w:p w14:paraId="3A25C671">
      <w:pPr>
        <w:rPr>
          <w:rFonts w:hint="eastAsia"/>
          <w:color w:val="auto"/>
          <w:sz w:val="24"/>
          <w:szCs w:val="24"/>
          <w:highlight w:val="none"/>
        </w:rPr>
      </w:pPr>
      <w:r>
        <w:rPr>
          <w:rFonts w:hint="eastAsia" w:ascii="楷体_GB2312" w:hAnsi="Arial" w:eastAsia="楷体_GB2312" w:cs="Times New Roman"/>
          <w:color w:val="auto"/>
          <w:sz w:val="24"/>
          <w:szCs w:val="24"/>
          <w:highlight w:val="none"/>
          <w:lang w:val="en-US" w:eastAsia="zh-CN" w:bidi="ar-SA"/>
        </w:rPr>
        <w:t>（全文完）</w:t>
      </w:r>
    </w:p>
    <w:sectPr>
      <w:headerReference r:id="rId8" w:type="default"/>
      <w:footerReference r:id="rId9" w:type="default"/>
      <w:pgSz w:w="11907" w:h="16840"/>
      <w:pgMar w:top="1134" w:right="1134" w:bottom="1134" w:left="1134" w:header="851" w:footer="680"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86"/>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Courier New">
    <w:panose1 w:val="02070309020205020404"/>
    <w:charset w:val="00"/>
    <w:family w:val="auto"/>
    <w:pitch w:val="default"/>
    <w:sig w:usb0="E0002EFF" w:usb1="C0007843"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font357">
    <w:altName w:val="NumberOnly"/>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MS Gothic">
    <w:panose1 w:val="020B0609070205080204"/>
    <w:charset w:val="80"/>
    <w:family w:val="auto"/>
    <w:pitch w:val="default"/>
    <w:sig w:usb0="E00002FF" w:usb1="6AC7FDFB" w:usb2="08000012" w:usb3="00000000" w:csb0="4002009F" w:csb1="DFD70000"/>
  </w:font>
  <w:font w:name="Wingdings 2">
    <w:panose1 w:val="050201020105070707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58F65">
    <w:pPr>
      <w:pStyle w:val="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3E137">
    <w:pPr>
      <w:pStyle w:val="3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92231A0">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47</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OOMZD3UAQAAqgMAAA4AAAAAAAAAAQAgAAAAHgEA&#10;AGRycy9lMm9Eb2MueG1sUEsFBgAAAAAGAAYAWQEAAGQFAAAAAA==&#10;">
              <v:fill on="f" focussize="0,0"/>
              <v:stroke on="f"/>
              <v:imagedata o:title=""/>
              <o:lock v:ext="edit" aspectratio="f"/>
              <v:textbox inset="0mm,0mm,0mm,0mm" style="mso-fit-shape-to-text:t;">
                <w:txbxContent>
                  <w:p w14:paraId="692231A0">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47</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5FE07">
    <w:pPr>
      <w:pStyle w:val="3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E5E8391">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46</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XNvMzUAQAAqgMAAA4AAAAAAAAAAQAgAAAAHgEA&#10;AGRycy9lMm9Eb2MueG1sUEsFBgAAAAAGAAYAWQEAAGQFAAAAAA==&#10;">
              <v:fill on="f" focussize="0,0"/>
              <v:stroke on="f"/>
              <v:imagedata o:title=""/>
              <o:lock v:ext="edit" aspectratio="f"/>
              <v:textbox inset="0mm,0mm,0mm,0mm" style="mso-fit-shape-to-text:t;">
                <w:txbxContent>
                  <w:p w14:paraId="0E5E8391">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46</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906F8">
    <w:pPr>
      <w:widowControl w:val="0"/>
      <w:tabs>
        <w:tab w:val="center" w:pos="4153"/>
        <w:tab w:val="right" w:pos="8306"/>
      </w:tabs>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EE7D89">
                          <w:pPr>
                            <w:widowControl w:val="0"/>
                            <w:tabs>
                              <w:tab w:val="center" w:pos="4153"/>
                              <w:tab w:val="right" w:pos="8306"/>
                            </w:tabs>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t xml:space="preserve">第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PAGE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53</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 共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NUMPAGES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65</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GF8K/dCAgAAfQQAAA4AAAAAAAAAAQAgAAAAHwEAAGRy&#10;cy9lMm9Eb2MueG1sUEsFBgAAAAAGAAYAWQEAANMFAAAAAA==&#10;">
              <v:fill on="f" focussize="0,0"/>
              <v:stroke on="f" weight="0.5pt"/>
              <v:imagedata o:title=""/>
              <o:lock v:ext="edit" aspectratio="f"/>
              <v:textbox inset="0mm,0mm,0mm,0mm" style="mso-fit-shape-to-text:t;">
                <w:txbxContent>
                  <w:p w14:paraId="1AEE7D89">
                    <w:pPr>
                      <w:widowControl w:val="0"/>
                      <w:tabs>
                        <w:tab w:val="center" w:pos="4153"/>
                        <w:tab w:val="right" w:pos="8306"/>
                      </w:tabs>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t xml:space="preserve">第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PAGE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53</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 共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NUMPAGES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65</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D0141">
    <w:pPr>
      <w:pStyle w:val="19"/>
      <w:jc w:val="left"/>
      <w:rPr>
        <w:rFonts w:hint="eastAsia" w:eastAsia="宋体"/>
        <w:lang w:eastAsia="zh-CN"/>
      </w:rPr>
    </w:pPr>
    <w:r>
      <w:rPr>
        <w:rFonts w:hint="eastAsia" w:ascii="宋体" w:hAnsi="宋体"/>
        <w:b/>
        <w:lang w:eastAsia="zh-CN"/>
      </w:rPr>
      <w:t>汇建（苏州）项目管理有限公司</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eastAsia="zh-CN"/>
      </w:rPr>
      <w:t>JSZC-320585-HJSZ-G2026-0002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B6BF2">
    <w:pPr>
      <w:pStyle w:val="19"/>
      <w:pBdr>
        <w:bottom w:val="none" w:color="auto" w:sz="0" w:space="1"/>
      </w:pBdr>
      <w:rPr>
        <w:rFonts w:hint="default"/>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C3F36">
    <w:pPr>
      <w:widowControl w:val="0"/>
      <w:pBdr>
        <w:bottom w:val="single" w:color="000000" w:sz="6" w:space="1"/>
      </w:pBdr>
      <w:tabs>
        <w:tab w:val="center" w:pos="4153"/>
        <w:tab w:val="right" w:pos="8306"/>
      </w:tabs>
      <w:jc w:val="center"/>
      <w:rPr>
        <w:rFonts w:hint="default" w:ascii="宋体" w:hAnsi="Times New Roman" w:eastAsia="宋体" w:cs="Times New Roman"/>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suff w:val="nothing"/>
      <w:lvlText w:val="%1)"/>
      <w:lvlJc w:val="left"/>
      <w:pPr>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0F1ACD9"/>
    <w:multiLevelType w:val="multilevel"/>
    <w:tmpl w:val="B0F1ACD9"/>
    <w:lvl w:ilvl="0" w:tentative="0">
      <w:start w:val="1"/>
      <w:numFmt w:val="decimal"/>
      <w:suff w:val="nothing"/>
      <w:lvlText w:val="%1、"/>
      <w:lvlJc w:val="left"/>
      <w:pPr>
        <w:ind w:left="0" w:firstLine="403"/>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E923771"/>
    <w:multiLevelType w:val="multilevel"/>
    <w:tmpl w:val="BE923771"/>
    <w:lvl w:ilvl="0" w:tentative="0">
      <w:start w:val="1"/>
      <w:numFmt w:val="decimal"/>
      <w:suff w:val="nothing"/>
      <w:lvlText w:val="%1、"/>
      <w:lvlJc w:val="left"/>
      <w:pPr>
        <w:ind w:left="0" w:firstLine="403"/>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BF205925"/>
    <w:multiLevelType w:val="multilevel"/>
    <w:tmpl w:val="BF205925"/>
    <w:lvl w:ilvl="0" w:tentative="0">
      <w:start w:val="1"/>
      <w:numFmt w:val="decimal"/>
      <w:suff w:val="nothing"/>
      <w:lvlText w:val="%1、"/>
      <w:lvlJc w:val="left"/>
      <w:pPr>
        <w:ind w:left="0" w:firstLine="403"/>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8879AEF"/>
    <w:multiLevelType w:val="multilevel"/>
    <w:tmpl w:val="C8879AEF"/>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CF092B84"/>
    <w:multiLevelType w:val="multilevel"/>
    <w:tmpl w:val="CF092B84"/>
    <w:lvl w:ilvl="0" w:tentative="0">
      <w:start w:val="1"/>
      <w:numFmt w:val="decimal"/>
      <w:suff w:val="nothing"/>
      <w:lvlText w:val="%1、"/>
      <w:lvlJc w:val="left"/>
      <w:pPr>
        <w:ind w:left="0" w:firstLine="403"/>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D7F9FE59"/>
    <w:multiLevelType w:val="multilevel"/>
    <w:tmpl w:val="D7F9FE59"/>
    <w:lvl w:ilvl="0" w:tentative="0">
      <w:start w:val="1"/>
      <w:numFmt w:val="decimal"/>
      <w:suff w:val="nothing"/>
      <w:lvlText w:val="%1)"/>
      <w:lvlJc w:val="left"/>
      <w:pPr>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DCBA6B53"/>
    <w:multiLevelType w:val="multilevel"/>
    <w:tmpl w:val="DCBA6B53"/>
    <w:lvl w:ilvl="0" w:tentative="0">
      <w:start w:val="1"/>
      <w:numFmt w:val="decimal"/>
      <w:suff w:val="nothing"/>
      <w:lvlText w:val="%1)"/>
      <w:lvlJc w:val="left"/>
      <w:pPr>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F4B5D9F5"/>
    <w:multiLevelType w:val="multilevel"/>
    <w:tmpl w:val="F4B5D9F5"/>
    <w:lvl w:ilvl="0" w:tentative="0">
      <w:start w:val="1"/>
      <w:numFmt w:val="decimal"/>
      <w:suff w:val="nothing"/>
      <w:lvlText w:val="%1)"/>
      <w:lvlJc w:val="left"/>
      <w:pPr>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053208E"/>
    <w:multiLevelType w:val="multilevel"/>
    <w:tmpl w:val="0053208E"/>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248C179"/>
    <w:multiLevelType w:val="multilevel"/>
    <w:tmpl w:val="0248C17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03D62ECE"/>
    <w:multiLevelType w:val="multilevel"/>
    <w:tmpl w:val="03D62EC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470EC97"/>
    <w:multiLevelType w:val="multilevel"/>
    <w:tmpl w:val="2470EC97"/>
    <w:lvl w:ilvl="0" w:tentative="0">
      <w:start w:val="1"/>
      <w:numFmt w:val="decimal"/>
      <w:suff w:val="nothing"/>
      <w:lvlText w:val="%1)"/>
      <w:lvlJc w:val="left"/>
      <w:pPr>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25B654F3"/>
    <w:multiLevelType w:val="multilevel"/>
    <w:tmpl w:val="25B654F3"/>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2A8F537B"/>
    <w:multiLevelType w:val="multilevel"/>
    <w:tmpl w:val="2A8F537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46A08BB8"/>
    <w:multiLevelType w:val="multilevel"/>
    <w:tmpl w:val="46A08BB8"/>
    <w:lvl w:ilvl="0" w:tentative="0">
      <w:start w:val="1"/>
      <w:numFmt w:val="decimal"/>
      <w:suff w:val="nothing"/>
      <w:lvlText w:val="%1、"/>
      <w:lvlJc w:val="left"/>
      <w:pPr>
        <w:ind w:left="0" w:firstLine="403"/>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4C1BAE26"/>
    <w:multiLevelType w:val="multilevel"/>
    <w:tmpl w:val="4C1BAE26"/>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4D4DC07F"/>
    <w:multiLevelType w:val="multilevel"/>
    <w:tmpl w:val="4D4DC07F"/>
    <w:lvl w:ilvl="0" w:tentative="0">
      <w:start w:val="1"/>
      <w:numFmt w:val="decimal"/>
      <w:suff w:val="nothing"/>
      <w:lvlText w:val="(%1)"/>
      <w:lvlJc w:val="left"/>
      <w:pPr>
        <w:ind w:left="0" w:firstLine="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5A241D34"/>
    <w:multiLevelType w:val="multilevel"/>
    <w:tmpl w:val="5A241D3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60382F6E"/>
    <w:multiLevelType w:val="multilevel"/>
    <w:tmpl w:val="60382F6E"/>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72183CF9"/>
    <w:multiLevelType w:val="multilevel"/>
    <w:tmpl w:val="72183CF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77ECEA79"/>
    <w:multiLevelType w:val="multilevel"/>
    <w:tmpl w:val="77ECEA79"/>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7C246926"/>
    <w:multiLevelType w:val="multilevel"/>
    <w:tmpl w:val="7C246926"/>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20"/>
  </w:num>
  <w:num w:numId="4">
    <w:abstractNumId w:val="5"/>
  </w:num>
  <w:num w:numId="5">
    <w:abstractNumId w:val="3"/>
  </w:num>
  <w:num w:numId="6">
    <w:abstractNumId w:val="13"/>
  </w:num>
  <w:num w:numId="7">
    <w:abstractNumId w:val="15"/>
  </w:num>
  <w:num w:numId="8">
    <w:abstractNumId w:val="23"/>
  </w:num>
  <w:num w:numId="9">
    <w:abstractNumId w:val="12"/>
  </w:num>
  <w:num w:numId="10">
    <w:abstractNumId w:val="0"/>
  </w:num>
  <w:num w:numId="11">
    <w:abstractNumId w:val="16"/>
  </w:num>
  <w:num w:numId="12">
    <w:abstractNumId w:val="21"/>
  </w:num>
  <w:num w:numId="13">
    <w:abstractNumId w:val="6"/>
  </w:num>
  <w:num w:numId="14">
    <w:abstractNumId w:val="19"/>
  </w:num>
  <w:num w:numId="15">
    <w:abstractNumId w:val="10"/>
  </w:num>
  <w:num w:numId="16">
    <w:abstractNumId w:val="14"/>
  </w:num>
  <w:num w:numId="17">
    <w:abstractNumId w:val="9"/>
  </w:num>
  <w:num w:numId="18">
    <w:abstractNumId w:val="8"/>
  </w:num>
  <w:num w:numId="19">
    <w:abstractNumId w:val="1"/>
  </w:num>
  <w:num w:numId="20">
    <w:abstractNumId w:val="18"/>
  </w:num>
  <w:num w:numId="21">
    <w:abstractNumId w:val="22"/>
    <w:lvlOverride w:ilvl="0">
      <w:startOverride w:val="1"/>
    </w:lvlOverride>
  </w:num>
  <w:num w:numId="22">
    <w:abstractNumId w:val="17"/>
  </w:num>
  <w:num w:numId="23">
    <w:abstractNumId w:val="2"/>
  </w:num>
  <w:num w:numId="24">
    <w:abstractNumId w:val="25"/>
  </w:num>
  <w:num w:numId="25">
    <w:abstractNumId w:val="24"/>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5"/>
  <w:characterSpacingControl w:val="doNotCompress"/>
  <w:compat>
    <w:balanceSingleByteDoubleByteWidth/>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5C3A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宋体"/>
      <w:sz w:val="21"/>
      <w:szCs w:val="21"/>
      <w:lang w:val="en-US" w:eastAsia="zh-CN" w:bidi="ar-SA"/>
    </w:rPr>
  </w:style>
  <w:style w:type="paragraph" w:styleId="3">
    <w:name w:val="heading 1"/>
    <w:basedOn w:val="1"/>
    <w:next w:val="1"/>
    <w:link w:val="235"/>
    <w:qFormat/>
    <w:uiPriority w:val="9"/>
    <w:pPr>
      <w:keepNext/>
      <w:tabs>
        <w:tab w:val="left" w:pos="200"/>
      </w:tabs>
      <w:jc w:val="center"/>
      <w:outlineLvl w:val="0"/>
    </w:pPr>
    <w:rPr>
      <w:rFonts w:ascii="宋体" w:hAnsi="宋体" w:cs="Times New Roman"/>
      <w:b/>
      <w:sz w:val="36"/>
      <w:szCs w:val="20"/>
    </w:rPr>
  </w:style>
  <w:style w:type="paragraph" w:styleId="4">
    <w:name w:val="heading 2"/>
    <w:basedOn w:val="1"/>
    <w:next w:val="1"/>
    <w:link w:val="237"/>
    <w:qFormat/>
    <w:uiPriority w:val="0"/>
    <w:pPr>
      <w:keepNext/>
      <w:jc w:val="center"/>
      <w:outlineLvl w:val="1"/>
    </w:pPr>
    <w:rPr>
      <w:rFonts w:hint="eastAsia" w:ascii="宋体" w:hAnsi="宋体" w:cs="Times New Roman"/>
      <w:b/>
      <w:sz w:val="28"/>
      <w:szCs w:val="28"/>
    </w:rPr>
  </w:style>
  <w:style w:type="paragraph" w:styleId="5">
    <w:name w:val="heading 3"/>
    <w:basedOn w:val="1"/>
    <w:next w:val="1"/>
    <w:link w:val="232"/>
    <w:qFormat/>
    <w:uiPriority w:val="9"/>
    <w:pPr>
      <w:keepNext/>
      <w:jc w:val="center"/>
      <w:outlineLvl w:val="2"/>
    </w:pPr>
    <w:rPr>
      <w:rFonts w:ascii="宋体" w:hAnsi="宋体"/>
      <w:sz w:val="28"/>
      <w:szCs w:val="20"/>
    </w:rPr>
  </w:style>
  <w:style w:type="paragraph" w:styleId="6">
    <w:name w:val="heading 4"/>
    <w:basedOn w:val="1"/>
    <w:next w:val="1"/>
    <w:link w:val="234"/>
    <w:qFormat/>
    <w:uiPriority w:val="9"/>
    <w:pPr>
      <w:keepNext/>
      <w:outlineLvl w:val="3"/>
    </w:pPr>
    <w:rPr>
      <w:rFonts w:cs="Times New Roman"/>
      <w:b/>
      <w:bCs/>
      <w:sz w:val="18"/>
      <w:szCs w:val="20"/>
    </w:rPr>
  </w:style>
  <w:style w:type="paragraph" w:styleId="7">
    <w:name w:val="heading 5"/>
    <w:basedOn w:val="1"/>
    <w:next w:val="1"/>
    <w:link w:val="220"/>
    <w:qFormat/>
    <w:uiPriority w:val="9"/>
    <w:pPr>
      <w:keepNext/>
      <w:jc w:val="center"/>
      <w:outlineLvl w:val="4"/>
    </w:pPr>
    <w:rPr>
      <w:b/>
      <w:bCs/>
      <w:sz w:val="18"/>
      <w:szCs w:val="20"/>
    </w:rPr>
  </w:style>
  <w:style w:type="paragraph" w:styleId="8">
    <w:name w:val="heading 6"/>
    <w:basedOn w:val="1"/>
    <w:next w:val="1"/>
    <w:link w:val="231"/>
    <w:qFormat/>
    <w:uiPriority w:val="9"/>
    <w:pPr>
      <w:keepNext/>
      <w:keepLines/>
      <w:spacing w:before="240" w:after="64" w:line="320" w:lineRule="auto"/>
      <w:ind w:left="992" w:hanging="567"/>
      <w:outlineLvl w:val="5"/>
    </w:pPr>
    <w:rPr>
      <w:rFonts w:ascii="Cambria" w:hAnsi="Cambria" w:eastAsia="黑体" w:cs="Times New Roman"/>
      <w:b/>
      <w:bCs/>
      <w:sz w:val="28"/>
      <w:szCs w:val="24"/>
    </w:rPr>
  </w:style>
  <w:style w:type="paragraph" w:styleId="9">
    <w:name w:val="heading 7"/>
    <w:basedOn w:val="1"/>
    <w:next w:val="1"/>
    <w:link w:val="7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6"/>
    <w:unhideWhenUsed/>
    <w:qFormat/>
    <w:uiPriority w:val="9"/>
    <w:pPr>
      <w:keepNext/>
      <w:keepLines/>
      <w:spacing w:before="320" w:after="200"/>
      <w:outlineLvl w:val="8"/>
    </w:pPr>
    <w:rPr>
      <w:rFonts w:ascii="Arial" w:hAnsi="Arial" w:eastAsia="Arial" w:cs="Arial"/>
      <w:i/>
      <w:iCs/>
      <w:sz w:val="21"/>
      <w:szCs w:val="21"/>
    </w:rPr>
  </w:style>
  <w:style w:type="character" w:default="1" w:styleId="58">
    <w:name w:val="Default Paragraph Font"/>
    <w:semiHidden/>
    <w:unhideWhenUsed/>
    <w:qFormat/>
    <w:uiPriority w:val="1"/>
  </w:style>
  <w:style w:type="table" w:default="1" w:styleId="5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Arial" w:hAnsi="Arial" w:eastAsia="宋体" w:cs="Times New Roman"/>
      <w:sz w:val="21"/>
      <w:szCs w:val="22"/>
    </w:rPr>
    <w:tblPr>
      <w:tblCellMar>
        <w:top w:w="0" w:type="dxa"/>
        <w:left w:w="108" w:type="dxa"/>
        <w:bottom w:w="0" w:type="dxa"/>
        <w:right w:w="108" w:type="dxa"/>
      </w:tblCellMar>
    </w:tblPr>
  </w:style>
  <w:style w:type="paragraph" w:customStyle="1" w:styleId="2">
    <w:name w:val="文档结构图1"/>
    <w:semiHidden/>
    <w:qFormat/>
    <w:uiPriority w:val="99"/>
    <w:pPr>
      <w:widowControl w:val="0"/>
      <w:shd w:val="clear" w:color="auto" w:fill="000080"/>
      <w:jc w:val="both"/>
    </w:pPr>
    <w:rPr>
      <w:rFonts w:hint="default" w:ascii="Times New Roman" w:hAnsi="Times New Roman" w:eastAsia="宋体" w:cs="Times New Roman"/>
      <w:sz w:val="21"/>
      <w:lang w:val="en-US" w:eastAsia="zh-CN" w:bidi="ar-SA"/>
    </w:rPr>
  </w:style>
  <w:style w:type="paragraph" w:styleId="12">
    <w:name w:val="toc 7"/>
    <w:basedOn w:val="1"/>
    <w:next w:val="1"/>
    <w:qFormat/>
    <w:uiPriority w:val="39"/>
    <w:pPr>
      <w:ind w:left="1260"/>
      <w:jc w:val="left"/>
    </w:pPr>
  </w:style>
  <w:style w:type="paragraph" w:styleId="13">
    <w:name w:val="index 8"/>
    <w:basedOn w:val="1"/>
    <w:next w:val="1"/>
    <w:semiHidden/>
    <w:qFormat/>
    <w:uiPriority w:val="0"/>
    <w:pPr>
      <w:ind w:left="1400"/>
    </w:pPr>
  </w:style>
  <w:style w:type="paragraph" w:styleId="14">
    <w:name w:val="Normal Indent"/>
    <w:basedOn w:val="1"/>
    <w:next w:val="1"/>
    <w:link w:val="229"/>
    <w:qFormat/>
    <w:uiPriority w:val="0"/>
    <w:pPr>
      <w:ind w:firstLine="420"/>
    </w:pPr>
    <w:rPr>
      <w:rFonts w:cs="Times New Roman"/>
      <w:szCs w:val="20"/>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index 5"/>
    <w:basedOn w:val="1"/>
    <w:next w:val="1"/>
    <w:semiHidden/>
    <w:qFormat/>
    <w:uiPriority w:val="0"/>
    <w:pPr>
      <w:ind w:left="800"/>
    </w:pPr>
  </w:style>
  <w:style w:type="paragraph" w:styleId="17">
    <w:name w:val="Document Map"/>
    <w:basedOn w:val="1"/>
    <w:next w:val="18"/>
    <w:semiHidden/>
    <w:qFormat/>
    <w:uiPriority w:val="0"/>
    <w:pPr>
      <w:shd w:val="clear" w:color="auto" w:fill="000080"/>
    </w:pPr>
  </w:style>
  <w:style w:type="paragraph" w:styleId="18">
    <w:name w:val="Plain Text"/>
    <w:basedOn w:val="1"/>
    <w:next w:val="19"/>
    <w:link w:val="236"/>
    <w:qFormat/>
    <w:uiPriority w:val="0"/>
    <w:rPr>
      <w:rFonts w:ascii="宋体" w:hAnsi="Courier New"/>
      <w:szCs w:val="20"/>
    </w:rPr>
  </w:style>
  <w:style w:type="paragraph" w:styleId="19">
    <w:name w:val="header"/>
    <w:basedOn w:val="1"/>
    <w:next w:val="1"/>
    <w:link w:val="223"/>
    <w:qFormat/>
    <w:uiPriority w:val="99"/>
    <w:pPr>
      <w:pBdr>
        <w:bottom w:val="single" w:color="auto" w:sz="6" w:space="1"/>
      </w:pBdr>
      <w:tabs>
        <w:tab w:val="center" w:pos="4153"/>
        <w:tab w:val="right" w:pos="8306"/>
      </w:tabs>
      <w:jc w:val="center"/>
    </w:pPr>
    <w:rPr>
      <w:sz w:val="18"/>
      <w:szCs w:val="20"/>
    </w:rPr>
  </w:style>
  <w:style w:type="paragraph" w:styleId="20">
    <w:name w:val="annotation text"/>
    <w:basedOn w:val="1"/>
    <w:link w:val="217"/>
    <w:qFormat/>
    <w:uiPriority w:val="0"/>
    <w:pPr>
      <w:jc w:val="left"/>
    </w:pPr>
    <w:rPr>
      <w:rFonts w:ascii="Calibri" w:hAnsi="Calibri"/>
      <w:szCs w:val="22"/>
    </w:rPr>
  </w:style>
  <w:style w:type="paragraph" w:styleId="21">
    <w:name w:val="index 6"/>
    <w:basedOn w:val="1"/>
    <w:next w:val="1"/>
    <w:semiHidden/>
    <w:qFormat/>
    <w:uiPriority w:val="0"/>
    <w:pPr>
      <w:ind w:left="1000"/>
    </w:pPr>
  </w:style>
  <w:style w:type="paragraph" w:styleId="22">
    <w:name w:val="Body Text"/>
    <w:basedOn w:val="1"/>
    <w:next w:val="1"/>
    <w:link w:val="222"/>
    <w:qFormat/>
    <w:uiPriority w:val="0"/>
    <w:rPr>
      <w:rFonts w:ascii="楷体_GB2312" w:hAnsi="Arial" w:eastAsia="楷体_GB2312" w:cs="Times New Roman"/>
      <w:sz w:val="28"/>
      <w:szCs w:val="20"/>
    </w:rPr>
  </w:style>
  <w:style w:type="paragraph" w:styleId="23">
    <w:name w:val="Body Text Indent"/>
    <w:basedOn w:val="3"/>
    <w:next w:val="1"/>
    <w:link w:val="228"/>
    <w:qFormat/>
    <w:uiPriority w:val="99"/>
    <w:pPr>
      <w:spacing w:line="312" w:lineRule="atLeast"/>
      <w:ind w:firstLine="574"/>
    </w:pPr>
    <w:rPr>
      <w:rFonts w:ascii="宋体"/>
      <w:sz w:val="28"/>
      <w:szCs w:val="20"/>
    </w:rPr>
  </w:style>
  <w:style w:type="paragraph" w:styleId="24">
    <w:name w:val="Block Text"/>
    <w:basedOn w:val="1"/>
    <w:qFormat/>
    <w:uiPriority w:val="0"/>
    <w:pPr>
      <w:tabs>
        <w:tab w:val="left" w:pos="822"/>
        <w:tab w:val="left" w:pos="2205"/>
        <w:tab w:val="left" w:pos="9000"/>
      </w:tabs>
      <w:spacing w:before="89"/>
      <w:ind w:left="1890" w:right="11" w:hanging="1409"/>
    </w:pPr>
    <w:rPr>
      <w:sz w:val="24"/>
    </w:rPr>
  </w:style>
  <w:style w:type="paragraph" w:styleId="25">
    <w:name w:val="index 4"/>
    <w:basedOn w:val="1"/>
    <w:next w:val="1"/>
    <w:semiHidden/>
    <w:qFormat/>
    <w:uiPriority w:val="0"/>
    <w:pPr>
      <w:ind w:left="600"/>
    </w:pPr>
  </w:style>
  <w:style w:type="paragraph" w:styleId="26">
    <w:name w:val="toc 5"/>
    <w:basedOn w:val="1"/>
    <w:next w:val="1"/>
    <w:qFormat/>
    <w:uiPriority w:val="39"/>
    <w:pPr>
      <w:ind w:left="840"/>
      <w:jc w:val="left"/>
    </w:pPr>
  </w:style>
  <w:style w:type="paragraph" w:styleId="27">
    <w:name w:val="toc 3"/>
    <w:basedOn w:val="1"/>
    <w:next w:val="1"/>
    <w:qFormat/>
    <w:uiPriority w:val="39"/>
    <w:pPr>
      <w:ind w:left="420"/>
      <w:jc w:val="left"/>
    </w:pPr>
    <w:rPr>
      <w:i/>
      <w:iCs/>
      <w:szCs w:val="24"/>
    </w:rPr>
  </w:style>
  <w:style w:type="paragraph" w:styleId="28">
    <w:name w:val="toc 8"/>
    <w:basedOn w:val="1"/>
    <w:next w:val="1"/>
    <w:qFormat/>
    <w:uiPriority w:val="39"/>
    <w:pPr>
      <w:ind w:left="1470"/>
      <w:jc w:val="left"/>
    </w:pPr>
  </w:style>
  <w:style w:type="paragraph" w:styleId="29">
    <w:name w:val="index 3"/>
    <w:basedOn w:val="1"/>
    <w:next w:val="1"/>
    <w:semiHidden/>
    <w:qFormat/>
    <w:uiPriority w:val="0"/>
    <w:pPr>
      <w:ind w:left="400"/>
    </w:pPr>
  </w:style>
  <w:style w:type="paragraph" w:styleId="30">
    <w:name w:val="Date"/>
    <w:basedOn w:val="1"/>
    <w:next w:val="1"/>
    <w:link w:val="233"/>
    <w:qFormat/>
    <w:uiPriority w:val="0"/>
    <w:pPr>
      <w:spacing w:line="312" w:lineRule="atLeast"/>
    </w:pPr>
    <w:rPr>
      <w:rFonts w:ascii="宋体" w:cs="Times New Roman"/>
      <w:sz w:val="28"/>
      <w:szCs w:val="20"/>
    </w:rPr>
  </w:style>
  <w:style w:type="paragraph" w:styleId="31">
    <w:name w:val="Body Text Indent 2"/>
    <w:basedOn w:val="1"/>
    <w:qFormat/>
    <w:uiPriority w:val="0"/>
    <w:pPr>
      <w:tabs>
        <w:tab w:val="left" w:pos="1785"/>
        <w:tab w:val="left" w:pos="1887"/>
        <w:tab w:val="left" w:pos="2112"/>
        <w:tab w:val="left" w:pos="9000"/>
      </w:tabs>
      <w:ind w:left="1890" w:hanging="1409"/>
    </w:pPr>
    <w:rPr>
      <w:sz w:val="24"/>
    </w:rPr>
  </w:style>
  <w:style w:type="paragraph" w:styleId="32">
    <w:name w:val="endnote text"/>
    <w:basedOn w:val="1"/>
    <w:link w:val="213"/>
    <w:semiHidden/>
    <w:unhideWhenUsed/>
    <w:qFormat/>
    <w:uiPriority w:val="99"/>
    <w:pPr>
      <w:spacing w:after="0" w:line="240" w:lineRule="auto"/>
    </w:pPr>
    <w:rPr>
      <w:sz w:val="20"/>
    </w:rPr>
  </w:style>
  <w:style w:type="paragraph" w:styleId="33">
    <w:name w:val="Balloon Text"/>
    <w:basedOn w:val="1"/>
    <w:link w:val="238"/>
    <w:unhideWhenUsed/>
    <w:qFormat/>
    <w:uiPriority w:val="0"/>
    <w:rPr>
      <w:rFonts w:ascii="Calibri" w:hAnsi="Calibri"/>
      <w:sz w:val="18"/>
      <w:szCs w:val="18"/>
    </w:rPr>
  </w:style>
  <w:style w:type="paragraph" w:styleId="34">
    <w:name w:val="footer"/>
    <w:basedOn w:val="1"/>
    <w:link w:val="224"/>
    <w:qFormat/>
    <w:uiPriority w:val="99"/>
    <w:pPr>
      <w:tabs>
        <w:tab w:val="center" w:pos="4153"/>
        <w:tab w:val="right" w:pos="8306"/>
      </w:tabs>
      <w:jc w:val="left"/>
    </w:pPr>
    <w:rPr>
      <w:sz w:val="18"/>
      <w:szCs w:val="20"/>
    </w:rPr>
  </w:style>
  <w:style w:type="paragraph" w:styleId="35">
    <w:name w:val="envelope return"/>
    <w:basedOn w:val="1"/>
    <w:unhideWhenUsed/>
    <w:qFormat/>
    <w:uiPriority w:val="99"/>
    <w:rPr>
      <w:rFonts w:ascii="Cambria" w:hAnsi="Cambria"/>
    </w:rPr>
  </w:style>
  <w:style w:type="paragraph" w:styleId="36">
    <w:name w:val="Signature"/>
    <w:basedOn w:val="1"/>
    <w:link w:val="249"/>
    <w:qFormat/>
    <w:uiPriority w:val="0"/>
    <w:pPr>
      <w:spacing w:after="600" w:line="312" w:lineRule="atLeast"/>
      <w:jc w:val="center"/>
    </w:pPr>
    <w:rPr>
      <w:rFonts w:eastAsia="仿宋_GB2312" w:cs="Times New Roman"/>
      <w:sz w:val="24"/>
      <w:szCs w:val="20"/>
    </w:rPr>
  </w:style>
  <w:style w:type="paragraph" w:styleId="37">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38">
    <w:name w:val="toc 4"/>
    <w:basedOn w:val="1"/>
    <w:next w:val="1"/>
    <w:qFormat/>
    <w:uiPriority w:val="39"/>
    <w:pPr>
      <w:ind w:left="630"/>
      <w:jc w:val="left"/>
    </w:pPr>
  </w:style>
  <w:style w:type="paragraph" w:styleId="39">
    <w:name w:val="index heading"/>
    <w:basedOn w:val="1"/>
    <w:next w:val="40"/>
    <w:semiHidden/>
    <w:qFormat/>
    <w:uiPriority w:val="0"/>
  </w:style>
  <w:style w:type="paragraph" w:styleId="40">
    <w:name w:val="index 1"/>
    <w:basedOn w:val="1"/>
    <w:next w:val="1"/>
    <w:semiHidden/>
    <w:qFormat/>
    <w:uiPriority w:val="0"/>
  </w:style>
  <w:style w:type="paragraph" w:styleId="41">
    <w:name w:val="Subtitle"/>
    <w:basedOn w:val="1"/>
    <w:next w:val="1"/>
    <w:link w:val="221"/>
    <w:qFormat/>
    <w:uiPriority w:val="11"/>
    <w:pPr>
      <w:spacing w:before="240" w:after="60" w:line="312" w:lineRule="auto"/>
      <w:jc w:val="center"/>
      <w:outlineLvl w:val="1"/>
    </w:pPr>
    <w:rPr>
      <w:rFonts w:ascii="Cambria" w:hAnsi="Cambria"/>
      <w:b/>
      <w:bCs/>
      <w:sz w:val="32"/>
      <w:szCs w:val="32"/>
    </w:rPr>
  </w:style>
  <w:style w:type="paragraph" w:styleId="42">
    <w:name w:val="footnote text"/>
    <w:basedOn w:val="1"/>
    <w:link w:val="212"/>
    <w:semiHidden/>
    <w:unhideWhenUsed/>
    <w:qFormat/>
    <w:uiPriority w:val="99"/>
    <w:pPr>
      <w:spacing w:after="40" w:line="240" w:lineRule="auto"/>
    </w:pPr>
    <w:rPr>
      <w:sz w:val="18"/>
    </w:rPr>
  </w:style>
  <w:style w:type="paragraph" w:styleId="43">
    <w:name w:val="toc 6"/>
    <w:basedOn w:val="1"/>
    <w:next w:val="1"/>
    <w:qFormat/>
    <w:uiPriority w:val="39"/>
    <w:pPr>
      <w:ind w:left="1050"/>
      <w:jc w:val="left"/>
    </w:pPr>
  </w:style>
  <w:style w:type="paragraph" w:styleId="44">
    <w:name w:val="Body Text Indent 3"/>
    <w:basedOn w:val="1"/>
    <w:qFormat/>
    <w:uiPriority w:val="0"/>
    <w:pPr>
      <w:ind w:firstLine="555"/>
    </w:pPr>
    <w:rPr>
      <w:b/>
      <w:bCs/>
      <w:sz w:val="28"/>
      <w:u w:val="single"/>
    </w:rPr>
  </w:style>
  <w:style w:type="paragraph" w:styleId="45">
    <w:name w:val="index 7"/>
    <w:basedOn w:val="1"/>
    <w:next w:val="1"/>
    <w:semiHidden/>
    <w:qFormat/>
    <w:uiPriority w:val="0"/>
    <w:pPr>
      <w:ind w:left="1200"/>
    </w:pPr>
  </w:style>
  <w:style w:type="paragraph" w:styleId="46">
    <w:name w:val="index 9"/>
    <w:basedOn w:val="1"/>
    <w:next w:val="1"/>
    <w:semiHidden/>
    <w:qFormat/>
    <w:uiPriority w:val="0"/>
    <w:pPr>
      <w:ind w:left="1600"/>
    </w:pPr>
  </w:style>
  <w:style w:type="paragraph" w:styleId="47">
    <w:name w:val="table of figures"/>
    <w:basedOn w:val="1"/>
    <w:next w:val="1"/>
    <w:semiHidden/>
    <w:qFormat/>
    <w:uiPriority w:val="0"/>
    <w:pPr>
      <w:ind w:left="840" w:hanging="420"/>
    </w:pPr>
  </w:style>
  <w:style w:type="paragraph" w:styleId="48">
    <w:name w:val="toc 2"/>
    <w:basedOn w:val="1"/>
    <w:next w:val="1"/>
    <w:qFormat/>
    <w:uiPriority w:val="39"/>
    <w:pPr>
      <w:tabs>
        <w:tab w:val="right" w:leader="dot" w:pos="9450"/>
      </w:tabs>
      <w:spacing w:line="400" w:lineRule="exact"/>
      <w:ind w:left="250"/>
      <w:jc w:val="left"/>
    </w:pPr>
    <w:rPr>
      <w:bCs/>
      <w:smallCaps/>
      <w:sz w:val="24"/>
      <w:szCs w:val="24"/>
    </w:rPr>
  </w:style>
  <w:style w:type="paragraph" w:styleId="49">
    <w:name w:val="toc 9"/>
    <w:basedOn w:val="1"/>
    <w:next w:val="1"/>
    <w:qFormat/>
    <w:uiPriority w:val="39"/>
    <w:pPr>
      <w:ind w:left="1680"/>
      <w:jc w:val="left"/>
    </w:pPr>
  </w:style>
  <w:style w:type="paragraph" w:styleId="50">
    <w:name w:val="Normal (Web)"/>
    <w:basedOn w:val="1"/>
    <w:link w:val="287"/>
    <w:qFormat/>
    <w:uiPriority w:val="99"/>
    <w:rPr>
      <w:sz w:val="24"/>
    </w:rPr>
  </w:style>
  <w:style w:type="paragraph" w:styleId="51">
    <w:name w:val="index 2"/>
    <w:basedOn w:val="1"/>
    <w:next w:val="1"/>
    <w:semiHidden/>
    <w:qFormat/>
    <w:uiPriority w:val="0"/>
    <w:pPr>
      <w:ind w:left="200"/>
    </w:pPr>
  </w:style>
  <w:style w:type="paragraph" w:styleId="52">
    <w:name w:val="Title"/>
    <w:basedOn w:val="1"/>
    <w:next w:val="1"/>
    <w:link w:val="216"/>
    <w:qFormat/>
    <w:uiPriority w:val="0"/>
    <w:pPr>
      <w:spacing w:before="240" w:after="60"/>
      <w:jc w:val="center"/>
      <w:outlineLvl w:val="0"/>
    </w:pPr>
    <w:rPr>
      <w:rFonts w:ascii="Cambria" w:hAnsi="Cambria"/>
      <w:b/>
      <w:bCs/>
      <w:sz w:val="32"/>
      <w:szCs w:val="32"/>
    </w:rPr>
  </w:style>
  <w:style w:type="paragraph" w:styleId="53">
    <w:name w:val="annotation subject"/>
    <w:basedOn w:val="20"/>
    <w:next w:val="20"/>
    <w:link w:val="243"/>
    <w:qFormat/>
    <w:uiPriority w:val="0"/>
    <w:rPr>
      <w:rFonts w:ascii="Times New Roman" w:hAnsi="Times New Roman"/>
      <w:b/>
      <w:bCs/>
      <w:szCs w:val="20"/>
    </w:rPr>
  </w:style>
  <w:style w:type="paragraph" w:styleId="54">
    <w:name w:val="Body Text First Indent"/>
    <w:basedOn w:val="1"/>
    <w:next w:val="1"/>
    <w:qFormat/>
    <w:uiPriority w:val="0"/>
    <w:pPr>
      <w:spacing w:after="120"/>
      <w:ind w:firstLine="420"/>
    </w:pPr>
    <w:rPr>
      <w:szCs w:val="24"/>
    </w:rPr>
  </w:style>
  <w:style w:type="paragraph" w:styleId="55">
    <w:name w:val="Body Text First Indent 2"/>
    <w:basedOn w:val="23"/>
    <w:unhideWhenUsed/>
    <w:qFormat/>
    <w:uiPriority w:val="99"/>
    <w:pPr>
      <w:ind w:firstLine="420"/>
    </w:pPr>
  </w:style>
  <w:style w:type="table" w:styleId="57">
    <w:name w:val="Table Grid"/>
    <w:basedOn w:val="56"/>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9">
    <w:name w:val="Strong"/>
    <w:qFormat/>
    <w:uiPriority w:val="22"/>
    <w:rPr>
      <w:b/>
      <w:bCs/>
    </w:rPr>
  </w:style>
  <w:style w:type="character" w:styleId="60">
    <w:name w:val="endnote reference"/>
    <w:basedOn w:val="58"/>
    <w:semiHidden/>
    <w:unhideWhenUsed/>
    <w:qFormat/>
    <w:uiPriority w:val="99"/>
    <w:rPr>
      <w:vertAlign w:val="superscript"/>
    </w:rPr>
  </w:style>
  <w:style w:type="character" w:styleId="61">
    <w:name w:val="page number"/>
    <w:basedOn w:val="58"/>
    <w:qFormat/>
    <w:uiPriority w:val="0"/>
  </w:style>
  <w:style w:type="character" w:styleId="62">
    <w:name w:val="FollowedHyperlink"/>
    <w:qFormat/>
    <w:uiPriority w:val="99"/>
    <w:rPr>
      <w:color w:val="800080"/>
      <w:u w:val="single"/>
    </w:rPr>
  </w:style>
  <w:style w:type="character" w:styleId="63">
    <w:name w:val="Emphasis"/>
    <w:qFormat/>
    <w:uiPriority w:val="20"/>
    <w:rPr>
      <w:i/>
      <w:iCs/>
    </w:rPr>
  </w:style>
  <w:style w:type="character" w:styleId="64">
    <w:name w:val="HTML Typewriter"/>
    <w:qFormat/>
    <w:uiPriority w:val="0"/>
    <w:rPr>
      <w:rFonts w:ascii="黑体" w:hAnsi="Courier New" w:eastAsia="黑体" w:cs="Courier New"/>
      <w:sz w:val="14"/>
      <w:szCs w:val="14"/>
      <w:lang w:val="en-US" w:eastAsia="zh-CN" w:bidi="ar-SA"/>
    </w:rPr>
  </w:style>
  <w:style w:type="character" w:styleId="65">
    <w:name w:val="Hyperlink"/>
    <w:qFormat/>
    <w:uiPriority w:val="99"/>
    <w:rPr>
      <w:color w:val="0000FF"/>
      <w:u w:val="single"/>
    </w:rPr>
  </w:style>
  <w:style w:type="character" w:styleId="66">
    <w:name w:val="annotation reference"/>
    <w:basedOn w:val="58"/>
    <w:qFormat/>
    <w:uiPriority w:val="99"/>
    <w:rPr>
      <w:sz w:val="21"/>
      <w:szCs w:val="21"/>
    </w:rPr>
  </w:style>
  <w:style w:type="character" w:styleId="67">
    <w:name w:val="footnote reference"/>
    <w:basedOn w:val="58"/>
    <w:unhideWhenUsed/>
    <w:qFormat/>
    <w:uiPriority w:val="99"/>
    <w:rPr>
      <w:vertAlign w:val="superscript"/>
    </w:rPr>
  </w:style>
  <w:style w:type="character" w:customStyle="1" w:styleId="68">
    <w:name w:val="Heading 1 Char"/>
    <w:basedOn w:val="58"/>
    <w:qFormat/>
    <w:uiPriority w:val="9"/>
    <w:rPr>
      <w:rFonts w:ascii="Arial" w:hAnsi="Arial" w:eastAsia="Arial" w:cs="Arial"/>
      <w:sz w:val="40"/>
      <w:szCs w:val="40"/>
    </w:rPr>
  </w:style>
  <w:style w:type="character" w:customStyle="1" w:styleId="69">
    <w:name w:val="Heading 2 Char"/>
    <w:basedOn w:val="58"/>
    <w:qFormat/>
    <w:uiPriority w:val="9"/>
    <w:rPr>
      <w:rFonts w:ascii="Arial" w:hAnsi="Arial" w:eastAsia="Arial" w:cs="Arial"/>
      <w:sz w:val="34"/>
    </w:rPr>
  </w:style>
  <w:style w:type="character" w:customStyle="1" w:styleId="70">
    <w:name w:val="Heading 3 Char"/>
    <w:basedOn w:val="58"/>
    <w:qFormat/>
    <w:uiPriority w:val="9"/>
    <w:rPr>
      <w:rFonts w:ascii="Arial" w:hAnsi="Arial" w:eastAsia="Arial" w:cs="Arial"/>
      <w:sz w:val="30"/>
      <w:szCs w:val="30"/>
    </w:rPr>
  </w:style>
  <w:style w:type="character" w:customStyle="1" w:styleId="71">
    <w:name w:val="Heading 4 Char"/>
    <w:basedOn w:val="58"/>
    <w:qFormat/>
    <w:uiPriority w:val="9"/>
    <w:rPr>
      <w:rFonts w:ascii="Arial" w:hAnsi="Arial" w:eastAsia="Arial" w:cs="Arial"/>
      <w:b/>
      <w:bCs/>
      <w:sz w:val="26"/>
      <w:szCs w:val="26"/>
    </w:rPr>
  </w:style>
  <w:style w:type="character" w:customStyle="1" w:styleId="72">
    <w:name w:val="Heading 5 Char"/>
    <w:basedOn w:val="58"/>
    <w:qFormat/>
    <w:uiPriority w:val="9"/>
    <w:rPr>
      <w:rFonts w:ascii="Arial" w:hAnsi="Arial" w:eastAsia="Arial" w:cs="Arial"/>
      <w:b/>
      <w:bCs/>
      <w:sz w:val="24"/>
      <w:szCs w:val="24"/>
    </w:rPr>
  </w:style>
  <w:style w:type="character" w:customStyle="1" w:styleId="73">
    <w:name w:val="Heading 6 Char"/>
    <w:basedOn w:val="58"/>
    <w:qFormat/>
    <w:uiPriority w:val="9"/>
    <w:rPr>
      <w:rFonts w:ascii="Arial" w:hAnsi="Arial" w:eastAsia="Arial" w:cs="Arial"/>
      <w:b/>
      <w:bCs/>
      <w:sz w:val="22"/>
      <w:szCs w:val="22"/>
    </w:rPr>
  </w:style>
  <w:style w:type="character" w:customStyle="1" w:styleId="74">
    <w:name w:val="Heading 7 Char"/>
    <w:basedOn w:val="58"/>
    <w:link w:val="9"/>
    <w:qFormat/>
    <w:uiPriority w:val="9"/>
    <w:rPr>
      <w:rFonts w:ascii="Arial" w:hAnsi="Arial" w:eastAsia="Arial" w:cs="Arial"/>
      <w:b/>
      <w:bCs/>
      <w:i/>
      <w:iCs/>
      <w:sz w:val="22"/>
      <w:szCs w:val="22"/>
    </w:rPr>
  </w:style>
  <w:style w:type="character" w:customStyle="1" w:styleId="75">
    <w:name w:val="Heading 8 Char"/>
    <w:basedOn w:val="58"/>
    <w:link w:val="10"/>
    <w:qFormat/>
    <w:uiPriority w:val="9"/>
    <w:rPr>
      <w:rFonts w:ascii="Arial" w:hAnsi="Arial" w:eastAsia="Arial" w:cs="Arial"/>
      <w:i/>
      <w:iCs/>
      <w:sz w:val="22"/>
      <w:szCs w:val="22"/>
    </w:rPr>
  </w:style>
  <w:style w:type="character" w:customStyle="1" w:styleId="76">
    <w:name w:val="Heading 9 Char"/>
    <w:basedOn w:val="58"/>
    <w:link w:val="11"/>
    <w:qFormat/>
    <w:uiPriority w:val="9"/>
    <w:rPr>
      <w:rFonts w:ascii="Arial" w:hAnsi="Arial" w:eastAsia="Arial" w:cs="Arial"/>
      <w:i/>
      <w:iCs/>
      <w:sz w:val="21"/>
      <w:szCs w:val="21"/>
    </w:rPr>
  </w:style>
  <w:style w:type="paragraph" w:styleId="77">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78">
    <w:name w:val="Title Char"/>
    <w:basedOn w:val="58"/>
    <w:qFormat/>
    <w:uiPriority w:val="10"/>
    <w:rPr>
      <w:sz w:val="48"/>
      <w:szCs w:val="48"/>
    </w:rPr>
  </w:style>
  <w:style w:type="character" w:customStyle="1" w:styleId="79">
    <w:name w:val="Subtitle Char"/>
    <w:basedOn w:val="58"/>
    <w:qFormat/>
    <w:uiPriority w:val="11"/>
    <w:rPr>
      <w:sz w:val="24"/>
      <w:szCs w:val="24"/>
    </w:rPr>
  </w:style>
  <w:style w:type="paragraph" w:styleId="80">
    <w:name w:val="Quote"/>
    <w:basedOn w:val="1"/>
    <w:next w:val="1"/>
    <w:link w:val="81"/>
    <w:qFormat/>
    <w:uiPriority w:val="29"/>
    <w:pPr>
      <w:ind w:left="720" w:right="720"/>
    </w:pPr>
    <w:rPr>
      <w:i/>
    </w:rPr>
  </w:style>
  <w:style w:type="character" w:customStyle="1" w:styleId="81">
    <w:name w:val="Quote Char"/>
    <w:link w:val="80"/>
    <w:qFormat/>
    <w:uiPriority w:val="29"/>
    <w:rPr>
      <w:i/>
    </w:rPr>
  </w:style>
  <w:style w:type="paragraph" w:styleId="82">
    <w:name w:val="Intense Quote"/>
    <w:basedOn w:val="1"/>
    <w:next w:val="1"/>
    <w:link w:val="8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3">
    <w:name w:val="Intense Quote Char"/>
    <w:link w:val="82"/>
    <w:qFormat/>
    <w:uiPriority w:val="30"/>
    <w:rPr>
      <w:i/>
    </w:rPr>
  </w:style>
  <w:style w:type="character" w:customStyle="1" w:styleId="84">
    <w:name w:val="Header Char"/>
    <w:basedOn w:val="58"/>
    <w:qFormat/>
    <w:uiPriority w:val="99"/>
  </w:style>
  <w:style w:type="character" w:customStyle="1" w:styleId="85">
    <w:name w:val="Footer Char"/>
    <w:basedOn w:val="58"/>
    <w:qFormat/>
    <w:uiPriority w:val="99"/>
  </w:style>
  <w:style w:type="character" w:customStyle="1" w:styleId="86">
    <w:name w:val="Caption Char"/>
    <w:qFormat/>
    <w:uiPriority w:val="99"/>
  </w:style>
  <w:style w:type="table" w:customStyle="1" w:styleId="87">
    <w:name w:val="Table Grid Light"/>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8">
    <w:name w:val="Plain Table 1"/>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9">
    <w:name w:val="Plain Table 2"/>
    <w:basedOn w:val="5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0">
    <w:name w:val="Plain Table 3"/>
    <w:basedOn w:val="5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4"/>
    <w:basedOn w:val="5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5"/>
    <w:basedOn w:val="5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Grid Table 1 Light"/>
    <w:basedOn w:val="5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4">
    <w:name w:val="Grid Table 1 Light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5">
    <w:name w:val="Grid Table 1 Light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6">
    <w:name w:val="Grid Table 1 Light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7">
    <w:name w:val="Grid Table 1 Light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8">
    <w:name w:val="Grid Table 1 Light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9">
    <w:name w:val="Grid Table 1 Light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0">
    <w:name w:val="Grid Table 2"/>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2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2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2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2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2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2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3"/>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3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3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3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3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3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3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4"/>
    <w:basedOn w:val="5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4 - Accent 1"/>
    <w:basedOn w:val="5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6">
    <w:name w:val="Grid Table 4 - Accent 2"/>
    <w:basedOn w:val="5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4 - Accent 3"/>
    <w:basedOn w:val="5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4 - Accent 4"/>
    <w:basedOn w:val="5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4 - Accent 5"/>
    <w:basedOn w:val="5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4 - Accent 6"/>
    <w:basedOn w:val="5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5 Dark"/>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2">
    <w:name w:val="Grid Table 5 Dark- Accent 1"/>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3">
    <w:name w:val="Grid Table 5 Dark - Accent 2"/>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4">
    <w:name w:val="Grid Table 5 Dark - Accent 3"/>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5">
    <w:name w:val="Grid Table 5 Dark- Accent 4"/>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6">
    <w:name w:val="Grid Table 5 Dark - Accent 5"/>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7">
    <w:name w:val="Grid Table 5 Dark - Accent 6"/>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8">
    <w:name w:val="Grid Table 6 Colorful"/>
    <w:basedOn w:val="5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6 Colorful - Accent 1"/>
    <w:basedOn w:val="5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6 Colorful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6 Colorful - Accent 3"/>
    <w:basedOn w:val="5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6 Colorful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6 Colorful - Accent 5"/>
    <w:basedOn w:val="5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6 Colorful - Accent 6"/>
    <w:basedOn w:val="5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5">
    <w:name w:val="Grid Table 7 Colorful"/>
    <w:basedOn w:val="5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Grid Table 7 Colorful - Accent 1"/>
    <w:basedOn w:val="5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7">
    <w:name w:val="Grid Table 7 Colorful - Accent 2"/>
    <w:basedOn w:val="5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Grid Table 7 Colorful - Accent 3"/>
    <w:basedOn w:val="5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9">
    <w:name w:val="Grid Table 7 Colorful - Accent 4"/>
    <w:basedOn w:val="5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Grid Table 7 Colorful - Accent 5"/>
    <w:basedOn w:val="5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1">
    <w:name w:val="Grid Table 7 Colorful - Accent 6"/>
    <w:basedOn w:val="5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2">
    <w:name w:val="List Table 1 Light"/>
    <w:basedOn w:val="5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3">
    <w:name w:val="List Table 1 Light - Accent 1"/>
    <w:basedOn w:val="5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4">
    <w:name w:val="List Table 1 Light - Accent 2"/>
    <w:basedOn w:val="5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5">
    <w:name w:val="List Table 1 Light - Accent 3"/>
    <w:basedOn w:val="5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6">
    <w:name w:val="List Table 1 Light - Accent 4"/>
    <w:basedOn w:val="5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7">
    <w:name w:val="List Table 1 Light - Accent 5"/>
    <w:basedOn w:val="5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8">
    <w:name w:val="List Table 1 Light - Accent 6"/>
    <w:basedOn w:val="5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9">
    <w:name w:val="List Table 2"/>
    <w:basedOn w:val="5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2 - Accent 1"/>
    <w:basedOn w:val="5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2 - Accent 2"/>
    <w:basedOn w:val="5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2 - Accent 3"/>
    <w:basedOn w:val="5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2 - Accent 4"/>
    <w:basedOn w:val="5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2 - Accent 5"/>
    <w:basedOn w:val="5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2 - Accent 6"/>
    <w:basedOn w:val="5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3"/>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7">
    <w:name w:val="List Table 3 - Accent 1"/>
    <w:basedOn w:val="5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8">
    <w:name w:val="List Table 3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9">
    <w:name w:val="List Table 3 - Accent 3"/>
    <w:basedOn w:val="5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0">
    <w:name w:val="List Table 3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1">
    <w:name w:val="List Table 3 - Accent 5"/>
    <w:basedOn w:val="5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2">
    <w:name w:val="List Table 3 - Accent 6"/>
    <w:basedOn w:val="5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3">
    <w:name w:val="List Table 4"/>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4 - Accent 1"/>
    <w:basedOn w:val="5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4 - Accent 2"/>
    <w:basedOn w:val="5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4 - Accent 3"/>
    <w:basedOn w:val="5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4 - Accent 4"/>
    <w:basedOn w:val="5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4 - Accent 5"/>
    <w:basedOn w:val="5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4 - Accent 6"/>
    <w:basedOn w:val="5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5 Dark"/>
    <w:basedOn w:val="5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1">
    <w:name w:val="List Table 5 Dark - Accent 1"/>
    <w:basedOn w:val="5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2">
    <w:name w:val="List Table 5 Dark - Accent 2"/>
    <w:basedOn w:val="5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3">
    <w:name w:val="List Table 5 Dark - Accent 3"/>
    <w:basedOn w:val="5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4">
    <w:name w:val="List Table 5 Dark - Accent 4"/>
    <w:basedOn w:val="5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5">
    <w:name w:val="List Table 5 Dark - Accent 5"/>
    <w:basedOn w:val="5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6">
    <w:name w:val="List Table 5 Dark - Accent 6"/>
    <w:basedOn w:val="5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7">
    <w:name w:val="List Table 6 Colorful"/>
    <w:basedOn w:val="5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8">
    <w:name w:val="List Table 6 Colorful - Accent 1"/>
    <w:basedOn w:val="5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6 Colorful - Accent 2"/>
    <w:basedOn w:val="5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6 Colorful - Accent 3"/>
    <w:basedOn w:val="5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6 Colorful - Accent 4"/>
    <w:basedOn w:val="5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6 Colorful - Accent 5"/>
    <w:basedOn w:val="5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6 Colorful - Accent 6"/>
    <w:basedOn w:val="5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st Table 7 Colorful"/>
    <w:basedOn w:val="5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5">
    <w:name w:val="List Table 7 Colorful - Accent 1"/>
    <w:basedOn w:val="5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7 Colorful - Accent 2"/>
    <w:basedOn w:val="5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7 Colorful - Accent 3"/>
    <w:basedOn w:val="5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7 Colorful - Accent 4"/>
    <w:basedOn w:val="5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7 Colorful - Accent 5"/>
    <w:basedOn w:val="5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7 Colorful - Accent 6"/>
    <w:basedOn w:val="5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ned - Accent"/>
    <w:basedOn w:val="5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Lined - Accent 1"/>
    <w:basedOn w:val="5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Lined - Accent 2"/>
    <w:basedOn w:val="5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Lined - Accent 3"/>
    <w:basedOn w:val="5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Lined - Accent 4"/>
    <w:basedOn w:val="5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Lined - Accent 5"/>
    <w:basedOn w:val="5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Lined - Accent 6"/>
    <w:basedOn w:val="5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amp; Lined - Accent"/>
    <w:basedOn w:val="5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Bordered &amp; Lined - Accent 1"/>
    <w:basedOn w:val="5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Bordered &amp; Lined - Accent 2"/>
    <w:basedOn w:val="5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Bordered &amp; Lined - Accent 3"/>
    <w:basedOn w:val="5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Bordered &amp; Lined - Accent 4"/>
    <w:basedOn w:val="5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Bordered &amp; Lined - Accent 5"/>
    <w:basedOn w:val="5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Bordered &amp; Lined - Accent 6"/>
    <w:basedOn w:val="5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w:basedOn w:val="5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6">
    <w:name w:val="Bordered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7">
    <w:name w:val="Bordered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8">
    <w:name w:val="Bordered - Accent 3"/>
    <w:basedOn w:val="56"/>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9">
    <w:name w:val="Bordered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0">
    <w:name w:val="Bordered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1">
    <w:name w:val="Bordered - Accent 6"/>
    <w:basedOn w:val="5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2">
    <w:name w:val="Footnote Text Char"/>
    <w:link w:val="42"/>
    <w:qFormat/>
    <w:uiPriority w:val="99"/>
    <w:rPr>
      <w:sz w:val="18"/>
    </w:rPr>
  </w:style>
  <w:style w:type="character" w:customStyle="1" w:styleId="213">
    <w:name w:val="Endnote Text Char"/>
    <w:link w:val="32"/>
    <w:qFormat/>
    <w:uiPriority w:val="99"/>
    <w:rPr>
      <w:sz w:val="20"/>
    </w:rPr>
  </w:style>
  <w:style w:type="paragraph" w:customStyle="1" w:styleId="214">
    <w:name w:val="TOC Heading"/>
    <w:unhideWhenUsed/>
    <w:qFormat/>
    <w:uiPriority w:val="39"/>
    <w:rPr>
      <w:rFonts w:hint="default" w:asciiTheme="minorHAnsi" w:hAnsiTheme="minorHAnsi" w:eastAsiaTheme="minorEastAsia" w:cstheme="minorBidi"/>
    </w:rPr>
  </w:style>
  <w:style w:type="paragraph" w:customStyle="1" w:styleId="215">
    <w:name w:val="段"/>
    <w:basedOn w:val="54"/>
    <w:next w:val="1"/>
    <w:qFormat/>
    <w:uiPriority w:val="0"/>
    <w:pPr>
      <w:ind w:firstLine="200"/>
      <w:jc w:val="both"/>
    </w:pPr>
    <w:rPr>
      <w:rFonts w:ascii="宋体" w:hAnsi="Times New Roman" w:eastAsia="宋体" w:cs="Times New Roman"/>
      <w:sz w:val="21"/>
      <w:lang w:val="en-US" w:eastAsia="zh-CN" w:bidi="ar-SA"/>
    </w:rPr>
  </w:style>
  <w:style w:type="character" w:customStyle="1" w:styleId="216">
    <w:name w:val="标题 Char"/>
    <w:link w:val="52"/>
    <w:qFormat/>
    <w:uiPriority w:val="0"/>
    <w:rPr>
      <w:rFonts w:ascii="Cambria" w:hAnsi="Cambria" w:eastAsia="宋体"/>
      <w:b/>
      <w:bCs/>
      <w:sz w:val="32"/>
      <w:szCs w:val="32"/>
      <w:lang w:val="en-US" w:eastAsia="zh-CN" w:bidi="ar-SA"/>
    </w:rPr>
  </w:style>
  <w:style w:type="character" w:customStyle="1" w:styleId="217">
    <w:name w:val="批注文字 Char"/>
    <w:basedOn w:val="58"/>
    <w:link w:val="20"/>
    <w:qFormat/>
    <w:uiPriority w:val="0"/>
    <w:rPr>
      <w:rFonts w:ascii="Calibri" w:hAnsi="Calibri"/>
      <w:sz w:val="21"/>
      <w:szCs w:val="22"/>
    </w:rPr>
  </w:style>
  <w:style w:type="character" w:customStyle="1" w:styleId="218">
    <w:name w:val="font41"/>
    <w:qFormat/>
    <w:uiPriority w:val="0"/>
    <w:rPr>
      <w:rFonts w:hint="eastAsia" w:ascii="宋体" w:hAnsi="宋体" w:eastAsia="宋体" w:cs="宋体"/>
      <w:color w:val="000000"/>
      <w:sz w:val="22"/>
      <w:szCs w:val="22"/>
      <w:u w:val="none"/>
    </w:rPr>
  </w:style>
  <w:style w:type="character" w:customStyle="1" w:styleId="219">
    <w:name w:val="正文文本 Char1"/>
    <w:semiHidden/>
    <w:qFormat/>
    <w:uiPriority w:val="0"/>
    <w:rPr>
      <w:rFonts w:ascii="楷体_GB2312" w:hAnsi="Arial" w:eastAsia="楷体_GB2312"/>
      <w:sz w:val="28"/>
    </w:rPr>
  </w:style>
  <w:style w:type="character" w:customStyle="1" w:styleId="220">
    <w:name w:val="标题 5 Char"/>
    <w:link w:val="7"/>
    <w:qFormat/>
    <w:uiPriority w:val="9"/>
    <w:rPr>
      <w:rFonts w:eastAsia="宋体"/>
      <w:b/>
      <w:bCs/>
      <w:sz w:val="18"/>
      <w:lang w:val="en-US" w:eastAsia="zh-CN" w:bidi="ar-SA"/>
    </w:rPr>
  </w:style>
  <w:style w:type="character" w:customStyle="1" w:styleId="221">
    <w:name w:val="副标题 Char"/>
    <w:link w:val="41"/>
    <w:qFormat/>
    <w:uiPriority w:val="11"/>
    <w:rPr>
      <w:rFonts w:ascii="Cambria" w:hAnsi="Cambria" w:eastAsia="宋体"/>
      <w:b/>
      <w:bCs/>
      <w:sz w:val="32"/>
      <w:szCs w:val="32"/>
      <w:lang w:val="en-US" w:eastAsia="zh-CN" w:bidi="ar-SA"/>
    </w:rPr>
  </w:style>
  <w:style w:type="character" w:customStyle="1" w:styleId="222">
    <w:name w:val="正文文本 Char"/>
    <w:link w:val="22"/>
    <w:qFormat/>
    <w:uiPriority w:val="0"/>
    <w:rPr>
      <w:rFonts w:ascii="楷体_GB2312" w:hAnsi="Arial" w:eastAsia="楷体_GB2312"/>
      <w:sz w:val="28"/>
    </w:rPr>
  </w:style>
  <w:style w:type="character" w:customStyle="1" w:styleId="223">
    <w:name w:val="页眉 Char"/>
    <w:link w:val="19"/>
    <w:qFormat/>
    <w:uiPriority w:val="99"/>
    <w:rPr>
      <w:rFonts w:eastAsia="宋体"/>
      <w:sz w:val="18"/>
      <w:lang w:val="en-US" w:eastAsia="zh-CN" w:bidi="ar-SA"/>
    </w:rPr>
  </w:style>
  <w:style w:type="character" w:customStyle="1" w:styleId="224">
    <w:name w:val="页脚 Char"/>
    <w:link w:val="34"/>
    <w:qFormat/>
    <w:uiPriority w:val="99"/>
    <w:rPr>
      <w:rFonts w:eastAsia="宋体"/>
      <w:sz w:val="18"/>
      <w:lang w:val="en-US" w:eastAsia="zh-CN" w:bidi="ar-SA"/>
    </w:rPr>
  </w:style>
  <w:style w:type="character" w:customStyle="1" w:styleId="225">
    <w:name w:val="纯文本 Char2"/>
    <w:qFormat/>
    <w:uiPriority w:val="0"/>
    <w:rPr>
      <w:rFonts w:ascii="宋体" w:hAnsi="Courier New" w:cs="Courier New"/>
      <w:sz w:val="24"/>
      <w:szCs w:val="21"/>
    </w:rPr>
  </w:style>
  <w:style w:type="character" w:customStyle="1" w:styleId="226">
    <w:name w:val="列出段落 Char"/>
    <w:link w:val="227"/>
    <w:qFormat/>
    <w:uiPriority w:val="34"/>
    <w:rPr>
      <w:rFonts w:ascii="Calibri" w:hAnsi="Calibri"/>
      <w:sz w:val="24"/>
    </w:rPr>
  </w:style>
  <w:style w:type="paragraph" w:customStyle="1" w:styleId="227">
    <w:name w:val="列出段落1"/>
    <w:basedOn w:val="1"/>
    <w:link w:val="226"/>
    <w:qFormat/>
    <w:uiPriority w:val="34"/>
    <w:pPr>
      <w:spacing w:line="360" w:lineRule="auto"/>
      <w:ind w:firstLine="420"/>
    </w:pPr>
    <w:rPr>
      <w:rFonts w:ascii="Calibri" w:hAnsi="Calibri" w:cs="Times New Roman"/>
      <w:sz w:val="24"/>
      <w:szCs w:val="20"/>
    </w:rPr>
  </w:style>
  <w:style w:type="character" w:customStyle="1" w:styleId="228">
    <w:name w:val="正文文本缩进 Char"/>
    <w:link w:val="23"/>
    <w:qFormat/>
    <w:uiPriority w:val="99"/>
    <w:rPr>
      <w:rFonts w:ascii="宋体" w:eastAsia="宋体"/>
      <w:sz w:val="28"/>
      <w:lang w:val="en-US" w:eastAsia="zh-CN" w:bidi="ar-SA"/>
    </w:rPr>
  </w:style>
  <w:style w:type="character" w:customStyle="1" w:styleId="229">
    <w:name w:val="正文缩进 Char1"/>
    <w:link w:val="14"/>
    <w:qFormat/>
    <w:uiPriority w:val="0"/>
    <w:rPr>
      <w:sz w:val="21"/>
    </w:rPr>
  </w:style>
  <w:style w:type="character" w:customStyle="1" w:styleId="230">
    <w:name w:val="font11"/>
    <w:qFormat/>
    <w:uiPriority w:val="0"/>
    <w:rPr>
      <w:rFonts w:ascii="仿宋_GB2312" w:eastAsia="仿宋_GB2312" w:cs="仿宋_GB2312"/>
      <w:b/>
      <w:color w:val="000000"/>
      <w:sz w:val="28"/>
      <w:szCs w:val="28"/>
      <w:u w:val="none"/>
    </w:rPr>
  </w:style>
  <w:style w:type="character" w:customStyle="1" w:styleId="231">
    <w:name w:val="标题 6 Char"/>
    <w:link w:val="8"/>
    <w:qFormat/>
    <w:uiPriority w:val="9"/>
    <w:rPr>
      <w:rFonts w:ascii="Cambria" w:hAnsi="Cambria" w:eastAsia="黑体" w:cs="Times New Roman"/>
      <w:b/>
      <w:bCs/>
      <w:sz w:val="28"/>
      <w:szCs w:val="24"/>
    </w:rPr>
  </w:style>
  <w:style w:type="character" w:customStyle="1" w:styleId="232">
    <w:name w:val="标题 3 Char"/>
    <w:link w:val="5"/>
    <w:qFormat/>
    <w:uiPriority w:val="9"/>
    <w:rPr>
      <w:rFonts w:ascii="宋体" w:hAnsi="宋体" w:eastAsia="宋体"/>
      <w:sz w:val="28"/>
      <w:lang w:val="en-US" w:eastAsia="zh-CN" w:bidi="ar-SA"/>
    </w:rPr>
  </w:style>
  <w:style w:type="character" w:customStyle="1" w:styleId="233">
    <w:name w:val="日期 Char"/>
    <w:link w:val="30"/>
    <w:qFormat/>
    <w:uiPriority w:val="0"/>
    <w:rPr>
      <w:rFonts w:ascii="宋体"/>
      <w:sz w:val="28"/>
    </w:rPr>
  </w:style>
  <w:style w:type="character" w:customStyle="1" w:styleId="234">
    <w:name w:val="标题 4 Char"/>
    <w:link w:val="6"/>
    <w:qFormat/>
    <w:uiPriority w:val="9"/>
    <w:rPr>
      <w:b/>
      <w:bCs/>
      <w:sz w:val="18"/>
    </w:rPr>
  </w:style>
  <w:style w:type="character" w:customStyle="1" w:styleId="235">
    <w:name w:val="标题 1 Char"/>
    <w:link w:val="3"/>
    <w:qFormat/>
    <w:uiPriority w:val="9"/>
    <w:rPr>
      <w:rFonts w:ascii="宋体" w:hAnsi="宋体"/>
      <w:b/>
      <w:sz w:val="36"/>
    </w:rPr>
  </w:style>
  <w:style w:type="character" w:customStyle="1" w:styleId="236">
    <w:name w:val="纯文本 Char"/>
    <w:link w:val="18"/>
    <w:qFormat/>
    <w:uiPriority w:val="0"/>
    <w:rPr>
      <w:rFonts w:ascii="宋体" w:hAnsi="Courier New" w:eastAsia="宋体"/>
      <w:sz w:val="21"/>
      <w:lang w:val="en-US" w:eastAsia="zh-CN" w:bidi="ar-SA"/>
    </w:rPr>
  </w:style>
  <w:style w:type="character" w:customStyle="1" w:styleId="237">
    <w:name w:val="标题 2 Char1"/>
    <w:link w:val="4"/>
    <w:qFormat/>
    <w:uiPriority w:val="0"/>
    <w:rPr>
      <w:rFonts w:hint="eastAsia" w:ascii="宋体" w:hAnsi="宋体" w:eastAsia="宋体" w:cs="宋体"/>
      <w:b/>
      <w:sz w:val="28"/>
      <w:szCs w:val="28"/>
    </w:rPr>
  </w:style>
  <w:style w:type="character" w:customStyle="1" w:styleId="238">
    <w:name w:val="批注框文本 Char"/>
    <w:link w:val="33"/>
    <w:qFormat/>
    <w:uiPriority w:val="0"/>
    <w:rPr>
      <w:rFonts w:ascii="Calibri" w:hAnsi="Calibri" w:eastAsia="宋体"/>
      <w:sz w:val="18"/>
      <w:szCs w:val="18"/>
      <w:lang w:val="en-US" w:eastAsia="zh-CN" w:bidi="ar-SA"/>
    </w:rPr>
  </w:style>
  <w:style w:type="character" w:customStyle="1" w:styleId="239">
    <w:name w:val="apple-converted-space"/>
    <w:qFormat/>
    <w:uiPriority w:val="0"/>
  </w:style>
  <w:style w:type="character" w:customStyle="1" w:styleId="240">
    <w:name w:val="无间隔 Char"/>
    <w:link w:val="241"/>
    <w:qFormat/>
    <w:uiPriority w:val="0"/>
    <w:rPr>
      <w:rFonts w:ascii="Calibri" w:hAnsi="Calibri"/>
      <w:sz w:val="22"/>
      <w:szCs w:val="22"/>
      <w:lang w:val="en-US" w:eastAsia="zh-CN" w:bidi="ar-SA"/>
    </w:rPr>
  </w:style>
  <w:style w:type="paragraph" w:customStyle="1" w:styleId="241">
    <w:name w:val="无间隔1"/>
    <w:link w:val="240"/>
    <w:qFormat/>
    <w:uiPriority w:val="0"/>
    <w:rPr>
      <w:rFonts w:hint="default" w:ascii="Calibri" w:hAnsi="Calibri" w:eastAsia="宋体" w:cs="宋体"/>
      <w:sz w:val="22"/>
      <w:szCs w:val="22"/>
      <w:lang w:val="en-US" w:eastAsia="zh-CN" w:bidi="ar-SA"/>
    </w:rPr>
  </w:style>
  <w:style w:type="character" w:customStyle="1" w:styleId="242">
    <w:name w:val="font51"/>
    <w:qFormat/>
    <w:uiPriority w:val="0"/>
    <w:rPr>
      <w:rFonts w:hint="default" w:ascii="Times New Roman" w:hAnsi="Times New Roman" w:cs="Times New Roman"/>
      <w:b/>
      <w:color w:val="000000"/>
      <w:sz w:val="28"/>
      <w:szCs w:val="28"/>
      <w:u w:val="none"/>
    </w:rPr>
  </w:style>
  <w:style w:type="character" w:customStyle="1" w:styleId="243">
    <w:name w:val="批注主题 Char"/>
    <w:basedOn w:val="217"/>
    <w:link w:val="53"/>
    <w:qFormat/>
    <w:uiPriority w:val="0"/>
    <w:rPr>
      <w:rFonts w:ascii="Calibri" w:hAnsi="Calibri"/>
      <w:sz w:val="21"/>
      <w:szCs w:val="22"/>
    </w:rPr>
  </w:style>
  <w:style w:type="character" w:customStyle="1" w:styleId="244">
    <w:name w:val="Body Text Char"/>
    <w:qFormat/>
    <w:uiPriority w:val="0"/>
    <w:rPr>
      <w:rFonts w:ascii="楷体_GB2312" w:hAnsi="Arial" w:eastAsia="楷体_GB2312" w:cs="Times New Roman"/>
      <w:sz w:val="28"/>
      <w:szCs w:val="20"/>
    </w:rPr>
  </w:style>
  <w:style w:type="character" w:customStyle="1" w:styleId="245">
    <w:name w:val="正文缩进 Char"/>
    <w:qFormat/>
    <w:uiPriority w:val="0"/>
    <w:rPr>
      <w:sz w:val="21"/>
    </w:rPr>
  </w:style>
  <w:style w:type="character" w:customStyle="1" w:styleId="246">
    <w:name w:val="标题 2 Char"/>
    <w:qFormat/>
    <w:uiPriority w:val="0"/>
    <w:rPr>
      <w:rFonts w:ascii="宋体" w:hAnsi="宋体"/>
      <w:b/>
      <w:bCs/>
      <w:sz w:val="28"/>
      <w:szCs w:val="28"/>
    </w:rPr>
  </w:style>
  <w:style w:type="character" w:customStyle="1" w:styleId="247">
    <w:name w:val="王兴华的论文正文 Char"/>
    <w:link w:val="248"/>
    <w:qFormat/>
    <w:uiPriority w:val="0"/>
    <w:rPr>
      <w:rFonts w:eastAsia="宋体"/>
      <w:sz w:val="24"/>
      <w:szCs w:val="24"/>
      <w:lang w:val="en-US" w:eastAsia="zh-CN" w:bidi="ar-SA"/>
    </w:rPr>
  </w:style>
  <w:style w:type="paragraph" w:customStyle="1" w:styleId="248">
    <w:name w:val="王兴华的论文正文"/>
    <w:basedOn w:val="14"/>
    <w:link w:val="247"/>
    <w:qFormat/>
    <w:uiPriority w:val="0"/>
    <w:pPr>
      <w:spacing w:line="360" w:lineRule="auto"/>
      <w:ind w:firstLine="200"/>
    </w:pPr>
    <w:rPr>
      <w:rFonts w:cs="宋体"/>
      <w:sz w:val="24"/>
      <w:szCs w:val="24"/>
    </w:rPr>
  </w:style>
  <w:style w:type="character" w:customStyle="1" w:styleId="249">
    <w:name w:val="签名 Char"/>
    <w:link w:val="36"/>
    <w:qFormat/>
    <w:uiPriority w:val="0"/>
    <w:rPr>
      <w:rFonts w:eastAsia="仿宋_GB2312"/>
      <w:sz w:val="24"/>
    </w:rPr>
  </w:style>
  <w:style w:type="character" w:customStyle="1" w:styleId="250">
    <w:name w:val="font01"/>
    <w:qFormat/>
    <w:uiPriority w:val="0"/>
    <w:rPr>
      <w:rFonts w:hint="eastAsia" w:ascii="宋体" w:hAnsi="宋体" w:eastAsia="宋体" w:cs="宋体"/>
      <w:b/>
      <w:color w:val="000000"/>
      <w:sz w:val="28"/>
      <w:szCs w:val="28"/>
      <w:u w:val="none"/>
    </w:rPr>
  </w:style>
  <w:style w:type="paragraph" w:customStyle="1" w:styleId="251">
    <w:name w:val="Char"/>
    <w:basedOn w:val="1"/>
    <w:qFormat/>
    <w:uiPriority w:val="0"/>
    <w:pPr>
      <w:tabs>
        <w:tab w:val="left" w:pos="480"/>
      </w:tabs>
      <w:ind w:left="480" w:hanging="480"/>
    </w:pPr>
    <w:rPr>
      <w:sz w:val="24"/>
      <w:szCs w:val="24"/>
    </w:rPr>
  </w:style>
  <w:style w:type="paragraph" w:customStyle="1" w:styleId="252">
    <w:name w:val="Char Char Char Char"/>
    <w:basedOn w:val="17"/>
    <w:qFormat/>
    <w:uiPriority w:val="0"/>
    <w:pPr>
      <w:spacing w:line="360" w:lineRule="auto"/>
    </w:pPr>
    <w:rPr>
      <w:rFonts w:ascii="Tahoma" w:hAnsi="Tahoma"/>
      <w:sz w:val="24"/>
      <w:szCs w:val="24"/>
    </w:rPr>
  </w:style>
  <w:style w:type="paragraph" w:customStyle="1" w:styleId="253">
    <w:name w:val="纯文本1"/>
    <w:basedOn w:val="1"/>
    <w:link w:val="272"/>
    <w:qFormat/>
    <w:uiPriority w:val="0"/>
    <w:rPr>
      <w:rFonts w:ascii="宋体" w:hAnsi="Courier New" w:eastAsia="楷体_GB2312" w:cs="Times New Roman"/>
      <w:sz w:val="26"/>
    </w:rPr>
  </w:style>
  <w:style w:type="paragraph" w:customStyle="1" w:styleId="254">
    <w:name w:val="表格形式1"/>
    <w:basedOn w:val="1"/>
    <w:qFormat/>
    <w:uiPriority w:val="0"/>
    <w:pPr>
      <w:spacing w:line="360" w:lineRule="atLeast"/>
      <w:jc w:val="left"/>
    </w:pPr>
    <w:rPr>
      <w:rFonts w:ascii="宋体" w:eastAsia="仿宋_GB2312"/>
      <w:sz w:val="24"/>
      <w:szCs w:val="24"/>
    </w:rPr>
  </w:style>
  <w:style w:type="paragraph" w:customStyle="1" w:styleId="255">
    <w:name w:val="Char Char Char"/>
    <w:basedOn w:val="1"/>
    <w:qFormat/>
    <w:uiPriority w:val="0"/>
    <w:pPr>
      <w:tabs>
        <w:tab w:val="left" w:pos="375"/>
        <w:tab w:val="left" w:pos="1545"/>
      </w:tabs>
      <w:ind w:left="375" w:hanging="375"/>
    </w:pPr>
  </w:style>
  <w:style w:type="paragraph" w:customStyle="1" w:styleId="256">
    <w:name w:val="纯文本2"/>
    <w:basedOn w:val="1"/>
    <w:qFormat/>
    <w:uiPriority w:val="0"/>
    <w:rPr>
      <w:rFonts w:ascii="宋体" w:hAnsi="Courier New" w:eastAsia="楷体_GB2312"/>
      <w:sz w:val="26"/>
    </w:rPr>
  </w:style>
  <w:style w:type="paragraph" w:customStyle="1" w:styleId="257">
    <w:name w:val="列表内容"/>
    <w:basedOn w:val="1"/>
    <w:next w:val="1"/>
    <w:qFormat/>
    <w:uiPriority w:val="0"/>
    <w:pPr>
      <w:widowControl/>
      <w:tabs>
        <w:tab w:val="left" w:pos="840"/>
      </w:tabs>
      <w:ind w:left="840" w:hanging="420"/>
      <w:jc w:val="left"/>
    </w:pPr>
    <w:rPr>
      <w:sz w:val="18"/>
      <w:szCs w:val="24"/>
    </w:rPr>
  </w:style>
  <w:style w:type="paragraph" w:customStyle="1" w:styleId="258">
    <w:name w:val="正文序号 1"/>
    <w:basedOn w:val="1"/>
    <w:qFormat/>
    <w:uiPriority w:val="0"/>
    <w:pPr>
      <w:tabs>
        <w:tab w:val="left" w:pos="839"/>
      </w:tabs>
      <w:spacing w:before="60"/>
      <w:ind w:left="839" w:hanging="419"/>
    </w:pPr>
    <w:rPr>
      <w:szCs w:val="24"/>
    </w:rPr>
  </w:style>
  <w:style w:type="paragraph" w:customStyle="1" w:styleId="259">
    <w:name w:val="正文序号 3"/>
    <w:basedOn w:val="1"/>
    <w:qFormat/>
    <w:uiPriority w:val="0"/>
    <w:pPr>
      <w:tabs>
        <w:tab w:val="left" w:pos="1259"/>
      </w:tabs>
      <w:spacing w:before="60"/>
      <w:ind w:left="1259" w:hanging="420"/>
    </w:pPr>
    <w:rPr>
      <w:szCs w:val="24"/>
    </w:rPr>
  </w:style>
  <w:style w:type="paragraph" w:customStyle="1" w:styleId="260">
    <w:name w:val="Plain Text1"/>
    <w:basedOn w:val="1"/>
    <w:qFormat/>
    <w:uiPriority w:val="0"/>
    <w:rPr>
      <w:rFonts w:ascii="宋体" w:hAnsi="Courier New" w:eastAsia="楷体_GB2312"/>
      <w:sz w:val="28"/>
    </w:rPr>
  </w:style>
  <w:style w:type="paragraph" w:customStyle="1" w:styleId="261">
    <w:name w:val="Default Paragraph Font Para Char"/>
    <w:basedOn w:val="1"/>
    <w:qFormat/>
    <w:uiPriority w:val="0"/>
    <w:pPr>
      <w:widowControl/>
      <w:spacing w:after="160" w:line="240" w:lineRule="exact"/>
      <w:jc w:val="left"/>
    </w:pPr>
  </w:style>
  <w:style w:type="paragraph" w:customStyle="1" w:styleId="262">
    <w:name w:val="TOC 标题1"/>
    <w:basedOn w:val="3"/>
    <w:next w:val="1"/>
    <w:qFormat/>
    <w:uiPriority w:val="39"/>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263">
    <w:name w:val="正文序号 2"/>
    <w:basedOn w:val="1"/>
    <w:qFormat/>
    <w:uiPriority w:val="0"/>
    <w:pPr>
      <w:tabs>
        <w:tab w:val="left" w:pos="1049"/>
      </w:tabs>
      <w:spacing w:before="60"/>
      <w:ind w:left="1049" w:hanging="420"/>
    </w:pPr>
    <w:rPr>
      <w:szCs w:val="24"/>
    </w:rPr>
  </w:style>
  <w:style w:type="paragraph" w:customStyle="1" w:styleId="264">
    <w:name w:val="Char Char1 Char Char Char Char Char Char Char"/>
    <w:basedOn w:val="1"/>
    <w:qFormat/>
    <w:uiPriority w:val="0"/>
    <w:rPr>
      <w:rFonts w:ascii="Tahoma" w:hAnsi="Tahoma"/>
      <w:sz w:val="24"/>
    </w:rPr>
  </w:style>
  <w:style w:type="paragraph" w:customStyle="1" w:styleId="265">
    <w:name w:val="Char1 Char Char Char"/>
    <w:basedOn w:val="1"/>
    <w:qFormat/>
    <w:uiPriority w:val="0"/>
    <w:rPr>
      <w:rFonts w:ascii="Tahoma" w:hAnsi="Tahoma"/>
      <w:sz w:val="24"/>
    </w:rPr>
  </w:style>
  <w:style w:type="paragraph" w:customStyle="1" w:styleId="266">
    <w:name w:val="样式1"/>
    <w:basedOn w:val="1"/>
    <w:qFormat/>
    <w:uiPriority w:val="0"/>
    <w:pPr>
      <w:tabs>
        <w:tab w:val="left" w:pos="709"/>
      </w:tabs>
      <w:ind w:left="709" w:hanging="709"/>
    </w:pPr>
    <w:rPr>
      <w:rFonts w:ascii="宋体" w:hAnsi="宋体"/>
    </w:rPr>
  </w:style>
  <w:style w:type="paragraph" w:customStyle="1" w:styleId="267">
    <w:name w:val="一级目录"/>
    <w:next w:val="1"/>
    <w:qFormat/>
    <w:uiPriority w:val="0"/>
    <w:pPr>
      <w:jc w:val="center"/>
      <w:outlineLvl w:val="0"/>
    </w:pPr>
    <w:rPr>
      <w:rFonts w:hint="default" w:ascii="黑体" w:hAnsi="Times New Roman" w:eastAsia="黑体" w:cs="宋体"/>
      <w:b/>
      <w:sz w:val="44"/>
      <w:szCs w:val="44"/>
      <w:lang w:val="en-US" w:eastAsia="zh-CN" w:bidi="ar-SA"/>
    </w:rPr>
  </w:style>
  <w:style w:type="paragraph" w:customStyle="1" w:styleId="268">
    <w:name w:val="Char Char Char1"/>
    <w:basedOn w:val="1"/>
    <w:qFormat/>
    <w:uiPriority w:val="0"/>
    <w:pPr>
      <w:tabs>
        <w:tab w:val="left" w:pos="375"/>
        <w:tab w:val="left" w:pos="1545"/>
      </w:tabs>
      <w:ind w:left="375" w:hanging="375"/>
    </w:pPr>
  </w:style>
  <w:style w:type="paragraph" w:customStyle="1" w:styleId="269">
    <w:name w:val="正文 New"/>
    <w:qFormat/>
    <w:uiPriority w:val="0"/>
    <w:pPr>
      <w:widowControl w:val="0"/>
      <w:jc w:val="both"/>
    </w:pPr>
    <w:rPr>
      <w:rFonts w:hint="default" w:ascii="Times New Roman" w:hAnsi="Times New Roman" w:eastAsia="宋体" w:cs="宋体"/>
      <w:sz w:val="21"/>
      <w:szCs w:val="24"/>
      <w:lang w:val="en-US" w:eastAsia="zh-CN" w:bidi="ar-SA"/>
    </w:rPr>
  </w:style>
  <w:style w:type="paragraph" w:customStyle="1" w:styleId="270">
    <w:name w:val="列出段落11"/>
    <w:basedOn w:val="1"/>
    <w:qFormat/>
    <w:uiPriority w:val="0"/>
    <w:pPr>
      <w:ind w:firstLine="420"/>
    </w:pPr>
    <w:rPr>
      <w:rFonts w:ascii="Calibri" w:hAnsi="Calibri" w:cs="font357"/>
      <w:szCs w:val="22"/>
      <w:lang w:eastAsia="ar-SA"/>
    </w:rPr>
  </w:style>
  <w:style w:type="paragraph" w:customStyle="1" w:styleId="271">
    <w:name w:val="纯文本21"/>
    <w:basedOn w:val="1"/>
    <w:qFormat/>
    <w:uiPriority w:val="0"/>
    <w:rPr>
      <w:rFonts w:ascii="宋体" w:hAnsi="Courier New" w:eastAsia="楷体_GB2312"/>
      <w:sz w:val="26"/>
    </w:rPr>
  </w:style>
  <w:style w:type="character" w:customStyle="1" w:styleId="272">
    <w:name w:val="Plain Text Char Char"/>
    <w:link w:val="253"/>
    <w:qFormat/>
    <w:uiPriority w:val="0"/>
    <w:rPr>
      <w:rFonts w:ascii="宋体" w:hAnsi="Courier New" w:eastAsia="楷体_GB2312"/>
      <w:sz w:val="26"/>
      <w:szCs w:val="21"/>
    </w:rPr>
  </w:style>
  <w:style w:type="character" w:customStyle="1" w:styleId="273">
    <w:name w:val="Andy_正文 Char"/>
    <w:link w:val="274"/>
    <w:qFormat/>
    <w:uiPriority w:val="0"/>
    <w:rPr>
      <w:rFonts w:ascii="Calibri" w:hAnsi="Calibri"/>
      <w:sz w:val="24"/>
      <w:szCs w:val="24"/>
    </w:rPr>
  </w:style>
  <w:style w:type="paragraph" w:customStyle="1" w:styleId="274">
    <w:name w:val="Andy_正文"/>
    <w:basedOn w:val="1"/>
    <w:link w:val="273"/>
    <w:qFormat/>
    <w:uiPriority w:val="0"/>
    <w:pPr>
      <w:spacing w:line="360" w:lineRule="auto"/>
      <w:ind w:firstLine="480"/>
    </w:pPr>
    <w:rPr>
      <w:rFonts w:ascii="Calibri" w:hAnsi="Calibri" w:cs="Times New Roman"/>
      <w:sz w:val="24"/>
      <w:szCs w:val="24"/>
    </w:rPr>
  </w:style>
  <w:style w:type="paragraph" w:customStyle="1" w:styleId="275">
    <w:name w:val="xl24"/>
    <w:basedOn w:val="1"/>
    <w:qFormat/>
    <w:uiPriority w:val="0"/>
    <w:pPr>
      <w:widowControl/>
      <w:spacing w:before="100" w:beforeAutospacing="1" w:after="100" w:afterAutospacing="1"/>
      <w:jc w:val="center"/>
    </w:pPr>
    <w:rPr>
      <w:rFonts w:hint="eastAsia" w:ascii="宋体" w:hAnsi="宋体" w:cs="Times New Roman"/>
      <w:sz w:val="24"/>
      <w:szCs w:val="24"/>
    </w:rPr>
  </w:style>
  <w:style w:type="paragraph" w:customStyle="1" w:styleId="276">
    <w:name w:val="无间隔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7">
    <w:name w:val="列出段落4"/>
    <w:basedOn w:val="1"/>
    <w:qFormat/>
    <w:uiPriority w:val="0"/>
    <w:pPr>
      <w:ind w:firstLine="420"/>
    </w:pPr>
    <w:rPr>
      <w:rFonts w:cs="Times New Roman"/>
      <w:szCs w:val="20"/>
    </w:rPr>
  </w:style>
  <w:style w:type="character" w:customStyle="1" w:styleId="278">
    <w:name w:val="样式 首行缩进:  0 字符 Char"/>
    <w:link w:val="279"/>
    <w:qFormat/>
    <w:uiPriority w:val="0"/>
    <w:rPr>
      <w:rFonts w:ascii="Verdana" w:hAnsi="Verdana" w:eastAsia="仿宋"/>
      <w:sz w:val="28"/>
    </w:rPr>
  </w:style>
  <w:style w:type="paragraph" w:customStyle="1" w:styleId="279">
    <w:name w:val="样式 首行缩进:  0 字符"/>
    <w:basedOn w:val="1"/>
    <w:link w:val="278"/>
    <w:qFormat/>
    <w:uiPriority w:val="0"/>
    <w:pPr>
      <w:ind w:firstLine="200"/>
    </w:pPr>
    <w:rPr>
      <w:rFonts w:ascii="Verdana" w:hAnsi="Verdana" w:eastAsia="仿宋"/>
      <w:sz w:val="28"/>
      <w:szCs w:val="20"/>
    </w:rPr>
  </w:style>
  <w:style w:type="paragraph" w:customStyle="1" w:styleId="280">
    <w:name w:val="表1"/>
    <w:basedOn w:val="1"/>
    <w:qFormat/>
    <w:uiPriority w:val="0"/>
    <w:pPr>
      <w:spacing w:line="360" w:lineRule="auto"/>
      <w:jc w:val="center"/>
    </w:pPr>
    <w:rPr>
      <w:rFonts w:ascii="Arial" w:hAnsi="Arial"/>
      <w:szCs w:val="20"/>
    </w:rPr>
  </w:style>
  <w:style w:type="paragraph" w:customStyle="1" w:styleId="281">
    <w:name w:val="普通正文"/>
    <w:basedOn w:val="1"/>
    <w:qFormat/>
    <w:uiPriority w:val="0"/>
    <w:pPr>
      <w:ind w:firstLine="425"/>
      <w:jc w:val="left"/>
    </w:pPr>
    <w:rPr>
      <w:rFonts w:ascii="宋体" w:hAnsi="宋体" w:cs="Times New Roman"/>
      <w:color w:val="000000"/>
      <w:sz w:val="24"/>
      <w:szCs w:val="20"/>
    </w:rPr>
  </w:style>
  <w:style w:type="paragraph" w:customStyle="1" w:styleId="282">
    <w:name w:val="纯文本10"/>
    <w:basedOn w:val="1"/>
    <w:qFormat/>
    <w:uiPriority w:val="0"/>
    <w:pPr>
      <w:spacing w:line="400" w:lineRule="exact"/>
    </w:pPr>
    <w:rPr>
      <w:rFonts w:hint="eastAsia" w:ascii="宋体" w:hAnsi="Courier New" w:eastAsia="楷体_GB2312" w:cs="Times New Roman"/>
      <w:sz w:val="28"/>
      <w:szCs w:val="20"/>
    </w:rPr>
  </w:style>
  <w:style w:type="paragraph" w:customStyle="1" w:styleId="283">
    <w:name w:val="纯文本6"/>
    <w:basedOn w:val="1"/>
    <w:qFormat/>
    <w:uiPriority w:val="0"/>
    <w:rPr>
      <w:rFonts w:ascii="宋体" w:hAnsi="Courier New" w:cs="Times New Roman"/>
      <w:sz w:val="28"/>
      <w:szCs w:val="20"/>
    </w:rPr>
  </w:style>
  <w:style w:type="paragraph" w:customStyle="1" w:styleId="284">
    <w:name w:val="List Paragraph1"/>
    <w:basedOn w:val="1"/>
    <w:qFormat/>
    <w:uiPriority w:val="0"/>
    <w:pPr>
      <w:ind w:firstLine="420"/>
    </w:pPr>
    <w:rPr>
      <w:rFonts w:ascii="Calibri" w:hAnsi="Calibri" w:cs="Calibri"/>
    </w:rPr>
  </w:style>
  <w:style w:type="paragraph" w:customStyle="1" w:styleId="285">
    <w:name w:val="纯文本111"/>
    <w:basedOn w:val="1"/>
    <w:qFormat/>
    <w:uiPriority w:val="0"/>
    <w:rPr>
      <w:rFonts w:ascii="宋体" w:hAnsi="Courier New" w:eastAsia="楷体_GB2312"/>
      <w:sz w:val="28"/>
      <w:szCs w:val="28"/>
    </w:rPr>
  </w:style>
  <w:style w:type="paragraph" w:customStyle="1" w:styleId="286">
    <w:name w:val="列出段落2"/>
    <w:basedOn w:val="1"/>
    <w:qFormat/>
    <w:uiPriority w:val="0"/>
    <w:pPr>
      <w:spacing w:line="360" w:lineRule="auto"/>
      <w:ind w:firstLine="420"/>
    </w:pPr>
    <w:rPr>
      <w:rFonts w:ascii="Calibri" w:hAnsi="Calibri"/>
      <w:sz w:val="24"/>
      <w:szCs w:val="22"/>
    </w:rPr>
  </w:style>
  <w:style w:type="character" w:customStyle="1" w:styleId="287">
    <w:name w:val="普通(网站) Char"/>
    <w:link w:val="50"/>
    <w:qFormat/>
    <w:uiPriority w:val="99"/>
    <w:rPr>
      <w:rFonts w:cs="宋体"/>
      <w:sz w:val="24"/>
      <w:szCs w:val="21"/>
    </w:rPr>
  </w:style>
  <w:style w:type="paragraph" w:customStyle="1" w:styleId="288">
    <w:name w:val="Char1"/>
    <w:basedOn w:val="1"/>
    <w:qFormat/>
    <w:uiPriority w:val="0"/>
    <w:pPr>
      <w:tabs>
        <w:tab w:val="left" w:pos="420"/>
      </w:tabs>
      <w:ind w:left="960" w:hanging="420"/>
    </w:pPr>
    <w:rPr>
      <w:rFonts w:ascii="Calibri" w:hAnsi="Calibri" w:cs="Times New Roman"/>
      <w:sz w:val="24"/>
      <w:szCs w:val="20"/>
    </w:rPr>
  </w:style>
  <w:style w:type="paragraph" w:customStyle="1" w:styleId="289">
    <w:name w:val="Table Paragraph"/>
    <w:basedOn w:val="1"/>
    <w:qFormat/>
    <w:uiPriority w:val="1"/>
    <w:pPr>
      <w:jc w:val="left"/>
    </w:pPr>
    <w:rPr>
      <w:rFonts w:asciiTheme="minorHAnsi" w:hAnsiTheme="minorHAnsi" w:eastAsiaTheme="minorEastAsia" w:cstheme="minorBidi"/>
      <w:sz w:val="22"/>
      <w:szCs w:val="22"/>
      <w:lang w:eastAsia="en-US"/>
    </w:rPr>
  </w:style>
  <w:style w:type="paragraph" w:customStyle="1" w:styleId="290">
    <w:name w:val="正文1"/>
    <w:qFormat/>
    <w:uiPriority w:val="0"/>
    <w:pPr>
      <w:jc w:val="both"/>
    </w:pPr>
    <w:rPr>
      <w:rFonts w:hint="default" w:ascii="Calibri" w:hAnsi="Calibri" w:eastAsia="宋体" w:cs="宋体"/>
      <w:sz w:val="21"/>
      <w:szCs w:val="21"/>
      <w:lang w:val="en-US" w:eastAsia="zh-CN" w:bidi="ar-SA"/>
    </w:rPr>
  </w:style>
  <w:style w:type="table" w:customStyle="1" w:styleId="291">
    <w:name w:val="网格型1"/>
    <w:basedOn w:val="56"/>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92">
    <w:name w:val="正文_0"/>
    <w:qFormat/>
    <w:uiPriority w:val="0"/>
    <w:pPr>
      <w:widowControl w:val="0"/>
      <w:ind w:firstLine="560"/>
      <w:jc w:val="both"/>
    </w:pPr>
    <w:rPr>
      <w:rFonts w:hint="default" w:ascii="Calibri" w:hAnsi="Calibri" w:eastAsia="宋体" w:cs="Times New Roman"/>
      <w:sz w:val="28"/>
      <w:szCs w:val="28"/>
      <w:lang w:val="en-US" w:eastAsia="zh-CN" w:bidi="ar-SA"/>
    </w:rPr>
  </w:style>
  <w:style w:type="paragraph" w:customStyle="1" w:styleId="293">
    <w:name w:val="_正文"/>
    <w:basedOn w:val="1"/>
    <w:qFormat/>
    <w:uiPriority w:val="0"/>
    <w:pPr>
      <w:spacing w:line="360" w:lineRule="auto"/>
      <w:ind w:firstLine="200"/>
    </w:pPr>
    <w:rPr>
      <w:sz w:val="24"/>
      <w:szCs w:val="24"/>
    </w:rPr>
  </w:style>
  <w:style w:type="paragraph" w:customStyle="1" w:styleId="294">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styleId="295">
    <w:name w:val="List Paragraph"/>
    <w:basedOn w:val="1"/>
    <w:qFormat/>
    <w:uiPriority w:val="34"/>
    <w:pPr>
      <w:widowControl/>
      <w:ind w:firstLine="420"/>
      <w:jc w:val="left"/>
    </w:pPr>
    <w:rPr>
      <w:rFonts w:ascii="宋体" w:hAnsi="宋体"/>
      <w:sz w:val="24"/>
      <w:szCs w:val="24"/>
    </w:rPr>
  </w:style>
  <w:style w:type="paragraph" w:customStyle="1" w:styleId="296">
    <w:name w:val="首行缩进"/>
    <w:basedOn w:val="1"/>
    <w:qFormat/>
    <w:uiPriority w:val="0"/>
    <w:pPr>
      <w:ind w:firstLine="480"/>
    </w:pPr>
    <w:rPr>
      <w:lang w:val="zh-CN"/>
    </w:rPr>
  </w:style>
  <w:style w:type="character" w:customStyle="1" w:styleId="297">
    <w:name w:val="font21"/>
    <w:basedOn w:val="58"/>
    <w:qFormat/>
    <w:uiPriority w:val="0"/>
    <w:rPr>
      <w:rFonts w:ascii="宋体" w:hAnsi="宋体" w:eastAsia="宋体" w:cs="宋体"/>
      <w:color w:val="000000"/>
      <w:sz w:val="24"/>
      <w:szCs w:val="24"/>
      <w:u w:val="none"/>
    </w:rPr>
  </w:style>
  <w:style w:type="paragraph" w:customStyle="1" w:styleId="298">
    <w:name w:val="_Style 4"/>
    <w:basedOn w:val="3"/>
    <w:next w:val="1"/>
    <w:qFormat/>
    <w:uiPriority w:val="0"/>
    <w:pPr>
      <w:keepLines/>
      <w:spacing w:line="360" w:lineRule="auto"/>
      <w:jc w:val="both"/>
      <w:outlineLvl w:val="9"/>
    </w:pPr>
    <w:rPr>
      <w:rFonts w:ascii="Calibri" w:hAnsi="Calibri"/>
      <w:bCs/>
      <w:szCs w:val="44"/>
    </w:rPr>
  </w:style>
  <w:style w:type="paragraph" w:customStyle="1" w:styleId="299">
    <w:name w:val="正文（缩进）"/>
    <w:basedOn w:val="1"/>
    <w:qFormat/>
    <w:uiPriority w:val="0"/>
    <w:pPr>
      <w:widowControl w:val="0"/>
      <w:spacing w:before="156" w:after="156" w:line="360" w:lineRule="auto"/>
      <w:ind w:firstLine="480"/>
      <w:jc w:val="both"/>
    </w:pPr>
  </w:style>
  <w:style w:type="paragraph" w:customStyle="1" w:styleId="300">
    <w:name w:val="列表段落1"/>
    <w:basedOn w:val="1"/>
    <w:qFormat/>
    <w:uiPriority w:val="34"/>
    <w:pPr>
      <w:widowControl w:val="0"/>
      <w:spacing w:line="360" w:lineRule="auto"/>
      <w:ind w:firstLine="420"/>
      <w:jc w:val="both"/>
    </w:pPr>
    <w:rPr>
      <w:szCs w:val="20"/>
    </w:rPr>
  </w:style>
  <w:style w:type="paragraph" w:customStyle="1" w:styleId="301">
    <w:name w:val="Plain Text"/>
    <w:basedOn w:val="1"/>
    <w:qFormat/>
    <w:uiPriority w:val="0"/>
    <w:pPr>
      <w:widowControl w:val="0"/>
      <w:jc w:val="both"/>
    </w:pPr>
    <w:rPr>
      <w:rFonts w:ascii="宋体" w:hAnsi="Courier New" w:eastAsia="楷体_GB2312"/>
      <w:sz w:val="26"/>
      <w:szCs w:val="20"/>
    </w:rPr>
  </w:style>
  <w:style w:type="table" w:customStyle="1" w:styleId="302">
    <w:name w:val="Table Normal"/>
    <w:unhideWhenUsed/>
    <w:qFormat/>
    <w:uiPriority w:val="0"/>
    <w:tblPr>
      <w:tblCellMar>
        <w:top w:w="0" w:type="dxa"/>
        <w:left w:w="0" w:type="dxa"/>
        <w:bottom w:w="0" w:type="dxa"/>
        <w:right w:w="0" w:type="dxa"/>
      </w:tblCellMar>
    </w:tblPr>
  </w:style>
  <w:style w:type="paragraph" w:customStyle="1" w:styleId="303">
    <w:name w:val="正文文本缩进1"/>
    <w:qFormat/>
    <w:uiPriority w:val="99"/>
    <w:pPr>
      <w:widowControl w:val="0"/>
      <w:spacing w:line="360" w:lineRule="exact"/>
      <w:ind w:firstLine="420"/>
      <w:jc w:val="both"/>
    </w:pPr>
    <w:rPr>
      <w:rFonts w:hint="default" w:ascii="宋体" w:hAnsi="宋体" w:eastAsia="宋体" w:cs="Times New Roman"/>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64</Pages>
  <Words>238</Words>
  <Characters>293</Characters>
  <TotalTime>3</TotalTime>
  <ScaleCrop>false</ScaleCrop>
  <LinksUpToDate>false</LinksUpToDate>
  <CharactersWithSpaces>370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2021-04-21T02:19:00Z</dcterms:created>
  <dc:creator>user</dc:creator>
  <cp:lastModifiedBy>ailsacy</cp:lastModifiedBy>
  <dcterms:modified xsi:type="dcterms:W3CDTF">2026-08-25T10:59:31Z</dcterms:modified>
  <dc:title>招  标  文  件</dc:title>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03E7D9830E4A4D95BACE52F5870865B4</vt:lpwstr>
  </property>
  <property fmtid="{D5CDD505-2E9C-101B-9397-08002B2CF9AE}" pid="4" name="KSOTemplateDocerSaveRecord">
    <vt:lpwstr>eyJoZGlkIjoiN2RlM2Q4MmI2OGVlM2NlYTM2YzFhY2JlZTI4OTcwZDQiLCJ1c2VySWQiOiI5ODkyMzMzNTAifQ==</vt:lpwstr>
  </property>
</Properties>
</file>