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黑体" w:hAnsi="宋体" w:eastAsia="黑体"/>
          <w:sz w:val="44"/>
          <w:szCs w:val="44"/>
          <w:lang w:val="zh-CN"/>
        </w:rPr>
      </w:pPr>
      <w:r/>
      <w:bookmarkStart w:id="0" w:name="_Toc13467"/>
      <w:r/>
      <w:r/>
    </w:p>
    <w:p>
      <w:pPr>
        <w:pStyle w:val="1054"/>
        <w:ind w:left="1470" w:right="1470"/>
        <w:rPr>
          <w:rFonts w:hint="eastAsia" w:ascii="黑体" w:hAnsi="宋体" w:eastAsia="黑体"/>
          <w:sz w:val="44"/>
          <w:szCs w:val="44"/>
          <w:lang w:val="zh-CN"/>
        </w:rPr>
      </w:pPr>
      <w:r>
        <w:rPr>
          <w:rFonts w:hint="eastAsia" w:ascii="黑体" w:hAnsi="宋体" w:eastAsia="黑体"/>
          <w:sz w:val="44"/>
          <w:szCs w:val="44"/>
          <w:lang w:val="zh-CN"/>
        </w:rPr>
      </w:r>
      <w:r/>
    </w:p>
    <w:p>
      <w:pPr>
        <w:pStyle w:val="1052"/>
        <w:rPr>
          <w:lang w:val="zh-CN"/>
        </w:rPr>
      </w:pPr>
      <w:r>
        <w:rPr>
          <w:lang w:val="zh-CN"/>
        </w:rPr>
      </w:r>
      <w:r/>
    </w:p>
    <w:p>
      <w:pPr>
        <w:jc w:val="center"/>
        <w:rPr>
          <w:rFonts w:hint="eastAsia" w:ascii="黑体" w:hAnsi="宋体" w:eastAsia="黑体"/>
          <w:sz w:val="44"/>
          <w:szCs w:val="44"/>
        </w:rPr>
      </w:pPr>
      <w:r>
        <w:rPr>
          <w:rFonts w:hint="eastAsia" w:ascii="黑体" w:hAnsi="宋体" w:eastAsia="黑体"/>
          <w:sz w:val="44"/>
          <w:szCs w:val="44"/>
        </w:rPr>
      </w:r>
      <w:r/>
    </w:p>
    <w:p>
      <w:pPr>
        <w:jc w:val="center"/>
        <w:rPr>
          <w:rFonts w:hint="eastAsia" w:ascii="黑体" w:hAnsi="宋体" w:eastAsia="黑体"/>
          <w:sz w:val="44"/>
          <w:szCs w:val="44"/>
        </w:rPr>
      </w:pPr>
      <w:r>
        <w:rPr>
          <w:rFonts w:hint="eastAsia" w:ascii="黑体" w:hAnsi="宋体" w:eastAsia="黑体"/>
          <w:sz w:val="44"/>
          <w:szCs w:val="44"/>
        </w:rPr>
      </w:r>
      <w:r/>
    </w:p>
    <w:p>
      <w:pPr>
        <w:jc w:val="center"/>
        <w:rPr>
          <w:rFonts w:hint="eastAsia" w:ascii="黑体" w:hAnsi="宋体" w:eastAsia="黑体"/>
          <w:sz w:val="44"/>
          <w:szCs w:val="44"/>
        </w:rPr>
      </w:pPr>
      <w:r>
        <w:rPr>
          <w:rFonts w:hint="eastAsia" w:ascii="黑体" w:hAnsi="宋体" w:eastAsia="黑体"/>
          <w:sz w:val="44"/>
          <w:szCs w:val="44"/>
        </w:rPr>
      </w:r>
      <w:r/>
    </w:p>
    <w:p>
      <w:pPr>
        <w:jc w:val="center"/>
        <w:rPr>
          <w:rFonts w:hint="eastAsia" w:ascii="宋体" w:hAnsi="宋体" w:cs="宋体"/>
          <w:b/>
          <w:bCs/>
          <w:sz w:val="84"/>
          <w:szCs w:val="84"/>
        </w:rPr>
      </w:pPr>
      <w:r>
        <w:rPr>
          <w:rFonts w:hint="eastAsia" w:ascii="宋体" w:hAnsi="宋体" w:cs="宋体"/>
          <w:b/>
          <w:bCs/>
          <w:sz w:val="84"/>
          <w:szCs w:val="84"/>
        </w:rPr>
        <w:t xml:space="preserve">竞争性磋商文件</w:t>
      </w:r>
      <w:r/>
    </w:p>
    <w:p>
      <w:pPr>
        <w:jc w:val="center"/>
        <w:rPr>
          <w:rFonts w:hint="eastAsia" w:ascii="宋体" w:hAnsi="宋体" w:cs="宋体"/>
          <w:b/>
          <w:bCs/>
          <w:sz w:val="60"/>
          <w:szCs w:val="60"/>
        </w:rPr>
      </w:pPr>
      <w:r>
        <w:rPr>
          <w:rFonts w:hint="eastAsia" w:ascii="宋体" w:hAnsi="宋体" w:cs="宋体"/>
          <w:b/>
          <w:bCs/>
          <w:sz w:val="60"/>
          <w:szCs w:val="60"/>
        </w:rPr>
        <w:t xml:space="preserve">（服务）</w:t>
      </w:r>
      <w:r/>
    </w:p>
    <w:p>
      <w:pPr>
        <w:rPr>
          <w:rFonts w:hint="eastAsia" w:ascii="宋体" w:hAnsi="宋体" w:cs="宋体"/>
          <w:sz w:val="36"/>
          <w:szCs w:val="36"/>
          <w:lang w:val="zh-CN"/>
        </w:rPr>
      </w:pPr>
      <w:r>
        <w:rPr>
          <w:rFonts w:hint="eastAsia" w:ascii="宋体" w:hAnsi="宋体" w:cs="宋体"/>
          <w:sz w:val="36"/>
          <w:szCs w:val="36"/>
          <w:lang w:val="zh-CN"/>
        </w:rPr>
      </w:r>
      <w:r/>
    </w:p>
    <w:tbl>
      <w:tblPr>
        <w:tblStyle w:val="1038"/>
        <w:tblpPr w:horzAnchor="page" w:tblpX="1452" w:vertAnchor="text" w:tblpY="1115" w:leftFromText="180" w:topFromText="0" w:rightFromText="180" w:bottomFromText="0"/>
        <w:tblW w:w="9440" w:type="dxa"/>
        <w:jc w:val="center"/>
        <w:tblLayout w:type="fixed"/>
        <w:tblCellMar>
          <w:left w:w="108" w:type="dxa"/>
          <w:top w:w="0" w:type="dxa"/>
          <w:right w:w="108" w:type="dxa"/>
          <w:bottom w:w="0" w:type="dxa"/>
        </w:tblCellMar>
        <w:tblLook w:val="04A0" w:firstRow="1" w:lastRow="0" w:firstColumn="1" w:lastColumn="0" w:noHBand="0" w:noVBand="1"/>
      </w:tblPr>
      <w:tblGrid>
        <w:gridCol w:w="9440"/>
      </w:tblGrid>
      <w:tr>
        <w:trPr>
          <w:jc w:val="center"/>
          <w:trHeight w:val="2796"/>
        </w:trPr>
        <w:tc>
          <w:tcPr>
            <w:tcBorders>
              <w:top w:val="none" w:color="000000" w:sz="4" w:space="0"/>
              <w:left w:val="none" w:color="000000" w:sz="4" w:space="0"/>
              <w:bottom w:val="none" w:color="000000" w:sz="4" w:space="0"/>
              <w:right w:val="none" w:color="000000" w:sz="4" w:space="0"/>
            </w:tcBorders>
            <w:tcW w:w="9440" w:type="dxa"/>
            <w:textDirection w:val="lrTb"/>
            <w:noWrap w:val="false"/>
          </w:tcPr>
          <w:p>
            <w:pPr>
              <w:jc w:val="left"/>
              <w:rPr>
                <w:rFonts w:hint="eastAsia" w:ascii="宋体" w:hAnsi="宋体" w:cs="宋体"/>
                <w:sz w:val="40"/>
                <w:szCs w:val="40"/>
              </w:rPr>
            </w:pPr>
            <w:r>
              <w:rPr>
                <w:rFonts w:hint="eastAsia" w:ascii="宋体" w:hAnsi="宋体" w:cs="宋体"/>
                <w:sz w:val="40"/>
                <w:szCs w:val="40"/>
              </w:rPr>
              <w:t xml:space="preserve">项目编号：JSZC-320000-NJJD-C2026-0016</w:t>
            </w:r>
            <w:bookmarkStart w:id="81" w:name="_GoBack"/>
            <w:r/>
            <w:bookmarkEnd w:id="81"/>
            <w:r/>
            <w:r/>
          </w:p>
          <w:p>
            <w:pPr>
              <w:jc w:val="left"/>
              <w:rPr>
                <w:rFonts w:hint="eastAsia" w:ascii="宋体" w:hAnsi="宋体" w:cs="宋体"/>
                <w:sz w:val="40"/>
                <w:szCs w:val="40"/>
              </w:rPr>
            </w:pPr>
            <w:r>
              <w:rPr>
                <w:rFonts w:hint="eastAsia" w:ascii="宋体" w:hAnsi="宋体" w:cs="宋体"/>
                <w:sz w:val="40"/>
                <w:szCs w:val="40"/>
              </w:rPr>
              <w:t xml:space="preserve">项目名称：资金中心信息系统外包服务采购 </w:t>
            </w:r>
            <w:r/>
          </w:p>
          <w:p>
            <w:pPr>
              <w:jc w:val="left"/>
              <w:rPr>
                <w:rFonts w:hint="eastAsia" w:ascii="宋体" w:hAnsi="宋体" w:cs="宋体"/>
                <w:sz w:val="40"/>
                <w:szCs w:val="40"/>
              </w:rPr>
            </w:pPr>
            <w:r>
              <w:rPr>
                <w:rFonts w:hint="eastAsia" w:ascii="宋体" w:hAnsi="宋体" w:cs="宋体"/>
                <w:sz w:val="40"/>
                <w:szCs w:val="40"/>
                <w:lang w:val="zh-CN"/>
              </w:rPr>
              <w:t xml:space="preserve">采</w:t>
            </w:r>
            <w:r>
              <w:rPr>
                <w:rFonts w:hint="eastAsia" w:ascii="宋体" w:hAnsi="宋体" w:cs="宋体"/>
                <w:sz w:val="40"/>
                <w:szCs w:val="40"/>
              </w:rPr>
              <w:t xml:space="preserve"> </w:t>
            </w:r>
            <w:r>
              <w:rPr>
                <w:rFonts w:hint="eastAsia" w:ascii="宋体" w:hAnsi="宋体" w:cs="宋体"/>
                <w:sz w:val="40"/>
                <w:szCs w:val="40"/>
                <w:lang w:val="zh-CN"/>
              </w:rPr>
              <w:t xml:space="preserve">购</w:t>
            </w:r>
            <w:r>
              <w:rPr>
                <w:rFonts w:hint="eastAsia" w:ascii="宋体" w:hAnsi="宋体" w:cs="宋体"/>
                <w:sz w:val="40"/>
                <w:szCs w:val="40"/>
              </w:rPr>
              <w:t xml:space="preserve"> </w:t>
            </w:r>
            <w:r>
              <w:rPr>
                <w:rFonts w:hint="eastAsia" w:ascii="宋体" w:hAnsi="宋体" w:cs="宋体"/>
                <w:sz w:val="40"/>
                <w:szCs w:val="40"/>
                <w:lang w:val="zh-CN"/>
              </w:rPr>
              <w:t xml:space="preserve">人：江苏省省级机关住房资金管理中心</w:t>
            </w:r>
            <w:r/>
          </w:p>
          <w:p>
            <w:pPr>
              <w:jc w:val="left"/>
              <w:rPr>
                <w:rFonts w:hint="eastAsia" w:ascii="宋体" w:hAnsi="宋体" w:cs="宋体"/>
                <w:sz w:val="36"/>
                <w:szCs w:val="36"/>
                <w:lang w:val="zh-CN"/>
              </w:rPr>
            </w:pPr>
            <w:r>
              <w:rPr>
                <w:rFonts w:hint="eastAsia" w:ascii="宋体" w:hAnsi="宋体" w:cs="宋体"/>
                <w:sz w:val="40"/>
                <w:szCs w:val="40"/>
                <w:lang w:val="zh-CN"/>
              </w:rPr>
              <w:t xml:space="preserve">代理机构：南京金鼎工程造价评估有限责任公司</w:t>
            </w:r>
            <w:r/>
          </w:p>
        </w:tc>
      </w:tr>
    </w:tbl>
    <w:p>
      <w:pPr>
        <w:rPr>
          <w:rFonts w:hint="eastAsia" w:ascii="宋体" w:hAnsi="宋体" w:cs="宋体"/>
          <w:sz w:val="36"/>
          <w:szCs w:val="36"/>
          <w:lang w:val="zh-CN"/>
        </w:rPr>
      </w:pPr>
      <w:r>
        <w:rPr>
          <w:rFonts w:hint="eastAsia" w:ascii="宋体" w:hAnsi="宋体" w:cs="宋体"/>
          <w:sz w:val="36"/>
          <w:szCs w:val="36"/>
          <w:lang w:val="zh-CN"/>
        </w:rPr>
      </w:r>
      <w:r/>
    </w:p>
    <w:p>
      <w:pPr>
        <w:ind w:firstLine="705"/>
        <w:rPr>
          <w:rFonts w:hint="eastAsia" w:ascii="宋体" w:hAnsi="宋体" w:cs="宋体"/>
          <w:sz w:val="36"/>
          <w:szCs w:val="36"/>
          <w:lang w:val="zh-CN"/>
        </w:rPr>
      </w:pPr>
      <w:r>
        <w:rPr>
          <w:rFonts w:hint="eastAsia" w:ascii="宋体" w:hAnsi="宋体" w:cs="宋体"/>
          <w:sz w:val="36"/>
          <w:szCs w:val="36"/>
          <w:lang w:val="zh-CN"/>
        </w:rPr>
      </w:r>
      <w:r/>
    </w:p>
    <w:p>
      <w:pPr>
        <w:jc w:val="right"/>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spacing w:line="360" w:lineRule="auto"/>
        <w:rPr>
          <w:rFonts w:hint="eastAsia" w:ascii="黑体" w:hAnsi="宋体" w:eastAsia="黑体"/>
          <w:sz w:val="44"/>
        </w:rPr>
        <w:sectPr>
          <w:headerReference w:type="default" r:id="rId9"/>
          <w:footerReference w:type="default" r:id="rId12"/>
          <w:footnotePr/>
          <w:endnotePr/>
          <w:type w:val="nextPage"/>
          <w:pgSz w:w="11906" w:h="16838" w:orient="portrait"/>
          <w:pgMar w:top="1440" w:right="1080" w:bottom="1440" w:left="1080" w:header="851" w:footer="680" w:gutter="0"/>
          <w:pgNumType w:start="0"/>
          <w:cols w:num="1" w:sep="0" w:space="720" w:equalWidth="1"/>
          <w:docGrid w:linePitch="360"/>
        </w:sectPr>
      </w:pPr>
      <w:r>
        <w:rPr>
          <w:rFonts w:hint="eastAsia" w:ascii="宋体" w:hAnsi="宋体" w:cs="宋体"/>
          <w:sz w:val="40"/>
          <w:szCs w:val="40"/>
        </w:rPr>
        <w:t xml:space="preserve">二〇二六年</w:t>
      </w:r>
      <w:r>
        <w:rPr>
          <w:rFonts w:hint="eastAsia" w:ascii="宋体" w:hAnsi="宋体" w:cs="宋体"/>
          <w:sz w:val="40"/>
          <w:szCs w:val="40"/>
          <w:lang w:val="en-US" w:eastAsia="zh-CN"/>
        </w:rPr>
        <w:t xml:space="preserve">九</w:t>
      </w:r>
      <w:r>
        <w:rPr>
          <w:rFonts w:hint="eastAsia" w:ascii="宋体" w:hAnsi="宋体" w:cs="宋体"/>
          <w:sz w:val="40"/>
          <w:szCs w:val="40"/>
        </w:rPr>
        <w:t xml:space="preserve">月</w:t>
      </w:r>
      <w:r/>
    </w:p>
    <w:p>
      <w:pPr>
        <w:jc w:val="center"/>
        <w:rPr>
          <w:rFonts w:hint="eastAsia" w:ascii="宋体" w:hAnsi="宋体" w:cs="宋体"/>
          <w:b/>
          <w:bCs/>
          <w:sz w:val="24"/>
          <w:szCs w:val="24"/>
        </w:rPr>
      </w:pPr>
      <w:r/>
      <w:bookmarkStart w:id="1" w:name="_Toc23476"/>
      <w:r>
        <w:rPr>
          <w:rFonts w:hint="eastAsia" w:ascii="宋体" w:hAnsi="宋体" w:cs="宋体"/>
          <w:b/>
          <w:bCs/>
          <w:sz w:val="24"/>
          <w:szCs w:val="24"/>
        </w:rPr>
        <w:t xml:space="preserve">目 录</w:t>
      </w:r>
      <w:bookmarkEnd w:id="0"/>
      <w:r/>
      <w:bookmarkEnd w:id="1"/>
      <w:r/>
      <w:r/>
    </w:p>
    <w:p>
      <w:pPr>
        <w:pStyle w:val="1076"/>
        <w:tabs>
          <w:tab w:val="right" w:pos="9746" w:leader="dot"/>
        </w:tabs>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r>
        <w:fldChar w:fldCharType="begin"/>
      </w:r>
      <w:r>
        <w:instrText xml:space="preserve"> HYPERLINK \l "_Toc17949" </w:instrText>
      </w:r>
      <w:r>
        <w:fldChar w:fldCharType="separate"/>
      </w:r>
      <w:r>
        <w:rPr>
          <w:rFonts w:hint="eastAsia" w:ascii="黑体" w:hAnsi="宋体" w:eastAsia="黑体"/>
          <w:bCs/>
          <w:spacing w:val="-10"/>
          <w:szCs w:val="36"/>
        </w:rPr>
        <w:t xml:space="preserve">第一章 竞争性磋商公告</w:t>
      </w:r>
      <w:r>
        <w:tab/>
      </w:r>
      <w:r>
        <w:fldChar w:fldCharType="begin"/>
      </w:r>
      <w:r>
        <w:instrText xml:space="preserve"> PAGEREF _Toc17949 \h </w:instrText>
      </w:r>
      <w:r>
        <w:fldChar w:fldCharType="separate"/>
      </w:r>
      <w:r>
        <w:t xml:space="preserve">2</w:t>
      </w:r>
      <w:r>
        <w:fldChar w:fldCharType="end"/>
      </w:r>
      <w:r>
        <w:fldChar w:fldCharType="end"/>
      </w:r>
      <w:r/>
    </w:p>
    <w:p>
      <w:pPr>
        <w:pStyle w:val="1076"/>
        <w:tabs>
          <w:tab w:val="right" w:pos="9746" w:leader="dot"/>
        </w:tabs>
      </w:pPr>
      <w:r>
        <w:fldChar w:fldCharType="begin"/>
      </w:r>
      <w:r>
        <w:instrText xml:space="preserve"> HYPERLINK \l "_Toc2845" </w:instrText>
      </w:r>
      <w:r>
        <w:fldChar w:fldCharType="separate"/>
      </w:r>
      <w:r>
        <w:rPr>
          <w:rFonts w:hint="eastAsia" w:ascii="黑体" w:hAnsi="宋体" w:eastAsia="黑体"/>
          <w:bCs/>
          <w:spacing w:val="-10"/>
          <w:szCs w:val="36"/>
        </w:rPr>
        <w:t xml:space="preserve">第二章 竞争性磋商须知</w:t>
      </w:r>
      <w:r>
        <w:tab/>
      </w:r>
      <w:r>
        <w:fldChar w:fldCharType="begin"/>
      </w:r>
      <w:r>
        <w:instrText xml:space="preserve"> PAGEREF _Toc2845 \h </w:instrText>
      </w:r>
      <w:r>
        <w:fldChar w:fldCharType="separate"/>
      </w:r>
      <w:r>
        <w:t xml:space="preserve">6</w:t>
      </w:r>
      <w:r>
        <w:fldChar w:fldCharType="end"/>
      </w:r>
      <w:r>
        <w:fldChar w:fldCharType="end"/>
      </w:r>
      <w:r/>
    </w:p>
    <w:p>
      <w:pPr>
        <w:pStyle w:val="1076"/>
        <w:tabs>
          <w:tab w:val="right" w:pos="9746" w:leader="dot"/>
        </w:tabs>
      </w:pPr>
      <w:r>
        <w:fldChar w:fldCharType="begin"/>
      </w:r>
      <w:r>
        <w:instrText xml:space="preserve"> HYPERLINK \l "_Toc27576" </w:instrText>
      </w:r>
      <w:r>
        <w:fldChar w:fldCharType="separate"/>
      </w:r>
      <w:r>
        <w:rPr>
          <w:rFonts w:hint="eastAsia" w:ascii="黑体" w:hAnsi="宋体" w:eastAsia="黑体"/>
          <w:bCs/>
          <w:spacing w:val="-10"/>
          <w:szCs w:val="36"/>
        </w:rPr>
        <w:t xml:space="preserve">第三章 成交标准</w:t>
      </w:r>
      <w:r>
        <w:tab/>
      </w:r>
      <w:r>
        <w:fldChar w:fldCharType="begin"/>
      </w:r>
      <w:r>
        <w:instrText xml:space="preserve"> PAGEREF _Toc27576 \h </w:instrText>
      </w:r>
      <w:r>
        <w:fldChar w:fldCharType="separate"/>
      </w:r>
      <w:r>
        <w:t xml:space="preserve">19</w:t>
      </w:r>
      <w:r>
        <w:fldChar w:fldCharType="end"/>
      </w:r>
      <w:r>
        <w:fldChar w:fldCharType="end"/>
      </w:r>
      <w:r/>
    </w:p>
    <w:p>
      <w:pPr>
        <w:pStyle w:val="1076"/>
        <w:tabs>
          <w:tab w:val="right" w:pos="9746" w:leader="dot"/>
        </w:tabs>
      </w:pPr>
      <w:r>
        <w:fldChar w:fldCharType="begin"/>
      </w:r>
      <w:r>
        <w:instrText xml:space="preserve"> HYPERLINK \l "_Toc3010" </w:instrText>
      </w:r>
      <w:r>
        <w:fldChar w:fldCharType="separate"/>
      </w:r>
      <w:r>
        <w:rPr>
          <w:rFonts w:hint="eastAsia" w:ascii="黑体" w:hAnsi="Arial" w:eastAsia="黑体" w:cs="Arial"/>
          <w:bCs/>
          <w:szCs w:val="36"/>
          <w:lang w:val="zh-CN"/>
        </w:rPr>
        <w:t xml:space="preserve">第四章 采购需求</w:t>
      </w:r>
      <w:r>
        <w:tab/>
      </w:r>
      <w:r>
        <w:fldChar w:fldCharType="begin"/>
      </w:r>
      <w:r>
        <w:instrText xml:space="preserve"> PAGEREF _Toc3010 \h </w:instrText>
      </w:r>
      <w:r>
        <w:fldChar w:fldCharType="separate"/>
      </w:r>
      <w:r>
        <w:t xml:space="preserve">26</w:t>
      </w:r>
      <w:r>
        <w:fldChar w:fldCharType="end"/>
      </w:r>
      <w:r>
        <w:fldChar w:fldCharType="end"/>
      </w:r>
      <w:r/>
    </w:p>
    <w:p>
      <w:pPr>
        <w:pStyle w:val="1076"/>
        <w:tabs>
          <w:tab w:val="right" w:pos="9746" w:leader="dot"/>
        </w:tabs>
      </w:pPr>
      <w:r>
        <w:fldChar w:fldCharType="begin"/>
      </w:r>
      <w:r>
        <w:instrText xml:space="preserve"> HYPERLINK \l "_Toc13316" </w:instrText>
      </w:r>
      <w:r>
        <w:fldChar w:fldCharType="separate"/>
      </w:r>
      <w:r>
        <w:rPr>
          <w:rFonts w:hint="eastAsia" w:ascii="黑体" w:hAnsi="Arial" w:eastAsia="黑体" w:cs="Arial"/>
          <w:bCs/>
          <w:szCs w:val="36"/>
          <w:lang w:val="zh-CN"/>
        </w:rPr>
        <w:t xml:space="preserve">第五章</w:t>
      </w:r>
      <w:r>
        <w:rPr>
          <w:rFonts w:hint="eastAsia" w:ascii="黑体" w:hAnsi="Arial" w:eastAsia="黑体" w:cs="Arial"/>
          <w:bCs/>
          <w:szCs w:val="36"/>
        </w:rPr>
        <w:t xml:space="preserve"> </w:t>
      </w:r>
      <w:r>
        <w:rPr>
          <w:rFonts w:hint="eastAsia" w:ascii="黑体" w:hAnsi="宋体" w:eastAsia="黑体"/>
          <w:bCs/>
          <w:spacing w:val="-10"/>
          <w:szCs w:val="36"/>
          <w:lang w:val="zh-CN"/>
        </w:rPr>
        <w:t xml:space="preserve">合同主要条款及格式</w:t>
      </w:r>
      <w:r>
        <w:tab/>
      </w:r>
      <w:r>
        <w:fldChar w:fldCharType="begin"/>
      </w:r>
      <w:r>
        <w:instrText xml:space="preserve"> PAGEREF _Toc13316 \h </w:instrText>
      </w:r>
      <w:r>
        <w:fldChar w:fldCharType="separate"/>
      </w:r>
      <w:r>
        <w:t xml:space="preserve">33</w:t>
      </w:r>
      <w:r>
        <w:fldChar w:fldCharType="end"/>
      </w:r>
      <w:r>
        <w:fldChar w:fldCharType="end"/>
      </w:r>
      <w:r/>
    </w:p>
    <w:p>
      <w:pPr>
        <w:pStyle w:val="1076"/>
        <w:tabs>
          <w:tab w:val="right" w:pos="9746" w:leader="dot"/>
        </w:tabs>
      </w:pPr>
      <w:r>
        <w:fldChar w:fldCharType="begin"/>
      </w:r>
      <w:r>
        <w:instrText xml:space="preserve"> HYPERLINK \l "_Toc30800" </w:instrText>
      </w:r>
      <w:r>
        <w:fldChar w:fldCharType="separate"/>
      </w:r>
      <w:r>
        <w:rPr>
          <w:rFonts w:hint="eastAsia" w:ascii="黑体" w:hAnsi="Arial" w:eastAsia="黑体" w:cs="Arial"/>
          <w:bCs/>
          <w:szCs w:val="36"/>
        </w:rPr>
        <w:t xml:space="preserve">第六章 竞争性磋商响应文件格式及附件</w:t>
      </w:r>
      <w:r>
        <w:tab/>
      </w:r>
      <w:r>
        <w:fldChar w:fldCharType="begin"/>
      </w:r>
      <w:r>
        <w:instrText xml:space="preserve"> PAGEREF _Toc30800 \h </w:instrText>
      </w:r>
      <w:r>
        <w:fldChar w:fldCharType="separate"/>
      </w:r>
      <w:r>
        <w:t xml:space="preserve">46</w:t>
      </w:r>
      <w:r>
        <w:fldChar w:fldCharType="end"/>
      </w:r>
      <w:r>
        <w:fldChar w:fldCharType="end"/>
      </w:r>
      <w:r/>
    </w:p>
    <w:p>
      <w:pPr>
        <w:spacing w:line="360" w:lineRule="auto"/>
      </w:pPr>
      <w:r>
        <w:rPr>
          <w:rFonts w:hint="eastAsia" w:ascii="宋体" w:hAnsi="宋体" w:cs="宋体"/>
          <w:szCs w:val="24"/>
        </w:rPr>
        <w:fldChar w:fldCharType="end"/>
      </w:r>
      <w:r/>
    </w:p>
    <w:p>
      <w:pPr>
        <w:jc w:val="left"/>
        <w:spacing w:line="360" w:lineRule="auto"/>
        <w:widowControl/>
        <w:rPr>
          <w:rFonts w:hint="eastAsia" w:ascii="黑体" w:hAnsi="宋体" w:eastAsia="黑体"/>
          <w:sz w:val="44"/>
        </w:rPr>
        <w:sectPr>
          <w:headerReference w:type="default" r:id="rId10"/>
          <w:footerReference w:type="default" r:id="rId13"/>
          <w:footnotePr/>
          <w:endnotePr/>
          <w:type w:val="nextPage"/>
          <w:pgSz w:w="11906" w:h="16838" w:orient="portrait"/>
          <w:pgMar w:top="1440" w:right="1080" w:bottom="1440" w:left="1080" w:header="720" w:footer="720" w:gutter="0"/>
          <w:pgNumType w:start="1"/>
          <w:cols w:num="1" w:sep="0" w:space="720" w:equalWidth="1"/>
          <w:docGrid w:linePitch="360"/>
        </w:sectPr>
      </w:pPr>
      <w:r>
        <w:rPr>
          <w:rFonts w:hint="eastAsia" w:ascii="黑体" w:hAnsi="宋体" w:eastAsia="黑体"/>
          <w:sz w:val="44"/>
        </w:rPr>
      </w:r>
      <w:r/>
    </w:p>
    <w:p>
      <w:pPr>
        <w:jc w:val="center"/>
        <w:rPr>
          <w:rFonts w:hint="eastAsia" w:ascii="黑体" w:hAnsi="宋体" w:eastAsia="黑体"/>
          <w:b/>
          <w:bCs/>
          <w:spacing w:val="-10"/>
          <w:sz w:val="36"/>
          <w:szCs w:val="36"/>
        </w:rPr>
        <w:outlineLvl w:val="0"/>
      </w:pPr>
      <w:r/>
      <w:bookmarkStart w:id="2" w:name="_Toc18603"/>
      <w:r/>
      <w:bookmarkStart w:id="3" w:name="_Toc17949"/>
      <w:r>
        <w:rPr>
          <w:rFonts w:hint="eastAsia" w:ascii="黑体" w:hAnsi="宋体" w:eastAsia="黑体"/>
          <w:b/>
          <w:bCs/>
          <w:spacing w:val="-10"/>
          <w:sz w:val="36"/>
          <w:szCs w:val="36"/>
        </w:rPr>
        <w:t xml:space="preserve">第一章 竞争性磋商</w:t>
      </w:r>
      <w:bookmarkEnd w:id="2"/>
      <w:r>
        <w:rPr>
          <w:rFonts w:hint="eastAsia" w:ascii="黑体" w:hAnsi="宋体" w:eastAsia="黑体"/>
          <w:b/>
          <w:bCs/>
          <w:spacing w:val="-10"/>
          <w:sz w:val="36"/>
          <w:szCs w:val="36"/>
        </w:rPr>
        <w:t xml:space="preserve">公告</w:t>
      </w:r>
      <w:bookmarkEnd w:id="3"/>
      <w:r/>
      <w:r/>
    </w:p>
    <w:p>
      <w:pPr>
        <w:pStyle w:val="1054"/>
        <w:ind w:left="0" w:right="1470"/>
        <w:jc w:val="left"/>
        <w:rPr>
          <w:lang w:val="zh-CN"/>
        </w:rPr>
      </w:pPr>
      <w:r>
        <w:rPr>
          <w:lang w:val="zh-CN"/>
        </w:rPr>
      </w:r>
      <w:r/>
    </w:p>
    <w:p>
      <w:pPr>
        <w:ind w:firstLine="560"/>
        <w:spacing w:line="360" w:lineRule="auto"/>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rPr>
        <w:t xml:space="preserve">项目概况</w:t>
      </w:r>
      <w:r/>
    </w:p>
    <w:p>
      <w:pPr>
        <w:ind w:firstLine="560"/>
        <w:spacing w:line="360" w:lineRule="auto"/>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u w:val="single"/>
        </w:rPr>
        <w:t xml:space="preserve">资金中心信息系统外包服务采购 </w:t>
      </w:r>
      <w:r>
        <w:rPr>
          <w:rFonts w:hint="eastAsia" w:ascii="宋体" w:hAnsi="宋体" w:cs="宋体"/>
          <w:sz w:val="28"/>
          <w:szCs w:val="28"/>
        </w:rPr>
        <w:t xml:space="preserve">采购项目的潜在供应商应在</w:t>
      </w:r>
      <w:r>
        <w:rPr>
          <w:rFonts w:ascii="FangSong" w:hAnsi="FangSong" w:eastAsia="FangSong" w:cs="FangSong"/>
          <w:color w:val="000000"/>
          <w:sz w:val="30"/>
          <w:u w:val="single"/>
        </w:rPr>
        <w:t xml:space="preserve">“江苏省政府采购（苏采云）平台”</w:t>
      </w:r>
      <w:r>
        <w:rPr>
          <w:rFonts w:hint="eastAsia" w:ascii="宋体" w:hAnsi="宋体" w:cs="宋体"/>
          <w:sz w:val="28"/>
          <w:szCs w:val="28"/>
        </w:rPr>
      </w:r>
      <w:r>
        <w:rPr>
          <w:rFonts w:hint="eastAsia" w:ascii="宋体" w:hAnsi="宋体" w:cs="宋体"/>
          <w:sz w:val="28"/>
          <w:szCs w:val="28"/>
        </w:rPr>
        <w:t xml:space="preserve">获取采购文件，并于</w:t>
      </w:r>
      <w:r>
        <w:rPr>
          <w:rFonts w:hint="eastAsia" w:ascii="宋体" w:hAnsi="宋体" w:cs="宋体"/>
          <w:sz w:val="28"/>
          <w:szCs w:val="28"/>
          <w:u w:val="single"/>
          <w:lang w:val="en-US" w:eastAsia="zh-CN"/>
        </w:rPr>
        <w:t xml:space="preserve">2026</w:t>
      </w:r>
      <w:r>
        <w:rPr>
          <w:rFonts w:hint="eastAsia" w:ascii="宋体" w:hAnsi="宋体" w:cs="宋体"/>
          <w:sz w:val="28"/>
          <w:szCs w:val="28"/>
          <w:u w:val="single"/>
        </w:rPr>
        <w:t xml:space="preserve">年</w:t>
      </w:r>
      <w:r>
        <w:rPr>
          <w:rFonts w:hint="eastAsia" w:ascii="宋体" w:hAnsi="宋体" w:cs="宋体"/>
          <w:sz w:val="28"/>
          <w:szCs w:val="28"/>
          <w:u w:val="single"/>
          <w:lang w:val="en-US" w:eastAsia="zh-CN"/>
        </w:rPr>
        <w:t xml:space="preserve">09</w:t>
      </w:r>
      <w:r>
        <w:rPr>
          <w:rFonts w:hint="eastAsia" w:ascii="宋体" w:hAnsi="宋体" w:cs="宋体"/>
          <w:bCs/>
          <w:sz w:val="28"/>
          <w:szCs w:val="28"/>
          <w:u w:val="single"/>
        </w:rPr>
        <w:t xml:space="preserve">月</w:t>
      </w:r>
      <w:r>
        <w:rPr>
          <w:rFonts w:hint="eastAsia" w:ascii="宋体" w:hAnsi="宋体" w:cs="宋体"/>
          <w:bCs/>
          <w:sz w:val="28"/>
          <w:szCs w:val="28"/>
          <w:u w:val="single"/>
          <w:lang w:val="en-US" w:eastAsia="zh-CN"/>
        </w:rPr>
        <w:t xml:space="preserve">29</w:t>
      </w:r>
      <w:r>
        <w:rPr>
          <w:rFonts w:hint="eastAsia" w:ascii="宋体" w:hAnsi="宋体" w:cs="宋体"/>
          <w:bCs/>
          <w:sz w:val="28"/>
          <w:szCs w:val="28"/>
          <w:u w:val="single"/>
        </w:rPr>
        <w:t xml:space="preserve">日14点30分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rPr>
          <w:rFonts w:hint="eastAsia" w:ascii="宋体" w:hAnsi="宋体" w:cs="宋体"/>
          <w:szCs w:val="21"/>
        </w:rPr>
      </w:pPr>
      <w:r>
        <w:rPr>
          <w:rFonts w:hint="eastAsia" w:ascii="宋体" w:hAnsi="宋体" w:cs="宋体"/>
          <w:szCs w:val="21"/>
        </w:rPr>
      </w:r>
      <w:r/>
    </w:p>
    <w:p>
      <w:pPr>
        <w:ind w:firstLine="562"/>
        <w:keepLines/>
        <w:keepNext/>
        <w:spacing w:line="360" w:lineRule="auto"/>
        <w:rPr>
          <w:rFonts w:hint="eastAsia" w:ascii="宋体" w:hAnsi="宋体" w:cs="宋体"/>
          <w:b/>
          <w:sz w:val="28"/>
          <w:szCs w:val="28"/>
        </w:rPr>
      </w:pPr>
      <w:r/>
      <w:bookmarkStart w:id="4" w:name="_Toc28359012"/>
      <w:r/>
      <w:bookmarkStart w:id="5" w:name="_Toc28359089"/>
      <w:r/>
      <w:bookmarkStart w:id="6" w:name="_Toc35393629"/>
      <w:r/>
      <w:bookmarkStart w:id="7" w:name="_Toc35393798"/>
      <w:r>
        <w:rPr>
          <w:rFonts w:hint="eastAsia" w:ascii="宋体" w:hAnsi="宋体" w:cs="宋体"/>
          <w:b/>
          <w:sz w:val="28"/>
          <w:szCs w:val="28"/>
        </w:rPr>
        <w:t xml:space="preserve">一、项目基本情况</w:t>
      </w:r>
      <w:bookmarkEnd w:id="4"/>
      <w:r/>
      <w:bookmarkEnd w:id="5"/>
      <w:r/>
      <w:bookmarkEnd w:id="6"/>
      <w:r/>
      <w:bookmarkEnd w:id="7"/>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项目编号：JSZC-320000-NJJD-C2026-0016</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项目名称：资金中心信息系统外包服务采购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预算金额：121.6万元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最高限价：121.6万元</w:t>
      </w:r>
      <w:r/>
    </w:p>
    <w:p>
      <w:pPr>
        <w:ind w:firstLine="560"/>
        <w:spacing w:line="360" w:lineRule="auto"/>
        <w:rPr>
          <w:rFonts w:hint="eastAsia" w:ascii="宋体" w:hAnsi="宋体" w:cs="宋体"/>
          <w:color w:val="ff0000"/>
          <w:sz w:val="28"/>
          <w:szCs w:val="28"/>
        </w:rPr>
      </w:pPr>
      <w:r>
        <w:rPr>
          <w:rFonts w:hint="eastAsia" w:ascii="宋体" w:hAnsi="宋体" w:cs="宋体"/>
          <w:sz w:val="28"/>
          <w:szCs w:val="28"/>
        </w:rPr>
        <w:t xml:space="preserve">采购需求：资金中心信息系统外包服务采购，详见磋商文件。</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合同履行期限：自合同生效之日起一年。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本项目不接受联合体。</w:t>
      </w:r>
      <w:r/>
    </w:p>
    <w:p>
      <w:pPr>
        <w:ind w:firstLine="562"/>
        <w:keepLines/>
        <w:keepNext/>
        <w:spacing w:line="360" w:lineRule="auto"/>
        <w:rPr>
          <w:rFonts w:hint="eastAsia" w:ascii="宋体" w:hAnsi="宋体" w:cs="宋体"/>
          <w:b/>
          <w:sz w:val="28"/>
          <w:szCs w:val="28"/>
        </w:rPr>
      </w:pPr>
      <w:r/>
      <w:bookmarkStart w:id="8" w:name="_Toc28359013"/>
      <w:r/>
      <w:bookmarkStart w:id="9" w:name="_Toc35393630"/>
      <w:r/>
      <w:bookmarkStart w:id="10" w:name="_Toc28359090"/>
      <w:r/>
      <w:bookmarkStart w:id="11" w:name="_Toc35393799"/>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（1）具有独立承担民事责任的能力（提供法人或者其他组织的营业执照）；</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具有良好的商业信誉和健全的财务会计制度（提供距开标时间六个月内（2026年2月以来）任意一月份的财务状况报告且至少包括资产负债表和利润表（法人或者其他组织成立未满三个月的可以不提供)，或银行出具的开标前六个月内（2026年2月以来）的资信证书复印件，或2024年度或2025年度经审计的财务报告）；</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（3）具有履行合同所必需的设备和专业技术能力（根据项目需求提供履行合同所必需的设备和专业技术能力的声明或证明材料）；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（4）有依法缴纳税收和社会保障资金的良好记录（提供参加本次政府采购活动前半年内（2026年2月以来任意一个月）依法缴纳税收和社会保障资金的相关材料）；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（5）参加政府采购活动前三年内，在经营活动中没有重大违法记录（提供参加本次政府采购活动前3年内在经营活动中没有重大违法记录的书面声明）；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（6）法律、行政法规规定的其他条件（无）。</w:t>
      </w:r>
      <w:r/>
    </w:p>
    <w:p>
      <w:pPr>
        <w:ind w:firstLine="560"/>
        <w:spacing w:line="360" w:lineRule="auto"/>
        <w:widowControl/>
        <w:rPr>
          <w:rFonts w:hint="eastAsia" w:ascii="宋体" w:hAnsi="宋体" w:cs="宋体"/>
          <w:sz w:val="28"/>
          <w:szCs w:val="28"/>
        </w:rPr>
      </w:pPr>
      <w:r/>
      <w:bookmarkStart w:id="12" w:name="_Toc28359091"/>
      <w:r/>
      <w:bookmarkStart w:id="13" w:name="_Toc28359014"/>
      <w:r>
        <w:rPr>
          <w:rFonts w:hint="eastAsia" w:ascii="宋体" w:hAnsi="宋体" w:cs="宋体"/>
          <w:sz w:val="28"/>
          <w:szCs w:val="28"/>
        </w:rPr>
        <w:t xml:space="preserve">2.落实政府采购政策需满足的资格要求：无</w:t>
      </w:r>
      <w:r/>
    </w:p>
    <w:p>
      <w:pPr>
        <w:ind w:firstLine="560"/>
        <w:spacing w:line="360" w:lineRule="auto"/>
        <w:rPr>
          <w:rFonts w:hint="eastAsia" w:ascii="宋体" w:hAnsi="宋体" w:cs="宋体"/>
          <w:sz w:val="28"/>
          <w:szCs w:val="28"/>
          <w:highlight w:val="none"/>
        </w:rPr>
      </w:pPr>
      <w:r>
        <w:rPr>
          <w:rFonts w:hint="eastAsia" w:ascii="宋体" w:hAnsi="宋体" w:cs="宋体"/>
          <w:sz w:val="28"/>
          <w:szCs w:val="28"/>
        </w:rPr>
        <w:t xml:space="preserve">3.本项目的特定资格要求：</w:t>
      </w:r>
      <w:bookmarkStart w:id="14" w:name="_Toc35393800"/>
      <w:r/>
      <w:bookmarkStart w:id="15" w:name="_Toc35393631"/>
      <w:r>
        <w:rPr>
          <w:rFonts w:hint="eastAsia" w:ascii="宋体" w:hAnsi="宋体" w:cs="宋体"/>
          <w:sz w:val="28"/>
          <w:szCs w:val="28"/>
        </w:rPr>
        <w:t xml:space="preserve">无</w:t>
      </w:r>
      <w:r/>
    </w:p>
    <w:p>
      <w:pPr>
        <w:ind w:left="0" w:right="0" w:firstLine="600"/>
        <w:jc w:val="both"/>
        <w:spacing w:before="320" w:after="3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4.拒绝下述供应商参加本次采购活动：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（1）供应商单位负责人为同一人或者存在直接控股、管理关系的不同供应商，不得参加同一合同项下的政府采购活动。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（2）凡为采购项目提供整体设计、规范编制或者项目管理、监理、检测等服务的供应商，不得再参加本项目的采购活动。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（3）供应商被“信用中国”网站（www.creditchina.gov.cn）、“中国政府采购网”(www.ccgp.gov.cn）列入失信被执行人、重大税收违法案件当事人名单、政府采购严重违法失信行为记录名单。</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三、获取采购文件</w:t>
      </w:r>
      <w:bookmarkEnd w:id="12"/>
      <w:r/>
      <w:bookmarkEnd w:id="13"/>
      <w:r/>
      <w:bookmarkEnd w:id="14"/>
      <w:r/>
      <w:bookmarkEnd w:id="15"/>
      <w:r/>
      <w:bookmarkStart w:id="16" w:name="_Toc35393801"/>
      <w:r/>
      <w:bookmarkStart w:id="17" w:name="_Toc28359092"/>
      <w:r/>
      <w:bookmarkStart w:id="18" w:name="_Toc35393632"/>
      <w:r/>
      <w:bookmarkStart w:id="19" w:name="_Toc28359015"/>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1.时间：自磋商文件公告发布之日起5个工作日。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2.地点:“江苏省政府采购（苏采云）平台”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3.方式:网站下载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4.售价:0.00元</w:t>
      </w:r>
      <w:r/>
    </w:p>
    <w:p>
      <w:pPr>
        <w:ind w:firstLine="562"/>
        <w:keepLines/>
        <w:keepNext/>
        <w:spacing w:line="360" w:lineRule="auto"/>
        <w:rPr>
          <w:rFonts w:hint="eastAsia" w:ascii="宋体" w:hAnsi="宋体" w:cs="宋体"/>
          <w:b/>
          <w:sz w:val="28"/>
          <w:szCs w:val="28"/>
        </w:rPr>
      </w:pPr>
      <w:r>
        <w:rPr>
          <w:rFonts w:hint="eastAsia" w:ascii="宋体" w:hAnsi="宋体" w:cs="宋体"/>
          <w:b/>
          <w:sz w:val="28"/>
          <w:szCs w:val="28"/>
        </w:rPr>
        <w:t xml:space="preserve">四、响应文件提交</w:t>
      </w:r>
      <w:bookmarkEnd w:id="16"/>
      <w:r/>
      <w:bookmarkEnd w:id="17"/>
      <w:r/>
      <w:bookmarkEnd w:id="18"/>
      <w:r/>
      <w:bookmarkEnd w:id="19"/>
      <w:r/>
      <w:r/>
    </w:p>
    <w:p>
      <w:pPr>
        <w:ind w:firstLine="560"/>
        <w:spacing w:line="360" w:lineRule="auto"/>
        <w:rPr>
          <w:rFonts w:hint="eastAsia" w:ascii="宋体" w:hAnsi="宋体" w:cs="宋体"/>
          <w:sz w:val="28"/>
          <w:szCs w:val="28"/>
        </w:rPr>
      </w:pPr>
      <w:r/>
      <w:bookmarkStart w:id="20" w:name="_Toc35393802"/>
      <w:r/>
      <w:bookmarkStart w:id="21" w:name="_Toc28359016"/>
      <w:r/>
      <w:bookmarkStart w:id="22" w:name="_Toc28359093"/>
      <w:r/>
      <w:bookmarkStart w:id="23" w:name="_Toc35393633"/>
      <w:r>
        <w:rPr>
          <w:rFonts w:hint="eastAsia" w:ascii="宋体" w:hAnsi="宋体" w:cs="宋体"/>
          <w:sz w:val="28"/>
          <w:szCs w:val="28"/>
        </w:rPr>
        <w:t xml:space="preserve">截止时间：</w:t>
      </w:r>
      <w:r>
        <w:rPr>
          <w:rFonts w:hint="eastAsia" w:ascii="宋体" w:hAnsi="宋体" w:cs="宋体"/>
          <w:sz w:val="28"/>
          <w:szCs w:val="28"/>
          <w:lang w:val="en-US" w:eastAsia="zh-CN"/>
        </w:rPr>
        <w:t xml:space="preserve">2026</w:t>
      </w:r>
      <w:r>
        <w:rPr>
          <w:rFonts w:hint="eastAsia" w:ascii="宋体" w:hAnsi="宋体" w:cs="宋体"/>
          <w:sz w:val="28"/>
          <w:szCs w:val="28"/>
        </w:rPr>
        <w:t xml:space="preserve">年</w:t>
      </w:r>
      <w:r>
        <w:rPr>
          <w:rFonts w:hint="eastAsia" w:ascii="宋体" w:hAnsi="宋体" w:cs="宋体"/>
          <w:sz w:val="28"/>
          <w:szCs w:val="28"/>
          <w:lang w:val="en-US" w:eastAsia="zh-CN"/>
        </w:rPr>
        <w:t xml:space="preserve">09</w:t>
      </w:r>
      <w:r>
        <w:rPr>
          <w:rFonts w:hint="eastAsia" w:ascii="宋体" w:hAnsi="宋体" w:cs="宋体"/>
          <w:sz w:val="28"/>
          <w:szCs w:val="28"/>
        </w:rPr>
        <w:t xml:space="preserve">月</w:t>
      </w:r>
      <w:r>
        <w:rPr>
          <w:rFonts w:hint="eastAsia" w:ascii="宋体" w:hAnsi="宋体" w:cs="宋体"/>
          <w:sz w:val="28"/>
          <w:szCs w:val="28"/>
          <w:lang w:val="en-US" w:eastAsia="zh-CN"/>
        </w:rPr>
        <w:t xml:space="preserve">29</w:t>
      </w:r>
      <w:r>
        <w:rPr>
          <w:rFonts w:hint="eastAsia" w:ascii="宋体" w:hAnsi="宋体" w:cs="宋体"/>
          <w:sz w:val="28"/>
          <w:szCs w:val="28"/>
        </w:rPr>
        <w:t xml:space="preserve">日14点30分（北京时间）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地点：“江苏省政府采购（苏采云）平台” </w:t>
      </w:r>
      <w:r/>
    </w:p>
    <w:p>
      <w:pPr>
        <w:ind w:firstLine="562"/>
        <w:keepLines/>
        <w:keepNext/>
        <w:spacing w:line="360" w:lineRule="auto"/>
        <w:rPr>
          <w:rFonts w:hint="eastAsia" w:ascii="宋体" w:hAnsi="宋体" w:cs="宋体"/>
          <w:b/>
          <w:sz w:val="28"/>
          <w:szCs w:val="28"/>
        </w:rPr>
      </w:pPr>
      <w:r>
        <w:rPr>
          <w:rFonts w:hint="eastAsia" w:ascii="宋体" w:hAnsi="宋体" w:cs="宋体"/>
          <w:b/>
          <w:sz w:val="28"/>
          <w:szCs w:val="28"/>
        </w:rPr>
        <w:t xml:space="preserve">五、开启</w:t>
      </w:r>
      <w:bookmarkEnd w:id="20"/>
      <w:r/>
      <w:bookmarkEnd w:id="21"/>
      <w:r/>
      <w:bookmarkEnd w:id="22"/>
      <w:r/>
      <w:bookmarkEnd w:id="23"/>
      <w:r/>
      <w:r/>
    </w:p>
    <w:p>
      <w:pPr>
        <w:ind w:firstLine="560"/>
        <w:spacing w:line="360" w:lineRule="auto"/>
        <w:rPr>
          <w:rFonts w:hint="eastAsia" w:ascii="宋体" w:hAnsi="宋体" w:cs="宋体"/>
          <w:sz w:val="28"/>
          <w:szCs w:val="28"/>
        </w:rPr>
      </w:pPr>
      <w:r/>
      <w:bookmarkStart w:id="24" w:name="_Toc28359017"/>
      <w:r/>
      <w:bookmarkStart w:id="25" w:name="_Toc35393803"/>
      <w:r/>
      <w:bookmarkStart w:id="26" w:name="_Toc28359094"/>
      <w:r/>
      <w:bookmarkStart w:id="27" w:name="_Toc35393634"/>
      <w:r>
        <w:rPr>
          <w:rFonts w:hint="eastAsia" w:ascii="宋体" w:hAnsi="宋体" w:cs="宋体"/>
          <w:sz w:val="28"/>
          <w:szCs w:val="28"/>
        </w:rPr>
        <w:t xml:space="preserve">1.时间：</w:t>
      </w:r>
      <w:r>
        <w:rPr>
          <w:rFonts w:hint="eastAsia" w:ascii="宋体" w:hAnsi="宋体" w:cs="宋体"/>
          <w:sz w:val="28"/>
          <w:szCs w:val="28"/>
          <w:lang w:val="en-US" w:eastAsia="zh-CN"/>
        </w:rPr>
        <w:t xml:space="preserve">2026</w:t>
      </w:r>
      <w:r>
        <w:rPr>
          <w:rFonts w:hint="eastAsia" w:ascii="宋体" w:hAnsi="宋体" w:cs="宋体"/>
          <w:sz w:val="28"/>
          <w:szCs w:val="28"/>
        </w:rPr>
        <w:t xml:space="preserve">年</w:t>
      </w:r>
      <w:r>
        <w:rPr>
          <w:rFonts w:hint="eastAsia" w:ascii="宋体" w:hAnsi="宋体" w:cs="宋体"/>
          <w:sz w:val="28"/>
          <w:szCs w:val="28"/>
          <w:lang w:val="en-US" w:eastAsia="zh-CN"/>
        </w:rPr>
        <w:t xml:space="preserve">09</w:t>
      </w:r>
      <w:r>
        <w:rPr>
          <w:rFonts w:hint="eastAsia" w:ascii="宋体" w:hAnsi="宋体" w:cs="宋体"/>
          <w:sz w:val="28"/>
          <w:szCs w:val="28"/>
        </w:rPr>
        <w:t xml:space="preserve">月</w:t>
      </w:r>
      <w:r>
        <w:rPr>
          <w:rFonts w:hint="eastAsia" w:ascii="宋体" w:hAnsi="宋体" w:cs="宋体"/>
          <w:sz w:val="28"/>
          <w:szCs w:val="28"/>
          <w:lang w:val="en-US" w:eastAsia="zh-CN"/>
        </w:rPr>
        <w:t xml:space="preserve">29</w:t>
      </w:r>
      <w:r>
        <w:rPr>
          <w:rFonts w:hint="eastAsia" w:ascii="宋体" w:hAnsi="宋体" w:cs="宋体"/>
          <w:sz w:val="28"/>
          <w:szCs w:val="28"/>
        </w:rPr>
        <w:t xml:space="preserve">日14点30分（北京时间）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2.地点：“苏采云”网上开标大厅</w:t>
      </w:r>
      <w:r/>
    </w:p>
    <w:p>
      <w:pPr>
        <w:ind w:firstLine="562"/>
        <w:keepLines/>
        <w:keepNext/>
        <w:spacing w:line="360" w:lineRule="auto"/>
        <w:rPr>
          <w:rFonts w:hint="eastAsia" w:ascii="宋体" w:hAnsi="宋体" w:cs="宋体"/>
          <w:b/>
          <w:sz w:val="28"/>
          <w:szCs w:val="28"/>
        </w:rPr>
      </w:pPr>
      <w:r>
        <w:rPr>
          <w:rFonts w:hint="eastAsia" w:ascii="宋体" w:hAnsi="宋体" w:cs="宋体"/>
          <w:b/>
          <w:sz w:val="28"/>
          <w:szCs w:val="28"/>
        </w:rPr>
        <w:t xml:space="preserve">六、公告期限</w:t>
      </w:r>
      <w:bookmarkEnd w:id="24"/>
      <w:r/>
      <w:bookmarkEnd w:id="25"/>
      <w:r/>
      <w:bookmarkEnd w:id="26"/>
      <w:r/>
      <w:bookmarkEnd w:id="27"/>
      <w:r/>
      <w:r/>
    </w:p>
    <w:p>
      <w:pPr>
        <w:ind w:firstLine="560"/>
        <w:spacing w:line="360" w:lineRule="auto"/>
        <w:rPr>
          <w:rFonts w:hint="eastAsia" w:ascii="宋体" w:hAnsi="宋体" w:cs="宋体"/>
          <w:sz w:val="28"/>
          <w:szCs w:val="28"/>
        </w:rPr>
      </w:pPr>
      <w:r/>
      <w:bookmarkStart w:id="28" w:name="_Toc35393804"/>
      <w:r/>
      <w:bookmarkStart w:id="29" w:name="_Toc35393635"/>
      <w:r>
        <w:rPr>
          <w:rFonts w:hint="eastAsia" w:ascii="宋体" w:hAnsi="宋体" w:cs="宋体"/>
          <w:sz w:val="28"/>
          <w:szCs w:val="28"/>
        </w:rPr>
        <w:t xml:space="preserve">自本公告发布之日起3个工作日。</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七、其他补充事宜</w:t>
      </w:r>
      <w:bookmarkEnd w:id="28"/>
      <w:r/>
      <w:bookmarkEnd w:id="29"/>
      <w:r/>
      <w:bookmarkStart w:id="30" w:name="_Toc35393636"/>
      <w:r/>
      <w:bookmarkStart w:id="31" w:name="_Toc28359095"/>
      <w:r/>
      <w:bookmarkStart w:id="32" w:name="_Toc35393805"/>
      <w:r/>
      <w:bookmarkStart w:id="33" w:name="_Toc28359018"/>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1.本项目不组织集体踏勘，供应商可自行踏勘。</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《操作手册》下载地址:</w:t>
      </w:r>
      <w:r/>
    </w:p>
    <w:p>
      <w:pPr>
        <w:ind w:firstLine="420"/>
        <w:spacing w:line="360" w:lineRule="auto"/>
        <w:rPr>
          <w:rFonts w:hint="eastAsia" w:ascii="宋体" w:hAnsi="宋体" w:cs="宋体"/>
          <w:sz w:val="28"/>
          <w:szCs w:val="28"/>
          <w:lang w:val="zh-CN"/>
        </w:rPr>
      </w:pPr>
      <w:r>
        <w:fldChar w:fldCharType="begin"/>
      </w:r>
      <w:r>
        <w:instrText xml:space="preserve"> HYPERLINK "http://www.ccgp-jiangsu.gov.cn/jiangsu/zlxz/ee/ee3a4bc5a3454aa2b0d9312230633ce9.html" </w:instrText>
      </w:r>
      <w:r>
        <w:fldChar w:fldCharType="separate"/>
      </w:r>
      <w:r>
        <w:rPr>
          <w:rStyle w:val="1104"/>
          <w:rFonts w:hint="eastAsia" w:ascii="宋体" w:hAnsi="宋体" w:cs="宋体"/>
          <w:sz w:val="28"/>
          <w:szCs w:val="28"/>
          <w:lang w:val="zh-CN"/>
        </w:rPr>
        <w:t xml:space="preserve">http://www.ccgp-jiangsu.gov.cn/jiangsu/zlxz/ee/ee3a4bc5a3454aa2b0d9312230633ce9.html</w:t>
      </w:r>
      <w:r>
        <w:rPr>
          <w:rStyle w:val="1104"/>
          <w:rFonts w:hint="eastAsia" w:ascii="宋体" w:hAnsi="宋体" w:cs="宋体"/>
          <w:sz w:val="28"/>
          <w:szCs w:val="28"/>
          <w:lang w:val="zh-CN"/>
        </w:rPr>
        <w:fldChar w:fldCharType="end"/>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t xml:space="preserve">南京地区客服热线：025-83633744，025-83633743</w:t>
      </w:r>
      <w:r/>
    </w:p>
    <w:p>
      <w:pPr>
        <w:ind w:firstLine="562"/>
        <w:spacing w:line="360" w:lineRule="auto"/>
        <w:rPr>
          <w:rFonts w:hint="eastAsia" w:ascii="宋体" w:hAnsi="宋体" w:cs="宋体"/>
          <w:b/>
          <w:sz w:val="28"/>
          <w:szCs w:val="28"/>
        </w:rPr>
      </w:pPr>
      <w:r>
        <w:rPr>
          <w:rFonts w:hint="eastAsia" w:ascii="宋体" w:hAnsi="宋体" w:cs="宋体"/>
          <w:b/>
          <w:sz w:val="28"/>
          <w:szCs w:val="28"/>
        </w:rPr>
        <w:t xml:space="preserve">八、凡对本次采购提出询问，请按以下方式联系。</w:t>
      </w:r>
      <w:bookmarkEnd w:id="30"/>
      <w:r/>
      <w:bookmarkEnd w:id="31"/>
      <w:r/>
      <w:bookmarkEnd w:id="32"/>
      <w:r/>
      <w:bookmarkEnd w:id="33"/>
      <w:r/>
      <w:bookmarkStart w:id="34" w:name="_Toc28359019"/>
      <w:r/>
      <w:bookmarkStart w:id="35" w:name="_Toc35393806"/>
      <w:r/>
      <w:bookmarkStart w:id="36" w:name="_Toc28359096"/>
      <w:r/>
      <w:bookmarkStart w:id="37" w:name="_Toc35393637"/>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1.采购人信息</w:t>
      </w:r>
      <w:bookmarkEnd w:id="34"/>
      <w:r/>
      <w:bookmarkEnd w:id="35"/>
      <w:r/>
      <w:bookmarkEnd w:id="36"/>
      <w:r/>
      <w:bookmarkEnd w:id="37"/>
      <w:r/>
      <w:r/>
    </w:p>
    <w:p>
      <w:pPr>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江苏省省级机关住房资金管理中心</w:t>
      </w:r>
      <w:r/>
    </w:p>
    <w:p>
      <w:pPr>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南京市建邺区汉中门大街145号</w:t>
      </w:r>
      <w:r/>
    </w:p>
    <w:p>
      <w:pPr>
        <w:ind w:firstLine="560"/>
        <w:jc w:val="left"/>
        <w:spacing w:line="360" w:lineRule="auto"/>
        <w:rPr>
          <w:rFonts w:hint="eastAsia"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李科 025-83666812</w:t>
      </w:r>
      <w:r/>
    </w:p>
    <w:p>
      <w:pPr>
        <w:ind w:firstLine="560"/>
        <w:keepLines/>
        <w:keepNext/>
        <w:spacing w:line="360" w:lineRule="auto"/>
        <w:rPr>
          <w:rFonts w:hint="eastAsia" w:ascii="宋体" w:hAnsi="宋体" w:cs="宋体"/>
          <w:bCs/>
          <w:sz w:val="28"/>
          <w:szCs w:val="28"/>
        </w:rPr>
      </w:pPr>
      <w:r/>
      <w:bookmarkStart w:id="38" w:name="_Toc35393638"/>
      <w:r/>
      <w:bookmarkStart w:id="39" w:name="_Toc28359097"/>
      <w:r/>
      <w:bookmarkStart w:id="40" w:name="_Toc28359020"/>
      <w:r/>
      <w:bookmarkStart w:id="41" w:name="_Toc35393807"/>
      <w:r>
        <w:rPr>
          <w:rFonts w:hint="eastAsia" w:ascii="宋体" w:hAnsi="宋体" w:cs="宋体"/>
          <w:bCs/>
          <w:sz w:val="28"/>
          <w:szCs w:val="28"/>
        </w:rPr>
        <w:t xml:space="preserve">2.采购代理机构信息</w:t>
      </w:r>
      <w:bookmarkEnd w:id="38"/>
      <w:r/>
      <w:bookmarkEnd w:id="39"/>
      <w:r/>
      <w:bookmarkEnd w:id="40"/>
      <w:r/>
      <w:bookmarkEnd w:id="41"/>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 南京金鼎工程造价评估有限责任公司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u w:val="single"/>
        </w:rPr>
        <w:t xml:space="preserve">南京市鼓楼区虎踞北路41号三楼</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王工 025-83476186</w:t>
      </w:r>
      <w:r/>
    </w:p>
    <w:p>
      <w:pPr>
        <w:ind w:firstLine="560"/>
        <w:keepLines/>
        <w:keepNext/>
        <w:spacing w:line="360" w:lineRule="auto"/>
        <w:rPr>
          <w:rFonts w:hint="eastAsia" w:ascii="宋体" w:hAnsi="宋体" w:cs="宋体"/>
          <w:bCs/>
          <w:sz w:val="28"/>
          <w:szCs w:val="28"/>
        </w:rPr>
      </w:pPr>
      <w:r/>
      <w:bookmarkStart w:id="42" w:name="_Toc35393808"/>
      <w:r/>
      <w:bookmarkStart w:id="43" w:name="_Toc28359098"/>
      <w:r/>
      <w:bookmarkStart w:id="44" w:name="_Toc28359021"/>
      <w:r/>
      <w:bookmarkStart w:id="45" w:name="_Toc35393639"/>
      <w:r>
        <w:rPr>
          <w:rFonts w:hint="eastAsia" w:ascii="宋体" w:hAnsi="宋体" w:cs="宋体"/>
          <w:bCs/>
          <w:sz w:val="28"/>
          <w:szCs w:val="28"/>
        </w:rPr>
        <w:t xml:space="preserve">3.项目联系方式</w:t>
      </w:r>
      <w:bookmarkEnd w:id="42"/>
      <w:r/>
      <w:bookmarkEnd w:id="43"/>
      <w:r/>
      <w:bookmarkEnd w:id="44"/>
      <w:r/>
      <w:bookmarkEnd w:id="45"/>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项目联系人：</w:t>
      </w:r>
      <w:r>
        <w:rPr>
          <w:rFonts w:hint="eastAsia" w:ascii="宋体" w:hAnsi="宋体" w:cs="宋体"/>
          <w:sz w:val="28"/>
          <w:szCs w:val="28"/>
          <w:u w:val="single"/>
        </w:rPr>
        <w:t xml:space="preserve">王工</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025-83476186</w:t>
      </w:r>
      <w:r/>
    </w:p>
    <w:p>
      <w:pPr>
        <w:ind w:firstLine="560"/>
        <w:spacing w:line="360" w:lineRule="auto"/>
        <w:rPr>
          <w:rFonts w:hint="eastAsia" w:ascii="宋体" w:hAnsi="宋体" w:cs="宋体"/>
          <w:sz w:val="28"/>
          <w:szCs w:val="28"/>
          <w:u w:val="single"/>
        </w:rPr>
      </w:pPr>
      <w:r>
        <w:rPr>
          <w:rFonts w:hint="eastAsia" w:ascii="宋体" w:hAnsi="宋体" w:cs="宋体"/>
          <w:sz w:val="28"/>
          <w:szCs w:val="28"/>
          <w:u w:val="single"/>
        </w:rPr>
      </w:r>
      <w:r/>
    </w:p>
    <w:p>
      <w:pPr>
        <w:ind w:firstLine="520"/>
        <w:jc w:val="center"/>
        <w:spacing w:line="360" w:lineRule="auto"/>
        <w:widowControl/>
        <w:rPr>
          <w:rFonts w:hint="eastAsia" w:ascii="宋体" w:hAnsi="宋体"/>
          <w:b/>
          <w:bCs/>
          <w:sz w:val="28"/>
          <w:szCs w:val="28"/>
          <w:lang w:val="zh-CN"/>
        </w:rPr>
        <w:outlineLvl w:val="0"/>
      </w:pPr>
      <w:r>
        <w:rPr>
          <w:rFonts w:ascii="黑体" w:hAnsi="宋体" w:eastAsia="黑体"/>
          <w:spacing w:val="-10"/>
          <w:sz w:val="28"/>
          <w:szCs w:val="28"/>
        </w:rPr>
        <w:br w:type="page" w:clear="all"/>
      </w:r>
      <w:bookmarkStart w:id="46" w:name="_Toc2845"/>
      <w:r>
        <w:rPr>
          <w:rFonts w:hint="eastAsia" w:ascii="黑体" w:hAnsi="宋体" w:eastAsia="黑体"/>
          <w:b/>
          <w:bCs/>
          <w:spacing w:val="-10"/>
          <w:sz w:val="36"/>
          <w:szCs w:val="36"/>
        </w:rPr>
        <w:t xml:space="preserve">第二章 竞争性磋商须知</w:t>
      </w:r>
      <w:bookmarkEnd w:id="46"/>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一、总则</w:t>
      </w:r>
      <w:r/>
    </w:p>
    <w:p>
      <w:pPr>
        <w:ind w:firstLine="480"/>
        <w:spacing w:line="360" w:lineRule="auto"/>
        <w:rPr>
          <w:rFonts w:hint="eastAsia" w:ascii="宋体" w:hAnsi="宋体" w:cs="宋体"/>
          <w:sz w:val="24"/>
          <w:szCs w:val="24"/>
          <w:lang w:val="zh-CN"/>
        </w:rPr>
      </w:pPr>
      <w:r/>
      <w:bookmarkStart w:id="47" w:name="_Toc508699410"/>
      <w:r>
        <w:rPr>
          <w:rFonts w:hint="eastAsia" w:ascii="宋体" w:hAnsi="宋体" w:cs="宋体"/>
          <w:sz w:val="24"/>
          <w:szCs w:val="24"/>
          <w:lang w:val="zh-CN"/>
        </w:rPr>
        <w:t xml:space="preserve">1、适用法律</w:t>
      </w:r>
      <w:bookmarkEnd w:id="47"/>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 《中华人民共和国政府采购法》、《中华人民共和国政府采购法实施条例》、《政府采购竞争性磋商采购方式管理暂行办法》等有关法律、规章和规定等。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cs="宋体"/>
          <w:b/>
          <w:sz w:val="24"/>
          <w:szCs w:val="24"/>
          <w:lang w:val="zh-CN"/>
        </w:rPr>
      </w:pPr>
      <w:r/>
      <w:bookmarkStart w:id="48" w:name="_Toc508699411"/>
      <w:r>
        <w:rPr>
          <w:rFonts w:hint="eastAsia" w:ascii="宋体" w:hAnsi="宋体" w:cs="宋体"/>
          <w:b/>
          <w:sz w:val="24"/>
          <w:szCs w:val="24"/>
          <w:lang w:val="zh-CN"/>
        </w:rPr>
        <w:t xml:space="preserve">2、定义</w:t>
      </w:r>
      <w:bookmarkEnd w:id="48"/>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2.1 </w:t>
      </w:r>
      <w:r>
        <w:rPr>
          <w:rFonts w:hint="eastAsia" w:ascii="宋体" w:hAnsi="宋体" w:cs="宋体"/>
          <w:sz w:val="24"/>
          <w:szCs w:val="24"/>
          <w:lang w:val="zh-CN"/>
        </w:rPr>
        <w:t xml:space="preserve">“采购人”是指依法进行政府采购的国家机关、事业单位、团体组织。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2</w:t>
      </w:r>
      <w:r>
        <w:rPr>
          <w:rFonts w:hint="eastAsia" w:ascii="宋体" w:hAnsi="宋体" w:cs="宋体"/>
          <w:sz w:val="24"/>
          <w:szCs w:val="24"/>
          <w:lang w:val="zh-CN"/>
        </w:rPr>
        <w:t xml:space="preserve"> “供应商”</w:t>
      </w:r>
      <w:r>
        <w:rPr>
          <w:rFonts w:hint="eastAsia" w:ascii="宋体" w:hAnsi="宋体" w:cs="宋体"/>
          <w:sz w:val="24"/>
          <w:szCs w:val="24"/>
        </w:rPr>
        <w:t xml:space="preserve">是指参加磋商竞争，并符合采购文件规定资格条件的法人、其他组织或者自然人。</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3</w:t>
      </w:r>
      <w:r>
        <w:rPr>
          <w:rFonts w:hint="eastAsia" w:ascii="宋体" w:hAnsi="宋体" w:cs="宋体"/>
          <w:sz w:val="24"/>
          <w:szCs w:val="24"/>
          <w:lang w:val="zh-CN"/>
        </w:rPr>
        <w:t xml:space="preserve"> “货物、服务、工程”指本采购文件中所述相关货物、服务、工程。</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4</w:t>
      </w:r>
      <w:r>
        <w:rPr>
          <w:rFonts w:hint="eastAsia" w:ascii="宋体" w:hAnsi="宋体" w:cs="宋体"/>
          <w:sz w:val="24"/>
          <w:szCs w:val="24"/>
          <w:lang w:val="zh-CN"/>
        </w:rPr>
        <w:t xml:space="preserve"> “用户或使用单位”是指使用货物、服务、工程的单位。</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3、政策功能</w:t>
      </w:r>
      <w:r/>
    </w:p>
    <w:p>
      <w:pPr>
        <w:ind w:firstLine="480"/>
        <w:spacing w:line="360" w:lineRule="auto"/>
        <w:rPr>
          <w:rFonts w:hint="eastAsia" w:ascii="宋体" w:hAnsi="宋体" w:cs="宋体"/>
          <w:sz w:val="24"/>
          <w:szCs w:val="24"/>
        </w:rPr>
      </w:pPr>
      <w:r/>
      <w:bookmarkStart w:id="49" w:name="_Toc508699412"/>
      <w:r>
        <w:rPr>
          <w:rFonts w:hint="eastAsia" w:ascii="宋体" w:hAnsi="宋体" w:cs="宋体"/>
          <w:sz w:val="24"/>
          <w:szCs w:val="24"/>
        </w:rPr>
        <w:t xml:space="preserve">3.1 政府采购促进中小企业发展，在政府采购活动中，供应商提供的货物、工程或者服务符合《政府采购促进中小企业发展管理办法》（财库〔2020〕46 号）的规定的，享受中小</w:t>
      </w:r>
      <w:r>
        <w:rPr>
          <w:rFonts w:hint="eastAsia" w:ascii="宋体" w:hAnsi="宋体" w:cs="宋体"/>
          <w:sz w:val="24"/>
          <w:szCs w:val="24"/>
        </w:rPr>
        <w:t xml:space="preserve">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 进口产品政策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（1）除竞争性磋商公告载明接受进口产品参加外，不允许进口产品参加。进口产品认定依照《财政部关于政府采购进口产品管理有关问题的通知》（财办库〔2008〕248 号）的规定。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 未按要求提供相关材料的，不享受相关政策。</w:t>
      </w:r>
      <w:r/>
    </w:p>
    <w:p>
      <w:pPr>
        <w:ind w:firstLine="482"/>
        <w:spacing w:line="360" w:lineRule="auto"/>
        <w:rPr>
          <w:rFonts w:hint="eastAsia" w:ascii="宋体" w:hAnsi="宋体" w:cs="宋体"/>
          <w:b/>
          <w:bCs/>
          <w:sz w:val="24"/>
          <w:szCs w:val="24"/>
          <w:lang w:val="zh-CN"/>
        </w:rPr>
      </w:pPr>
      <w:r>
        <w:rPr>
          <w:rFonts w:hint="eastAsia" w:ascii="宋体" w:hAnsi="宋体" w:cs="宋体"/>
          <w:b/>
          <w:sz w:val="24"/>
          <w:szCs w:val="24"/>
        </w:rPr>
        <w:t xml:space="preserve">4、</w:t>
      </w:r>
      <w:r>
        <w:rPr>
          <w:rFonts w:hint="eastAsia" w:ascii="宋体" w:hAnsi="宋体" w:cs="宋体"/>
          <w:b/>
          <w:bCs/>
          <w:sz w:val="24"/>
          <w:szCs w:val="24"/>
          <w:lang w:val="zh-CN"/>
        </w:rPr>
        <w:t xml:space="preserve">磋商费用</w:t>
      </w:r>
      <w:bookmarkEnd w:id="49"/>
      <w:r/>
      <w:r/>
    </w:p>
    <w:p>
      <w:pPr>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lang w:val="zh-CN"/>
        </w:rPr>
        <w:t xml:space="preserve">4.1 供应商应承担所有与准备和参加磋商有关的费用，无论采购结果如何，代理人和采购人在任</w:t>
      </w:r>
      <w:r>
        <w:rPr>
          <w:rFonts w:hint="eastAsia" w:ascii="宋体" w:hAnsi="宋体" w:cs="宋体"/>
          <w:bCs/>
          <w:sz w:val="24"/>
          <w:szCs w:val="24"/>
        </w:rPr>
        <w:t xml:space="preserve">何情况下均无义务和责任承担这些费用。</w:t>
      </w:r>
      <w:r/>
    </w:p>
    <w:p>
      <w:pPr>
        <w:ind w:firstLine="480"/>
        <w:spacing w:line="360" w:lineRule="auto"/>
        <w:tabs>
          <w:tab w:val="left" w:pos="525" w:leader="none"/>
          <w:tab w:val="left" w:pos="945" w:leader="none"/>
        </w:tabs>
        <w:rPr>
          <w:rFonts w:hint="eastAsia" w:ascii="宋体" w:hAnsi="宋体" w:cs="宋体"/>
          <w:sz w:val="24"/>
          <w:szCs w:val="24"/>
          <w:lang w:val="zh-CN"/>
        </w:rPr>
      </w:pPr>
      <w:r>
        <w:rPr>
          <w:rFonts w:hint="eastAsia" w:ascii="宋体" w:hAnsi="宋体" w:cs="宋体"/>
          <w:sz w:val="24"/>
          <w:szCs w:val="24"/>
          <w:lang w:val="zh-CN"/>
        </w:rPr>
        <w:t xml:space="preserve">4.2 本项目的</w:t>
      </w:r>
      <w:r>
        <w:rPr>
          <w:rFonts w:hint="eastAsia" w:ascii="宋体" w:hAnsi="宋体" w:cs="宋体"/>
          <w:sz w:val="24"/>
          <w:szCs w:val="24"/>
        </w:rPr>
        <w:t xml:space="preserve">采购</w:t>
      </w:r>
      <w:r>
        <w:rPr>
          <w:rFonts w:hint="eastAsia" w:ascii="宋体" w:hAnsi="宋体" w:cs="宋体"/>
          <w:sz w:val="24"/>
          <w:szCs w:val="24"/>
          <w:lang w:val="zh-CN"/>
        </w:rPr>
        <w:t xml:space="preserve">代理服务费由</w:t>
      </w:r>
      <w:r>
        <w:rPr>
          <w:rFonts w:hint="eastAsia" w:ascii="宋体" w:hAnsi="宋体" w:cs="宋体"/>
          <w:sz w:val="24"/>
          <w:szCs w:val="24"/>
        </w:rPr>
        <w:t xml:space="preserve">采购人承担</w:t>
      </w:r>
      <w:r>
        <w:rPr>
          <w:rFonts w:hint="eastAsia" w:ascii="宋体" w:hAnsi="宋体" w:cs="宋体"/>
          <w:sz w:val="24"/>
          <w:szCs w:val="24"/>
          <w:lang w:val="zh-CN"/>
        </w:rPr>
        <w:t xml:space="preserve">。</w:t>
      </w:r>
      <w:r>
        <w:rPr>
          <w:rFonts w:hint="eastAsia" w:ascii="宋体" w:hAnsi="宋体" w:cs="宋体"/>
          <w:sz w:val="24"/>
          <w:szCs w:val="24"/>
        </w:rPr>
        <w:t xml:space="preserve">采购</w:t>
      </w:r>
      <w:r>
        <w:rPr>
          <w:rFonts w:hint="eastAsia" w:ascii="宋体" w:hAnsi="宋体" w:cs="宋体"/>
          <w:sz w:val="24"/>
          <w:szCs w:val="24"/>
          <w:lang w:val="zh-CN"/>
        </w:rPr>
        <w:t xml:space="preserve">代理服务按计价格（2002）1980号文、发改价格（2011）534号文规定，按上述收费标准的</w:t>
      </w:r>
      <w:r>
        <w:rPr>
          <w:rFonts w:hint="eastAsia" w:ascii="宋体" w:hAnsi="宋体" w:cs="宋体"/>
          <w:sz w:val="24"/>
          <w:szCs w:val="24"/>
        </w:rPr>
        <w:t xml:space="preserve">45</w:t>
      </w:r>
      <w:r>
        <w:rPr>
          <w:rFonts w:hint="eastAsia" w:ascii="宋体" w:hAnsi="宋体" w:cs="宋体"/>
          <w:sz w:val="24"/>
          <w:szCs w:val="24"/>
          <w:lang w:val="zh-CN"/>
        </w:rPr>
        <w:t xml:space="preserve">%计算代理费，计费基数为每个项目</w:t>
      </w:r>
      <w:r>
        <w:rPr>
          <w:rFonts w:hint="eastAsia" w:ascii="宋体" w:hAnsi="宋体" w:cs="宋体"/>
          <w:sz w:val="24"/>
          <w:szCs w:val="24"/>
        </w:rPr>
        <w:t xml:space="preserve">成交</w:t>
      </w:r>
      <w:r>
        <w:rPr>
          <w:rFonts w:hint="eastAsia" w:ascii="宋体" w:hAnsi="宋体" w:cs="宋体"/>
          <w:sz w:val="24"/>
          <w:szCs w:val="24"/>
          <w:lang w:val="zh-CN"/>
        </w:rPr>
        <w:t xml:space="preserve">金额。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4.3 本项目不收取磋商保证金。</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二、响应文件编制</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5、</w:t>
      </w:r>
      <w:r>
        <w:rPr>
          <w:rFonts w:hint="eastAsia" w:ascii="宋体" w:hAnsi="宋体" w:cs="宋体"/>
          <w:sz w:val="24"/>
          <w:szCs w:val="24"/>
          <w:lang w:val="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6、响应文件的语言、计量单位、货币和编制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6.2 供应商所使用的计量单位应为国家法定计量单位。</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6.3 供应商应用人民币报价。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6.4 响应文件应字迹清楚、内容齐全。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6.5 响应文件应按照磋商文件规定的顺序，统一用A4规格幅面打印、装订成册并编制目录，由于编排混乱导致磋商文件被误读或查找不到，责任由供应商承担。</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6.6响应文件应逐页编码，不得跳页。</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6.7 供应商应在响应文件中写清相应的项目编号、项目名称、供应商名称、地址、电话、传真等。</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7、响应文件的组成</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7.1 </w:t>
      </w:r>
      <w:r>
        <w:rPr>
          <w:rFonts w:hint="eastAsia" w:ascii="宋体" w:hAnsi="宋体" w:cs="宋体"/>
          <w:sz w:val="24"/>
          <w:szCs w:val="24"/>
        </w:rPr>
        <w:t xml:space="preserve">供应商应当根据磋商文件要求编制响应文件，并根据自己的商务能力、技术水平对磋商文件提出的要求和条件逐条标明是否响应。</w:t>
      </w:r>
      <w:r>
        <w:rPr>
          <w:rFonts w:hint="eastAsia" w:ascii="宋体" w:hAnsi="宋体" w:cs="宋体"/>
          <w:sz w:val="24"/>
          <w:szCs w:val="24"/>
          <w:lang w:val="zh-CN"/>
        </w:rPr>
        <w:t xml:space="preserve">响应文件由商务部分、技术部分、价格部分，以及其他部分组成。</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7.2 </w:t>
      </w:r>
      <w:r>
        <w:rPr>
          <w:rFonts w:hint="eastAsia" w:ascii="宋体" w:hAnsi="宋体" w:cs="宋体"/>
          <w:b/>
          <w:bCs/>
          <w:sz w:val="24"/>
          <w:szCs w:val="24"/>
          <w:lang w:val="zh-CN"/>
        </w:rPr>
        <w:t xml:space="preserve">响应文件的商务部分。</w:t>
      </w:r>
      <w:r>
        <w:rPr>
          <w:rFonts w:hint="eastAsia" w:ascii="宋体" w:hAnsi="宋体" w:cs="宋体"/>
          <w:sz w:val="24"/>
          <w:szCs w:val="24"/>
          <w:lang w:val="zh-CN"/>
        </w:rPr>
        <w:t xml:space="preserve">商务部分是证明供应商有资格参加磋商和成交后有能力履行合同的文件，</w:t>
      </w:r>
      <w:r>
        <w:rPr>
          <w:rFonts w:hint="eastAsia" w:ascii="宋体" w:hAnsi="宋体" w:cs="宋体"/>
          <w:sz w:val="24"/>
          <w:szCs w:val="24"/>
        </w:rPr>
        <w:t xml:space="preserve">这些文件应能满足竞争性磋商采购文件的要求</w:t>
      </w:r>
      <w:r>
        <w:rPr>
          <w:rFonts w:hint="eastAsia" w:ascii="宋体" w:hAnsi="宋体" w:cs="宋体"/>
          <w:sz w:val="24"/>
          <w:szCs w:val="24"/>
          <w:lang w:val="zh-CN"/>
        </w:rPr>
        <w:t xml:space="preserve">，包括但不限于下列文件，其中加“*或★”项目不得有缺失或无效：</w:t>
      </w:r>
      <w:r/>
    </w:p>
    <w:p>
      <w:p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 磋商申请及声明；</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 法定代表人授权委托书及委托代理人的身份证复印件；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 </w:t>
      </w:r>
      <w:r>
        <w:rPr>
          <w:rFonts w:hint="eastAsia" w:ascii="宋体" w:hAnsi="宋体" w:cs="宋体"/>
          <w:sz w:val="24"/>
          <w:szCs w:val="24"/>
        </w:rPr>
        <w:t xml:space="preserve">第一章公告中二、申请人的资格要求</w:t>
      </w:r>
      <w:r>
        <w:rPr>
          <w:rFonts w:hint="eastAsia" w:ascii="宋体" w:hAnsi="宋体" w:cs="宋体"/>
          <w:sz w:val="24"/>
          <w:szCs w:val="24"/>
          <w:lang w:val="zh-CN"/>
        </w:rPr>
        <w:t xml:space="preserve">规定的资格条件证明文件；</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仿宋" w:hAnsi="仿宋" w:eastAsia="仿宋" w:cs="仿宋"/>
          <w:color w:val="000000" w:themeColor="text1"/>
          <w:sz w:val="32"/>
          <w:szCs w:val="32"/>
          <w:lang w:val="zh-CN"/>
          <w14:textFill>
            <w14:solidFill>
              <w14:schemeClr w14:val="tx1"/>
            </w14:solidFill>
          </w14:textFill>
        </w:rPr>
        <w:t xml:space="preserve">★</w:t>
      </w:r>
      <w:r>
        <w:rPr>
          <w:rFonts w:hint="eastAsia" w:ascii="宋体" w:hAnsi="宋体" w:cs="宋体"/>
          <w:sz w:val="24"/>
          <w:szCs w:val="24"/>
        </w:rPr>
        <w:t xml:space="preserve"> </w:t>
      </w:r>
      <w:r>
        <w:rPr>
          <w:rFonts w:hint="eastAsia" w:ascii="宋体" w:hAnsi="宋体" w:cs="宋体"/>
          <w:sz w:val="24"/>
          <w:szCs w:val="24"/>
          <w:lang w:val="zh-CN"/>
        </w:rPr>
        <w:t xml:space="preserve">报价表（格式见附件）；</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）分项报价表（如果有）；</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）《商务条款偏离表》；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（7）供应商认为需要</w:t>
      </w:r>
      <w:r>
        <w:rPr>
          <w:rFonts w:hint="eastAsia" w:ascii="宋体" w:hAnsi="宋体" w:cs="宋体"/>
          <w:sz w:val="24"/>
          <w:szCs w:val="24"/>
          <w:lang w:val="zh-CN"/>
        </w:rPr>
        <w:t xml:space="preserve">提供的其他资格证明文件和商务资料。</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7.3 </w:t>
      </w:r>
      <w:r>
        <w:rPr>
          <w:rFonts w:hint="eastAsia" w:ascii="宋体" w:hAnsi="宋体" w:cs="宋体"/>
          <w:b/>
          <w:bCs/>
          <w:sz w:val="24"/>
          <w:szCs w:val="24"/>
          <w:lang w:val="zh-CN"/>
        </w:rPr>
        <w:t xml:space="preserve">响应文件的技术部分。</w:t>
      </w:r>
      <w:r>
        <w:rPr>
          <w:rFonts w:hint="eastAsia" w:ascii="宋体" w:hAnsi="宋体" w:cs="宋体"/>
          <w:sz w:val="24"/>
          <w:szCs w:val="24"/>
          <w:lang w:val="zh-CN"/>
        </w:rPr>
        <w:t xml:space="preserve">技术部分是证明</w:t>
      </w:r>
      <w:r>
        <w:rPr>
          <w:rFonts w:hint="eastAsia" w:ascii="宋体" w:hAnsi="宋体" w:cs="宋体"/>
          <w:sz w:val="24"/>
          <w:szCs w:val="24"/>
        </w:rPr>
        <w:t xml:space="preserve">供应商提供的货物、服务和工程是合格的，并符合磋商文件要求的证明文件，以及</w:t>
      </w:r>
      <w:r>
        <w:rPr>
          <w:rFonts w:hint="eastAsia" w:ascii="宋体" w:hAnsi="宋体" w:cs="宋体"/>
          <w:sz w:val="24"/>
          <w:szCs w:val="24"/>
          <w:lang w:val="zh-CN"/>
        </w:rPr>
        <w:t xml:space="preserve">对</w:t>
      </w:r>
      <w:r>
        <w:rPr>
          <w:rFonts w:hint="eastAsia" w:ascii="宋体" w:hAnsi="宋体" w:cs="宋体"/>
          <w:sz w:val="24"/>
          <w:szCs w:val="24"/>
        </w:rPr>
        <w:t xml:space="preserve">货物、服务和工程</w:t>
      </w:r>
      <w:r>
        <w:rPr>
          <w:rFonts w:hint="eastAsia" w:ascii="宋体" w:hAnsi="宋体" w:cs="宋体"/>
          <w:sz w:val="24"/>
          <w:szCs w:val="24"/>
          <w:lang w:val="zh-CN"/>
        </w:rPr>
        <w:t xml:space="preserve">的详细说明，这些文件可以是文字资料、图纸和数据等。提供的</w:t>
      </w:r>
      <w:r>
        <w:rPr>
          <w:rFonts w:hint="eastAsia" w:ascii="宋体" w:hAnsi="宋体" w:cs="宋体"/>
          <w:sz w:val="24"/>
          <w:szCs w:val="24"/>
        </w:rPr>
        <w:t xml:space="preserve">货物、服务和工程</w:t>
      </w:r>
      <w:r>
        <w:rPr>
          <w:rFonts w:hint="eastAsia" w:ascii="宋体" w:hAnsi="宋体" w:cs="宋体"/>
          <w:sz w:val="24"/>
          <w:szCs w:val="24"/>
          <w:lang w:val="zh-CN"/>
        </w:rPr>
        <w:t xml:space="preserve">如与磋商文件要求有不符之处，应说明其差别之所在。包括但不限于下列文件，其中加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*或★</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项目技术方案或服务说明；</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lang w:val="zh-CN"/>
        </w:rPr>
        <w:t xml:space="preserve">《技术条款偏离表》；</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）服务承诺；</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）供应商认为需要提供的其他技术资料。</w:t>
      </w:r>
      <w:r/>
    </w:p>
    <w:p>
      <w:pPr>
        <w:ind w:firstLine="480"/>
        <w:spacing w:line="360" w:lineRule="auto"/>
        <w:rPr>
          <w:rFonts w:hint="eastAsia" w:ascii="宋体" w:hAnsi="宋体" w:cs="宋体"/>
          <w:b/>
          <w:sz w:val="24"/>
          <w:szCs w:val="24"/>
          <w:lang w:val="zh-CN"/>
        </w:rPr>
      </w:pPr>
      <w:r>
        <w:rPr>
          <w:rFonts w:hint="eastAsia" w:ascii="宋体" w:hAnsi="宋体" w:cs="宋体"/>
          <w:sz w:val="24"/>
          <w:szCs w:val="24"/>
          <w:lang w:val="zh-CN"/>
        </w:rPr>
        <w:t xml:space="preserve">7.4 </w:t>
      </w:r>
      <w:r>
        <w:rPr>
          <w:rFonts w:hint="eastAsia" w:ascii="宋体" w:hAnsi="宋体" w:cs="宋体"/>
          <w:b/>
          <w:sz w:val="24"/>
          <w:szCs w:val="24"/>
          <w:lang w:val="zh-CN"/>
        </w:rPr>
        <w:t xml:space="preserve">响应文件的价格部分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（1）价格部分是对</w:t>
      </w:r>
      <w:r>
        <w:rPr>
          <w:rFonts w:hint="eastAsia" w:ascii="宋体" w:hAnsi="宋体" w:cs="宋体"/>
          <w:sz w:val="24"/>
          <w:szCs w:val="24"/>
        </w:rPr>
        <w:t xml:space="preserve">货物、服务和工程</w:t>
      </w:r>
      <w:r>
        <w:rPr>
          <w:rFonts w:hint="eastAsia" w:ascii="宋体" w:hAnsi="宋体" w:cs="宋体"/>
          <w:sz w:val="24"/>
          <w:szCs w:val="24"/>
          <w:lang w:val="zh-CN"/>
        </w:rPr>
        <w:t xml:space="preserve">价格构成的说明，磋商文件如没有特别说明的话，对每一项货物和服务仅接受一个价格。</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（2）报价应包含完成本项目发生的所有含税费用、支付给员工的工资和国家强制缴纳的各种社会保障资金</w:t>
      </w:r>
      <w:r>
        <w:rPr>
          <w:rFonts w:hint="eastAsia" w:ascii="宋体" w:hAnsi="宋体" w:cs="宋体"/>
          <w:b/>
          <w:bCs/>
          <w:sz w:val="24"/>
          <w:szCs w:val="24"/>
        </w:rPr>
        <w:t xml:space="preserve">，以及供应商认为需要的其他费用等。</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3</w:t>
      </w:r>
      <w:r>
        <w:rPr>
          <w:rFonts w:hint="eastAsia" w:ascii="宋体" w:hAnsi="宋体" w:cs="宋体"/>
          <w:b/>
          <w:bCs/>
          <w:sz w:val="24"/>
          <w:szCs w:val="24"/>
          <w:lang w:val="zh-CN"/>
        </w:rPr>
        <w:t xml:space="preserve">）经磋商后，二次报价为最</w:t>
      </w:r>
      <w:r>
        <w:rPr>
          <w:rFonts w:hint="eastAsia" w:ascii="宋体" w:hAnsi="宋体" w:cs="宋体"/>
          <w:b/>
          <w:bCs/>
          <w:sz w:val="24"/>
          <w:szCs w:val="24"/>
        </w:rPr>
        <w:t xml:space="preserve">后</w:t>
      </w:r>
      <w:r>
        <w:rPr>
          <w:rFonts w:hint="eastAsia" w:ascii="宋体" w:hAnsi="宋体" w:cs="宋体"/>
          <w:b/>
          <w:bCs/>
          <w:sz w:val="24"/>
          <w:szCs w:val="24"/>
          <w:lang w:val="zh-CN"/>
        </w:rPr>
        <w:t xml:space="preserve">报价，二次报价不</w:t>
      </w:r>
      <w:r>
        <w:rPr>
          <w:rFonts w:hint="eastAsia" w:ascii="宋体" w:hAnsi="宋体" w:cs="宋体"/>
          <w:b/>
          <w:bCs/>
          <w:sz w:val="24"/>
          <w:szCs w:val="24"/>
        </w:rPr>
        <w:t xml:space="preserve">得</w:t>
      </w:r>
      <w:r>
        <w:rPr>
          <w:rFonts w:hint="eastAsia" w:ascii="宋体" w:hAnsi="宋体" w:cs="宋体"/>
          <w:b/>
          <w:bCs/>
          <w:sz w:val="24"/>
          <w:szCs w:val="24"/>
          <w:lang w:val="zh-CN"/>
        </w:rPr>
        <w:t xml:space="preserve">高于首次报价。如果成交价低于供应商在响应文件中首次报价的，其分项报价同比例调整。</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7.5 </w:t>
      </w:r>
      <w:r>
        <w:rPr>
          <w:rFonts w:hint="eastAsia" w:ascii="宋体" w:hAnsi="宋体" w:cs="宋体"/>
          <w:b/>
          <w:sz w:val="24"/>
          <w:szCs w:val="24"/>
          <w:lang w:val="zh-CN"/>
        </w:rPr>
        <w:t xml:space="preserve">响应文件的其他部分。</w:t>
      </w:r>
      <w:r>
        <w:rPr>
          <w:rFonts w:hint="eastAsia" w:ascii="宋体" w:hAnsi="宋体" w:cs="宋体"/>
          <w:sz w:val="24"/>
          <w:szCs w:val="24"/>
          <w:lang w:val="zh-CN"/>
        </w:rPr>
        <w:t xml:space="preserve">其他部分由供应商根据编制响应文件需要提供的其他相关文件。</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8、磋商保证金</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本项目不收取保证金</w:t>
      </w:r>
      <w:r>
        <w:rPr>
          <w:rFonts w:hint="eastAsia" w:ascii="宋体" w:hAnsi="宋体" w:cs="宋体"/>
          <w:sz w:val="24"/>
          <w:szCs w:val="24"/>
          <w:lang w:val="zh-CN"/>
        </w:rPr>
        <w:t xml:space="preserve">。</w:t>
      </w:r>
      <w:r/>
    </w:p>
    <w:p>
      <w:pPr>
        <w:ind w:firstLine="482"/>
        <w:spacing w:line="360" w:lineRule="auto"/>
        <w:rPr>
          <w:rFonts w:hint="eastAsia" w:ascii="宋体" w:hAnsi="宋体" w:cs="宋体"/>
          <w:b/>
          <w:bCs/>
          <w:sz w:val="24"/>
          <w:szCs w:val="24"/>
          <w:lang w:val="zh-CN"/>
        </w:rPr>
      </w:pPr>
      <w:r/>
      <w:bookmarkStart w:id="50" w:name="_Toc508699413"/>
      <w:r>
        <w:rPr>
          <w:rFonts w:hint="eastAsia" w:ascii="宋体" w:hAnsi="宋体" w:cs="宋体"/>
          <w:b/>
          <w:bCs/>
          <w:sz w:val="24"/>
          <w:szCs w:val="24"/>
          <w:lang w:val="zh-CN"/>
        </w:rPr>
        <w:t xml:space="preserve">三、响应文件签署与提交</w:t>
      </w:r>
      <w:bookmarkEnd w:id="50"/>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9.1 供应商应当按照《操作手册》规定，在磋商公告规定的提交响应文件截止时间前制作并上传电子响应文件。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9.2 供应商应充分考虑网络环境、网络带宽等因素可能对磋商产生的影响，如因供应商自身原因造成的电子响应文件上传不成功的，按照本磋商文件规定做无效响应处理。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10、响应文件的拒收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10.1 采购代理机构拒绝接收提交响应文件截止时间后上传的任何电子响应文件。</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11、响应文件的撤回和修改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11.1响应文件的撤回</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（1）供应商可在提交响应文件截止时间前撤回其电子响应文件，具体操作方法见《操作手册》。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（2）供应商撤回电子响应文件，则认为其不再参与本项目磋商活动。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11.2响应文件的修改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（1）供应商可在提交响应文件截止时间前对其电子响应文件进行修改，具体操作方法见《操作手册》。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（2）提交响应文件截止时间之后，供应商不得对其电子响应文件作任何修改。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11.3在提交响应文件截止时间至磋商文件中规定的磋商有效期满之间的这段时间内，供应商不得撤回其响应文件。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11.4如标书制作工具中格式和内容与“江苏政府采购网”发布的磋商文件不一致，以上述网站发布的磋商文件为准。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11.5成交供应商需无偿提供纸质版响应文件一式叁份（加盖公章的壹份正本、贰份副本）。</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四、磋商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1</w:t>
      </w:r>
      <w:r>
        <w:rPr>
          <w:rFonts w:hint="eastAsia" w:ascii="宋体" w:hAnsi="宋体" w:cs="宋体"/>
          <w:b/>
          <w:bCs/>
          <w:sz w:val="24"/>
          <w:szCs w:val="24"/>
          <w:lang w:val="zh-CN"/>
        </w:rPr>
        <w:t xml:space="preserve">2、响应文件解密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12.1 供应商应当按照《操作手册》规定，在苏采云系统规定的时间内对响应文件进行解密。</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13、磋商组织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13.1 磋商工作由代理人负责组织，具体磋商事务由依法组建的磋商小组负责。</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14、磋商程序</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14.1 磋商小组评审供应商所递交的响应性文件，并根据磋商文件规定的程序、评定成交的标准等事项与实质性响应磋商文件要求的供应商进行磋商。未实质性响应磋商文件的响应文件按无效处理，磋商小组应将无效标原因告知有关供应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14.2项目评审期间，磋商小组有权要求供应商对响应文件中含义不明确、同类问题表述不一致或者有明显文字和计算错误的内容等作出必要的澄清、说明或者补正。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供应商的澄清、说明或者补正不得超出响应文件的范围或者改变响应文件的实质性内容。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磋商小组并非对每个供应商都作澄清要求。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14.3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14.4接到磋商小组澄清、说明和补正要求的供应商如未按规定做出澄清、说明和补正，其风险由供应商自行承担。</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14.5 磋商结束后，磋商小组将要求所有继续参加磋商的供应商在规定时间内提交最后报价。</w:t>
      </w:r>
      <w:r>
        <w:rPr>
          <w:rFonts w:hint="eastAsia" w:ascii="宋体" w:hAnsi="宋体" w:cs="宋体"/>
          <w:b/>
          <w:bCs/>
          <w:sz w:val="24"/>
          <w:szCs w:val="24"/>
          <w:lang w:val="zh-CN"/>
        </w:rPr>
        <w:t xml:space="preserve">最后报价是供应商响应文件的有效组成部分。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14.6响应文件报价出现前后不一致的，除采购文件另有规定外，按照下列规定修正：</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(1)大写金额和小写金额不一致的，以大写金额为准；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(2)单价金额小数点或者百分比有明显错位的，以报价表的总价为准，并修改单价；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(3)总价金额与按单价汇总金额不一致的，以单价金额计算结果为准。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磋商小组将按上述修正错误的方法调整响应文件中的响应报价，并通过苏采云系统告知供应商，调整后的价格对供应商具有约束力。如果供应商不接受修正后的价格，则其响应文件将被拒绝。</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15、响应文件的资格审查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15.1响应文件审查分为资格审查和符合性审查。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15.2资格性审查：依据法律法规和磋商文件的规定，磋商小组对响应文件中的资格证明文件进行审查，以确定供应商是否具备参加磋商的资格。</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15.2.1响应文件有下列情况之一的，在资格性审查时按照无效</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处理：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（1）不具备采购文件中规定资格条件的；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（2）未提供其它材料的（如有）。</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 响应文件的符合性检查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15.3.1磋商小组将依据法律法规和竞争性磋商文件的规定，对响应文件的有效性、完整性和对竞争性磋商文件的响应程度进行审查，以确定是否对竞争性磋商文件的实质性要求作出响应。</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15.3.2实质性要求是指本竞争性磋商文件中用带星号（“*”）、（“★”）、“必须”或“应（应当）”等其他文字说明的商务和技术要求。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15.3.3响应文件属下列情形之一的，按照无效响应处理：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如果响应文件实质上没有响应竞争性磋商文件的要求，磋商小组将予以拒绝，供应商不得通过修改或撤销不合要求的偏离或保留而使其</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成为实质性响应。</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（1）供应商在苏采云系统规定的时间内未成功解密电子响应文件；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（2）供应商未按照磋商文件要求上传电子响应文件；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（3）响应文件未按照磋商文件要求加盖电子公章；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（4）同一供应商提交两个（含两个）以上不同的响应文件或者最后报价；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（5）不具备竞争性磋商文件中规定资格要求的；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总价超出采购项目预算或者最高限价的；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（7）不同供应商的响应文件由同一单位或者个人编制；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（8）不同供应商委托同一单位或者个人办理</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事宜；</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（9）不同供应商的ip地址、MAC地址、标书制作工具客户端标识码一致的；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（10）不同供应商的响应文件载明的项目管理成员或者联系人员为同一人；</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（11）不同供应商的响应文件异常一致或者响应报价呈规律性差异；</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（12）不同供应商的负责人为同一人或者存在控股、管理关系的；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（13）响应文件含有采购人不能接受的附加条件的；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（14）不符合法律、法规和竞争性磋商文件规定的其他实质性要求的。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15.4出现下列情形之一的磋商终止：</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（1）因情况变化，不再符合规定的竞争性磋商采购方式适用情形的；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（3）在苏采云系统规定时间内成功解密电子响应文件的供应商不足3家；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（4）除本磋商文件第二章第1</w:t>
      </w:r>
      <w:r>
        <w:rPr>
          <w:rFonts w:hint="eastAsia" w:ascii="宋体" w:hAnsi="宋体" w:cs="宋体"/>
          <w:sz w:val="24"/>
          <w:szCs w:val="24"/>
        </w:rPr>
        <w:t xml:space="preserve">6</w:t>
      </w:r>
      <w:r>
        <w:rPr>
          <w:rFonts w:hint="eastAsia" w:ascii="宋体" w:hAnsi="宋体" w:cs="宋体"/>
          <w:sz w:val="24"/>
          <w:szCs w:val="24"/>
          <w:lang w:val="zh-CN"/>
        </w:rPr>
        <w:t xml:space="preserve">.3条规定的情形外，磋商过程中符合要求的供应商或者提交最后报价且未超过采购预算（最高限价）的供应商不足3家；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（5）法律法规规定的其他应当终止情形。</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15.5 未通过资格审查或符合性审查的供应商，磋商小组将通过苏采云系统告知具体原因，评审结束后将不再接受有关询问。</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15.6供应商在项目评审全过程中应保持通讯畅通，及时登录苏采云系统查阅、答复相关信息，并安排专人与采购代理机构及磋商小组联系。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16、磋商程序</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16.1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16.3最后报价是供应商响应文件的有效组成部分。提交最后报价的供应商不得少于3家，原则上不得高于上一轮报价。符合《政府采购竞争性磋商采购方式</w:t>
      </w:r>
      <w:r>
        <w:rPr>
          <w:rFonts w:hint="eastAsia" w:ascii="宋体" w:hAnsi="宋体" w:cs="宋体"/>
          <w:sz w:val="24"/>
          <w:szCs w:val="24"/>
        </w:rPr>
        <w:t xml:space="preserve">管</w:t>
      </w:r>
      <w:r>
        <w:rPr>
          <w:rFonts w:hint="eastAsia" w:ascii="宋体" w:hAnsi="宋体" w:cs="宋体"/>
          <w:sz w:val="24"/>
          <w:szCs w:val="24"/>
          <w:lang w:val="zh-CN"/>
        </w:rPr>
        <w:t xml:space="preserve">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16.4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17、评分方法和标准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17.1 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17.2 评分标准详见第三章。</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18、确定成交供应商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18.1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18.2 采购代理机构将在“江苏政府采购网”发布成交结果公告，公告期限为1个工作日。</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19、编写磋商（评审）报告</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19.1磋商小组根据磋商过程和结果编写磋商（评审）报告。</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20、成交通知书</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20.1 成交结果确定后，采购代理机构将向成交供应商发出成交通知书。成交供应商可在成交结果公告届满之日起三十日内，登录苏采云系统下载。    </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21、签订合同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21.1 成交供应商应当自成交通知书发出之日起三十日内，与采购人签订政府采购合同，所签订的合同不得对采购文件和响应文件作实质性修改。</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 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21.3 除不可抗力等因素外，成交通知书发出后，采购人改变成交结果，或者成交供应商拒绝签订政府采购合同的，应当承担相应的法律责任。</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sz w:val="24"/>
          <w:szCs w:val="24"/>
          <w:lang w:val="zh-CN"/>
        </w:rPr>
      </w:pPr>
      <w:r/>
      <w:bookmarkStart w:id="51" w:name="_Toc508699419"/>
      <w:r>
        <w:rPr>
          <w:rFonts w:hint="eastAsia" w:ascii="宋体" w:hAnsi="宋体" w:cs="宋体"/>
          <w:b/>
          <w:bCs/>
          <w:sz w:val="24"/>
          <w:szCs w:val="24"/>
          <w:lang w:val="zh-CN"/>
        </w:rPr>
        <w:t xml:space="preserve">六、询问、质疑、投诉和诚实信用</w:t>
      </w:r>
      <w:bookmarkEnd w:id="51"/>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22、询问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22.1 供应商对采购活动事项有疑问的，可以向代理人提出询问，代理人将在两个工作日内作出答复，但答复的内容不涉及商业秘密。</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23、质疑</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23.1 质疑供应商是指直接参加本次采购活动的供应商，未参加采购活动的供应商或在采购活动中自身权益未受到损害的供应商所提出的质疑不予受理。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23.2 供应商认为采购文件、采购过程和成交结果使自己的合法权益受到损害的，可以在知道或者应当知道其权益受到损害之日起七个工作日内，将质疑文件原件送达至代理人处。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23.3 上述应知其权益受到损害之日是指：</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（1）对磋商文件提出质疑的，为磋商文件公告期限届满之日起计算；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（2）对采购过程提出质疑的，自采购程序环节结束之日起计算；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（3）对成交结果提出质疑的，自成交结果公告期限届满之日起计算。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23.4 质疑文件应包括以下主要内容，并按照“谁主张、谁举证”的原则，附上相关证明材料。否则，代理人不予受理：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（1）质疑项目名称、项目编号、包号、采购公告发布时间、磋商时间；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（2）提起质疑的日期、具体的质疑事项及事实根据（具体条款）；</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（3）认为自己合法权益受到损害或可能受到损害的相关证据材料；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（4）质疑供应商名称、地址、邮编、联系人、联系电话（包括座机、手机、传真号码等）；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（5）质疑函应当署名，质疑人为自然人的，应当由本人签字并附有效身份证明；质疑人为法人或其他组织的，应当由法定代表人签字并加盖单位公章；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（6）供应商委托代理质疑的，应当提交授权委托书，并载明委托代理的具体权限和事项。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23.5 采购人（代理人）在收到供应商的书面质疑后将及时组织调查核实，在七个工作日内作出答复，并以书面通知质疑供应商和其他有关供应商，答复的内容不涉及商业秘密。代理人遵循“谁过错谁负担”的原则，有过错的一方承担调查论证费用。</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24、投诉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24.1 质疑供应商对采购人（代理人）的答复不满意，或采购人（代理人）未在规定的时间内作出答复的，可以在答复期满后十五个工作日内向采购项目同级财政部门投诉。</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25、诚实信用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25.1 供应商之间不得相互串通响应报价，不得妨碍其他供应商的公平竞争，不得损害采购人和其他供应商的合法权益。</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25.2 供应商不得以向采购人（代理人）工作人员、磋商小组成员行贿或者采取其他不正当手段谋取成交。经查实供应商有此行为的，政府采购管理部门将供应商列入不良行为记录名单，按照《中华人民共和国政府采购法》有关规定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25.4 供应商不得虚假承诺，否则，按照提供虚假材料谋取成交处理。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25.5 供应商应自觉遵守磋商纪律，扰乱磋商现场秩序的，属于失信行为，根据《江苏省政府采购供应商监督管理暂行办法》，失信行为将被记入供应商诚信档案。</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26、其他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26.1磋商过程中出现下列情形之一的，磋商小组应当启动异常低价响应审查程序：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①响应报价低于全部通过符合性审查供应商响应报价平均值65%的，即响应报价&lt;全部通过符合性审查供应商响应报价平均值×65%；</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②响应报价低于通过符合性审查的次低报价供应商响应报价65%的，即响应报价&lt;通过符合性审查的次低报价供应商响应报价×65%；</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③响应报价低于采购项目最高限价65%的，即响应报价&lt;采购项目最高限价×65%；</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④磋商小组基于专业判断，认为供应商报价过低，有可能影响产品质量或者不能诚信履约的其他情形。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（3）异常低价响应审查的启动原因、审查意见和审查结果应当在评审报告中记录，并随供应商提供的相关书面说明及证明材料，以及磋商小组有关互联网浏览、查询历史一并归档。</w:t>
      </w:r>
      <w:r/>
    </w:p>
    <w:p>
      <w:pPr>
        <w:rPr>
          <w:rFonts w:hint="eastAsia" w:ascii="黑体" w:hAnsi="宋体" w:eastAsia="黑体"/>
          <w:b/>
          <w:bCs/>
          <w:spacing w:val="-10"/>
          <w:sz w:val="36"/>
          <w:szCs w:val="36"/>
        </w:rPr>
      </w:pPr>
      <w:r/>
      <w:bookmarkStart w:id="52" w:name="_Toc7918"/>
      <w:r>
        <w:rPr>
          <w:rFonts w:hint="eastAsia" w:ascii="黑体" w:hAnsi="宋体" w:eastAsia="黑体"/>
          <w:b/>
          <w:bCs/>
          <w:spacing w:val="-10"/>
          <w:sz w:val="36"/>
          <w:szCs w:val="36"/>
        </w:rPr>
        <w:br w:type="page" w:clear="all"/>
      </w:r>
      <w:r/>
    </w:p>
    <w:p>
      <w:pPr>
        <w:ind w:firstLine="683"/>
        <w:jc w:val="center"/>
        <w:spacing w:line="360" w:lineRule="auto"/>
        <w:rPr>
          <w:rFonts w:hint="eastAsia" w:ascii="黑体" w:hAnsi="宋体" w:eastAsia="黑体"/>
          <w:spacing w:val="-10"/>
          <w:sz w:val="36"/>
          <w:szCs w:val="36"/>
        </w:rPr>
        <w:outlineLvl w:val="0"/>
      </w:pPr>
      <w:r/>
      <w:bookmarkStart w:id="53" w:name="_Toc27576"/>
      <w:r>
        <w:rPr>
          <w:rFonts w:hint="eastAsia" w:ascii="黑体" w:hAnsi="宋体" w:eastAsia="黑体"/>
          <w:b/>
          <w:bCs/>
          <w:spacing w:val="-10"/>
          <w:sz w:val="36"/>
          <w:szCs w:val="36"/>
        </w:rPr>
        <w:t xml:space="preserve">第三章 成交标准</w:t>
      </w:r>
      <w:bookmarkEnd w:id="52"/>
      <w:r/>
      <w:bookmarkEnd w:id="53"/>
      <w:r/>
      <w:r/>
    </w:p>
    <w:p>
      <w:pPr>
        <w:rPr>
          <w:rFonts w:hint="eastAsia" w:ascii="宋体" w:hAnsi="宋体" w:cs="宋体"/>
          <w:b/>
          <w:sz w:val="24"/>
          <w:szCs w:val="24"/>
        </w:rPr>
      </w:pPr>
      <w:r>
        <w:rPr>
          <w:rFonts w:hint="eastAsia" w:ascii="宋体" w:hAnsi="宋体" w:cs="宋体"/>
          <w:sz w:val="24"/>
          <w:szCs w:val="24"/>
        </w:rPr>
        <w:t xml:space="preserve">1、成交标准：质量和服务均能满足采购文件实质性要求，且符合采购人要求</w:t>
      </w:r>
      <w:r>
        <w:rPr>
          <w:rFonts w:hint="eastAsia" w:ascii="宋体" w:hAnsi="宋体" w:cs="宋体"/>
          <w:b/>
          <w:sz w:val="24"/>
          <w:szCs w:val="24"/>
        </w:rPr>
        <w:t xml:space="preserve">。</w:t>
      </w:r>
      <w:r/>
    </w:p>
    <w:p>
      <w:pPr>
        <w:rPr>
          <w:rFonts w:hint="eastAsia" w:ascii="宋体" w:hAnsi="宋体" w:cs="宋体"/>
          <w:b/>
          <w:sz w:val="24"/>
          <w:szCs w:val="24"/>
          <w:lang w:val="zh-CN"/>
        </w:rPr>
      </w:pPr>
      <w:r>
        <w:rPr>
          <w:rFonts w:hint="eastAsia" w:ascii="宋体" w:hAnsi="宋体" w:cs="宋体"/>
          <w:b/>
          <w:sz w:val="24"/>
          <w:szCs w:val="24"/>
        </w:rPr>
        <w:t xml:space="preserve">2、评定标准：</w:t>
      </w:r>
      <w:r>
        <w:rPr>
          <w:rFonts w:hint="eastAsia" w:ascii="宋体" w:hAnsi="宋体" w:cs="宋体"/>
          <w:b/>
          <w:sz w:val="24"/>
          <w:szCs w:val="24"/>
          <w:lang w:val="zh-CN"/>
        </w:rPr>
        <w:t xml:space="preserve"> </w:t>
      </w:r>
      <w:r/>
    </w:p>
    <w:tbl>
      <w:tblPr>
        <w:tblStyle w:val="1038"/>
        <w:tblW w:w="8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5820"/>
        <w:gridCol w:w="881"/>
      </w:tblGrid>
      <w:tr>
        <w:trPr>
          <w:jc w:val="center"/>
          <w:trHeight w:val="568"/>
        </w:trPr>
        <w:tc>
          <w:tcPr>
            <w:tcW w:w="1716" w:type="dxa"/>
            <w:vAlign w:val="center"/>
            <w:textDirection w:val="lrTb"/>
            <w:noWrap/>
          </w:tcPr>
          <w:p>
            <w:pPr>
              <w:pStyle w:val="1351"/>
              <w:ind w:firstLine="50"/>
              <w:jc w:val="center"/>
              <w:spacing w:line="590" w:lineRule="exact"/>
              <w:rPr>
                <w:rFonts w:hint="eastAsia"/>
                <w:sz w:val="24"/>
                <w:szCs w:val="24"/>
              </w:rPr>
            </w:pPr>
            <w:r/>
            <w:bookmarkStart w:id="54" w:name="_Toc4559"/>
            <w:r>
              <w:rPr>
                <w:rFonts w:hint="eastAsia"/>
                <w:sz w:val="24"/>
                <w:szCs w:val="24"/>
                <w:lang w:val="en-US" w:eastAsia="zh-CN"/>
              </w:rPr>
              <w:t xml:space="preserve">评审</w:t>
            </w:r>
            <w:r>
              <w:rPr>
                <w:rFonts w:hint="eastAsia"/>
                <w:sz w:val="24"/>
                <w:szCs w:val="24"/>
              </w:rPr>
              <w:t xml:space="preserve">内容</w:t>
            </w:r>
            <w:r/>
          </w:p>
        </w:tc>
        <w:tc>
          <w:tcPr>
            <w:tcW w:w="5820" w:type="dxa"/>
            <w:vAlign w:val="center"/>
            <w:textDirection w:val="lrTb"/>
            <w:noWrap/>
          </w:tcPr>
          <w:p>
            <w:pPr>
              <w:pStyle w:val="1351"/>
              <w:ind w:firstLine="50"/>
              <w:jc w:val="center"/>
              <w:spacing w:line="590" w:lineRule="exact"/>
              <w:rPr>
                <w:rFonts w:hint="eastAsia"/>
                <w:sz w:val="24"/>
                <w:szCs w:val="24"/>
              </w:rPr>
            </w:pPr>
            <w:r>
              <w:rPr>
                <w:rFonts w:hint="eastAsia"/>
                <w:sz w:val="24"/>
                <w:szCs w:val="24"/>
                <w:lang w:val="en-US" w:eastAsia="zh-CN"/>
              </w:rPr>
              <w:t xml:space="preserve">评审</w:t>
            </w:r>
            <w:r>
              <w:rPr>
                <w:rFonts w:hint="eastAsia"/>
                <w:sz w:val="24"/>
                <w:szCs w:val="24"/>
              </w:rPr>
              <w:t xml:space="preserve">标准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分值</w:t>
            </w:r>
            <w:r/>
          </w:p>
        </w:tc>
      </w:tr>
      <w:tr>
        <w:trPr>
          <w:jc w:val="center"/>
          <w:trHeight w:val="419"/>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一、报价部分（10分）</w:t>
            </w:r>
            <w:r/>
          </w:p>
        </w:tc>
      </w:tr>
      <w:tr>
        <w:trPr>
          <w:jc w:val="center"/>
          <w:trHeight w:val="2679"/>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报价部分</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价格分采用低价优先法计算，即满足采购文件要求且报价最低的供应商报价为</w:t>
            </w:r>
            <w:r>
              <w:rPr>
                <w:rFonts w:hint="eastAsia"/>
                <w:sz w:val="24"/>
                <w:szCs w:val="24"/>
                <w:lang w:val="en-US" w:eastAsia="zh-CN"/>
              </w:rPr>
              <w:t xml:space="preserve">评审</w:t>
            </w:r>
            <w:r>
              <w:rPr>
                <w:rFonts w:hint="eastAsia"/>
                <w:sz w:val="24"/>
                <w:szCs w:val="24"/>
              </w:rPr>
              <w:t xml:space="preserve">基准价，其价格分为满分10分，其它供应商的价格分统一按照以下公式计算：</w:t>
            </w:r>
            <w:r>
              <w:rPr>
                <w:rFonts w:hint="eastAsia"/>
                <w:sz w:val="24"/>
                <w:szCs w:val="24"/>
              </w:rPr>
              <w:br/>
            </w:r>
            <w:r>
              <w:rPr>
                <w:rFonts w:hint="eastAsia"/>
                <w:sz w:val="24"/>
                <w:szCs w:val="24"/>
              </w:rPr>
              <w:t xml:space="preserve">报价得分=（</w:t>
            </w:r>
            <w:r>
              <w:rPr>
                <w:rFonts w:hint="eastAsia"/>
                <w:sz w:val="24"/>
                <w:szCs w:val="24"/>
                <w:lang w:val="en-US" w:eastAsia="zh-CN"/>
              </w:rPr>
              <w:t xml:space="preserve">评审</w:t>
            </w:r>
            <w:r>
              <w:rPr>
                <w:rFonts w:hint="eastAsia"/>
                <w:sz w:val="24"/>
                <w:szCs w:val="24"/>
              </w:rPr>
              <w:t xml:space="preserve">基准价/该供应商的报价）×10分。分值保留小数点后2位。</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10</w:t>
            </w:r>
            <w:r/>
          </w:p>
        </w:tc>
      </w:tr>
      <w:tr>
        <w:trPr>
          <w:jc w:val="center"/>
          <w:trHeight w:val="552"/>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二、技术指标响应（10分）</w:t>
            </w:r>
            <w:r/>
          </w:p>
        </w:tc>
      </w:tr>
      <w:tr>
        <w:trPr>
          <w:jc w:val="center"/>
          <w:trHeight w:val="552"/>
        </w:trPr>
        <w:tc>
          <w:tcPr>
            <w:tcW w:w="1716" w:type="dxa"/>
            <w:vAlign w:val="center"/>
            <w:textDirection w:val="lrTb"/>
            <w:noWrap/>
          </w:tcPr>
          <w:p>
            <w:pPr>
              <w:pStyle w:val="1351"/>
              <w:ind w:firstLine="50"/>
              <w:spacing w:line="590" w:lineRule="exact"/>
              <w:rPr>
                <w:rFonts w:hint="eastAsia"/>
                <w:sz w:val="24"/>
                <w:szCs w:val="24"/>
              </w:rPr>
            </w:pPr>
            <w:r>
              <w:rPr>
                <w:rFonts w:hint="eastAsia"/>
                <w:sz w:val="24"/>
                <w:szCs w:val="24"/>
              </w:rPr>
              <w:t xml:space="preserve">技术指标响应情况</w:t>
            </w:r>
            <w:r/>
          </w:p>
        </w:tc>
        <w:tc>
          <w:tcPr>
            <w:tcW w:w="5820" w:type="dxa"/>
            <w:vAlign w:val="center"/>
            <w:textDirection w:val="lrTb"/>
            <w:noWrap/>
          </w:tcPr>
          <w:p>
            <w:pPr>
              <w:pStyle w:val="1351"/>
              <w:ind w:firstLine="0"/>
              <w:jc w:val="left"/>
              <w:spacing w:line="590" w:lineRule="exact"/>
              <w:rPr>
                <w:rFonts w:hint="eastAsia"/>
                <w:sz w:val="24"/>
                <w:szCs w:val="24"/>
              </w:rPr>
            </w:pPr>
            <w:r>
              <w:rPr>
                <w:rFonts w:hint="eastAsia"/>
                <w:sz w:val="24"/>
                <w:szCs w:val="24"/>
              </w:rPr>
              <w:t xml:space="preserve">根据供应商的响应文件响应情况评分。满分10分。所投产品及服务全部符合第四章 采购需求中项目采购内容和要求的得10分；其中打★指标为必须满足项，如有负偏离将作为无效响应；其中带▲内容有负偏离的每项扣1分，其它内容有负偏离的每项扣0.5分，最低扣至零分为止。</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10</w:t>
            </w:r>
            <w:r/>
          </w:p>
        </w:tc>
      </w:tr>
      <w:tr>
        <w:trPr>
          <w:jc w:val="center"/>
          <w:trHeight w:val="552"/>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三、技术部分（40分）</w:t>
            </w:r>
            <w:r/>
          </w:p>
        </w:tc>
      </w:tr>
      <w:tr>
        <w:trPr>
          <w:jc w:val="center"/>
          <w:trHeight w:val="1222"/>
        </w:trPr>
        <w:tc>
          <w:tcPr>
            <w:tcW w:w="1716" w:type="dxa"/>
            <w:vAlign w:val="center"/>
            <w:textDirection w:val="lrTb"/>
            <w:noWrap w:val="false"/>
          </w:tcPr>
          <w:p>
            <w:pPr>
              <w:pStyle w:val="1351"/>
              <w:ind w:firstLine="50"/>
              <w:jc w:val="center"/>
              <w:spacing w:line="590" w:lineRule="exact"/>
              <w:rPr>
                <w:rFonts w:hint="eastAsia"/>
                <w:sz w:val="24"/>
                <w:szCs w:val="24"/>
              </w:rPr>
            </w:pPr>
            <w:r>
              <w:rPr>
                <w:rFonts w:hint="eastAsia"/>
                <w:sz w:val="24"/>
                <w:szCs w:val="24"/>
              </w:rPr>
              <w:t xml:space="preserve">现状需求理解</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根据供应商对本项目的现状需求理解（包括系统技术架构、维保设备的实际运行状况采购人业务需求和技术需求等）进行综合评分，</w:t>
            </w:r>
            <w:r>
              <w:rPr>
                <w:rFonts w:hint="eastAsia"/>
                <w:color w:val="000000"/>
                <w:sz w:val="24"/>
                <w:szCs w:val="24"/>
              </w:rPr>
              <w:t xml:space="preserve">理解透彻，分析精准，完全贴合实际得5分；理解较准确，分析较具体，细节略有不足得3分；理解基本准确，分析较笼统，无明显偏差得2分；理解有偏差，内容空洞得1分；未提供不得分。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1277"/>
        </w:trPr>
        <w:tc>
          <w:tcPr>
            <w:tcW w:w="1716" w:type="dxa"/>
            <w:vAlign w:val="center"/>
            <w:textDirection w:val="lrTb"/>
            <w:noWrap w:val="false"/>
          </w:tcPr>
          <w:p>
            <w:pPr>
              <w:pStyle w:val="1351"/>
              <w:ind w:firstLine="50"/>
              <w:jc w:val="center"/>
              <w:spacing w:line="590" w:lineRule="exact"/>
              <w:rPr>
                <w:rFonts w:hint="eastAsia"/>
                <w:sz w:val="24"/>
                <w:szCs w:val="24"/>
              </w:rPr>
            </w:pPr>
            <w:r>
              <w:rPr>
                <w:rFonts w:hint="eastAsia"/>
                <w:sz w:val="24"/>
                <w:szCs w:val="24"/>
              </w:rPr>
              <w:t xml:space="preserve">对服务需求的理解</w:t>
            </w:r>
            <w:r/>
          </w:p>
        </w:tc>
        <w:tc>
          <w:tcPr>
            <w:tcW w:w="5820" w:type="dxa"/>
            <w:vAlign w:val="center"/>
            <w:textDirection w:val="lrTb"/>
            <w:noWrap w:val="false"/>
          </w:tcPr>
          <w:p>
            <w:pPr>
              <w:pStyle w:val="1351"/>
              <w:ind w:firstLine="50"/>
              <w:jc w:val="left"/>
              <w:spacing w:line="590" w:lineRule="exact"/>
              <w:rPr>
                <w:rFonts w:hint="eastAsia"/>
                <w:sz w:val="24"/>
                <w:szCs w:val="24"/>
              </w:rPr>
            </w:pPr>
            <w:r>
              <w:rPr>
                <w:rFonts w:hint="eastAsia"/>
                <w:sz w:val="24"/>
                <w:szCs w:val="24"/>
              </w:rPr>
              <w:t xml:space="preserve">根据响应方案对本项目服务要求的理解掌握程度，对南京市机房机柜租赁及服务器托管业务</w:t>
            </w:r>
            <w:r>
              <w:rPr>
                <w:rFonts w:hint="eastAsia"/>
                <w:color w:val="333333"/>
                <w:sz w:val="24"/>
                <w:szCs w:val="24"/>
                <w:shd w:val="clear" w:color="auto" w:fill="ffffff"/>
              </w:rPr>
              <w:t xml:space="preserve">‌‌</w:t>
            </w:r>
            <w:r>
              <w:rPr>
                <w:rFonts w:hint="eastAsia"/>
                <w:sz w:val="24"/>
                <w:szCs w:val="24"/>
              </w:rPr>
              <w:t xml:space="preserve">的了解、熟悉和资源掌握能力，以及方案整体的合理性、可行性、科学性进行综合评分。</w:t>
            </w:r>
            <w:r>
              <w:rPr>
                <w:rFonts w:hint="eastAsia"/>
                <w:color w:val="000000"/>
                <w:sz w:val="24"/>
                <w:szCs w:val="24"/>
              </w:rPr>
              <w:t xml:space="preserve">理解透彻，分析精准，完全贴合实际得5分；理解较准确，分析较具体，细节略有不足得3分；理解基本准确，分析较笼统，无明显偏差得2分；理解有偏差，内容空洞得1分；未提供不得分。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1550"/>
        </w:trPr>
        <w:tc>
          <w:tcPr>
            <w:tcW w:w="1716" w:type="dxa"/>
            <w:vAlign w:val="center"/>
            <w:textDirection w:val="lrTb"/>
            <w:noWrap w:val="false"/>
          </w:tcPr>
          <w:p>
            <w:pPr>
              <w:pStyle w:val="1351"/>
              <w:ind w:firstLine="50"/>
              <w:jc w:val="center"/>
              <w:spacing w:line="590" w:lineRule="exact"/>
              <w:rPr>
                <w:rFonts w:hint="eastAsia"/>
                <w:sz w:val="24"/>
                <w:szCs w:val="24"/>
              </w:rPr>
            </w:pPr>
            <w:r>
              <w:rPr>
                <w:rFonts w:hint="eastAsia"/>
                <w:sz w:val="24"/>
                <w:szCs w:val="24"/>
              </w:rPr>
              <w:t xml:space="preserve">运维技术服务方案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结合采购人的业务特点与实际需求，根据供应商对本项目提供的运维技术服务方案进行综合评分，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90"/>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应急响应方案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根据供应商提供的应急响应方案（包括</w:t>
            </w:r>
            <w:r>
              <w:rPr>
                <w:sz w:val="24"/>
                <w:szCs w:val="24"/>
              </w:rPr>
              <w:t xml:space="preserve">应急组织架构与职责分工、故障分级响应机制、故障定位与诊断流程、应急处置操作步骤、应急资源保障、应急演练计划等</w:t>
            </w:r>
            <w:r>
              <w:rPr>
                <w:rFonts w:hint="eastAsia"/>
                <w:sz w:val="24"/>
                <w:szCs w:val="24"/>
              </w:rPr>
              <w:t xml:space="preserve">）进行综合评分，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90"/>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业务连续性方案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为了实现系统业务平稳运行不中断目标，供应商需要提供的业务连续性保障方案（包括</w:t>
            </w:r>
            <w:r>
              <w:rPr>
                <w:sz w:val="24"/>
                <w:szCs w:val="24"/>
              </w:rPr>
              <w:t xml:space="preserve">系统架构冗余设计、数据备份与恢复策略、灾备切换机制、RTO/RPO指标承诺、业务连续性日常管理、灾难恢复预案等</w:t>
            </w:r>
            <w:r>
              <w:rPr>
                <w:rFonts w:hint="eastAsia"/>
                <w:sz w:val="24"/>
                <w:szCs w:val="24"/>
              </w:rPr>
              <w:t xml:space="preserve">）进行综合评分，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1498"/>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重大保障服务方案</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根据供应商提供的重大保障服务方案进行打分。</w:t>
            </w:r>
            <w:r>
              <w:rPr>
                <w:rFonts w:hint="eastAsia"/>
                <w:color w:val="000000"/>
                <w:sz w:val="24"/>
                <w:szCs w:val="24"/>
              </w:rPr>
              <w:t xml:space="preserve">方案全面、合理、可行的得5分；方案较为全面、合理、可行的得3分；方案基本全面、合理，基本可行的得2分；方案不够全面、合理，可行性差的得1分；未提供不得分。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2177"/>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机房搬迁业务中断影响</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根据搬迁中业务系统停机时间长短进行综合评分。（需提供承诺书并加盖供应商公章）</w:t>
            </w:r>
            <w:r/>
          </w:p>
          <w:p>
            <w:pPr>
              <w:pStyle w:val="1351"/>
              <w:ind w:firstLine="0"/>
              <w:jc w:val="left"/>
              <w:spacing w:line="590" w:lineRule="exact"/>
              <w:rPr>
                <w:rFonts w:hint="eastAsia"/>
                <w:sz w:val="24"/>
                <w:szCs w:val="24"/>
              </w:rPr>
            </w:pPr>
            <w:r>
              <w:rPr>
                <w:rFonts w:hint="eastAsia"/>
                <w:sz w:val="24"/>
                <w:szCs w:val="24"/>
              </w:rPr>
              <w:t xml:space="preserve">无需停机的得5分；</w:t>
            </w:r>
            <w:r/>
          </w:p>
          <w:p>
            <w:pPr>
              <w:pStyle w:val="1351"/>
              <w:ind w:firstLine="0"/>
              <w:jc w:val="left"/>
              <w:spacing w:line="590" w:lineRule="exact"/>
              <w:rPr>
                <w:rFonts w:hint="eastAsia"/>
                <w:sz w:val="24"/>
                <w:szCs w:val="24"/>
              </w:rPr>
            </w:pPr>
            <w:r>
              <w:rPr>
                <w:rFonts w:hint="eastAsia"/>
                <w:sz w:val="24"/>
                <w:szCs w:val="24"/>
              </w:rPr>
              <w:t xml:space="preserve">停机时间≤72小时的得3分；</w:t>
            </w:r>
            <w:r/>
          </w:p>
          <w:p>
            <w:pPr>
              <w:pStyle w:val="1351"/>
              <w:ind w:firstLine="0"/>
              <w:jc w:val="left"/>
              <w:spacing w:line="590" w:lineRule="exact"/>
              <w:rPr>
                <w:rFonts w:hint="eastAsia"/>
                <w:sz w:val="24"/>
                <w:szCs w:val="24"/>
              </w:rPr>
            </w:pPr>
            <w:r>
              <w:rPr>
                <w:rFonts w:hint="eastAsia"/>
                <w:sz w:val="24"/>
                <w:szCs w:val="24"/>
              </w:rPr>
              <w:t xml:space="preserve">停机时间＞72小时的不得分。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90"/>
        </w:trPr>
        <w:tc>
          <w:tcPr>
            <w:tcW w:w="1716"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所投机房技术性能</w:t>
            </w:r>
            <w:r/>
          </w:p>
        </w:tc>
        <w:tc>
          <w:tcPr>
            <w:tcW w:w="5820" w:type="dxa"/>
            <w:vAlign w:val="center"/>
            <w:textDirection w:val="lrTb"/>
            <w:noWrap w:val="false"/>
          </w:tcPr>
          <w:p>
            <w:pPr>
              <w:pStyle w:val="1351"/>
              <w:ind w:firstLine="0"/>
              <w:jc w:val="left"/>
              <w:spacing w:line="590" w:lineRule="exact"/>
              <w:rPr>
                <w:sz w:val="24"/>
                <w:szCs w:val="24"/>
              </w:rPr>
            </w:pPr>
            <w:r>
              <w:rPr>
                <w:sz w:val="24"/>
                <w:szCs w:val="24"/>
              </w:rPr>
              <w:t xml:space="preserve">本项共5分：</w:t>
            </w:r>
            <w:r/>
          </w:p>
          <w:p>
            <w:pPr>
              <w:pStyle w:val="1351"/>
              <w:ind w:firstLine="0"/>
              <w:jc w:val="left"/>
              <w:spacing w:line="590" w:lineRule="exact"/>
              <w:rPr>
                <w:rFonts w:hint="eastAsia"/>
                <w:sz w:val="24"/>
                <w:szCs w:val="24"/>
              </w:rPr>
            </w:pPr>
            <w:r>
              <w:rPr>
                <w:sz w:val="24"/>
                <w:szCs w:val="24"/>
              </w:rPr>
              <w:t xml:space="preserve">1、距离分（3分）：</w:t>
            </w:r>
            <w:r>
              <w:rPr>
                <w:rFonts w:hint="eastAsia"/>
                <w:sz w:val="24"/>
                <w:szCs w:val="24"/>
              </w:rPr>
              <w:t xml:space="preserve">供应商提供的机房与采购人办公地点（汉中门大街145号）行车距离在10公里以内得3分，在20公里以内得1分，有一处超过20公里不得分。以百度地图、高德地图等导航软件路径规划截图为准。</w:t>
            </w:r>
            <w:r/>
          </w:p>
          <w:p>
            <w:pPr>
              <w:pStyle w:val="1351"/>
              <w:ind w:firstLine="0"/>
              <w:jc w:val="left"/>
              <w:spacing w:line="590" w:lineRule="exact"/>
              <w:rPr>
                <w:rFonts w:hint="eastAsia"/>
                <w:sz w:val="24"/>
                <w:szCs w:val="24"/>
              </w:rPr>
            </w:pPr>
            <w:r>
              <w:rPr>
                <w:sz w:val="24"/>
                <w:szCs w:val="24"/>
              </w:rPr>
              <w:t xml:space="preserve">2、认证分（2分）：</w:t>
            </w:r>
            <w:r>
              <w:rPr>
                <w:rFonts w:hint="eastAsia"/>
                <w:sz w:val="24"/>
                <w:szCs w:val="24"/>
              </w:rPr>
              <w:t xml:space="preserve">本次响应文件中的机房（数据中心）单位通过ISO20000信息技术服务管理体系认证、ISO27001信息安全管理体系认证的，每通过一项认证得1分，本项最高得2分。（需提供机房（数据中心）单位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5</w:t>
            </w:r>
            <w:r/>
          </w:p>
        </w:tc>
      </w:tr>
      <w:tr>
        <w:trPr>
          <w:jc w:val="center"/>
          <w:trHeight w:val="552"/>
        </w:trPr>
        <w:tc>
          <w:tcPr>
            <w:gridSpan w:val="3"/>
            <w:tcW w:w="8417"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四、商务部分（40分）</w:t>
            </w:r>
            <w:r/>
          </w:p>
        </w:tc>
      </w:tr>
      <w:tr>
        <w:trPr>
          <w:jc w:val="center"/>
          <w:trHeight w:val="581"/>
        </w:trPr>
        <w:tc>
          <w:tcPr>
            <w:tcW w:w="1716" w:type="dxa"/>
            <w:vAlign w:val="center"/>
            <w:vMerge w:val="restart"/>
            <w:textDirection w:val="lrTb"/>
            <w:noWrap/>
          </w:tcPr>
          <w:p>
            <w:pPr>
              <w:pStyle w:val="1351"/>
              <w:ind w:firstLine="50"/>
              <w:jc w:val="center"/>
              <w:spacing w:line="590" w:lineRule="exact"/>
              <w:rPr>
                <w:rFonts w:hint="eastAsia"/>
                <w:sz w:val="24"/>
                <w:szCs w:val="24"/>
              </w:rPr>
            </w:pPr>
            <w:r>
              <w:rPr>
                <w:rFonts w:hint="eastAsia"/>
                <w:sz w:val="24"/>
                <w:szCs w:val="24"/>
              </w:rPr>
              <w:t xml:space="preserve">供应商资质</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1、供应商具有ISO9001质量管理体系认证证书、ISO27701隐私信息安全管理体系认证证书、ISO22301业务连续性管理体系认证证书等认证且在有效期内的，每具有一项得1分，满分3分。（需提供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3</w:t>
            </w:r>
            <w:r/>
          </w:p>
        </w:tc>
      </w:tr>
      <w:tr>
        <w:trPr>
          <w:jc w:val="center"/>
          <w:trHeight w:val="1253"/>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2、供应商具备ITSS信息技术服务标准符合性证书且在有效期内的得2分，未按要求提供的不得分。（需提供有效证书并加盖供应商公章）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2</w:t>
            </w:r>
            <w:r/>
          </w:p>
        </w:tc>
      </w:tr>
      <w:tr>
        <w:trPr>
          <w:jc w:val="center"/>
          <w:trHeight w:val="1253"/>
        </w:trPr>
        <w:tc>
          <w:tcPr>
            <w:tcW w:w="1716" w:type="dxa"/>
            <w:vAlign w:val="center"/>
            <w:vMerge w:val="continue"/>
            <w:textDirection w:val="lrTb"/>
            <w:noWrap/>
          </w:tcPr>
          <w:p>
            <w:pPr>
              <w:pStyle w:val="1351"/>
              <w:ind w:firstLine="0"/>
              <w:jc w:val="left"/>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3、供应商具备CCRC信息安全服务资质认证证书且在有效期内的得</w:t>
            </w:r>
            <w:r>
              <w:rPr>
                <w:rFonts w:hint="eastAsia"/>
                <w:sz w:val="24"/>
                <w:szCs w:val="24"/>
                <w:lang w:val="en-US" w:eastAsia="zh-CN"/>
              </w:rPr>
              <w:t xml:space="preserve">2</w:t>
            </w:r>
            <w:r>
              <w:rPr>
                <w:rFonts w:hint="eastAsia"/>
                <w:sz w:val="24"/>
                <w:szCs w:val="24"/>
              </w:rPr>
              <w:t xml:space="preserve">分，未按要求提供的不得分。（需提供有效证书并加盖供应商公章）</w:t>
            </w:r>
            <w:r/>
          </w:p>
        </w:tc>
        <w:tc>
          <w:tcPr>
            <w:tcW w:w="881" w:type="dxa"/>
            <w:vAlign w:val="center"/>
            <w:textDirection w:val="lrTb"/>
            <w:noWrap w:val="false"/>
          </w:tcPr>
          <w:p>
            <w:pPr>
              <w:pStyle w:val="1351"/>
              <w:ind w:firstLine="0"/>
              <w:jc w:val="center"/>
              <w:spacing w:line="590" w:lineRule="exact"/>
              <w:rPr>
                <w:rFonts w:hint="eastAsia"/>
                <w:sz w:val="24"/>
                <w:szCs w:val="24"/>
              </w:rPr>
            </w:pPr>
            <w:r>
              <w:rPr>
                <w:rFonts w:hint="eastAsia"/>
                <w:sz w:val="24"/>
                <w:szCs w:val="24"/>
              </w:rPr>
              <w:t xml:space="preserve">2</w:t>
            </w:r>
            <w:r/>
          </w:p>
        </w:tc>
      </w:tr>
      <w:tr>
        <w:trPr>
          <w:jc w:val="center"/>
          <w:trHeight w:val="127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4、供应商具备CCIA信息系统业务安全服务资质证书且在有效期内的得2分，未按要求提供的不得分。（需提供有效证书并加盖供应商公章）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2</w:t>
            </w:r>
            <w:r/>
          </w:p>
        </w:tc>
      </w:tr>
      <w:tr>
        <w:trPr>
          <w:jc w:val="center"/>
          <w:trHeight w:val="1950"/>
        </w:trPr>
        <w:tc>
          <w:tcPr>
            <w:tcW w:w="1716" w:type="dxa"/>
            <w:vAlign w:val="center"/>
            <w:textDirection w:val="lrTb"/>
            <w:noWrap w:val="false"/>
          </w:tcPr>
          <w:p>
            <w:pPr>
              <w:pStyle w:val="1351"/>
              <w:ind w:firstLine="50"/>
              <w:spacing w:line="590" w:lineRule="exact"/>
              <w:rPr>
                <w:rFonts w:hint="eastAsia"/>
                <w:sz w:val="24"/>
                <w:szCs w:val="24"/>
              </w:rPr>
            </w:pPr>
            <w:r>
              <w:rPr>
                <w:rFonts w:hint="eastAsia"/>
                <w:sz w:val="24"/>
                <w:szCs w:val="24"/>
              </w:rPr>
              <w:t xml:space="preserve">供应商类似业绩</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自2021年1月1日（以合同签订时间为准）以来，具有类似项目成功案例，每有一个案例得2分，最多得10分（需提供有效合同复印件并加盖供应商公章）。</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10</w:t>
            </w:r>
            <w:r/>
          </w:p>
        </w:tc>
      </w:tr>
      <w:tr>
        <w:trPr>
          <w:jc w:val="center"/>
          <w:trHeight w:val="583"/>
        </w:trPr>
        <w:tc>
          <w:tcPr>
            <w:tcW w:w="1716" w:type="dxa"/>
            <w:vAlign w:val="center"/>
            <w:vMerge w:val="restart"/>
            <w:textDirection w:val="lrTb"/>
            <w:noWrap/>
          </w:tcPr>
          <w:p>
            <w:pPr>
              <w:pStyle w:val="1351"/>
              <w:ind w:firstLine="50"/>
              <w:jc w:val="center"/>
              <w:spacing w:line="590" w:lineRule="exact"/>
              <w:rPr>
                <w:rFonts w:hint="eastAsia"/>
                <w:sz w:val="24"/>
                <w:szCs w:val="24"/>
              </w:rPr>
            </w:pPr>
            <w:r>
              <w:rPr>
                <w:rFonts w:hint="eastAsia"/>
                <w:sz w:val="24"/>
                <w:szCs w:val="24"/>
              </w:rPr>
              <w:t xml:space="preserve">人员资质</w:t>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1、项目经理1人，具有高级工程师职称、高级信息系统项目管理师证书、ITSS IT服务项目经理证书、信息安全保障人员CISAW证书。四证全部具备得4分，每少一个扣1分。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r>
        <w:trPr>
          <w:jc w:val="center"/>
          <w:trHeight w:val="1181"/>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2、技术负责人1人，具有高级工程师职称、高级信息系统项目管理师证书、注册信息安全工程师CISP、信息安全保障人员CISAW证书，四个证全部提供得4分，每少一个扣1分。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r>
        <w:trPr>
          <w:jc w:val="center"/>
          <w:trHeight w:val="34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3、安全负责人1人，具有高级工程师、注册信息安全工程师CISP、信息安全保障人员CISAW证书的，三个证全部提供得3分，每少一个扣1分。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3</w:t>
            </w:r>
            <w:r/>
          </w:p>
        </w:tc>
      </w:tr>
      <w:tr>
        <w:trPr>
          <w:jc w:val="center"/>
          <w:trHeight w:val="34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tcW w:w="5820" w:type="dxa"/>
            <w:vAlign w:val="center"/>
            <w:textDirection w:val="lrTb"/>
            <w:noWrap w:val="false"/>
          </w:tcPr>
          <w:p>
            <w:pPr>
              <w:pStyle w:val="1351"/>
              <w:ind w:firstLine="0"/>
              <w:jc w:val="left"/>
              <w:spacing w:line="590" w:lineRule="exact"/>
              <w:rPr>
                <w:rFonts w:hint="eastAsia"/>
                <w:sz w:val="24"/>
                <w:szCs w:val="24"/>
              </w:rPr>
            </w:pPr>
            <w:r>
              <w:rPr>
                <w:rFonts w:hint="eastAsia"/>
                <w:sz w:val="24"/>
                <w:szCs w:val="24"/>
              </w:rPr>
              <w:t xml:space="preserve">4、运维服务工程师具有</w:t>
            </w:r>
            <w:bookmarkStart w:id="55" w:name="OLE_LINK1"/>
            <w:r>
              <w:rPr>
                <w:rFonts w:hint="eastAsia"/>
                <w:sz w:val="24"/>
                <w:szCs w:val="24"/>
              </w:rPr>
              <w:t xml:space="preserve">ITSS IT服务工程师证书，注册信息安全专业人员CISP认证证书，</w:t>
            </w:r>
            <w:bookmarkEnd w:id="55"/>
            <w:r>
              <w:rPr>
                <w:rFonts w:hint="eastAsia"/>
                <w:sz w:val="24"/>
                <w:szCs w:val="24"/>
              </w:rPr>
              <w:t xml:space="preserve">两个证书全部提供得2分，每少一个扣1分。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2</w:t>
            </w:r>
            <w:r/>
          </w:p>
        </w:tc>
      </w:tr>
      <w:tr>
        <w:trPr>
          <w:jc w:val="center"/>
          <w:trHeight w:val="345"/>
        </w:trPr>
        <w:tc>
          <w:tcPr>
            <w:tcW w:w="1716" w:type="dxa"/>
            <w:vAlign w:val="center"/>
            <w:vMerge w:val="continue"/>
            <w:textDirection w:val="lrTb"/>
            <w:noWrap/>
          </w:tcPr>
          <w:p>
            <w:pPr>
              <w:pStyle w:val="1351"/>
              <w:ind w:firstLine="50"/>
              <w:spacing w:line="590" w:lineRule="exact"/>
              <w:rPr>
                <w:rFonts w:hint="eastAsia"/>
                <w:sz w:val="24"/>
                <w:szCs w:val="24"/>
              </w:rPr>
            </w:pPr>
            <w:r>
              <w:rPr>
                <w:rFonts w:hint="eastAsia"/>
                <w:sz w:val="24"/>
                <w:szCs w:val="24"/>
              </w:rPr>
            </w:r>
            <w:r/>
          </w:p>
        </w:tc>
        <w:tc>
          <w:tcPr>
            <w:gridSpan w:val="2"/>
            <w:tcW w:w="6701" w:type="dxa"/>
            <w:vAlign w:val="center"/>
            <w:textDirection w:val="lrTb"/>
            <w:noWrap w:val="false"/>
          </w:tcPr>
          <w:p>
            <w:pPr>
              <w:pStyle w:val="1351"/>
              <w:ind w:firstLine="50"/>
              <w:jc w:val="left"/>
              <w:spacing w:line="590" w:lineRule="exact"/>
              <w:rPr>
                <w:rFonts w:hint="eastAsia"/>
                <w:sz w:val="24"/>
                <w:szCs w:val="24"/>
              </w:rPr>
            </w:pPr>
            <w:r>
              <w:rPr>
                <w:rFonts w:hint="eastAsia"/>
                <w:sz w:val="24"/>
                <w:szCs w:val="24"/>
              </w:rPr>
              <w:t xml:space="preserve">备注：上述1至4项，须提供有效证书复印件及供应商自2026年</w:t>
            </w:r>
            <w:r>
              <w:rPr>
                <w:rFonts w:hint="eastAsia"/>
                <w:sz w:val="24"/>
                <w:szCs w:val="24"/>
                <w:lang w:val="en-US" w:eastAsia="zh-CN"/>
              </w:rPr>
              <w:t xml:space="preserve">2</w:t>
            </w:r>
            <w:r>
              <w:rPr>
                <w:rFonts w:hint="eastAsia"/>
                <w:sz w:val="24"/>
                <w:szCs w:val="24"/>
              </w:rPr>
              <w:t xml:space="preserve">月以来任意一个月为该人员缴纳社保的证明材料复印件并加盖供应商公章，否则不得分；如为第三方代为缴纳，不予认可。</w:t>
            </w:r>
            <w:r/>
          </w:p>
        </w:tc>
      </w:tr>
      <w:tr>
        <w:trPr>
          <w:jc w:val="center"/>
          <w:trHeight w:val="345"/>
        </w:trPr>
        <w:tc>
          <w:tcPr>
            <w:tcW w:w="1716" w:type="dxa"/>
            <w:vAlign w:val="center"/>
            <w:textDirection w:val="lrTb"/>
            <w:noWrap/>
          </w:tcPr>
          <w:p>
            <w:pPr>
              <w:pStyle w:val="1351"/>
              <w:ind w:firstLine="50"/>
              <w:spacing w:line="590" w:lineRule="exact"/>
              <w:rPr>
                <w:rFonts w:hint="eastAsia"/>
                <w:sz w:val="24"/>
                <w:szCs w:val="24"/>
              </w:rPr>
            </w:pPr>
            <w:r>
              <w:rPr>
                <w:sz w:val="24"/>
                <w:szCs w:val="24"/>
              </w:rPr>
              <w:t xml:space="preserve">服务团队配置</w:t>
            </w:r>
            <w:r/>
          </w:p>
        </w:tc>
        <w:tc>
          <w:tcPr>
            <w:tcW w:w="5820" w:type="dxa"/>
            <w:vAlign w:val="center"/>
            <w:textDirection w:val="lrTb"/>
            <w:noWrap w:val="false"/>
          </w:tcPr>
          <w:p>
            <w:pPr>
              <w:pStyle w:val="1351"/>
              <w:ind w:firstLine="0"/>
              <w:jc w:val="left"/>
              <w:spacing w:line="590" w:lineRule="exact"/>
              <w:rPr>
                <w:rFonts w:hint="eastAsia"/>
                <w:sz w:val="24"/>
                <w:szCs w:val="24"/>
              </w:rPr>
            </w:pPr>
            <w:r>
              <w:rPr>
                <w:sz w:val="24"/>
                <w:szCs w:val="24"/>
              </w:rPr>
              <w:t xml:space="preserve">根据供应商为本项目配备的服务团队整体情况进行综合评分，包括：团队人员数量与专业结构合理性、驻场人员配置、后台技术支撑团队规模与能力、人员稳定性保障措施、社保缴纳情况等。团队配置充足合理、专业覆盖全面、后台支撑能力强得</w:t>
            </w:r>
            <w:r>
              <w:rPr>
                <w:rFonts w:hint="eastAsia"/>
                <w:sz w:val="24"/>
                <w:szCs w:val="24"/>
              </w:rPr>
              <w:t xml:space="preserve">4</w:t>
            </w:r>
            <w:r>
              <w:rPr>
                <w:sz w:val="24"/>
                <w:szCs w:val="24"/>
              </w:rPr>
              <w:t xml:space="preserve">分；配置较合理、支撑能力较强得3分；配置基本满足需求得2分；配置不足、支撑能力弱得1分；未提供不得分。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r>
        <w:trPr>
          <w:jc w:val="center"/>
          <w:trHeight w:val="345"/>
        </w:trPr>
        <w:tc>
          <w:tcPr>
            <w:tcW w:w="1716" w:type="dxa"/>
            <w:vAlign w:val="center"/>
            <w:textDirection w:val="lrTb"/>
            <w:noWrap/>
          </w:tcPr>
          <w:p>
            <w:pPr>
              <w:pStyle w:val="1351"/>
              <w:ind w:firstLine="50"/>
              <w:spacing w:line="590" w:lineRule="exact"/>
              <w:rPr>
                <w:rFonts w:hint="eastAsia"/>
                <w:sz w:val="24"/>
                <w:szCs w:val="24"/>
              </w:rPr>
            </w:pPr>
            <w:r>
              <w:rPr>
                <w:sz w:val="24"/>
                <w:szCs w:val="24"/>
              </w:rPr>
              <w:t xml:space="preserve">售后服务保障</w:t>
            </w:r>
            <w:r/>
          </w:p>
        </w:tc>
        <w:tc>
          <w:tcPr>
            <w:tcW w:w="5820" w:type="dxa"/>
            <w:vAlign w:val="center"/>
            <w:textDirection w:val="lrTb"/>
            <w:noWrap w:val="false"/>
          </w:tcPr>
          <w:p>
            <w:pPr>
              <w:pStyle w:val="1351"/>
              <w:ind w:firstLine="0"/>
              <w:jc w:val="left"/>
              <w:spacing w:line="590" w:lineRule="exact"/>
              <w:rPr>
                <w:rFonts w:hint="eastAsia"/>
                <w:sz w:val="24"/>
                <w:szCs w:val="24"/>
              </w:rPr>
            </w:pPr>
            <w:r>
              <w:rPr>
                <w:sz w:val="24"/>
                <w:szCs w:val="24"/>
              </w:rPr>
              <w:t xml:space="preserve">根据供应商提供的售后服务保障方案进行综合评分，包括：服务响应机制、问题处理流程、服务质量保障措施、培训方案、文档交付方案等。方案全面完善、保障有力得4分；方案较完善得2分；方案基本完整得1分；未提供不得分。</w:t>
            </w:r>
            <w:r/>
          </w:p>
        </w:tc>
        <w:tc>
          <w:tcPr>
            <w:tcW w:w="881" w:type="dxa"/>
            <w:vAlign w:val="center"/>
            <w:textDirection w:val="lrTb"/>
            <w:noWrap/>
          </w:tcPr>
          <w:p>
            <w:pPr>
              <w:pStyle w:val="1351"/>
              <w:ind w:firstLine="50"/>
              <w:jc w:val="center"/>
              <w:spacing w:line="590" w:lineRule="exact"/>
              <w:rPr>
                <w:rFonts w:hint="eastAsia"/>
                <w:sz w:val="24"/>
                <w:szCs w:val="24"/>
              </w:rPr>
            </w:pPr>
            <w:r>
              <w:rPr>
                <w:rFonts w:hint="eastAsia"/>
                <w:sz w:val="24"/>
                <w:szCs w:val="24"/>
              </w:rPr>
              <w:t xml:space="preserve">4</w:t>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说明：</w:t>
      </w:r>
      <w:r/>
    </w:p>
    <w:p>
      <w:pPr>
        <w:ind w:firstLine="420"/>
        <w:jc w:val="left"/>
        <w:spacing w:line="360" w:lineRule="auto"/>
        <w:rPr>
          <w:rFonts w:hint="eastAsia" w:ascii="宋体" w:hAnsi="宋体" w:cs="宋体"/>
          <w:szCs w:val="21"/>
        </w:rPr>
      </w:pPr>
      <w:r>
        <w:rPr>
          <w:rFonts w:hint="eastAsia" w:ascii="宋体" w:hAnsi="宋体" w:cs="宋体"/>
          <w:szCs w:val="21"/>
        </w:rPr>
        <w:t xml:space="preserve">1、所有证书及合同业绩均以有效的证明文件的复印件加盖公章为依据。</w:t>
      </w:r>
      <w:r/>
    </w:p>
    <w:p>
      <w:pPr>
        <w:ind w:firstLine="420"/>
        <w:spacing w:line="360" w:lineRule="auto"/>
        <w:rPr>
          <w:rFonts w:hint="eastAsia" w:ascii="宋体" w:hAnsi="宋体" w:cs="宋体"/>
          <w:szCs w:val="21"/>
        </w:rPr>
      </w:pPr>
      <w:r>
        <w:rPr>
          <w:rFonts w:hint="eastAsia" w:ascii="宋体" w:hAnsi="宋体" w:cs="宋体"/>
          <w:szCs w:val="21"/>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420"/>
        <w:jc w:val="left"/>
        <w:spacing w:line="360" w:lineRule="auto"/>
        <w:rPr>
          <w:rFonts w:hint="eastAsia" w:ascii="宋体" w:hAnsi="宋体" w:cs="宋体"/>
          <w:szCs w:val="21"/>
        </w:rPr>
      </w:pPr>
      <w:r>
        <w:rPr>
          <w:rFonts w:hint="eastAsia" w:ascii="宋体" w:hAnsi="宋体" w:cs="宋体"/>
          <w:szCs w:val="21"/>
        </w:rPr>
        <w:t xml:space="preserve">3、政府采购政策功能落实</w:t>
      </w:r>
      <w:r/>
    </w:p>
    <w:p>
      <w:pPr>
        <w:ind w:firstLine="420"/>
        <w:jc w:val="left"/>
        <w:spacing w:line="360" w:lineRule="auto"/>
        <w:rPr>
          <w:rFonts w:hint="eastAsia" w:ascii="宋体" w:hAnsi="宋体" w:cs="宋体"/>
          <w:szCs w:val="21"/>
        </w:rPr>
      </w:pPr>
      <w:r>
        <w:rPr>
          <w:rFonts w:hint="eastAsia" w:ascii="宋体" w:hAnsi="宋体" w:cs="宋体"/>
          <w:szCs w:val="21"/>
        </w:rPr>
        <w:t xml:space="preserve">（1）小微型企业价格扣除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本项目对小型和微型企业产品/本项目对小型和微型企业提供的服务 给予10%的扣除价格，用扣除后的价格参与评审。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2</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供应商需按照采购文件的要求提供相应的《小微企业声明函》。</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3</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企业标准请参照《关于印发中小企业划型标准规定的通知》（工信部联企业[2011]300号）文件规定自行填写。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（2）残疾人福利单位价格扣除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本项目对残疾人福利性单位视同小型、微型企业，给予10%的价格扣除，用扣除后的价格参与评审。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2</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3</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残疾人福利单位标准请参照《关于促进残疾人就业政府采购政策的通知》（财库〔2017〕141号）。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1</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本项目对监狱和戒毒企业（简称监狱企业）视同小型、微型企业，给予10%的价格扣除，用扣除后的价格参与评审。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2</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2"/>
          <w:sz w:val="14"/>
          <w:szCs w:val="21"/>
        </w:rPr>
        <w:instrText xml:space="preserve">3</w:instrText>
      </w:r>
      <w:r>
        <w:rPr>
          <w:rFonts w:hint="eastAsia" w:ascii="宋体" w:hAnsi="宋体" w:cs="宋体"/>
          <w:szCs w:val="21"/>
        </w:rPr>
        <w:instrText xml:space="preserve">)</w:instrText>
      </w:r>
      <w:r>
        <w:rPr>
          <w:rFonts w:hint="eastAsia" w:ascii="宋体" w:hAnsi="宋体" w:cs="宋体"/>
          <w:szCs w:val="21"/>
        </w:rPr>
        <w:fldChar w:fldCharType="end"/>
      </w:r>
      <w:r>
        <w:rPr>
          <w:rFonts w:hint="eastAsia" w:ascii="宋体" w:hAnsi="宋体" w:cs="宋体"/>
          <w:szCs w:val="21"/>
        </w:rPr>
        <w:t xml:space="preserve">监狱企业标准请参照《关于政府采购支持监狱企业发展有关问题的通知》（财库[2014]68号）。</w:t>
      </w:r>
      <w:r/>
    </w:p>
    <w:p>
      <w:pPr>
        <w:ind w:firstLine="420"/>
        <w:jc w:val="left"/>
        <w:spacing w:line="360" w:lineRule="auto"/>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hint="eastAsia" w:ascii="宋体" w:hAnsi="宋体" w:cs="宋体"/>
          <w:szCs w:val="21"/>
        </w:rPr>
      </w:pPr>
      <w:r>
        <w:rPr>
          <w:rFonts w:hint="eastAsia" w:ascii="宋体" w:hAnsi="宋体" w:cs="宋体"/>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420"/>
        <w:spacing w:line="360" w:lineRule="auto"/>
        <w:rPr>
          <w:rFonts w:hint="eastAsia" w:ascii="宋体" w:hAnsi="宋体" w:cs="宋体"/>
          <w:szCs w:val="21"/>
        </w:rPr>
      </w:pPr>
      <w:r>
        <w:rPr>
          <w:rFonts w:hint="eastAsia" w:ascii="宋体" w:hAnsi="宋体" w:cs="宋体"/>
          <w:szCs w:val="21"/>
        </w:rPr>
        <w:t xml:space="preserve">4、磋商小组不保证有效报价最低的供应商成交。 </w:t>
      </w:r>
      <w:r/>
    </w:p>
    <w:p>
      <w:pPr>
        <w:ind w:firstLine="420"/>
        <w:jc w:val="left"/>
        <w:spacing w:line="360" w:lineRule="auto"/>
        <w:rPr>
          <w:rFonts w:hint="eastAsia" w:ascii="宋体" w:hAnsi="宋体" w:cs="宋体"/>
          <w:szCs w:val="21"/>
        </w:rPr>
      </w:pPr>
      <w:r>
        <w:rPr>
          <w:rFonts w:hint="eastAsia" w:ascii="宋体" w:hAnsi="宋体" w:cs="宋体"/>
          <w:szCs w:val="21"/>
        </w:rPr>
        <w:t xml:space="preserve">5、所有认证、证明和业绩均以有效的证明文件的复印件加盖公章为依据（要求提供原件的除外）。</w:t>
      </w:r>
      <w:r/>
    </w:p>
    <w:p>
      <w:pPr>
        <w:ind w:firstLine="420"/>
        <w:jc w:val="left"/>
        <w:spacing w:line="360" w:lineRule="auto"/>
        <w:rPr>
          <w:rFonts w:hint="eastAsia" w:ascii="宋体" w:hAnsi="宋体" w:cs="宋体"/>
          <w:szCs w:val="21"/>
        </w:rPr>
      </w:pPr>
      <w:r>
        <w:rPr>
          <w:rFonts w:hint="eastAsia" w:ascii="宋体" w:hAnsi="宋体" w:cs="宋体"/>
          <w:szCs w:val="21"/>
        </w:rPr>
        <w:t xml:space="preserve">6、若供应商提供虚假资料，一经查实作无效文件处理。上述评分办法均以磋商文件、评委的判断为准。 </w:t>
      </w:r>
      <w:r/>
    </w:p>
    <w:p>
      <w:pPr>
        <w:ind w:firstLine="683"/>
        <w:jc w:val="center"/>
        <w:spacing w:line="360" w:lineRule="auto"/>
        <w:rPr>
          <w:rFonts w:hint="eastAsia" w:ascii="黑体" w:hAnsi="宋体" w:eastAsia="黑体"/>
          <w:b/>
          <w:bCs/>
          <w:spacing w:val="-10"/>
          <w:sz w:val="36"/>
          <w:szCs w:val="36"/>
          <w:lang w:val="zh-CN"/>
        </w:rPr>
        <w:outlineLvl w:val="0"/>
      </w:pPr>
      <w:r>
        <w:rPr>
          <w:rFonts w:hint="eastAsia" w:ascii="黑体" w:hAnsi="宋体" w:eastAsia="黑体"/>
          <w:b/>
          <w:bCs/>
          <w:spacing w:val="-10"/>
          <w:sz w:val="36"/>
          <w:szCs w:val="36"/>
        </w:rPr>
        <w:br w:type="page" w:clear="all"/>
      </w:r>
      <w:bookmarkStart w:id="56" w:name="_Toc3010"/>
      <w:r>
        <w:rPr>
          <w:rFonts w:hint="eastAsia" w:ascii="黑体" w:hAnsi="Arial" w:eastAsia="黑体" w:cs="Arial"/>
          <w:b/>
          <w:bCs/>
          <w:sz w:val="36"/>
          <w:szCs w:val="36"/>
          <w:lang w:val="zh-CN"/>
        </w:rPr>
        <w:t xml:space="preserve">第四章 </w:t>
      </w:r>
      <w:bookmarkEnd w:id="54"/>
      <w:r>
        <w:rPr>
          <w:rFonts w:hint="eastAsia" w:ascii="黑体" w:hAnsi="Arial" w:eastAsia="黑体" w:cs="Arial"/>
          <w:b/>
          <w:bCs/>
          <w:sz w:val="36"/>
          <w:szCs w:val="36"/>
          <w:lang w:val="zh-CN"/>
        </w:rPr>
        <w:t xml:space="preserve">采购需求</w:t>
      </w:r>
      <w:bookmarkEnd w:id="56"/>
      <w:r/>
      <w:r/>
    </w:p>
    <w:p>
      <w:pPr>
        <w:ind w:firstLine="482"/>
        <w:spacing w:line="360" w:lineRule="auto"/>
        <w:rPr>
          <w:rFonts w:hint="eastAsia" w:ascii="宋体" w:hAnsi="宋体" w:cs="宋体"/>
          <w:lang w:val="zh-CN"/>
        </w:rPr>
      </w:pPr>
      <w:r/>
      <w:bookmarkStart w:id="57" w:name="_Toc22755"/>
      <w:r/>
      <w:bookmarkStart w:id="58" w:name="_Toc488329636"/>
      <w:r>
        <w:rPr>
          <w:rFonts w:hint="eastAsia" w:ascii="宋体" w:hAnsi="宋体" w:cs="宋体"/>
          <w:b/>
          <w:bCs/>
          <w:sz w:val="24"/>
          <w:szCs w:val="24"/>
          <w:lang w:val="zh-CN"/>
        </w:rPr>
        <w:t xml:space="preserve">1.1.项目概述</w:t>
      </w:r>
      <w:r/>
    </w:p>
    <w:p>
      <w:pPr>
        <w:pStyle w:val="1039"/>
        <w:spacing w:line="360" w:lineRule="auto"/>
        <w:rPr>
          <w:rFonts w:hint="eastAsia" w:ascii="宋体" w:hAnsi="宋体" w:cs="宋体"/>
        </w:rPr>
      </w:pPr>
      <w:r>
        <w:rPr>
          <w:rFonts w:hint="eastAsia" w:ascii="宋体" w:hAnsi="宋体" w:cs="宋体"/>
          <w:szCs w:val="24"/>
        </w:rPr>
        <w:t xml:space="preserve">因业务发展和管理需要，江苏省省级机关住房资金管理中心（以下简称“资金中心”）采购信息系统</w:t>
      </w:r>
      <w:r>
        <w:rPr>
          <w:rFonts w:hint="eastAsia" w:ascii="宋体" w:hAnsi="宋体" w:cs="宋体"/>
          <w:szCs w:val="24"/>
          <w:lang w:val="zh-CN"/>
        </w:rPr>
        <w:t xml:space="preserve">全面服务外包，内容包括：</w:t>
      </w:r>
      <w:r>
        <w:rPr>
          <w:rFonts w:hint="eastAsia" w:ascii="宋体" w:hAnsi="宋体" w:cs="宋体"/>
          <w:szCs w:val="24"/>
        </w:rPr>
        <w:t xml:space="preserve">系统外包服务、人员</w:t>
      </w:r>
      <w:r>
        <w:rPr>
          <w:rFonts w:hint="eastAsia" w:ascii="宋体" w:hAnsi="宋体" w:cs="宋体"/>
          <w:color w:val="000000"/>
          <w:szCs w:val="24"/>
        </w:rPr>
        <w:t xml:space="preserve">维护管理、</w:t>
      </w:r>
      <w:r>
        <w:rPr>
          <w:rFonts w:hint="eastAsia" w:ascii="宋体" w:hAnsi="宋体" w:cs="宋体"/>
          <w:szCs w:val="24"/>
          <w:lang w:val="zh-CN"/>
        </w:rPr>
        <w:t xml:space="preserve">机房托管、电路更新改造</w:t>
      </w:r>
      <w:r>
        <w:rPr>
          <w:rFonts w:hint="eastAsia" w:ascii="宋体" w:hAnsi="宋体" w:cs="宋体"/>
          <w:color w:val="000000"/>
          <w:szCs w:val="24"/>
        </w:rPr>
        <w:t xml:space="preserve">等</w:t>
      </w:r>
      <w:r>
        <w:rPr>
          <w:rFonts w:hint="eastAsia" w:ascii="宋体" w:hAnsi="宋体" w:cs="宋体"/>
          <w:szCs w:val="24"/>
        </w:rPr>
        <w:t xml:space="preserve">，现</w:t>
      </w:r>
      <w:r>
        <w:rPr>
          <w:rFonts w:hint="eastAsia" w:ascii="宋体" w:hAnsi="宋体" w:cs="宋体"/>
          <w:color w:val="000000"/>
          <w:szCs w:val="32"/>
        </w:rPr>
        <w:t xml:space="preserve">相关服务已经到期。为保证</w:t>
      </w:r>
      <w:r>
        <w:rPr>
          <w:rFonts w:hint="eastAsia" w:ascii="宋体" w:hAnsi="宋体" w:cs="宋体"/>
          <w:color w:val="000000"/>
          <w:szCs w:val="24"/>
        </w:rPr>
        <w:t xml:space="preserve">资金中心信息系统的</w:t>
      </w:r>
      <w:r>
        <w:rPr>
          <w:rFonts w:hint="eastAsia" w:ascii="宋体" w:hAnsi="宋体" w:cs="宋体"/>
          <w:color w:val="000000"/>
          <w:szCs w:val="32"/>
        </w:rPr>
        <w:t xml:space="preserve">安全平稳运行，现对到期的相关服务进行采购。</w:t>
      </w:r>
      <w:r/>
    </w:p>
    <w:p>
      <w:pPr>
        <w:ind w:firstLine="482"/>
        <w:spacing w:line="360" w:lineRule="auto"/>
        <w:rPr>
          <w:rFonts w:hint="eastAsia" w:ascii="宋体" w:hAnsi="宋体" w:cs="宋体"/>
          <w:b/>
          <w:bCs/>
          <w:sz w:val="24"/>
          <w:szCs w:val="24"/>
          <w:lang w:val="zh-CN"/>
        </w:rPr>
      </w:pPr>
      <w:r/>
      <w:bookmarkStart w:id="59" w:name="_Toc24049168"/>
      <w:r>
        <w:rPr>
          <w:rFonts w:hint="eastAsia" w:ascii="宋体" w:hAnsi="宋体" w:cs="宋体"/>
          <w:b/>
          <w:bCs/>
          <w:sz w:val="24"/>
          <w:szCs w:val="24"/>
          <w:lang w:val="zh-CN"/>
        </w:rPr>
        <w:t xml:space="preserve">1.2.信息系统现状</w:t>
      </w:r>
      <w:bookmarkEnd w:id="59"/>
      <w:r/>
      <w:r/>
    </w:p>
    <w:p>
      <w:pPr>
        <w:ind w:firstLine="482"/>
        <w:spacing w:line="360" w:lineRule="auto"/>
        <w:rPr>
          <w:rFonts w:hint="eastAsia" w:ascii="宋体" w:hAnsi="宋体" w:cs="宋体"/>
          <w:b/>
          <w:bCs/>
          <w:sz w:val="24"/>
          <w:szCs w:val="24"/>
          <w:lang w:val="zh-CN"/>
        </w:rPr>
      </w:pPr>
      <w:r/>
      <w:bookmarkStart w:id="60" w:name="_Toc161949123"/>
      <w:r/>
      <w:bookmarkStart w:id="61" w:name="_Toc156336526"/>
      <w:r>
        <w:rPr>
          <w:rFonts w:hint="eastAsia" w:ascii="宋体" w:hAnsi="宋体" w:cs="宋体"/>
          <w:b/>
          <w:bCs/>
          <w:sz w:val="24"/>
          <w:szCs w:val="24"/>
        </w:rPr>
        <w:t xml:space="preserve">1.2.1.</w:t>
      </w:r>
      <w:r>
        <w:rPr>
          <w:rFonts w:hint="eastAsia" w:ascii="宋体" w:hAnsi="宋体" w:cs="宋体"/>
          <w:b/>
          <w:bCs/>
          <w:sz w:val="24"/>
          <w:szCs w:val="24"/>
          <w:lang w:val="zh-CN"/>
        </w:rPr>
        <w:t xml:space="preserve">内审风控系统</w:t>
      </w:r>
      <w:bookmarkEnd w:id="60"/>
      <w:r/>
      <w:r/>
    </w:p>
    <w:p>
      <w:pPr>
        <w:ind w:firstLine="420"/>
        <w:spacing w:line="360" w:lineRule="auto"/>
        <w:rPr>
          <w:rFonts w:hint="eastAsia" w:ascii="宋体" w:hAnsi="宋体" w:cs="宋体"/>
          <w:szCs w:val="24"/>
        </w:rPr>
      </w:pPr>
      <w:r/>
      <w:bookmarkStart w:id="62" w:name="_Hlk58246960"/>
      <w:r>
        <w:rPr>
          <w:rFonts w:hint="eastAsia" w:ascii="宋体" w:hAnsi="宋体" w:cs="宋体"/>
          <w:szCs w:val="24"/>
        </w:rPr>
        <w:t xml:space="preserve">江苏省省级机关住房资金管理中心内审风控信息系统主要包括风险隐患整改子系统、内审（稽核）子系统、警示教育子系统、风控大数据平台及风险智能防控子系统。</w:t>
      </w:r>
      <w:bookmarkEnd w:id="62"/>
      <w:r/>
      <w:r/>
    </w:p>
    <w:p>
      <w:pPr>
        <w:ind w:firstLine="420"/>
        <w:spacing w:line="360" w:lineRule="auto"/>
        <w:rPr>
          <w:rFonts w:hint="eastAsia" w:ascii="宋体" w:hAnsi="宋体" w:cs="宋体"/>
          <w:szCs w:val="24"/>
        </w:rPr>
      </w:pPr>
      <w:r>
        <w:rPr>
          <w:rFonts w:hint="eastAsia" w:ascii="宋体" w:hAnsi="宋体" w:cs="宋体"/>
          <w:szCs w:val="24"/>
        </w:rPr>
        <w:t xml:space="preserve">风险隐患监测整改子系统用于实现中心风险疑点台账建立、疑点数据排查、下发、整改留痕、跟踪全流程化处理服务，</w:t>
      </w:r>
      <w:r>
        <w:rPr>
          <w:rFonts w:hint="eastAsia" w:ascii="宋体" w:hAnsi="宋体" w:cs="宋体"/>
          <w:szCs w:val="24"/>
        </w:rPr>
        <w:t xml:space="preserve">主要包括检查规则管理、风险隐患筛查、建议疑点台账、风险疑点下发、风险疑点分类、白名单管理、整改责任确定、区分疑点历史新增、整改过程留痕、整改进度跟踪、统计分析等功能；</w:t>
      </w:r>
      <w:r/>
    </w:p>
    <w:p>
      <w:pPr>
        <w:ind w:firstLine="420"/>
        <w:spacing w:line="360" w:lineRule="auto"/>
        <w:rPr>
          <w:rFonts w:hint="eastAsia" w:ascii="宋体" w:hAnsi="宋体" w:cs="宋体"/>
          <w:szCs w:val="24"/>
        </w:rPr>
      </w:pPr>
      <w:r>
        <w:rPr>
          <w:rFonts w:hint="eastAsia" w:ascii="宋体" w:hAnsi="宋体" w:cs="宋体"/>
          <w:szCs w:val="24"/>
        </w:rPr>
        <w:t xml:space="preserve">内审稽核子系统用于实现内部审计工作线上自动流转、审计数据的自动推送，同时结合外部数据进行多维度分析，提取内部审计信息，辅助内部审计人员做出科学高效的判断，主要包括项目模型管理、审计模型试用、审计模型发布、外部数据引入、预警及数据筛选、业务账户审计、资金流入业务审计、资金流出业务审计、非结算资金业务审计、财务账表审计、财务合规性审计、财务一致性审计、稽核检查、沟通处理、任务监控等功能；</w:t>
      </w:r>
      <w:r/>
    </w:p>
    <w:p>
      <w:pPr>
        <w:ind w:firstLine="420"/>
        <w:spacing w:line="360" w:lineRule="auto"/>
        <w:rPr>
          <w:rFonts w:hint="eastAsia" w:ascii="宋体" w:hAnsi="宋体" w:cs="宋体"/>
          <w:szCs w:val="24"/>
        </w:rPr>
      </w:pPr>
      <w:r>
        <w:rPr>
          <w:rFonts w:hint="eastAsia" w:ascii="宋体" w:hAnsi="宋体" w:cs="宋体"/>
          <w:szCs w:val="24"/>
        </w:rPr>
        <w:t xml:space="preserve">警示教育子系统用于进一步深化以案示警、以案明纪，主要包括廉政风险防控指标管理、题库及在线答题设立依据维护、方案设置、案例分享、题库设立、在线答题等功能；</w:t>
      </w:r>
      <w:r/>
    </w:p>
    <w:p>
      <w:pPr>
        <w:ind w:firstLine="420"/>
        <w:spacing w:line="360" w:lineRule="auto"/>
        <w:rPr>
          <w:rFonts w:hint="eastAsia" w:ascii="宋体" w:hAnsi="宋体" w:cs="宋体"/>
          <w:szCs w:val="24"/>
        </w:rPr>
      </w:pPr>
      <w:r>
        <w:rPr>
          <w:rFonts w:hint="eastAsia" w:ascii="宋体" w:hAnsi="宋体" w:cs="宋体"/>
          <w:szCs w:val="24"/>
        </w:rPr>
        <w:t xml:space="preserve">风控大数据平台及风险智能防控子系统用于实现内审稽核系统与人社、民政、公安、工商、税务、不动产等外部系统的接口，获取相关信息，实现跨系统的事中核验比对，主要包括与业务系统的事中控制接口、与外部系统的数据接口以及风控大数据平台的管理功能。</w:t>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1.2.2.</w:t>
      </w:r>
      <w:r>
        <w:rPr>
          <w:rFonts w:hint="eastAsia" w:ascii="宋体" w:hAnsi="宋体" w:cs="宋体"/>
          <w:b/>
          <w:bCs/>
          <w:sz w:val="24"/>
          <w:szCs w:val="24"/>
          <w:lang w:val="zh-CN"/>
        </w:rPr>
        <w:t xml:space="preserve">贷款智能化审批平台系统</w:t>
      </w:r>
      <w:r/>
    </w:p>
    <w:p>
      <w:pPr>
        <w:pStyle w:val="1039"/>
        <w:spacing w:line="360" w:lineRule="auto"/>
        <w:rPr>
          <w:rFonts w:hint="eastAsia" w:ascii="宋体" w:hAnsi="宋体" w:cs="宋体"/>
        </w:rPr>
      </w:pPr>
      <w:r>
        <w:rPr>
          <w:rFonts w:hint="eastAsia" w:ascii="宋体" w:hAnsi="宋体" w:cs="宋体"/>
        </w:rPr>
        <w:t xml:space="preserve">为切实落实“互联网+政务”工作要求，维护住房公积金缴存职工购房贷款权益，压缩贷款办理时限，借鉴商业银行个贷业务管理经验，</w:t>
      </w:r>
      <w:r/>
    </w:p>
    <w:p>
      <w:pPr>
        <w:pStyle w:val="1039"/>
        <w:spacing w:line="360" w:lineRule="auto"/>
        <w:rPr>
          <w:rFonts w:hint="eastAsia" w:ascii="宋体" w:hAnsi="宋体" w:cs="宋体"/>
        </w:rPr>
      </w:pPr>
      <w:r>
        <w:rPr>
          <w:rFonts w:hint="eastAsia" w:ascii="宋体" w:hAnsi="宋体" w:cs="宋体"/>
        </w:rPr>
        <w:t xml:space="preserve">搭建了智能化审批平台，提高公积金委托贷款的审批效率，目前系统实现了：</w:t>
      </w:r>
      <w:r/>
    </w:p>
    <w:p>
      <w:pPr>
        <w:pStyle w:val="1039"/>
        <w:spacing w:line="360" w:lineRule="auto"/>
        <w:rPr>
          <w:rFonts w:hint="eastAsia" w:ascii="宋体" w:hAnsi="宋体" w:cs="宋体"/>
        </w:rPr>
      </w:pPr>
      <w:r>
        <w:rPr>
          <w:rFonts w:hint="eastAsia" w:ascii="宋体" w:hAnsi="宋体" w:cs="宋体"/>
        </w:rPr>
        <w:t xml:space="preserve">1.将服务信息线上化，线上获取借款人的贷款数据，及时响应贷款申请，提升客户体验；</w:t>
      </w:r>
      <w:r/>
    </w:p>
    <w:p>
      <w:pPr>
        <w:pStyle w:val="1039"/>
        <w:spacing w:line="360" w:lineRule="auto"/>
        <w:rPr>
          <w:rFonts w:hint="eastAsia" w:ascii="宋体" w:hAnsi="宋体" w:cs="宋体"/>
        </w:rPr>
      </w:pPr>
      <w:r>
        <w:rPr>
          <w:rFonts w:hint="eastAsia" w:ascii="宋体" w:hAnsi="宋体" w:cs="宋体"/>
        </w:rPr>
        <w:t xml:space="preserve">2.公积金委托贷款与商业银行贷款同时受理、同时预审，优化贷款的办理流程，压缩放款时间；</w:t>
      </w:r>
      <w:r/>
    </w:p>
    <w:p>
      <w:pPr>
        <w:pStyle w:val="1039"/>
        <w:spacing w:line="360" w:lineRule="auto"/>
        <w:rPr>
          <w:rFonts w:hint="eastAsia" w:ascii="宋体" w:hAnsi="宋体" w:cs="宋体"/>
        </w:rPr>
      </w:pPr>
      <w:r>
        <w:rPr>
          <w:rFonts w:hint="eastAsia" w:ascii="宋体" w:hAnsi="宋体" w:cs="宋体"/>
        </w:rPr>
        <w:t xml:space="preserve">3.贷款申请全流程无纸化办理，借款人通过互联网平台提交电子文档，中心通过系统实现贷款信息的即时校验，</w:t>
      </w:r>
      <w:r/>
    </w:p>
    <w:p>
      <w:pPr>
        <w:pStyle w:val="1039"/>
        <w:spacing w:line="360" w:lineRule="auto"/>
        <w:rPr>
          <w:rFonts w:hint="eastAsia" w:ascii="宋体" w:hAnsi="宋体" w:cs="宋体"/>
        </w:rPr>
      </w:pPr>
      <w:r>
        <w:rPr>
          <w:rFonts w:hint="eastAsia" w:ascii="宋体" w:hAnsi="宋体" w:cs="宋体"/>
        </w:rPr>
        <w:t xml:space="preserve">征信报告通过人行直连接口获取，既能简化各机构重复的流程，又有效解决了审批效率和贷款风险防控的矛盾。</w:t>
      </w:r>
      <w:r/>
    </w:p>
    <w:p>
      <w:pPr>
        <w:pStyle w:val="1039"/>
        <w:spacing w:line="360" w:lineRule="auto"/>
        <w:rPr>
          <w:rFonts w:hint="eastAsia" w:ascii="宋体" w:hAnsi="宋体" w:cs="宋体"/>
        </w:rPr>
      </w:pPr>
      <w:r>
        <w:rPr>
          <w:rFonts w:hint="eastAsia" w:ascii="宋体" w:hAnsi="宋体" w:cs="宋体"/>
        </w:rPr>
        <w:t xml:space="preserve">4.数据不落地，流程引擎驱动业务办理，运用信息化技术手段与民政、住建、不动产登记中心、人民银行等相关部门实现系统对接，</w:t>
      </w:r>
      <w:r/>
    </w:p>
    <w:p>
      <w:pPr>
        <w:pStyle w:val="1039"/>
        <w:spacing w:line="360" w:lineRule="auto"/>
        <w:rPr>
          <w:rFonts w:hint="eastAsia" w:ascii="宋体" w:hAnsi="宋体" w:cs="宋体"/>
        </w:rPr>
      </w:pPr>
      <w:r>
        <w:rPr>
          <w:rFonts w:hint="eastAsia" w:ascii="宋体" w:hAnsi="宋体" w:cs="宋体"/>
        </w:rPr>
        <w:t xml:space="preserve">建立住房公积金贷款业务办理信息共享机制，让数据多跑路，职工不跑腿或少跑腿。</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1.2.3.维修资金系统</w:t>
      </w:r>
      <w:r/>
    </w:p>
    <w:p>
      <w:pPr>
        <w:ind w:firstLine="420"/>
        <w:spacing w:line="360" w:lineRule="auto"/>
        <w:rPr>
          <w:rFonts w:hint="eastAsia" w:ascii="宋体" w:hAnsi="宋体" w:cs="宋体"/>
        </w:rPr>
      </w:pPr>
      <w:r>
        <w:rPr>
          <w:rFonts w:hint="eastAsia" w:ascii="宋体" w:hAnsi="宋体" w:cs="宋体"/>
        </w:rPr>
        <w:t xml:space="preserve"> 住</w:t>
      </w:r>
      <w:r>
        <w:rPr>
          <w:rFonts w:hint="eastAsia" w:ascii="宋体" w:hAnsi="宋体" w:cs="宋体"/>
        </w:rPr>
        <w:t xml:space="preserve">宅专项维修资金是房屋的“养老金”，对保障江苏省省级机关公房的安居起着至关重要的作用。系统以《江苏省住宅专项维修资金管理办法》（苏建房管﹝2014﹞208号）、《民法典》《物业管理条例》《江苏省物业管理条例》（建设部、财政部令第165号），为法律依据。       系统建设维修资金交存、使用、增值、核算的全生命周期管理。系统主要包含八大业务模块：交存管理（含退款）、使用管理（含清退）、物业区域管理、资金管理、机构管理、统计报表、核算管理（票账通）和统计报表。系统当前有银企直连、业财一体化、年底自动结息等亮点。</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1.2.4.周转住房信息管理系统</w:t>
      </w:r>
      <w:r/>
    </w:p>
    <w:p>
      <w:pPr>
        <w:ind w:firstLine="420"/>
        <w:spacing w:line="360" w:lineRule="auto"/>
        <w:rPr>
          <w:rFonts w:hint="eastAsia" w:ascii="宋体" w:hAnsi="宋体" w:cs="宋体"/>
        </w:rPr>
      </w:pPr>
      <w:r>
        <w:rPr>
          <w:rFonts w:hint="eastAsia" w:ascii="宋体" w:hAnsi="宋体" w:cs="宋体"/>
          <w:szCs w:val="24"/>
        </w:rPr>
        <w:t xml:space="preserve">江苏省省级机关周转住房信息管理系统，主要可以解决管理局工作人员管理周转住房、存量房流程繁琐、工作量大等问题。整个住房管理系统包括PC端的管理平台、移动端的申请平台。管理平台将对人员、房屋、配租等进行管理；移动端提供看房、申请提交资料、缴费等服务。</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1.3.项目采购内容和要求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1.3.1.采购清单</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3"/>
        <w:gridCol w:w="6384"/>
      </w:tblGrid>
      <w:tr>
        <w:trPr/>
        <w:tc>
          <w:tcPr>
            <w:tcW w:w="1813" w:type="dxa"/>
            <w:textDirection w:val="lrTb"/>
            <w:noWrap w:val="false"/>
          </w:tcPr>
          <w:p>
            <w:pPr>
              <w:ind w:firstLine="420"/>
              <w:spacing w:line="360" w:lineRule="auto"/>
              <w:rPr>
                <w:rFonts w:hint="eastAsia" w:ascii="宋体" w:hAnsi="宋体" w:cs="宋体"/>
              </w:rPr>
            </w:pPr>
            <w:r>
              <w:rPr>
                <w:rFonts w:hint="eastAsia" w:ascii="宋体" w:hAnsi="宋体" w:cs="宋体"/>
              </w:rPr>
              <w:t xml:space="preserve">序号</w:t>
            </w:r>
            <w:r/>
          </w:p>
        </w:tc>
        <w:tc>
          <w:tcPr>
            <w:tcW w:w="6384"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采购内容</w:t>
            </w:r>
            <w:r/>
          </w:p>
        </w:tc>
      </w:tr>
      <w:tr>
        <w:trPr/>
        <w:tc>
          <w:tcPr>
            <w:tcW w:w="1813"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1</w:t>
            </w:r>
            <w:r/>
          </w:p>
        </w:tc>
        <w:tc>
          <w:tcPr>
            <w:tcW w:w="6384" w:type="dxa"/>
            <w:textDirection w:val="lrTb"/>
            <w:noWrap w:val="false"/>
          </w:tcPr>
          <w:p>
            <w:pPr>
              <w:pStyle w:val="1351"/>
              <w:ind w:firstLine="400"/>
              <w:jc w:val="left"/>
              <w:spacing w:line="360" w:lineRule="auto"/>
              <w:rPr>
                <w:rFonts w:hint="eastAsia"/>
              </w:rPr>
            </w:pPr>
            <w:r>
              <w:rPr>
                <w:rFonts w:hint="eastAsia"/>
              </w:rPr>
              <w:t xml:space="preserve">内审风控系统服务外包、贷款智能化审批平台系统服务外包、维修资金系统服务外包、周转住房信息管理系统服务外包</w:t>
            </w:r>
            <w:r/>
          </w:p>
        </w:tc>
      </w:tr>
      <w:tr>
        <w:trPr>
          <w:trHeight w:val="426"/>
        </w:trPr>
        <w:tc>
          <w:tcPr>
            <w:tcW w:w="1813"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2</w:t>
            </w:r>
            <w:r/>
          </w:p>
        </w:tc>
        <w:tc>
          <w:tcPr>
            <w:tcW w:w="6384" w:type="dxa"/>
            <w:textDirection w:val="lrTb"/>
            <w:noWrap w:val="false"/>
          </w:tcPr>
          <w:p>
            <w:pPr>
              <w:pStyle w:val="1351"/>
              <w:ind w:firstLine="400"/>
              <w:spacing w:line="360" w:lineRule="auto"/>
              <w:rPr>
                <w:rFonts w:hint="eastAsia"/>
              </w:rPr>
            </w:pPr>
            <w:r>
              <w:rPr>
                <w:rFonts w:hint="eastAsia"/>
              </w:rPr>
              <w:t xml:space="preserve">运维服务</w:t>
            </w:r>
            <w:r/>
          </w:p>
        </w:tc>
      </w:tr>
      <w:tr>
        <w:trPr/>
        <w:tc>
          <w:tcPr>
            <w:tcW w:w="1813" w:type="dxa"/>
            <w:textDirection w:val="lrTb"/>
            <w:noWrap w:val="false"/>
          </w:tcPr>
          <w:p>
            <w:pPr>
              <w:ind w:firstLine="420"/>
              <w:jc w:val="center"/>
              <w:spacing w:line="360" w:lineRule="auto"/>
              <w:rPr>
                <w:rFonts w:hint="eastAsia" w:ascii="宋体" w:hAnsi="宋体" w:cs="宋体"/>
              </w:rPr>
            </w:pPr>
            <w:r>
              <w:rPr>
                <w:rFonts w:hint="eastAsia" w:ascii="宋体" w:hAnsi="宋体" w:cs="宋体"/>
              </w:rPr>
              <w:t xml:space="preserve">3</w:t>
            </w:r>
            <w:r/>
          </w:p>
        </w:tc>
        <w:tc>
          <w:tcPr>
            <w:tcW w:w="6384" w:type="dxa"/>
            <w:textDirection w:val="lrTb"/>
            <w:noWrap w:val="false"/>
          </w:tcPr>
          <w:p>
            <w:pPr>
              <w:pStyle w:val="1351"/>
              <w:ind w:firstLine="400"/>
              <w:spacing w:line="360" w:lineRule="auto"/>
              <w:rPr>
                <w:rFonts w:hint="eastAsia"/>
              </w:rPr>
            </w:pPr>
            <w:r>
              <w:rPr>
                <w:rFonts w:hint="eastAsia"/>
              </w:rPr>
              <w:t xml:space="preserve">配套机柜及线路</w:t>
            </w:r>
            <w:r/>
          </w:p>
        </w:tc>
      </w:tr>
    </w:tbl>
    <w:p>
      <w:pPr>
        <w:ind w:firstLine="482"/>
        <w:spacing w:line="360" w:lineRule="auto"/>
        <w:rPr>
          <w:rFonts w:hint="eastAsia" w:ascii="宋体" w:hAnsi="宋体" w:cs="宋体"/>
          <w:b/>
          <w:bCs/>
          <w:sz w:val="24"/>
          <w:szCs w:val="24"/>
        </w:rPr>
      </w:pPr>
      <w:r/>
      <w:bookmarkStart w:id="63" w:name="_Toc36135017"/>
      <w:r>
        <w:rPr>
          <w:rFonts w:hint="eastAsia" w:ascii="宋体" w:hAnsi="宋体" w:cs="宋体"/>
          <w:b/>
          <w:bCs/>
          <w:sz w:val="24"/>
          <w:szCs w:val="24"/>
        </w:rPr>
        <w:t xml:space="preserve">1.3.2. </w:t>
      </w:r>
      <w:bookmarkEnd w:id="63"/>
      <w:r>
        <w:rPr>
          <w:rFonts w:hint="eastAsia" w:ascii="宋体" w:hAnsi="宋体" w:cs="宋体"/>
          <w:b/>
          <w:bCs/>
          <w:sz w:val="24"/>
          <w:szCs w:val="24"/>
        </w:rPr>
        <w:t xml:space="preserve">服务外包整体技术要求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1.3.2.1.服务目标</w:t>
      </w:r>
      <w:r/>
    </w:p>
    <w:p>
      <w:pPr>
        <w:ind w:firstLine="420"/>
        <w:spacing w:line="360" w:lineRule="auto"/>
        <w:rPr>
          <w:rFonts w:hint="eastAsia" w:ascii="宋体" w:hAnsi="宋体" w:cs="宋体"/>
        </w:rPr>
      </w:pPr>
      <w:r>
        <w:rPr>
          <w:rFonts w:hint="eastAsia" w:ascii="宋体" w:hAnsi="宋体" w:cs="宋体"/>
          <w:szCs w:val="24"/>
        </w:rPr>
        <w:t xml:space="preserve">为资金中心</w:t>
      </w:r>
      <w:r>
        <w:rPr>
          <w:rFonts w:hint="eastAsia" w:ascii="宋体" w:hAnsi="宋体" w:cs="宋体"/>
          <w:szCs w:val="24"/>
          <w:lang w:val="zh-CN"/>
        </w:rPr>
        <w:t xml:space="preserve">现有各类设备提供运行维护服务，</w:t>
      </w:r>
      <w:r>
        <w:rPr>
          <w:rFonts w:hint="eastAsia" w:ascii="宋体" w:hAnsi="宋体" w:cs="宋体"/>
          <w:szCs w:val="24"/>
        </w:rPr>
        <w:t xml:space="preserve">保证及时发现并排除软硬件设备故障，并提供全面、专业、安全、可靠的运行维护保障服务。</w:t>
      </w:r>
      <w:r>
        <w:rPr>
          <w:rFonts w:hint="eastAsia" w:ascii="宋体" w:hAnsi="宋体" w:cs="宋体"/>
          <w:bCs/>
          <w:color w:val="000000"/>
          <w:szCs w:val="24"/>
        </w:rPr>
        <w:t xml:space="preserve">具备涵盖本项目软硬件设备的技术服务能力，确保各类故障或问题能够得到及时、专业的处置。</w:t>
      </w:r>
      <w:r>
        <w:rPr>
          <w:rFonts w:hint="eastAsia" w:ascii="宋体" w:hAnsi="宋体" w:cs="宋体"/>
          <w:bCs/>
        </w:rPr>
        <w:t xml:space="preserve">负责安全设备和软件的日常维护和技术支撑服务相关工作，对安全设备进行统一管理，并为业务系统提供安全服务与支撑。同时为非安全设备提供运维运营服务，</w:t>
      </w:r>
      <w:r>
        <w:rPr>
          <w:rFonts w:hint="eastAsia" w:ascii="宋体" w:hAnsi="宋体" w:cs="宋体"/>
          <w:szCs w:val="24"/>
        </w:rPr>
        <w:t xml:space="preserve">包括日常巡检、设备和软件平台的运行状态监控、故障定位（无需提供软硬件更换服务）等。</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1.3.2.2.服务要求</w:t>
      </w:r>
      <w:r/>
    </w:p>
    <w:p>
      <w:pPr>
        <w:ind w:firstLine="420"/>
        <w:spacing w:line="360" w:lineRule="auto"/>
        <w:rPr>
          <w:rFonts w:hint="eastAsia" w:ascii="宋体" w:hAnsi="宋体" w:cs="宋体"/>
          <w:szCs w:val="24"/>
        </w:rPr>
      </w:pPr>
      <w:r>
        <w:rPr>
          <w:rFonts w:hint="eastAsia" w:ascii="宋体" w:hAnsi="宋体" w:cs="宋体"/>
          <w:szCs w:val="24"/>
        </w:rPr>
        <w:t xml:space="preserve">资金中心专网系统包括内审风控系统、贷款智能化审批平台系统、维修资金系统、周转住房信息管理系统等。为保障各平台及业务系统网络安全和数据安全，分别在出口区、业务区、跨网交换区、管理区等区域部署多套安全设备及安全防护软件，包括防火墙、VPN设备、网闸、数据库审计等安全产品。</w:t>
      </w:r>
      <w:r/>
    </w:p>
    <w:p>
      <w:pPr>
        <w:ind w:firstLine="440"/>
        <w:spacing w:line="360" w:lineRule="auto"/>
        <w:rPr>
          <w:rFonts w:hint="eastAsia" w:ascii="宋体" w:hAnsi="宋体" w:cs="宋体"/>
          <w:szCs w:val="24"/>
        </w:rPr>
      </w:pPr>
      <w:r>
        <w:rPr>
          <w:rFonts w:hint="eastAsia" w:ascii="宋体" w:hAnsi="宋体" w:cs="宋体"/>
          <w:color w:val="000000"/>
          <w:sz w:val="22"/>
          <w:szCs w:val="22"/>
          <w:lang w:bidi="ar"/>
        </w:rPr>
        <w:t xml:space="preserve">▲</w:t>
      </w:r>
      <w:r>
        <w:rPr>
          <w:rFonts w:hint="eastAsia" w:ascii="宋体" w:hAnsi="宋体" w:cs="宋体"/>
          <w:szCs w:val="24"/>
        </w:rPr>
        <w:t xml:space="preserve">部署有效的安全措施，不断提升业务系统的安全性，以应对日益复杂的安全威胁。保障业务系统正常运行、保护用户信息安全、防止数据泄露等。</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（1）服务要求如下：</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1）系统稳定性</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系统稳定性是信息化服务的基石，确保资金中心专网区业务系统稳定运行，减少系统故障发生的概率。</w:t>
      </w:r>
      <w:r>
        <w:rPr>
          <w:rFonts w:hint="eastAsia" w:ascii="宋体" w:hAnsi="宋体" w:cs="宋体"/>
          <w:color w:val="000000"/>
          <w:sz w:val="22"/>
          <w:szCs w:val="22"/>
          <w:lang w:bidi="ar"/>
        </w:rPr>
        <w:t xml:space="preserve">▲</w:t>
      </w:r>
      <w:r>
        <w:rPr>
          <w:rFonts w:ascii="宋体" w:hAnsi="宋体" w:cs="宋体"/>
          <w:color w:val="000000"/>
          <w:szCs w:val="24"/>
        </w:rPr>
        <w:t xml:space="preserve">系统全年可用率不低于99.9%，年度计划外停机时间不超过8.76小时；提供7×24小时监控，故障发现时间不超过10分钟。</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2）系统安全性</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系统安全性是信息化服务的重要组成部分，要求系统具备完善的权限管理和数据安全保护机制。这包括数据加密、访问控制、漏洞修复等措施，以确保数据和系统的安全。</w:t>
      </w:r>
      <w:r>
        <w:rPr>
          <w:rFonts w:hint="eastAsia" w:ascii="宋体" w:hAnsi="宋体" w:cs="宋体"/>
          <w:color w:val="000000"/>
          <w:sz w:val="22"/>
          <w:szCs w:val="22"/>
          <w:lang w:bidi="ar"/>
        </w:rPr>
        <w:t xml:space="preserve">▲</w:t>
      </w:r>
      <w:r>
        <w:rPr>
          <w:rFonts w:ascii="宋体" w:hAnsi="宋体" w:cs="宋体"/>
          <w:color w:val="000000"/>
          <w:szCs w:val="24"/>
        </w:rPr>
        <w:t xml:space="preserve">具备完善的权限管理和数据安全保护机制，数据传输采用加密方式；高危漏洞24小时内完成修复，中危漏洞72小时内修复；每年至少开展1次安全风险评估。</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3）系统扩展性</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系统扩展性要求系统能够根据业务发展的需要进行功能扩展和升级。这包括系统的模块化设计、微服务架构、消息系统等，以便于后续的扩展和维护。</w:t>
      </w:r>
      <w:r>
        <w:rPr>
          <w:rFonts w:ascii="宋体" w:hAnsi="宋体" w:cs="宋体"/>
          <w:color w:val="000000"/>
          <w:szCs w:val="24"/>
        </w:rPr>
        <w:t xml:space="preserve">采用模块化设计和微服务架构，支持横向扩展；新增功能模块不影响现有系统运行；接口采用标准化协议，支持与第三方系统对接。</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4）性能需求</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性能需求包括数据处理速度快、响应时间短、系统可用率高，以及能够适应大量并发用户访问等。系统应具备高效的数据处理和分析能力。</w:t>
      </w:r>
      <w:r>
        <w:rPr>
          <w:rFonts w:hint="eastAsia" w:ascii="宋体" w:hAnsi="宋体" w:cs="宋体"/>
          <w:color w:val="000000"/>
          <w:sz w:val="22"/>
          <w:szCs w:val="22"/>
          <w:lang w:bidi="ar"/>
        </w:rPr>
        <w:t xml:space="preserve">▲</w:t>
      </w:r>
      <w:r>
        <w:rPr>
          <w:rFonts w:ascii="宋体" w:hAnsi="宋体" w:cs="宋体"/>
          <w:color w:val="000000"/>
          <w:szCs w:val="24"/>
        </w:rPr>
        <w:t xml:space="preserve">系统页面响应时间不超过3秒，复杂查询响应时间不超过10秒；支持不少于100个并发用户访问；CPU平均利用率不超过70%，内存平均利用率不超过75%。</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5）数据管理与交换</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数据管理与交换要求系统遵循统一的数据标准和规范，确保不同系统之间的数据交换和共享的一致性和准确性。采用分布式数据库和数据仓库技术，以应对海量数据的存储和处理需求。</w:t>
      </w:r>
      <w:r>
        <w:rPr>
          <w:rFonts w:hint="eastAsia" w:ascii="宋体" w:hAnsi="宋体" w:cs="宋体"/>
          <w:color w:val="000000"/>
          <w:sz w:val="22"/>
          <w:szCs w:val="22"/>
          <w:lang w:bidi="ar"/>
        </w:rPr>
        <w:t xml:space="preserve">▲</w:t>
      </w:r>
      <w:r>
        <w:rPr>
          <w:rFonts w:ascii="宋体" w:hAnsi="宋体" w:cs="宋体"/>
          <w:color w:val="000000"/>
          <w:szCs w:val="24"/>
        </w:rPr>
        <w:t xml:space="preserve">每日执行增量数据备份，每周执行全量数据备份；数据恢复时间（RTO）不超过4小时，恢复点目标（RPO）不超过24小时。</w:t>
      </w:r>
      <w:r/>
    </w:p>
    <w:p>
      <w:pPr>
        <w:ind w:firstLine="420"/>
        <w:spacing w:line="360" w:lineRule="auto"/>
        <w:rPr>
          <w:rFonts w:hint="eastAsia" w:ascii="宋体" w:hAnsi="宋体" w:cs="宋体"/>
          <w:color w:val="000000"/>
          <w:szCs w:val="24"/>
        </w:rPr>
      </w:pPr>
      <w:r>
        <w:rPr>
          <w:rFonts w:hint="eastAsia" w:ascii="宋体" w:hAnsi="宋体" w:cs="宋体"/>
          <w:color w:val="000000"/>
          <w:szCs w:val="24"/>
        </w:rPr>
        <w:t xml:space="preserve">通过以上技术要求的实施，可以确保信息化服务的高效性、可靠性和安全性，满足单位的长期发展需求。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1.3.3.系统服务外包需求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1.3.3.1.内审风控系统服务外包要求</w:t>
      </w:r>
      <w:r/>
    </w:p>
    <w:p>
      <w:pPr>
        <w:ind w:firstLine="420"/>
        <w:spacing w:line="360" w:lineRule="auto"/>
        <w:rPr>
          <w:rFonts w:hint="eastAsia" w:ascii="宋体" w:hAnsi="宋体" w:cs="宋体"/>
          <w:szCs w:val="24"/>
        </w:rPr>
      </w:pPr>
      <w:r>
        <w:rPr>
          <w:rFonts w:ascii="宋体" w:hAnsi="宋体" w:cs="宋体"/>
          <w:szCs w:val="24"/>
        </w:rPr>
        <w:t xml:space="preserve">▲</w:t>
      </w:r>
      <w:r>
        <w:rPr>
          <w:rFonts w:hint="eastAsia" w:ascii="宋体" w:hAnsi="宋体" w:cs="宋体"/>
          <w:szCs w:val="24"/>
        </w:rPr>
        <w:t xml:space="preserve">经计算，江苏省省级机关住房资金管理中心内审风控信息系统数据库服务器、应用服务器计算能力需求如下：</w:t>
      </w:r>
      <w:r/>
    </w:p>
    <w:tbl>
      <w:tblPr>
        <w:tblStyle w:val="1038"/>
        <w:tblW w:w="0" w:type="auto"/>
        <w:jc w:val="center"/>
        <w:tblLayout w:type="fixed"/>
        <w:tblCellMar>
          <w:left w:w="108" w:type="dxa"/>
          <w:top w:w="0" w:type="dxa"/>
          <w:right w:w="108" w:type="dxa"/>
          <w:bottom w:w="0" w:type="dxa"/>
        </w:tblCellMar>
        <w:tblLook w:val="04A0" w:firstRow="1" w:lastRow="0" w:firstColumn="1" w:lastColumn="0" w:noHBand="0" w:noVBand="1"/>
      </w:tblPr>
      <w:tblGrid>
        <w:gridCol w:w="1691"/>
        <w:gridCol w:w="1134"/>
        <w:gridCol w:w="993"/>
        <w:gridCol w:w="1134"/>
        <w:gridCol w:w="992"/>
        <w:gridCol w:w="992"/>
        <w:gridCol w:w="1350"/>
      </w:tblGrid>
      <w:tr>
        <w:trPr>
          <w:jc w:val="center"/>
          <w:trHeight w:val="879"/>
          <w:tblHeader/>
        </w:trPr>
        <w:tc>
          <w:tcPr>
            <w:shd w:val="clear" w:color="auto" w:fill="ffffff"/>
            <w:tcBorders>
              <w:top w:val="single" w:color="000000" w:sz="8" w:space="0"/>
              <w:left w:val="single" w:color="000000" w:sz="8" w:space="0"/>
              <w:bottom w:val="single" w:color="000000" w:sz="8" w:space="0"/>
              <w:right w:val="single" w:color="000000" w:sz="8" w:space="0"/>
            </w:tcBorders>
            <w:tcW w:w="1691"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系统名称</w:t>
            </w:r>
            <w:r/>
          </w:p>
        </w:tc>
        <w:tc>
          <w:tcPr>
            <w:shd w:val="clear" w:color="auto" w:fill="ffffff"/>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应用服务器CPU</w:t>
            </w:r>
            <w:r/>
          </w:p>
        </w:tc>
        <w:tc>
          <w:tcPr>
            <w:shd w:val="clear" w:color="auto" w:fill="ffffff"/>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应用服务器内存G</w:t>
            </w:r>
            <w:r/>
          </w:p>
        </w:tc>
        <w:tc>
          <w:tcPr>
            <w:shd w:val="clear" w:color="auto" w:fill="ffffff"/>
            <w:tcBorders>
              <w:top w:val="single" w:color="000000" w:sz="8" w:space="0"/>
              <w:left w:val="none" w:color="000000" w:sz="4" w:space="0"/>
              <w:bottom w:val="single" w:color="000000" w:sz="8" w:space="0"/>
              <w:right w:val="single" w:color="000000" w:sz="8" w:space="0"/>
            </w:tcBorders>
            <w:tcW w:w="113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rPr>
              <w:t xml:space="preserve">应用服务器存储容量G</w:t>
            </w:r>
            <w:r/>
          </w:p>
        </w:tc>
        <w:tc>
          <w:tcPr>
            <w:shd w:val="clear" w:color="auto" w:fill="ffffff"/>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数据库CPU</w:t>
            </w:r>
            <w:r/>
          </w:p>
        </w:tc>
        <w:tc>
          <w:tcPr>
            <w:shd w:val="clear" w:color="auto" w:fill="ffffff"/>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数据库内存G</w:t>
            </w:r>
            <w:r/>
          </w:p>
        </w:tc>
        <w:tc>
          <w:tcPr>
            <w:shd w:val="clear" w:color="auto" w:fill="ffffff"/>
            <w:tcBorders>
              <w:top w:val="single" w:color="000000" w:sz="8" w:space="0"/>
              <w:left w:val="none" w:color="000000" w:sz="4" w:space="0"/>
              <w:bottom w:val="single" w:color="000000" w:sz="8" w:space="0"/>
              <w:right w:val="single" w:color="000000" w:sz="8" w:space="0"/>
            </w:tcBorders>
            <w:tcW w:w="1350" w:type="dxa"/>
            <w:textDirection w:val="lrTb"/>
            <w:noWrap w:val="false"/>
          </w:tcPr>
          <w:p>
            <w:pPr>
              <w:jc w:val="center"/>
              <w:spacing w:line="360" w:lineRule="auto"/>
              <w:widowControl/>
              <w:rPr>
                <w:rFonts w:hint="eastAsia" w:ascii="宋体" w:hAnsi="宋体" w:cs="宋体"/>
                <w:szCs w:val="24"/>
                <w:lang w:bidi="ar"/>
              </w:rPr>
            </w:pPr>
            <w:r>
              <w:rPr>
                <w:rFonts w:hint="eastAsia" w:ascii="宋体" w:hAnsi="宋体" w:cs="宋体"/>
                <w:szCs w:val="24"/>
              </w:rPr>
              <w:t xml:space="preserve">数据库服务器存储容量G</w:t>
            </w:r>
            <w:r/>
          </w:p>
        </w:tc>
      </w:tr>
      <w:tr>
        <w:trPr>
          <w:jc w:val="center"/>
          <w:trHeight w:val="303"/>
        </w:trPr>
        <w:tc>
          <w:tcPr>
            <w:shd w:val="clear" w:color="auto" w:fill="ffffff"/>
            <w:tcBorders>
              <w:top w:val="none" w:color="000000" w:sz="4" w:space="0"/>
              <w:left w:val="single" w:color="000000" w:sz="8" w:space="0"/>
              <w:bottom w:val="single" w:color="000000" w:sz="8" w:space="0"/>
              <w:right w:val="single" w:color="000000" w:sz="8" w:space="0"/>
            </w:tcBorders>
            <w:tcW w:w="1691"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内审风控信息系统</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7500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jc w:val="center"/>
              <w:spacing w:line="360" w:lineRule="auto"/>
              <w:widowControl/>
              <w:rPr>
                <w:rFonts w:hint="eastAsia" w:ascii="宋体" w:hAnsi="宋体" w:cs="宋体"/>
                <w:szCs w:val="24"/>
                <w:lang w:bidi="ar"/>
              </w:rPr>
            </w:pPr>
            <w:r>
              <w:rPr>
                <w:rFonts w:hint="eastAsia" w:ascii="宋体" w:hAnsi="宋体" w:cs="宋体"/>
                <w:szCs w:val="24"/>
                <w:lang w:bidi="ar"/>
              </w:rPr>
              <w:t xml:space="preserve">7500</w:t>
            </w:r>
            <w:r/>
          </w:p>
        </w:tc>
      </w:tr>
      <w:tr>
        <w:trPr>
          <w:jc w:val="center"/>
          <w:trHeight w:val="303"/>
        </w:trPr>
        <w:tc>
          <w:tcPr>
            <w:shd w:val="clear" w:color="auto" w:fill="ffffff"/>
            <w:tcBorders>
              <w:top w:val="none" w:color="000000" w:sz="4" w:space="0"/>
              <w:left w:val="single" w:color="000000" w:sz="8" w:space="0"/>
              <w:bottom w:val="single" w:color="000000" w:sz="8" w:space="0"/>
              <w:right w:val="single" w:color="000000" w:sz="8" w:space="0"/>
            </w:tcBorders>
            <w:tcW w:w="1691"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合计</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7500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jc w:val="center"/>
              <w:spacing w:line="360" w:lineRule="auto"/>
              <w:widowControl/>
              <w:rPr>
                <w:rFonts w:hint="eastAsia" w:ascii="宋体" w:hAnsi="宋体" w:cs="宋体"/>
                <w:szCs w:val="24"/>
                <w:lang w:bidi="ar"/>
              </w:rPr>
            </w:pPr>
            <w:r>
              <w:rPr>
                <w:rFonts w:hint="eastAsia" w:ascii="宋体" w:hAnsi="宋体" w:cs="宋体"/>
                <w:szCs w:val="24"/>
                <w:lang w:bidi="ar"/>
              </w:rPr>
              <w:t xml:space="preserve">7500</w:t>
            </w:r>
            <w:r/>
          </w:p>
        </w:tc>
      </w:tr>
    </w:tbl>
    <w:p>
      <w:pPr>
        <w:pStyle w:val="1235"/>
        <w:spacing w:line="360" w:lineRule="auto"/>
        <w:rPr>
          <w:rFonts w:hint="eastAsia" w:ascii="宋体" w:hAnsi="宋体" w:cs="宋体"/>
        </w:rPr>
      </w:pPr>
      <w:r>
        <w:rPr>
          <w:rFonts w:hint="eastAsia" w:ascii="宋体" w:hAnsi="宋体" w:cs="宋体"/>
        </w:rPr>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1.3.3.2.贷款智能化审批平台系统服务外包</w:t>
      </w:r>
      <w:r/>
    </w:p>
    <w:p>
      <w:pPr>
        <w:ind w:firstLine="420"/>
        <w:spacing w:line="360" w:lineRule="auto"/>
        <w:rPr>
          <w:rFonts w:hint="eastAsia" w:ascii="宋体" w:hAnsi="宋体" w:cs="宋体"/>
        </w:rPr>
      </w:pPr>
      <w:r>
        <w:rPr>
          <w:rFonts w:ascii="宋体" w:hAnsi="宋体" w:cs="宋体"/>
        </w:rPr>
        <w:t xml:space="preserve">▲</w:t>
      </w:r>
      <w:r>
        <w:rPr>
          <w:rFonts w:hint="eastAsia" w:ascii="宋体" w:hAnsi="宋体" w:cs="宋体"/>
        </w:rPr>
        <w:t xml:space="preserve">算力要求：需要6台服务器，单台服务器配置要满足：4核+8G+500G。</w:t>
      </w:r>
      <w:r/>
    </w:p>
    <w:tbl>
      <w:tblPr>
        <w:tblStyle w:val="10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868"/>
        <w:gridCol w:w="1923"/>
        <w:gridCol w:w="1684"/>
        <w:gridCol w:w="2643"/>
      </w:tblGrid>
      <w:tr>
        <w:trPr>
          <w:trHeight w:val="1479"/>
          <w:tblHeader/>
        </w:trPr>
        <w:tc>
          <w:tcPr>
            <w:shd w:val="clear" w:color="auto" w:fill="ffffff"/>
            <w:tcBorders>
              <w:top w:val="single" w:color="000000" w:sz="8" w:space="0"/>
              <w:left w:val="single" w:color="000000" w:sz="8" w:space="0"/>
              <w:bottom w:val="single" w:color="000000" w:sz="8" w:space="0"/>
              <w:right w:val="single" w:color="000000" w:sz="8" w:space="0"/>
            </w:tcBorders>
            <w:tcW w:w="2868"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系统名称</w:t>
            </w:r>
            <w:r/>
          </w:p>
        </w:tc>
        <w:tc>
          <w:tcPr>
            <w:shd w:val="clear" w:color="auto" w:fill="ffffff"/>
            <w:tcBorders>
              <w:top w:val="single" w:color="000000" w:sz="8" w:space="0"/>
              <w:left w:val="none" w:color="000000" w:sz="4" w:space="0"/>
              <w:bottom w:val="single" w:color="000000" w:sz="8" w:space="0"/>
              <w:right w:val="single" w:color="000000" w:sz="8" w:space="0"/>
            </w:tcBorders>
            <w:tcW w:w="192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应用服务器CPU</w:t>
            </w:r>
            <w:r/>
          </w:p>
        </w:tc>
        <w:tc>
          <w:tcPr>
            <w:shd w:val="clear" w:color="auto" w:fill="ffffff"/>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应用服务器内存G</w:t>
            </w:r>
            <w:r/>
          </w:p>
        </w:tc>
        <w:tc>
          <w:tcPr>
            <w:shd w:val="clear" w:color="auto" w:fill="ffffff"/>
            <w:tcBorders>
              <w:top w:val="single" w:color="000000" w:sz="8" w:space="0"/>
              <w:left w:val="none" w:color="000000" w:sz="4" w:space="0"/>
              <w:bottom w:val="single" w:color="000000" w:sz="8" w:space="0"/>
              <w:right w:val="single" w:color="000000" w:sz="8" w:space="0"/>
            </w:tcBorders>
            <w:tcW w:w="264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rPr>
              <w:t xml:space="preserve">应用服务器存储容量G</w:t>
            </w:r>
            <w:r/>
          </w:p>
        </w:tc>
      </w:tr>
      <w:tr>
        <w:trPr>
          <w:trHeight w:val="992"/>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贷款智能化审批平台</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264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3000</w:t>
            </w:r>
            <w:r/>
          </w:p>
        </w:tc>
      </w:tr>
      <w:tr>
        <w:trPr>
          <w:trHeight w:val="527"/>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合计</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264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3000</w:t>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1.3.3.3.维修资金系统服务外包</w:t>
      </w:r>
      <w:bookmarkStart w:id="64" w:name="OLE_LINK2"/>
      <w:r/>
      <w:r/>
    </w:p>
    <w:p>
      <w:pPr>
        <w:ind w:firstLine="420"/>
        <w:spacing w:line="360" w:lineRule="auto"/>
        <w:rPr>
          <w:rFonts w:hint="eastAsia" w:ascii="宋体" w:hAnsi="宋体" w:cs="宋体"/>
          <w:szCs w:val="24"/>
        </w:rPr>
      </w:pPr>
      <w:r>
        <w:rPr>
          <w:rFonts w:ascii="宋体" w:hAnsi="宋体" w:cs="宋体"/>
          <w:szCs w:val="24"/>
        </w:rPr>
        <w:t xml:space="preserve">▲</w:t>
      </w:r>
      <w:r>
        <w:rPr>
          <w:rFonts w:hint="eastAsia" w:ascii="宋体" w:hAnsi="宋体" w:cs="宋体"/>
          <w:szCs w:val="24"/>
        </w:rPr>
        <w:t xml:space="preserve">需要7台服务器，单台服务器配置要满足：16核+32G+500G</w:t>
      </w:r>
      <w:bookmarkEnd w:id="64"/>
      <w:r/>
      <w:r/>
    </w:p>
    <w:tbl>
      <w:tblPr>
        <w:tblStyle w:val="10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868"/>
        <w:gridCol w:w="1923"/>
        <w:gridCol w:w="1684"/>
        <w:gridCol w:w="2169"/>
      </w:tblGrid>
      <w:tr>
        <w:trPr>
          <w:trHeight w:val="1479"/>
          <w:tblHeader/>
        </w:trPr>
        <w:tc>
          <w:tcPr>
            <w:shd w:val="clear" w:color="auto" w:fill="ffffff"/>
            <w:tcBorders>
              <w:top w:val="single" w:color="000000" w:sz="8" w:space="0"/>
              <w:left w:val="single" w:color="000000" w:sz="8" w:space="0"/>
              <w:bottom w:val="single" w:color="000000" w:sz="8" w:space="0"/>
              <w:right w:val="single" w:color="000000" w:sz="8" w:space="0"/>
            </w:tcBorders>
            <w:tcW w:w="2868"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系统名称</w:t>
            </w:r>
            <w:r/>
          </w:p>
        </w:tc>
        <w:tc>
          <w:tcPr>
            <w:shd w:val="clear" w:color="auto" w:fill="ffffff"/>
            <w:tcBorders>
              <w:top w:val="single" w:color="000000" w:sz="8" w:space="0"/>
              <w:left w:val="none" w:color="000000" w:sz="4" w:space="0"/>
              <w:bottom w:val="single" w:color="000000" w:sz="8" w:space="0"/>
              <w:right w:val="single" w:color="000000" w:sz="8" w:space="0"/>
            </w:tcBorders>
            <w:tcW w:w="1923"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服务器CPU</w:t>
            </w:r>
            <w:r/>
          </w:p>
        </w:tc>
        <w:tc>
          <w:tcPr>
            <w:shd w:val="clear" w:color="auto" w:fill="ffffff"/>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lang w:bidi="ar"/>
              </w:rPr>
              <w:t xml:space="preserve">服务器内存G</w:t>
            </w:r>
            <w:r/>
          </w:p>
        </w:tc>
        <w:tc>
          <w:tcPr>
            <w:shd w:val="clear" w:color="auto" w:fill="ffffff"/>
            <w:tcBorders>
              <w:top w:val="single" w:color="000000" w:sz="8" w:space="0"/>
              <w:left w:val="none" w:color="000000" w:sz="4" w:space="0"/>
              <w:bottom w:val="single" w:color="000000" w:sz="8" w:space="0"/>
              <w:right w:val="single" w:color="000000" w:sz="8" w:space="0"/>
            </w:tcBorders>
            <w:tcW w:w="2169" w:type="dxa"/>
            <w:vAlign w:val="center"/>
            <w:textDirection w:val="lrTb"/>
            <w:noWrap w:val="false"/>
          </w:tcPr>
          <w:p>
            <w:pPr>
              <w:jc w:val="center"/>
              <w:spacing w:line="360" w:lineRule="auto"/>
              <w:widowControl/>
              <w:rPr>
                <w:rFonts w:hint="eastAsia" w:ascii="宋体" w:hAnsi="宋体" w:cs="宋体"/>
                <w:szCs w:val="24"/>
              </w:rPr>
            </w:pPr>
            <w:r>
              <w:rPr>
                <w:rFonts w:hint="eastAsia" w:ascii="宋体" w:hAnsi="宋体" w:cs="宋体"/>
                <w:szCs w:val="24"/>
              </w:rPr>
              <w:t xml:space="preserve">服务器存储容量G</w:t>
            </w:r>
            <w:r/>
          </w:p>
        </w:tc>
      </w:tr>
      <w:tr>
        <w:trPr>
          <w:trHeight w:val="992"/>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维修资金系统</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112</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224</w:t>
            </w:r>
            <w:r/>
          </w:p>
        </w:tc>
        <w:tc>
          <w:tcPr>
            <w:shd w:val="clear" w:color="auto" w:fill="ffffff"/>
            <w:tcBorders>
              <w:top w:val="none" w:color="000000" w:sz="4" w:space="0"/>
              <w:left w:val="none" w:color="000000" w:sz="4" w:space="0"/>
              <w:bottom w:val="single" w:color="000000" w:sz="8" w:space="0"/>
              <w:right w:val="single" w:color="000000" w:sz="8" w:space="0"/>
            </w:tcBorders>
            <w:tcW w:w="2169"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3500</w:t>
            </w:r>
            <w:r/>
          </w:p>
        </w:tc>
      </w:tr>
      <w:tr>
        <w:trPr>
          <w:trHeight w:val="527"/>
        </w:trPr>
        <w:tc>
          <w:tcPr>
            <w:shd w:val="clear" w:color="auto" w:fill="ffffff"/>
            <w:tcBorders>
              <w:top w:val="none" w:color="000000" w:sz="4" w:space="0"/>
              <w:left w:val="single" w:color="000000" w:sz="8" w:space="0"/>
              <w:bottom w:val="single" w:color="000000" w:sz="8" w:space="0"/>
              <w:right w:val="single" w:color="000000" w:sz="8" w:space="0"/>
            </w:tcBorders>
            <w:tcW w:w="2868"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合计</w:t>
            </w:r>
            <w:r/>
          </w:p>
        </w:tc>
        <w:tc>
          <w:tcPr>
            <w:shd w:val="clear" w:color="auto" w:fill="ffffff"/>
            <w:tcBorders>
              <w:top w:val="none" w:color="000000" w:sz="4" w:space="0"/>
              <w:left w:val="none" w:color="000000" w:sz="4" w:space="0"/>
              <w:bottom w:val="single" w:color="000000" w:sz="8" w:space="0"/>
              <w:right w:val="single" w:color="000000" w:sz="8" w:space="0"/>
            </w:tcBorders>
            <w:tcW w:w="1923"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112</w:t>
            </w:r>
            <w:r/>
          </w:p>
        </w:tc>
        <w:tc>
          <w:tcPr>
            <w:shd w:val="clear" w:color="auto" w:fill="ffffff"/>
            <w:tcBorders>
              <w:top w:val="none" w:color="000000" w:sz="4" w:space="0"/>
              <w:left w:val="none" w:color="000000" w:sz="4" w:space="0"/>
              <w:bottom w:val="single" w:color="000000" w:sz="8" w:space="0"/>
              <w:right w:val="single" w:color="000000" w:sz="8" w:space="0"/>
            </w:tcBorders>
            <w:tcW w:w="1684"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lang w:bidi="ar"/>
              </w:rPr>
              <w:t xml:space="preserve">224</w:t>
            </w:r>
            <w:r/>
          </w:p>
        </w:tc>
        <w:tc>
          <w:tcPr>
            <w:shd w:val="clear" w:color="auto" w:fill="ffffff"/>
            <w:tcBorders>
              <w:top w:val="none" w:color="000000" w:sz="4" w:space="0"/>
              <w:left w:val="none" w:color="000000" w:sz="4" w:space="0"/>
              <w:bottom w:val="single" w:color="000000" w:sz="8" w:space="0"/>
              <w:right w:val="single" w:color="000000" w:sz="8" w:space="0"/>
            </w:tcBorders>
            <w:tcW w:w="2169" w:type="dxa"/>
            <w:vAlign w:val="center"/>
            <w:textDirection w:val="lrTb"/>
            <w:noWrap/>
          </w:tcPr>
          <w:p>
            <w:pPr>
              <w:jc w:val="center"/>
              <w:spacing w:line="360" w:lineRule="auto"/>
              <w:widowControl/>
              <w:rPr>
                <w:rFonts w:hint="eastAsia" w:ascii="宋体" w:hAnsi="宋体" w:cs="宋体"/>
                <w:szCs w:val="24"/>
              </w:rPr>
            </w:pPr>
            <w:r>
              <w:rPr>
                <w:rFonts w:hint="eastAsia" w:ascii="宋体" w:hAnsi="宋体" w:cs="宋体"/>
                <w:szCs w:val="24"/>
              </w:rPr>
              <w:t xml:space="preserve">3500</w:t>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1.3.3.4.  房屋管理系统服务外包</w:t>
      </w:r>
      <w:r/>
    </w:p>
    <w:p>
      <w:pPr>
        <w:ind w:firstLine="420"/>
        <w:spacing w:line="360" w:lineRule="auto"/>
        <w:rPr>
          <w:rFonts w:hint="eastAsia" w:ascii="宋体" w:hAnsi="宋体" w:cs="宋体"/>
          <w:szCs w:val="24"/>
        </w:rPr>
      </w:pPr>
      <w:r>
        <w:rPr>
          <w:rFonts w:ascii="宋体" w:hAnsi="宋体" w:cs="宋体"/>
          <w:szCs w:val="24"/>
        </w:rPr>
        <w:t xml:space="preserve">▲</w:t>
      </w:r>
      <w:r>
        <w:rPr>
          <w:rFonts w:hint="eastAsia" w:ascii="宋体" w:hAnsi="宋体" w:cs="宋体"/>
          <w:szCs w:val="24"/>
        </w:rPr>
        <w:t xml:space="preserve">房屋管理系统服务器配置要求如下：</w:t>
      </w:r>
      <w:r/>
    </w:p>
    <w:tbl>
      <w:tblPr>
        <w:tblStyle w:val="1038"/>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787"/>
        <w:gridCol w:w="1083"/>
        <w:gridCol w:w="740"/>
        <w:gridCol w:w="1042"/>
        <w:gridCol w:w="918"/>
        <w:gridCol w:w="4506"/>
      </w:tblGrid>
      <w:tr>
        <w:trPr>
          <w:trHeight w:val="285"/>
        </w:trPr>
        <w:tc>
          <w:tcPr>
            <w:gridSpan w:val="6"/>
            <w:tcBorders>
              <w:top w:val="single" w:color="000000" w:sz="4" w:space="0"/>
              <w:left w:val="single" w:color="000000" w:sz="4" w:space="0"/>
              <w:bottom w:val="single" w:color="000000" w:sz="4" w:space="0"/>
              <w:right w:val="none" w:color="000000" w:sz="4" w:space="0"/>
            </w:tcBorders>
            <w:tcW w:w="9076" w:type="dxa"/>
            <w:vAlign w:val="center"/>
            <w:textDirection w:val="lrTb"/>
            <w:noWrap/>
          </w:tcPr>
          <w:p>
            <w:pPr>
              <w:ind w:firstLine="440"/>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服务器需求</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CPU</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内存</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硬盘</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用途</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8核</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16G</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200G</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Nginx+服务端应用+Redis服务器+文件</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8核</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16G</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500G</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Mysql数据库服务器</w:t>
            </w:r>
            <w:r/>
          </w:p>
        </w:tc>
      </w:tr>
      <w:tr>
        <w:trPr>
          <w:trHeight w:val="28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8核</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16G</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200G</w:t>
            </w:r>
            <w:r/>
          </w:p>
        </w:tc>
        <w:tc>
          <w:tcPr>
            <w:tcBorders>
              <w:top w:val="single" w:color="000000" w:sz="4" w:space="0"/>
              <w:left w:val="single" w:color="000000" w:sz="4" w:space="0"/>
              <w:bottom w:val="single" w:color="000000" w:sz="4" w:space="0"/>
              <w:right w:val="single" w:color="000000" w:sz="4" w:space="0"/>
            </w:tcBorders>
            <w:tcW w:w="4506" w:type="dxa"/>
            <w:vAlign w:val="center"/>
            <w:textDirection w:val="lrTb"/>
            <w:noWrap/>
          </w:tcPr>
          <w:p>
            <w:pPr>
              <w:jc w:val="center"/>
              <w:spacing w:line="360" w:lineRule="auto"/>
              <w:widowControl/>
              <w:rPr>
                <w:rFonts w:hint="eastAsia" w:ascii="宋体" w:hAnsi="宋体" w:cs="宋体"/>
                <w:color w:val="000000"/>
                <w:sz w:val="22"/>
                <w:szCs w:val="22"/>
              </w:rPr>
            </w:pPr>
            <w:r>
              <w:rPr>
                <w:rFonts w:hint="eastAsia" w:ascii="宋体" w:hAnsi="宋体" w:cs="宋体"/>
                <w:color w:val="000000"/>
                <w:sz w:val="22"/>
                <w:szCs w:val="22"/>
                <w:lang w:bidi="ar"/>
              </w:rPr>
              <w:t xml:space="preserve">Nginx服务器+手机端H5应用</w:t>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1.3.4.服务团队要求</w:t>
      </w:r>
      <w:r/>
    </w:p>
    <w:p>
      <w:pPr>
        <w:ind w:firstLine="440"/>
        <w:spacing w:line="360" w:lineRule="auto"/>
        <w:rPr>
          <w:rFonts w:hint="eastAsia" w:ascii="宋体" w:hAnsi="宋体" w:cs="宋体"/>
          <w:szCs w:val="24"/>
        </w:rPr>
      </w:pPr>
      <w:r>
        <w:rPr>
          <w:rFonts w:hint="eastAsia" w:ascii="宋体" w:hAnsi="宋体" w:cs="宋体"/>
          <w:color w:val="000000"/>
          <w:sz w:val="22"/>
          <w:szCs w:val="22"/>
          <w:lang w:bidi="ar"/>
        </w:rPr>
        <w:t xml:space="preserve">★</w:t>
      </w:r>
      <w:r>
        <w:rPr>
          <w:rFonts w:hint="eastAsia" w:ascii="宋体" w:hAnsi="宋体" w:cs="宋体"/>
          <w:szCs w:val="24"/>
          <w:lang w:val="en-US" w:eastAsia="zh-CN"/>
        </w:rPr>
        <w:t xml:space="preserve">供应商</w:t>
      </w:r>
      <w:r>
        <w:rPr>
          <w:rFonts w:hint="eastAsia" w:ascii="宋体" w:hAnsi="宋体" w:cs="宋体"/>
          <w:szCs w:val="24"/>
        </w:rPr>
        <w:t xml:space="preserve">应为本项目组建不少于3人的支撑服务团队，其中包括项目经理、运维服务工程师、后台技术支撑团队等，后台支撑服务团队成员需具备涵盖本次维保的软硬件设备的技术服务能力，确保各类故障或问题能够得到及时、专业的处置。</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1.3.4.1.服务内容</w:t>
      </w:r>
      <w:r/>
    </w:p>
    <w:p>
      <w:pPr>
        <w:ind w:firstLine="420"/>
        <w:spacing w:line="360" w:lineRule="auto"/>
        <w:rPr>
          <w:rFonts w:hint="eastAsia" w:ascii="宋体" w:hAnsi="宋体" w:cs="宋体"/>
        </w:rPr>
      </w:pPr>
      <w:r>
        <w:rPr>
          <w:rFonts w:hint="eastAsia" w:ascii="宋体" w:hAnsi="宋体" w:cs="宋体"/>
        </w:rPr>
        <w:t xml:space="preserve">1、提供每季度设备巡检服务；</w:t>
      </w:r>
      <w:r/>
    </w:p>
    <w:p>
      <w:pPr>
        <w:ind w:firstLine="420"/>
        <w:spacing w:line="360" w:lineRule="auto"/>
        <w:rPr>
          <w:rFonts w:hint="eastAsia" w:ascii="宋体" w:hAnsi="宋体" w:cs="宋体"/>
        </w:rPr>
      </w:pPr>
      <w:r>
        <w:rPr>
          <w:rFonts w:hint="eastAsia" w:ascii="宋体" w:hAnsi="宋体" w:cs="宋体"/>
        </w:rPr>
        <w:t xml:space="preserve">2、日常机房问题处理和排查；</w:t>
      </w:r>
      <w:r/>
    </w:p>
    <w:p>
      <w:pPr>
        <w:ind w:firstLine="420"/>
        <w:spacing w:line="360" w:lineRule="auto"/>
        <w:rPr>
          <w:rFonts w:hint="eastAsia" w:ascii="宋体" w:hAnsi="宋体" w:cs="宋体"/>
        </w:rPr>
      </w:pPr>
      <w:r>
        <w:rPr>
          <w:rFonts w:hint="eastAsia" w:ascii="宋体" w:hAnsi="宋体" w:cs="宋体"/>
        </w:rPr>
        <w:t xml:space="preserve">3、负责系统日常网络的维护和故障处理；</w:t>
      </w:r>
      <w:r/>
    </w:p>
    <w:p>
      <w:pPr>
        <w:ind w:firstLine="420"/>
        <w:spacing w:line="360" w:lineRule="auto"/>
        <w:rPr>
          <w:rFonts w:hint="eastAsia" w:ascii="宋体" w:hAnsi="宋体" w:cs="宋体"/>
        </w:rPr>
      </w:pPr>
      <w:r>
        <w:rPr>
          <w:rFonts w:hint="eastAsia" w:ascii="宋体" w:hAnsi="宋体" w:cs="宋体"/>
        </w:rPr>
        <w:t xml:space="preserve">4、建立信息系统设备台账，定期进行台账的维护与更新，确保整个信息系统资产台账完整性和准确性。</w:t>
      </w:r>
      <w:r/>
    </w:p>
    <w:p>
      <w:pPr>
        <w:ind w:firstLine="420"/>
        <w:spacing w:line="360" w:lineRule="auto"/>
        <w:rPr>
          <w:rFonts w:hint="eastAsia" w:ascii="宋体" w:hAnsi="宋体" w:cs="宋体"/>
        </w:rPr>
      </w:pPr>
      <w:r>
        <w:rPr>
          <w:rFonts w:hint="eastAsia" w:ascii="宋体" w:hAnsi="宋体" w:cs="宋体"/>
        </w:rPr>
        <w:t xml:space="preserve">5、建立配置规范，按照标准化流程进行设备安装和配置。</w:t>
      </w:r>
      <w:r/>
    </w:p>
    <w:p>
      <w:pPr>
        <w:ind w:firstLine="420"/>
        <w:spacing w:line="360" w:lineRule="auto"/>
        <w:rPr>
          <w:rFonts w:hint="eastAsia" w:ascii="宋体" w:hAnsi="宋体" w:cs="宋体"/>
        </w:rPr>
      </w:pPr>
      <w:r>
        <w:rPr>
          <w:rFonts w:hint="eastAsia" w:ascii="宋体" w:hAnsi="宋体" w:cs="宋体"/>
        </w:rPr>
        <w:t xml:space="preserve">6、建立安全配置基线，规范网络安全管理、降低遭受安全威胁的风险。</w:t>
      </w:r>
      <w:r/>
    </w:p>
    <w:p>
      <w:pPr>
        <w:ind w:firstLine="420"/>
        <w:spacing w:line="360" w:lineRule="auto"/>
        <w:rPr>
          <w:rFonts w:hint="eastAsia" w:ascii="宋体" w:hAnsi="宋体" w:cs="宋体"/>
        </w:rPr>
      </w:pPr>
      <w:r>
        <w:rPr>
          <w:rFonts w:hint="eastAsia" w:ascii="宋体" w:hAnsi="宋体" w:cs="宋体"/>
        </w:rPr>
        <w:t xml:space="preserve">7、数据备份和恢复，建立数据备份策略，对重要数据定期备份，确保数据的完整性和可恢复性。</w:t>
      </w:r>
      <w:r/>
    </w:p>
    <w:p>
      <w:pPr>
        <w:ind w:firstLine="420"/>
        <w:spacing w:line="360" w:lineRule="auto"/>
        <w:rPr>
          <w:rFonts w:hint="eastAsia" w:ascii="宋体" w:hAnsi="宋体" w:cs="宋体"/>
        </w:rPr>
      </w:pPr>
      <w:r>
        <w:rPr>
          <w:rFonts w:hint="eastAsia" w:ascii="宋体" w:hAnsi="宋体" w:cs="宋体"/>
        </w:rPr>
        <w:t xml:space="preserve">8、配合性能调优，对系统和应用程序进行性能调优，提升系统的运行效率和响应速度。</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1.3.4.2.服务要求</w:t>
      </w:r>
      <w:r/>
    </w:p>
    <w:p>
      <w:pPr>
        <w:ind w:firstLine="42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color w:val="000000"/>
          <w:sz w:val="22"/>
          <w:szCs w:val="22"/>
          <w:lang w:bidi="ar"/>
        </w:rPr>
        <w:t xml:space="preserve">▲</w:t>
      </w:r>
      <w:r>
        <w:rPr>
          <w:rFonts w:hint="eastAsia" w:ascii="宋体" w:hAnsi="宋体" w:cs="宋体"/>
          <w:szCs w:val="24"/>
        </w:rPr>
        <w:t xml:space="preserve">支撑服务团队应对所维护软硬件系统进行充分的调研和了解，</w:t>
      </w:r>
      <w:r>
        <w:rPr>
          <w:rFonts w:hint="eastAsia" w:ascii="宋体" w:hAnsi="宋体" w:cs="宋体"/>
          <w:szCs w:val="24"/>
        </w:rPr>
        <w:t xml:space="preserve">提供</w:t>
      </w:r>
      <w:r>
        <w:rPr>
          <w:rFonts w:hint="eastAsia" w:ascii="宋体" w:hAnsi="宋体" w:cs="宋体"/>
          <w:szCs w:val="24"/>
        </w:rPr>
        <w:t xml:space="preserve">运维服务人员</w:t>
      </w:r>
      <w:r>
        <w:rPr>
          <w:rFonts w:hint="eastAsia" w:ascii="宋体" w:hAnsi="宋体" w:cs="宋体"/>
          <w:szCs w:val="24"/>
        </w:rPr>
        <w:t xml:space="preserve">5×8小时响应服务</w:t>
      </w:r>
      <w:r>
        <w:rPr>
          <w:rFonts w:hint="eastAsia" w:ascii="宋体" w:hAnsi="宋体" w:cs="宋体"/>
          <w:szCs w:val="24"/>
        </w:rPr>
        <w:t xml:space="preserve">。</w:t>
      </w:r>
      <w:r/>
    </w:p>
    <w:p>
      <w:pPr>
        <w:ind w:firstLine="420"/>
        <w:spacing w:line="360" w:lineRule="auto"/>
        <w:rPr>
          <w:rFonts w:hint="eastAsia" w:ascii="宋体" w:hAnsi="宋体" w:cs="宋体"/>
        </w:rPr>
      </w:pPr>
      <w:r>
        <w:rPr>
          <w:rFonts w:hint="eastAsia" w:ascii="宋体" w:hAnsi="宋体" w:cs="宋体"/>
          <w:szCs w:val="24"/>
        </w:rPr>
        <w:t xml:space="preserve">（2）</w:t>
      </w:r>
      <w:r>
        <w:rPr>
          <w:rFonts w:hint="eastAsia" w:ascii="宋体" w:hAnsi="宋体" w:cs="宋体"/>
          <w:color w:val="000000"/>
          <w:sz w:val="22"/>
          <w:szCs w:val="22"/>
          <w:lang w:bidi="ar"/>
        </w:rPr>
        <w:t xml:space="preserve">▲</w:t>
      </w:r>
      <w:r>
        <w:rPr>
          <w:rFonts w:hint="eastAsia" w:ascii="宋体" w:hAnsi="宋体" w:cs="宋体"/>
          <w:szCs w:val="24"/>
        </w:rPr>
        <w:t xml:space="preserve">当发生运维服务工程师无法解决的问题或者故障时，应立即安排后台技术支撑团队提供7*24小时电话支持和远程技术支持，在电话支持和远程技术支持不能解决的情况下应安排人员在1小时内达到现场。</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1.3.4.3.专项方案要求</w:t>
      </w:r>
      <w:r/>
    </w:p>
    <w:p>
      <w:pPr>
        <w:ind w:firstLine="420"/>
        <w:spacing w:line="360" w:lineRule="auto"/>
        <w:rPr>
          <w:rFonts w:hint="eastAsia" w:ascii="宋体" w:hAnsi="宋体" w:cs="宋体"/>
          <w:szCs w:val="24"/>
        </w:rPr>
      </w:pPr>
      <w:r>
        <w:rPr>
          <w:rFonts w:hint="eastAsia" w:ascii="宋体" w:hAnsi="宋体" w:cs="宋体"/>
          <w:szCs w:val="24"/>
        </w:rPr>
        <w:t xml:space="preserve">（1）运维技术服务方案：供应商应提供详细的运维技术服务方案，包括运维组织架构、服务流程、日常运维内容、巡检计划、故障处理机制、质量保障措施等。</w:t>
      </w:r>
      <w:r/>
    </w:p>
    <w:p>
      <w:pPr>
        <w:ind w:firstLine="420"/>
        <w:spacing w:line="360" w:lineRule="auto"/>
        <w:rPr>
          <w:rFonts w:hint="eastAsia" w:ascii="宋体" w:hAnsi="宋体" w:cs="宋体"/>
          <w:szCs w:val="24"/>
        </w:rPr>
      </w:pPr>
      <w:r>
        <w:rPr>
          <w:rFonts w:hint="eastAsia" w:ascii="宋体" w:hAnsi="宋体" w:cs="宋体"/>
          <w:szCs w:val="24"/>
        </w:rPr>
        <w:t xml:space="preserve">（2）应急响应方案：供应商应制定完善的应急响应方案，包括应急组织架构、故障分级响应机制、故障诊断与处置流程、应急资源保障、应急演练计划等，确保故障发生后能够快速响应和处置。</w:t>
      </w:r>
      <w:r/>
    </w:p>
    <w:p>
      <w:pPr>
        <w:ind w:firstLine="420"/>
        <w:spacing w:line="360" w:lineRule="auto"/>
        <w:rPr>
          <w:rFonts w:hint="eastAsia" w:ascii="宋体" w:hAnsi="宋体" w:cs="宋体"/>
          <w:szCs w:val="24"/>
        </w:rPr>
      </w:pPr>
      <w:r>
        <w:rPr>
          <w:rFonts w:hint="eastAsia" w:ascii="宋体" w:hAnsi="宋体" w:cs="宋体"/>
          <w:szCs w:val="24"/>
        </w:rPr>
        <w:t xml:space="preserve">（3）业务连续性方案：供应商应制定业务连续性保障方案，包括系统冗余架构、数据备份策略、灾备切换机制、RTO/RPO指标承诺、灾难恢复预案等，保障业务系统持续稳定运行。</w:t>
      </w:r>
      <w:r/>
    </w:p>
    <w:p>
      <w:pPr>
        <w:ind w:firstLine="420"/>
        <w:spacing w:line="360" w:lineRule="auto"/>
        <w:rPr>
          <w:rFonts w:hint="eastAsia" w:ascii="宋体" w:hAnsi="宋体" w:cs="宋体"/>
          <w:szCs w:val="24"/>
        </w:rPr>
      </w:pPr>
      <w:r>
        <w:rPr>
          <w:rFonts w:hint="eastAsia" w:ascii="宋体" w:hAnsi="宋体" w:cs="宋体"/>
          <w:szCs w:val="24"/>
        </w:rPr>
        <w:t xml:space="preserve">（4）重大保障服务方案：供应商应针对重要节假日、重大活动等特殊时期制定专项保障方案，包括保障组织、值班安排、预检预修、应急值守、总结复盘等内容。</w:t>
      </w:r>
      <w:r/>
    </w:p>
    <w:p>
      <w:pPr>
        <w:ind w:firstLine="420"/>
        <w:spacing w:line="360" w:lineRule="auto"/>
        <w:rPr>
          <w:rFonts w:hint="eastAsia" w:ascii="宋体" w:hAnsi="宋体" w:cs="宋体"/>
          <w:szCs w:val="24"/>
        </w:rPr>
      </w:pPr>
      <w:r>
        <w:rPr>
          <w:rFonts w:hint="eastAsia" w:ascii="宋体" w:hAnsi="宋体" w:cs="宋体"/>
          <w:szCs w:val="24"/>
        </w:rPr>
        <w:t xml:space="preserve">（5）机房搬迁方案：如涉及机房搬迁，供应商应制定详细的搬迁方案，明确搬迁步骤、时间安排、业务中断时长、回退机制等，最大限度减少对业务的影响。</w:t>
      </w:r>
      <w:bookmarkEnd w:id="61"/>
      <w:r/>
      <w:r/>
    </w:p>
    <w:p>
      <w:pPr>
        <w:ind w:firstLine="482"/>
        <w:spacing w:line="360" w:lineRule="auto"/>
        <w:rPr>
          <w:rFonts w:hint="eastAsia" w:ascii="宋体" w:hAnsi="宋体" w:cs="宋体"/>
          <w:b/>
          <w:bCs/>
          <w:sz w:val="24"/>
          <w:szCs w:val="24"/>
          <w:lang w:val="zh-CN"/>
        </w:rPr>
      </w:pPr>
      <w:r/>
      <w:bookmarkStart w:id="65" w:name="_Toc24049169"/>
      <w:r>
        <w:rPr>
          <w:rFonts w:hint="eastAsia" w:ascii="宋体" w:hAnsi="宋体" w:cs="宋体"/>
          <w:b/>
          <w:bCs/>
          <w:sz w:val="24"/>
          <w:szCs w:val="24"/>
          <w:lang w:val="zh-CN"/>
        </w:rPr>
        <w:t xml:space="preserve">1.3.5.IDC机房服务外包需求</w:t>
      </w:r>
      <w:bookmarkEnd w:id="65"/>
      <w:r/>
      <w:r/>
    </w:p>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1.3.5.1.机房要求</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4"/>
        <w:gridCol w:w="6904"/>
      </w:tblGrid>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指标项</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技术参数要求</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距离</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机房建筑物应位于南京市城区，交通便利，距离资金中心办公地点均不超过20公里。</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环境</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机房建筑物附近无任何产生腐蚀性气体、粉尘、噪音、强震动的厂矿企业，无超高压变电站、电气化铁道、大功率雷达站等强电磁干扰源。</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抗震</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机房总体建筑结构根据电信通信枢纽机楼标准进行设计建设，机房具备乙级的抗震能力，并具备抵御强烈风暴、雷击的能力。</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货运</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机房建筑物具有完备的客梯和货梯，并配有设备搬运人员及工具。</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防洪</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机房建筑物满足防洪要求。设有地湿报警器，24小时全天候监控，适时报警。</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防雷</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机房安装有过电压保护系统，防止雷电的地电位反击电压通过接地体入侵；防止由交流供电电源线路入侵；防止由通信信号线路入侵。</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市电</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有两路高压专线供电，两路高压供电应来自于不同变电站。</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不间断电源</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配置不间断电源系统（冗余架构标准不低于2N），系统上联自不同的市电，满足机房内满载状况下不低于15分钟的用电需求。</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后备电源</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配备不低于N+1级的后备柴油发电机系统，5分钟内接管机房全部负载。发电机储油量满足12小时发电机满载发电要求，储油库需配备直接供油口。若外部供油时间有保障，储油量仅需大于外部供油时间。</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空调</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配备专用机房精密空调，可精确控制各空间的温度及湿度，并配有备用机组。保证机房常年恒温恒湿，满足机房温度常年在21-25 摄氏度之间，相对湿度常年在40%-60%之间。</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消防</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符合机房消防安全规定，具备高灵敏度的烟雾探测系统，具备七氟丙烷（HFC-227）环保型气体自动灭火系统，具备完备的安全走火通道和逃生门，并严格按照规范布置相关的安全指示。</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动环监控</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置动力环境监控系统、门禁系统等安全保卫措施，能监控到机房温湿度、漏水、电力、消防、门禁等信息，日志保存不少于90天。机房须配置完备的视频监控系统，视频监控需覆盖租用机房全部区域，无监控死角，监控录像存储时间不少于30天。相关信息在客户需要时，可供客户及时调用。</w:t>
            </w:r>
            <w:r/>
          </w:p>
        </w:tc>
      </w:tr>
      <w:tr>
        <w:trPr/>
        <w:tc>
          <w:tcPr>
            <w:tcBorders>
              <w:top w:val="single" w:color="auto" w:sz="4" w:space="0"/>
              <w:left w:val="single" w:color="auto" w:sz="4" w:space="0"/>
              <w:bottom w:val="single" w:color="auto" w:sz="4" w:space="0"/>
              <w:right w:val="single" w:color="auto" w:sz="4" w:space="0"/>
            </w:tcBorders>
            <w:tcW w:w="1624" w:type="dxa"/>
            <w:vAlign w:val="center"/>
            <w:textDirection w:val="lrTb"/>
            <w:noWrap w:val="false"/>
          </w:tcPr>
          <w:p>
            <w:pPr>
              <w:ind w:firstLine="420"/>
              <w:jc w:val="center"/>
              <w:spacing w:line="360" w:lineRule="auto"/>
              <w:widowControl/>
              <w:rPr>
                <w:rFonts w:hint="eastAsia" w:ascii="宋体" w:hAnsi="宋体" w:cs="宋体"/>
                <w:color w:val="000000"/>
                <w:szCs w:val="24"/>
              </w:rPr>
            </w:pPr>
            <w:r>
              <w:rPr>
                <w:rFonts w:hint="eastAsia" w:ascii="宋体" w:hAnsi="宋体" w:cs="宋体"/>
                <w:color w:val="000000"/>
                <w:szCs w:val="24"/>
              </w:rPr>
              <w:t xml:space="preserve">安全保卫</w:t>
            </w:r>
            <w:r/>
          </w:p>
        </w:tc>
        <w:tc>
          <w:tcPr>
            <w:tcBorders>
              <w:top w:val="single" w:color="auto" w:sz="4" w:space="0"/>
              <w:left w:val="single" w:color="auto" w:sz="4" w:space="0"/>
              <w:bottom w:val="single" w:color="auto" w:sz="4" w:space="0"/>
              <w:right w:val="single" w:color="auto" w:sz="4" w:space="0"/>
            </w:tcBorders>
            <w:tcW w:w="6904" w:type="dxa"/>
            <w:vAlign w:val="center"/>
            <w:textDirection w:val="lrTb"/>
            <w:noWrap w:val="false"/>
          </w:tcPr>
          <w:p>
            <w:pPr>
              <w:ind w:firstLine="440"/>
              <w:jc w:val="center"/>
              <w:spacing w:line="360" w:lineRule="auto"/>
              <w:widowControl/>
              <w:rPr>
                <w:rFonts w:hint="eastAsia" w:ascii="宋体" w:hAnsi="宋体" w:cs="宋体"/>
                <w:color w:val="000000"/>
                <w:szCs w:val="24"/>
              </w:rPr>
            </w:pPr>
            <w:r>
              <w:rPr>
                <w:rFonts w:hint="eastAsia" w:ascii="宋体" w:hAnsi="宋体" w:cs="宋体"/>
                <w:color w:val="000000"/>
                <w:sz w:val="22"/>
                <w:szCs w:val="22"/>
                <w:lang w:bidi="ar"/>
              </w:rPr>
              <w:t xml:space="preserve">▲</w:t>
            </w:r>
            <w:r>
              <w:rPr>
                <w:rFonts w:hint="eastAsia" w:ascii="宋体" w:hAnsi="宋体" w:cs="宋体"/>
                <w:color w:val="000000"/>
                <w:szCs w:val="24"/>
              </w:rPr>
              <w:t xml:space="preserve">配备有7×24小时专业保安监管，具有完善的入室登记制度，能够保证经授权的系统维护人员7×24小时进出机房，在突发情况进出机房时需在兼顾安全的前提下提供便利。未经过采购人批准，无关人员不得进入租用机房。</w:t>
            </w:r>
            <w:r/>
          </w:p>
        </w:tc>
      </w:tr>
    </w:tbl>
    <w:p>
      <w:pPr>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1.3.5.2.机柜要求</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5"/>
        <w:gridCol w:w="6903"/>
      </w:tblGrid>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pStyle w:val="1039"/>
              <w:ind w:firstLine="422"/>
              <w:jc w:val="center"/>
              <w:spacing w:line="360" w:lineRule="auto"/>
              <w:rPr>
                <w:rFonts w:hint="eastAsia" w:ascii="宋体" w:hAnsi="宋体" w:cs="宋体"/>
                <w:color w:val="000000"/>
              </w:rPr>
            </w:pPr>
            <w:r>
              <w:rPr>
                <w:rFonts w:hint="eastAsia" w:ascii="宋体" w:hAnsi="宋体" w:cs="宋体"/>
                <w:b/>
                <w:bCs/>
                <w:color w:val="000000"/>
              </w:rPr>
              <w:t xml:space="preserve">指标项</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pStyle w:val="1039"/>
              <w:ind w:firstLine="422"/>
              <w:jc w:val="center"/>
              <w:spacing w:line="360" w:lineRule="auto"/>
              <w:rPr>
                <w:rFonts w:hint="eastAsia" w:ascii="宋体" w:hAnsi="宋体" w:cs="宋体"/>
                <w:b/>
                <w:bCs/>
                <w:color w:val="000000"/>
              </w:rPr>
            </w:pPr>
            <w:r>
              <w:rPr>
                <w:rFonts w:hint="eastAsia" w:ascii="宋体" w:hAnsi="宋体" w:cs="宋体"/>
                <w:b/>
                <w:bCs/>
                <w:color w:val="000000"/>
              </w:rPr>
              <w:t xml:space="preserve">技术参数要求</w:t>
            </w:r>
            <w:r/>
          </w:p>
        </w:tc>
      </w:tr>
      <w:tr>
        <w:trPr>
          <w:trHeight w:val="443"/>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数量</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40"/>
              <w:jc w:val="left"/>
              <w:spacing w:line="360" w:lineRule="auto"/>
              <w:rPr>
                <w:rFonts w:hint="eastAsia" w:ascii="宋体" w:hAnsi="宋体" w:cs="宋体"/>
                <w:color w:val="000000"/>
              </w:rPr>
            </w:pPr>
            <w:r>
              <w:rPr>
                <w:rFonts w:hint="eastAsia" w:ascii="宋体" w:hAnsi="宋体" w:cs="宋体"/>
                <w:color w:val="000000"/>
                <w:sz w:val="22"/>
                <w:szCs w:val="22"/>
                <w:lang w:bidi="ar"/>
              </w:rPr>
              <w:t xml:space="preserve">▲</w:t>
            </w:r>
            <w:r>
              <w:rPr>
                <w:rFonts w:hint="eastAsia" w:ascii="宋体" w:hAnsi="宋体" w:cs="宋体"/>
                <w:color w:val="000000"/>
              </w:rPr>
              <w:t xml:space="preserve">提供连续的机架</w:t>
            </w:r>
            <w:r>
              <w:rPr>
                <w:rFonts w:hint="eastAsia" w:ascii="宋体" w:hAnsi="宋体" w:cs="宋体"/>
              </w:rPr>
              <w:t xml:space="preserve">8</w:t>
            </w:r>
            <w:r>
              <w:rPr>
                <w:rFonts w:hint="eastAsia" w:ascii="宋体" w:hAnsi="宋体" w:cs="宋体"/>
                <w:color w:val="000000"/>
              </w:rPr>
              <w:t xml:space="preserve">架</w:t>
            </w:r>
            <w:r/>
          </w:p>
        </w:tc>
      </w:tr>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尺寸</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20"/>
              <w:jc w:val="left"/>
              <w:spacing w:line="360" w:lineRule="auto"/>
              <w:rPr>
                <w:rFonts w:hint="eastAsia" w:ascii="宋体" w:hAnsi="宋体" w:cs="宋体"/>
                <w:color w:val="000000"/>
              </w:rPr>
            </w:pPr>
            <w:r>
              <w:rPr>
                <w:rFonts w:hint="eastAsia" w:ascii="宋体" w:hAnsi="宋体" w:cs="宋体"/>
                <w:color w:val="000000"/>
              </w:rPr>
              <w:t xml:space="preserve">42U 机柜，尺寸≥600mm×1100mm×2200mm</w:t>
            </w:r>
            <w:r/>
          </w:p>
        </w:tc>
      </w:tr>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综合布线</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20"/>
              <w:jc w:val="left"/>
              <w:spacing w:line="360" w:lineRule="auto"/>
              <w:rPr>
                <w:rFonts w:hint="eastAsia" w:ascii="宋体" w:hAnsi="宋体" w:cs="宋体"/>
                <w:color w:val="000000"/>
              </w:rPr>
            </w:pPr>
            <w:r>
              <w:rPr>
                <w:rFonts w:hint="eastAsia" w:ascii="宋体" w:hAnsi="宋体" w:cs="宋体"/>
                <w:color w:val="000000"/>
              </w:rPr>
              <w:t xml:space="preserve">每个机柜都有独立的六类线和多模光纤直通网络机柜，并可根据实际需要新增六类线和多模光纤。</w:t>
            </w:r>
            <w:r/>
          </w:p>
        </w:tc>
      </w:tr>
      <w:tr>
        <w:trPr/>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cs="宋体"/>
                <w:color w:val="000000"/>
              </w:rPr>
            </w:pPr>
            <w:r>
              <w:rPr>
                <w:rFonts w:hint="eastAsia" w:ascii="宋体" w:hAnsi="宋体" w:cs="宋体"/>
                <w:color w:val="000000"/>
              </w:rPr>
              <w:t xml:space="preserve">配电单元</w:t>
            </w:r>
            <w:r/>
          </w:p>
        </w:tc>
        <w:tc>
          <w:tcPr>
            <w:tcBorders>
              <w:top w:val="single" w:color="auto" w:sz="4" w:space="0"/>
              <w:left w:val="single" w:color="auto" w:sz="4" w:space="0"/>
              <w:bottom w:val="single" w:color="auto" w:sz="4" w:space="0"/>
              <w:right w:val="single" w:color="auto" w:sz="4" w:space="0"/>
            </w:tcBorders>
            <w:tcW w:w="6903" w:type="dxa"/>
            <w:vAlign w:val="center"/>
            <w:textDirection w:val="lrTb"/>
            <w:noWrap w:val="false"/>
          </w:tcPr>
          <w:p>
            <w:pPr>
              <w:ind w:firstLine="420"/>
              <w:jc w:val="left"/>
              <w:spacing w:line="360" w:lineRule="auto"/>
              <w:rPr>
                <w:rFonts w:hint="eastAsia" w:ascii="宋体" w:hAnsi="宋体" w:cs="宋体"/>
                <w:color w:val="000000"/>
              </w:rPr>
            </w:pPr>
            <w:r>
              <w:rPr>
                <w:rFonts w:hint="eastAsia" w:ascii="宋体" w:hAnsi="宋体" w:cs="宋体"/>
                <w:color w:val="000000"/>
              </w:rPr>
              <w:t xml:space="preserve">每个机柜功耗不低于3千瓦。</w:t>
            </w:r>
            <w:r/>
          </w:p>
          <w:p>
            <w:pPr>
              <w:ind w:firstLine="440"/>
              <w:jc w:val="left"/>
              <w:spacing w:line="360" w:lineRule="auto"/>
              <w:rPr>
                <w:rFonts w:hint="eastAsia" w:ascii="宋体" w:hAnsi="宋体" w:cs="宋体"/>
                <w:color w:val="000000"/>
              </w:rPr>
            </w:pPr>
            <w:r>
              <w:rPr>
                <w:rFonts w:hint="eastAsia" w:ascii="宋体" w:hAnsi="宋体" w:cs="宋体"/>
                <w:color w:val="000000"/>
                <w:sz w:val="22"/>
                <w:szCs w:val="22"/>
                <w:lang w:bidi="ar"/>
              </w:rPr>
              <w:t xml:space="preserve">▲</w:t>
            </w:r>
            <w:r>
              <w:rPr>
                <w:rFonts w:hint="eastAsia" w:ascii="宋体" w:hAnsi="宋体" w:cs="宋体"/>
                <w:color w:val="000000"/>
              </w:rPr>
              <w:t xml:space="preserve">每个机柜配置2个分别来自于不同UPS的机架式垂直PDU。</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每个PDU的C14接口数≥12，每个PDU的C20接口数≥3。</w:t>
            </w:r>
            <w:r/>
          </w:p>
        </w:tc>
      </w:tr>
    </w:tbl>
    <w:p>
      <w:pPr>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1.3.6.</w:t>
      </w:r>
      <w:r>
        <w:rPr>
          <w:rFonts w:hint="eastAsia" w:ascii="宋体" w:hAnsi="宋体" w:cs="宋体"/>
          <w:b/>
          <w:bCs/>
          <w:sz w:val="24"/>
          <w:szCs w:val="24"/>
          <w:lang w:val="zh-CN"/>
        </w:rPr>
        <w:t xml:space="preserve">线路服务外包需求</w:t>
      </w:r>
      <w:r/>
    </w:p>
    <w:p>
      <w:pPr>
        <w:pStyle w:val="1039"/>
        <w:ind w:firstLine="440"/>
        <w:spacing w:line="360" w:lineRule="auto"/>
        <w:rPr>
          <w:rFonts w:hint="eastAsia" w:ascii="宋体" w:hAnsi="宋体" w:cs="宋体"/>
        </w:rPr>
      </w:pPr>
      <w:r>
        <w:rPr>
          <w:rFonts w:hint="eastAsia" w:ascii="宋体" w:hAnsi="宋体" w:cs="宋体"/>
          <w:color w:val="000000"/>
          <w:sz w:val="22"/>
          <w:szCs w:val="22"/>
          <w:lang w:bidi="ar"/>
        </w:rPr>
        <w:t xml:space="preserve">★</w:t>
      </w:r>
      <w:r>
        <w:rPr>
          <w:rFonts w:hint="eastAsia" w:ascii="宋体" w:hAnsi="宋体" w:cs="宋体"/>
        </w:rPr>
        <w:t xml:space="preserve">提供互联网专线宽带2条，带宽100M。</w:t>
      </w:r>
      <w:r/>
    </w:p>
    <w:p>
      <w:pPr>
        <w:pStyle w:val="1039"/>
        <w:ind w:firstLine="440"/>
        <w:spacing w:line="360" w:lineRule="auto"/>
        <w:rPr>
          <w:rFonts w:hint="eastAsia" w:ascii="宋体" w:hAnsi="宋体" w:cs="宋体"/>
        </w:rPr>
      </w:pPr>
      <w:r>
        <w:rPr>
          <w:rFonts w:hint="eastAsia" w:ascii="宋体" w:hAnsi="宋体" w:cs="宋体"/>
          <w:color w:val="000000"/>
          <w:sz w:val="22"/>
          <w:szCs w:val="22"/>
          <w:lang w:bidi="ar"/>
        </w:rPr>
        <w:t xml:space="preserve">★</w:t>
      </w:r>
      <w:r>
        <w:rPr>
          <w:rFonts w:hint="eastAsia" w:ascii="宋体" w:hAnsi="宋体" w:cs="宋体"/>
        </w:rPr>
        <w:t xml:space="preserve">提供本地数字专线1条，带宽100M。</w:t>
      </w:r>
      <w:r/>
    </w:p>
    <w:p>
      <w:pPr>
        <w:pStyle w:val="1039"/>
        <w:ind w:firstLine="440"/>
        <w:spacing w:line="360" w:lineRule="auto"/>
        <w:rPr>
          <w:rFonts w:hint="eastAsia" w:ascii="宋体" w:hAnsi="宋体" w:cs="宋体"/>
        </w:rPr>
      </w:pPr>
      <w:r>
        <w:rPr>
          <w:rFonts w:hint="eastAsia" w:ascii="宋体" w:hAnsi="宋体" w:cs="宋体"/>
          <w:color w:val="000000"/>
          <w:sz w:val="22"/>
          <w:szCs w:val="22"/>
          <w:lang w:bidi="ar"/>
        </w:rPr>
        <w:t xml:space="preserve">★</w:t>
      </w:r>
      <w:r>
        <w:rPr>
          <w:rFonts w:hint="eastAsia" w:ascii="宋体" w:hAnsi="宋体" w:cs="宋体"/>
        </w:rPr>
        <w:t xml:space="preserve">为采购人租用中的麒麟机房提供最后一公里线路服务。</w:t>
      </w:r>
      <w:r/>
    </w:p>
    <w:p>
      <w:pPr>
        <w:rPr>
          <w:rFonts w:ascii="黑体" w:hAnsi="Arial" w:eastAsia="黑体" w:cs="Arial"/>
          <w:b/>
          <w:bCs/>
          <w:sz w:val="36"/>
          <w:szCs w:val="36"/>
          <w:lang w:val="zh-CN"/>
        </w:rPr>
      </w:pPr>
      <w:r>
        <w:rPr>
          <w:rFonts w:ascii="黑体" w:hAnsi="Arial" w:eastAsia="黑体" w:cs="Arial"/>
          <w:b/>
          <w:bCs/>
          <w:sz w:val="36"/>
          <w:szCs w:val="36"/>
          <w:lang w:val="zh-CN"/>
        </w:rPr>
      </w:r>
      <w:r/>
    </w:p>
    <w:p>
      <w:pPr>
        <w:rPr>
          <w:rFonts w:ascii="黑体" w:hAnsi="Arial" w:eastAsia="黑体" w:cs="Arial"/>
          <w:b/>
          <w:bCs/>
          <w:sz w:val="36"/>
          <w:szCs w:val="36"/>
          <w:lang w:val="zh-CN"/>
        </w:rPr>
      </w:pPr>
      <w:r>
        <w:rPr>
          <w:rFonts w:hint="eastAsia" w:ascii="黑体" w:hAnsi="Arial" w:eastAsia="黑体" w:cs="Arial"/>
          <w:b/>
          <w:bCs/>
          <w:sz w:val="36"/>
          <w:szCs w:val="36"/>
          <w:lang w:val="zh-CN"/>
        </w:rPr>
        <w:br w:type="page" w:clear="all"/>
      </w:r>
      <w:r/>
    </w:p>
    <w:p>
      <w:pPr>
        <w:ind w:firstLine="835"/>
        <w:jc w:val="center"/>
        <w:spacing w:line="360" w:lineRule="auto"/>
        <w:rPr>
          <w:rFonts w:ascii="黑体" w:hAnsi="Arial" w:eastAsia="黑体" w:cs="Arial"/>
          <w:sz w:val="36"/>
          <w:szCs w:val="36"/>
          <w:lang w:val="zh-CN"/>
        </w:rPr>
        <w:outlineLvl w:val="0"/>
      </w:pPr>
      <w:r/>
      <w:bookmarkStart w:id="66" w:name="_Toc13316"/>
      <w:r>
        <w:rPr>
          <w:rFonts w:hint="eastAsia" w:ascii="黑体" w:hAnsi="Arial" w:eastAsia="黑体" w:cs="Arial"/>
          <w:b/>
          <w:bCs/>
          <w:sz w:val="36"/>
          <w:szCs w:val="36"/>
          <w:lang w:val="zh-CN"/>
        </w:rPr>
        <w:t xml:space="preserve">第五章</w:t>
      </w:r>
      <w:r>
        <w:rPr>
          <w:rFonts w:hint="eastAsia" w:ascii="黑体" w:hAnsi="Arial" w:eastAsia="黑体" w:cs="Arial"/>
          <w:b/>
          <w:bCs/>
          <w:sz w:val="36"/>
          <w:szCs w:val="36"/>
        </w:rPr>
        <w:t xml:space="preserve"> </w:t>
      </w:r>
      <w:r>
        <w:rPr>
          <w:rFonts w:hint="eastAsia" w:ascii="黑体" w:hAnsi="宋体" w:eastAsia="黑体"/>
          <w:b/>
          <w:bCs/>
          <w:spacing w:val="-10"/>
          <w:sz w:val="36"/>
          <w:szCs w:val="36"/>
          <w:lang w:val="zh-CN"/>
        </w:rPr>
        <w:t xml:space="preserve">合同主要条款及格式</w:t>
      </w:r>
      <w:bookmarkEnd w:id="57"/>
      <w:r/>
      <w:bookmarkEnd w:id="58"/>
      <w:r/>
      <w:bookmarkEnd w:id="66"/>
      <w:r/>
      <w:r/>
    </w:p>
    <w:p>
      <w:pPr>
        <w:pStyle w:val="1052"/>
        <w:ind w:firstLine="456"/>
        <w:spacing w:line="360" w:lineRule="auto"/>
        <w:widowControl/>
        <w:rPr>
          <w:rFonts w:hint="eastAsia" w:ascii="宋体" w:hAnsi="宋体" w:eastAsia="宋体" w:cs="宋体"/>
          <w:color w:val="000000"/>
          <w:spacing w:val="-6"/>
          <w:sz w:val="24"/>
          <w:szCs w:val="24"/>
        </w:rPr>
        <w:outlineLvl w:val="4"/>
      </w:pPr>
      <w:r>
        <w:rPr>
          <w:rFonts w:hint="eastAsia" w:ascii="宋体" w:hAnsi="宋体" w:eastAsia="宋体" w:cs="宋体"/>
          <w:color w:val="000000"/>
          <w:spacing w:val="-6"/>
          <w:sz w:val="24"/>
          <w:szCs w:val="24"/>
        </w:rPr>
      </w:r>
      <w:r/>
    </w:p>
    <w:p>
      <w:pPr>
        <w:spacing w:before="19"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（合同编号：</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 xml:space="preserve">）</w:t>
      </w:r>
      <w:r/>
    </w:p>
    <w:p>
      <w:pPr>
        <w:jc w:val="center"/>
        <w:spacing w:before="19" w:line="360" w:lineRule="auto"/>
        <w:rPr>
          <w:rFonts w:hint="eastAsia" w:ascii="仿宋" w:hAnsi="仿宋" w:eastAsia="仿宋" w:cs="仿宋"/>
          <w:b/>
          <w:bCs/>
          <w:sz w:val="36"/>
          <w:szCs w:val="36"/>
        </w:rPr>
      </w:pPr>
      <w:r>
        <w:rPr>
          <w:rFonts w:hint="eastAsia" w:ascii="仿宋" w:hAnsi="仿宋" w:eastAsia="仿宋" w:cs="仿宋"/>
          <w:b/>
          <w:bCs/>
          <w:sz w:val="36"/>
          <w:szCs w:val="36"/>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9" w:line="360" w:lineRule="auto"/>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Cs/>
          <w:sz w:val="90"/>
          <w:szCs w:val="72"/>
        </w:rPr>
      </w:pPr>
      <w:r>
        <w:rPr>
          <w:rFonts w:hint="eastAsia" w:ascii="仿宋" w:hAnsi="仿宋" w:eastAsia="仿宋" w:cs="仿宋"/>
          <w:bCs/>
          <w:sz w:val="90"/>
          <w:szCs w:val="72"/>
        </w:rPr>
        <w:t xml:space="preserve">服务采购合同</w:t>
      </w:r>
      <w:r/>
    </w:p>
    <w:p>
      <w:pPr>
        <w:jc w:val="center"/>
        <w:spacing w:before="624" w:line="360" w:lineRule="auto"/>
        <w:rPr>
          <w:rFonts w:hint="eastAsia" w:ascii="仿宋" w:hAnsi="仿宋" w:eastAsia="仿宋" w:cs="仿宋"/>
          <w:bCs/>
          <w:sz w:val="44"/>
          <w:szCs w:val="44"/>
        </w:rPr>
      </w:pPr>
      <w:r>
        <w:rPr>
          <w:rFonts w:hint="eastAsia" w:ascii="仿宋" w:hAnsi="仿宋" w:eastAsia="仿宋" w:cs="仿宋"/>
          <w:bCs/>
          <w:sz w:val="44"/>
          <w:szCs w:val="4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720"/>
        <w:spacing w:line="360" w:lineRule="auto"/>
        <w:rPr>
          <w:rFonts w:hint="eastAsia" w:ascii="仿宋" w:hAnsi="仿宋" w:eastAsia="仿宋" w:cs="仿宋"/>
          <w:sz w:val="36"/>
          <w:szCs w:val="36"/>
          <w:u w:val="single"/>
        </w:rPr>
      </w:pPr>
      <w:r>
        <w:rPr>
          <w:rFonts w:hint="eastAsia" w:ascii="仿宋" w:hAnsi="仿宋" w:eastAsia="仿宋" w:cs="仿宋"/>
          <w:sz w:val="36"/>
          <w:szCs w:val="36"/>
        </w:rPr>
        <w:t xml:space="preserve">项目名称：</w:t>
      </w:r>
      <w:r>
        <w:rPr>
          <w:rFonts w:hint="eastAsia" w:ascii="仿宋" w:hAnsi="仿宋" w:eastAsia="仿宋" w:cs="仿宋"/>
          <w:b/>
          <w:bCs/>
          <w:spacing w:val="-2"/>
          <w:sz w:val="36"/>
          <w:szCs w:val="36"/>
          <w:u w:val="single"/>
        </w:rPr>
        <w:t xml:space="preserve">资金中心信息系统外包服务采购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32"/>
          <w:szCs w:val="32"/>
        </w:rPr>
        <w:sectPr>
          <w:footerReference w:type="default" r:id="rId14"/>
          <w:footnotePr/>
          <w:endnotePr/>
          <w:type w:val="nextPage"/>
          <w:pgSz w:w="11906" w:h="16838" w:orient="portrait"/>
          <w:pgMar w:top="1871" w:right="1531" w:bottom="1871" w:left="1531" w:header="851" w:footer="1304" w:gutter="0"/>
          <w:cols w:num="1" w:sep="0" w:space="720" w:equalWidth="1"/>
          <w:docGrid w:linePitch="360"/>
        </w:sectPr>
      </w:pPr>
      <w:r>
        <w:rPr>
          <w:rFonts w:hint="eastAsia" w:ascii="仿宋" w:hAnsi="仿宋" w:eastAsia="仿宋" w:cs="仿宋"/>
          <w:sz w:val="36"/>
          <w:szCs w:val="32"/>
        </w:rPr>
        <w:t xml:space="preserve">江苏省省级机关住房资金管理中心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9" w:line="360" w:lineRule="auto"/>
        <w:rPr>
          <w:rFonts w:hint="eastAsia" w:ascii="仿宋" w:hAnsi="仿宋" w:eastAsia="仿宋" w:cs="仿宋"/>
          <w:sz w:val="44"/>
          <w:szCs w:val="44"/>
        </w:rPr>
      </w:pPr>
      <w:r>
        <w:rPr>
          <w:rFonts w:hint="eastAsia" w:ascii="仿宋" w:hAnsi="仿宋" w:eastAsia="仿宋" w:cs="仿宋"/>
          <w:bCs/>
          <w:sz w:val="44"/>
          <w:szCs w:val="44"/>
        </w:rPr>
        <w:t xml:space="preserve">使 用 说 明</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一、根据《中华人民共和国民法典》《中华人民共和国政府采购法》等有关法律、法规规定，甲乙双方本着平等合作、诚实互惠的原则，就服务采购有关事宜协商订立本合同。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二、本合同文本由合同协议书、合同通用条款两部分组成。合同协议书约定合同当事人基本和相关具体权利义务；合同通用条款根据国家和我省有关法律法规，对合同当事人权利义务作出原则性约定。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三、本合同经谈判、协商，在合同条款中有下划线、□或空格的地方，针对合同协议书进行细化、完善、补充、修改或另行约定，如无细化、完善、补充、修改或另行约定，则填写“无”“×”或“/”。合同通用条款原则上不得修改，确因需要必须修改的，请将修改调整后的条款列入合同协议书部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四、本合同适用于服务类采购项目，不包括通过江苏省政府采购网上商城服务采购、需要供应商定制开发项目以及创新研发的服务采购项目。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五、本合同示范文本各条款中，如涉及填写多家供应商、多种采购标的、分包主要内容等信息的，可根据采购项目具体情况添加信息项。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六、相关具体填写注意事项见各条款填写说明。</w:t>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44"/>
          <w:szCs w:val="44"/>
        </w:rPr>
      </w:pPr>
      <w:r>
        <w:rPr>
          <w:rFonts w:hint="eastAsia" w:ascii="仿宋" w:hAnsi="仿宋" w:eastAsia="仿宋" w:cs="仿宋"/>
          <w:sz w:val="44"/>
          <w:szCs w:val="44"/>
        </w:rPr>
        <w:br w:type="page" w:clear="all"/>
      </w:r>
      <w:r/>
    </w:p>
    <w:p>
      <w:pPr>
        <w:jc w:val="center"/>
        <w:rPr>
          <w:rFonts w:hint="eastAsia" w:ascii="仿宋" w:hAnsi="仿宋" w:eastAsia="仿宋" w:cs="仿宋"/>
          <w:sz w:val="44"/>
          <w:szCs w:val="44"/>
        </w:rPr>
      </w:pPr>
      <w:r>
        <w:rPr>
          <w:rFonts w:hint="eastAsia" w:ascii="仿宋" w:hAnsi="仿宋" w:eastAsia="仿宋" w:cs="仿宋"/>
          <w:sz w:val="44"/>
          <w:szCs w:val="44"/>
        </w:rPr>
        <w:t xml:space="preserve">第一部分  合同协议书</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600"/>
        <w:spacing w:line="360" w:lineRule="auto"/>
        <w:rPr>
          <w:rFonts w:hint="eastAsia" w:ascii="仿宋" w:hAnsi="仿宋" w:eastAsia="仿宋" w:cs="仿宋"/>
          <w:sz w:val="30"/>
          <w:szCs w:val="30"/>
          <w:u w:val="single"/>
        </w:rPr>
      </w:pPr>
      <w:r>
        <w:rPr>
          <w:rFonts w:hint="eastAsia" w:ascii="仿宋" w:hAnsi="仿宋" w:eastAsia="仿宋" w:cs="仿宋"/>
          <w:sz w:val="30"/>
          <w:szCs w:val="30"/>
        </w:rPr>
        <w:t xml:space="preserve">甲方（采购人）：</w:t>
      </w:r>
      <w:r>
        <w:rPr>
          <w:rFonts w:hint="eastAsia" w:ascii="仿宋" w:hAnsi="仿宋" w:eastAsia="仿宋" w:cs="仿宋"/>
          <w:b/>
          <w:sz w:val="30"/>
          <w:szCs w:val="30"/>
          <w:u w:val="single"/>
        </w:rPr>
        <w:t xml:space="preserve">江苏省省级机关住房资金管理中心</w:t>
      </w:r>
      <w:r>
        <w:rPr>
          <w:rFonts w:hint="eastAsia" w:ascii="仿宋" w:hAnsi="仿宋" w:eastAsia="仿宋" w:cs="仿宋"/>
          <w:sz w:val="30"/>
          <w:szCs w:val="30"/>
          <w:u w:val="single"/>
        </w:rPr>
        <w:t xml:space="preserve"> </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统一社会信用代码：</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住所地：江苏省南京市汉中门大街145号</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联系人：</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电话：</w:t>
      </w:r>
      <w:r/>
    </w:p>
    <w:p>
      <w:pPr>
        <w:ind w:firstLine="602"/>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600"/>
        <w:spacing w:line="360" w:lineRule="auto"/>
        <w:rPr>
          <w:rFonts w:hint="eastAsia" w:ascii="仿宋" w:hAnsi="仿宋" w:eastAsia="仿宋" w:cs="仿宋"/>
          <w:sz w:val="30"/>
          <w:szCs w:val="30"/>
          <w:u w:val="single"/>
        </w:rPr>
      </w:pPr>
      <w:r>
        <w:rPr>
          <w:rFonts w:hint="eastAsia" w:ascii="仿宋" w:hAnsi="仿宋" w:eastAsia="仿宋" w:cs="仿宋"/>
          <w:sz w:val="30"/>
          <w:szCs w:val="30"/>
        </w:rPr>
        <w:t xml:space="preserve">乙方（供应商）：</w:t>
      </w:r>
      <w:r>
        <w:rPr>
          <w:rFonts w:hint="eastAsia" w:ascii="仿宋" w:hAnsi="仿宋" w:eastAsia="仿宋" w:cs="仿宋"/>
          <w:sz w:val="30"/>
          <w:szCs w:val="30"/>
          <w:u w:val="single"/>
        </w:rPr>
        <w:t xml:space="preserve">                              </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工商注册号：</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统一社会信用代码：</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住所地： </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联系人：</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电话：</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开户银行：</w:t>
      </w:r>
      <w:r/>
    </w:p>
    <w:p>
      <w:pPr>
        <w:ind w:firstLine="600"/>
        <w:spacing w:line="360" w:lineRule="auto"/>
        <w:rPr>
          <w:rFonts w:hint="eastAsia" w:ascii="仿宋" w:hAnsi="仿宋" w:eastAsia="仿宋" w:cs="仿宋"/>
          <w:sz w:val="28"/>
          <w:szCs w:val="28"/>
        </w:rPr>
      </w:pPr>
      <w:r>
        <w:rPr>
          <w:rFonts w:hint="eastAsia" w:ascii="仿宋" w:hAnsi="仿宋" w:eastAsia="仿宋" w:cs="仿宋"/>
          <w:sz w:val="30"/>
          <w:szCs w:val="30"/>
        </w:rPr>
        <w:t xml:space="preserve">账号：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30"/>
          <w:szCs w:val="30"/>
        </w:rPr>
      </w:pPr>
      <w:r>
        <w:rPr>
          <w:rFonts w:hint="eastAsia" w:ascii="仿宋" w:hAnsi="仿宋" w:eastAsia="仿宋" w:cs="仿宋"/>
          <w:sz w:val="30"/>
          <w:szCs w:val="30"/>
        </w:rPr>
        <w:br w:type="page" w:clear="all"/>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根据《中华人民共和国民法典》《中华人民共和国政府采购法》等相关法律法规规定，甲乙双方本着平等合作、诚信互惠的原则，经协商一致，就服务采购事项达成如下条款：</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一、服务内容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服务名称：</w:t>
      </w:r>
      <w:r>
        <w:rPr>
          <w:rFonts w:hint="eastAsia" w:ascii="仿宋" w:hAnsi="仿宋" w:eastAsia="仿宋" w:cs="仿宋"/>
          <w:b/>
          <w:bCs/>
          <w:spacing w:val="-2"/>
          <w:sz w:val="30"/>
          <w:szCs w:val="30"/>
          <w:u w:val="single"/>
        </w:rPr>
        <w:t xml:space="preserve">资金中心信息系统外包服务采购</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服务内容：</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1、内审风控系统外包服务、贷款智能化审批平台系统外包服务、维修资金系统外包服务、周转住房信息管理系统外包服务；2、运维服务；3、配套机柜及线路</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服务期限：</w:t>
      </w:r>
      <w:r>
        <w:rPr>
          <w:rFonts w:hint="eastAsia" w:ascii="仿宋" w:hAnsi="仿宋" w:eastAsia="仿宋" w:cs="仿宋"/>
          <w:b/>
          <w:bCs/>
          <w:sz w:val="30"/>
          <w:szCs w:val="30"/>
          <w:u w:val="single"/>
        </w:rPr>
        <w:t xml:space="preserve">自合同生效之日起一年</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服务标准及要求：</w:t>
      </w:r>
      <w:r>
        <w:rPr>
          <w:rFonts w:hint="eastAsia" w:ascii="仿宋" w:hAnsi="仿宋" w:eastAsia="仿宋" w:cs="仿宋"/>
          <w:b/>
          <w:bCs/>
          <w:sz w:val="30"/>
          <w:szCs w:val="30"/>
          <w:u w:val="single"/>
        </w:rPr>
        <w:t xml:space="preserve">按照甲方采购文件载明的要求及乙方响应文件承诺提供服务</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提供服务的地点：</w:t>
      </w:r>
      <w:r>
        <w:rPr>
          <w:rFonts w:hint="eastAsia" w:ascii="仿宋" w:hAnsi="仿宋" w:eastAsia="仿宋" w:cs="仿宋"/>
          <w:b/>
          <w:bCs/>
          <w:sz w:val="30"/>
          <w:szCs w:val="30"/>
          <w:u w:val="single"/>
        </w:rPr>
        <w:t xml:space="preserve">甲方指定地点</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6. 提供服务的形式：</w:t>
      </w:r>
      <w:r>
        <w:rPr>
          <w:rFonts w:hint="eastAsia" w:ascii="仿宋" w:hAnsi="仿宋" w:eastAsia="仿宋" w:cs="仿宋"/>
          <w:b/>
          <w:bCs/>
          <w:sz w:val="30"/>
          <w:szCs w:val="30"/>
          <w:u w:val="single"/>
        </w:rPr>
        <w:t xml:space="preserve">按照甲方采购文件载明的要求及乙方响应文件承诺提供服务</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二、合同金额</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本合同总价人民币金额：</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rPr>
          <w:rFonts w:hint="eastAsia" w:ascii="仿宋" w:hAnsi="仿宋" w:eastAsia="仿宋" w:cs="仿宋"/>
          <w:b/>
          <w:sz w:val="30"/>
          <w:szCs w:val="30"/>
        </w:rPr>
        <w:t xml:space="preserve"> </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本合同总价为含税价，包含：☑技术服务费用；□安装、调试、检测费用；☑人工、培训费用；□保险费用；□其他必要费用</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。除此之外，甲方不再向乙方支付其他任何费用。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三、付款方式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本合同选用以下第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2</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种付款方式：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一次性付款方式。服务结束</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个工作日前乙方提出付款申请，经甲方验收确认后支付。</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周期付款方式，服务周期为☑一年 □半年 □其他</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（1）合同生效后，甲方收到乙方提供的发票后</w:t>
      </w:r>
      <w:r>
        <w:rPr>
          <w:rFonts w:hint="eastAsia" w:ascii="仿宋" w:hAnsi="仿宋" w:eastAsia="仿宋" w:cs="仿宋"/>
          <w:b/>
          <w:bCs/>
          <w:sz w:val="30"/>
          <w:szCs w:val="30"/>
        </w:rPr>
        <w:t xml:space="preserve">20</w:t>
      </w:r>
      <w:r>
        <w:rPr>
          <w:rFonts w:hint="eastAsia" w:ascii="仿宋" w:hAnsi="仿宋" w:eastAsia="仿宋" w:cs="仿宋"/>
          <w:sz w:val="30"/>
          <w:szCs w:val="30"/>
        </w:rPr>
        <w:t xml:space="preserve">个工作日内支付</w:t>
      </w:r>
      <w:r>
        <w:rPr>
          <w:rFonts w:hint="eastAsia" w:ascii="仿宋" w:hAnsi="仿宋" w:eastAsia="仿宋" w:cs="仿宋"/>
          <w:b/>
          <w:bCs/>
          <w:sz w:val="30"/>
          <w:szCs w:val="30"/>
        </w:rPr>
        <w:t xml:space="preserve">30%</w:t>
      </w:r>
      <w:r>
        <w:rPr>
          <w:rFonts w:hint="eastAsia" w:ascii="仿宋" w:hAnsi="仿宋" w:eastAsia="仿宋" w:cs="仿宋"/>
          <w:sz w:val="30"/>
          <w:szCs w:val="30"/>
        </w:rPr>
        <w:t xml:space="preserve">合同款，第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1</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周期为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（2）服务期满</w:t>
      </w:r>
      <w:r>
        <w:rPr>
          <w:rFonts w:hint="eastAsia" w:ascii="仿宋" w:hAnsi="仿宋" w:eastAsia="仿宋" w:cs="仿宋"/>
          <w:b/>
          <w:bCs/>
          <w:sz w:val="30"/>
          <w:szCs w:val="30"/>
        </w:rPr>
        <w:t xml:space="preserve">3</w:t>
      </w:r>
      <w:r>
        <w:rPr>
          <w:rFonts w:hint="eastAsia" w:ascii="仿宋" w:hAnsi="仿宋" w:eastAsia="仿宋" w:cs="仿宋"/>
          <w:sz w:val="30"/>
          <w:szCs w:val="30"/>
        </w:rPr>
        <w:t xml:space="preserve">个月，乙方已根据合同内容提供相应服务且无重大障碍，甲方收到乙方提供的发票后</w:t>
      </w:r>
      <w:r>
        <w:rPr>
          <w:rFonts w:hint="eastAsia" w:ascii="仿宋" w:hAnsi="仿宋" w:eastAsia="仿宋" w:cs="仿宋"/>
          <w:b/>
          <w:bCs/>
          <w:sz w:val="30"/>
          <w:szCs w:val="30"/>
        </w:rPr>
        <w:t xml:space="preserve">20</w:t>
      </w:r>
      <w:r>
        <w:rPr>
          <w:rFonts w:hint="eastAsia" w:ascii="仿宋" w:hAnsi="仿宋" w:eastAsia="仿宋" w:cs="仿宋"/>
          <w:sz w:val="30"/>
          <w:szCs w:val="30"/>
        </w:rPr>
        <w:t xml:space="preserve">个工作日内支付</w:t>
      </w:r>
      <w:r>
        <w:rPr>
          <w:rFonts w:hint="eastAsia" w:ascii="仿宋" w:hAnsi="仿宋" w:eastAsia="仿宋" w:cs="仿宋"/>
          <w:b/>
          <w:bCs/>
          <w:sz w:val="30"/>
          <w:szCs w:val="30"/>
        </w:rPr>
        <w:t xml:space="preserve">65%</w:t>
      </w:r>
      <w:r>
        <w:rPr>
          <w:rFonts w:hint="eastAsia" w:ascii="仿宋" w:hAnsi="仿宋" w:eastAsia="仿宋" w:cs="仿宋"/>
          <w:sz w:val="30"/>
          <w:szCs w:val="30"/>
        </w:rPr>
        <w:t xml:space="preserve">合同款，第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2</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周期为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（3）项目内容实施完毕后，经甲方验收合格且收到乙方提供的发票后</w:t>
      </w:r>
      <w:r>
        <w:rPr>
          <w:rFonts w:hint="eastAsia" w:ascii="仿宋" w:hAnsi="仿宋" w:eastAsia="仿宋" w:cs="仿宋"/>
          <w:b/>
          <w:bCs/>
          <w:sz w:val="30"/>
          <w:szCs w:val="30"/>
        </w:rPr>
        <w:t xml:space="preserve">20</w:t>
      </w:r>
      <w:r>
        <w:rPr>
          <w:rFonts w:hint="eastAsia" w:ascii="仿宋" w:hAnsi="仿宋" w:eastAsia="仿宋" w:cs="仿宋"/>
          <w:sz w:val="30"/>
          <w:szCs w:val="30"/>
        </w:rPr>
        <w:t xml:space="preserve">个工作日内支付剩余合同款，第</w:t>
      </w:r>
      <w:r>
        <w:rPr>
          <w:rFonts w:hint="eastAsia" w:ascii="仿宋" w:hAnsi="仿宋" w:eastAsia="仿宋" w:cs="仿宋"/>
          <w:sz w:val="30"/>
          <w:szCs w:val="30"/>
          <w:u w:val="single"/>
        </w:rPr>
        <w:t xml:space="preserve">  </w:t>
      </w:r>
      <w:r>
        <w:rPr>
          <w:rFonts w:hint="eastAsia" w:ascii="仿宋" w:hAnsi="仿宋" w:eastAsia="仿宋" w:cs="仿宋"/>
          <w:b/>
          <w:bCs/>
          <w:sz w:val="30"/>
          <w:szCs w:val="30"/>
          <w:u w:val="single"/>
        </w:rPr>
        <w:t xml:space="preserve">3</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周期为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四、交付使用和验收</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乙方应向甲方提供一套完整的技术文件，包括</w:t>
      </w:r>
      <w:r>
        <w:rPr>
          <w:rFonts w:hint="eastAsia" w:ascii="仿宋" w:hAnsi="仿宋" w:eastAsia="仿宋" w:cs="仿宋"/>
          <w:b/>
          <w:bCs/>
          <w:sz w:val="30"/>
          <w:szCs w:val="30"/>
          <w:u w:val="single"/>
        </w:rPr>
        <w:t xml:space="preserve">乙方根据项目执行进度提供中期报告、结项报告，报告内容需体现项目实施内容，并提供有效佐证材料</w:t>
      </w:r>
      <w:r>
        <w:rPr>
          <w:rFonts w:hint="eastAsia" w:ascii="仿宋" w:hAnsi="仿宋" w:eastAsia="仿宋" w:cs="仿宋"/>
          <w:sz w:val="30"/>
          <w:szCs w:val="30"/>
        </w:rPr>
        <w:t xml:space="preserve">等文件。</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验收标准：</w:t>
      </w:r>
      <w:r>
        <w:rPr>
          <w:rFonts w:hint="eastAsia" w:ascii="仿宋" w:hAnsi="仿宋" w:eastAsia="仿宋" w:cs="仿宋"/>
          <w:b/>
          <w:bCs/>
          <w:sz w:val="30"/>
          <w:szCs w:val="30"/>
          <w:u w:val="single"/>
        </w:rPr>
        <w:t xml:space="preserve">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验收方案：</w:t>
      </w:r>
      <w:r>
        <w:rPr>
          <w:rFonts w:hint="eastAsia" w:ascii="仿宋" w:hAnsi="仿宋" w:eastAsia="仿宋" w:cs="仿宋"/>
          <w:b/>
          <w:bCs/>
          <w:sz w:val="30"/>
          <w:szCs w:val="30"/>
          <w:u w:val="single"/>
        </w:rPr>
        <w:t xml:space="preserve">甲方自行组织或视情邀请相关专家或国家认可的质量检测机构参加验收，乙方提供的服务不符合采购文件、乙方响应文件及承诺等有关附件和合同规定的，甲方有权拒收，并由乙方承担验收费用等</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五、售后服务及承诺</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质量保证期限自本项目服务验收合格之日起</w:t>
      </w:r>
      <w:r>
        <w:rPr>
          <w:rFonts w:hint="eastAsia" w:ascii="仿宋" w:hAnsi="仿宋" w:eastAsia="仿宋" w:cs="仿宋"/>
          <w:sz w:val="30"/>
          <w:szCs w:val="30"/>
          <w:u w:val="single"/>
        </w:rPr>
        <w:t xml:space="preserve">1</w:t>
      </w:r>
      <w:r>
        <w:rPr>
          <w:rFonts w:hint="eastAsia" w:ascii="仿宋" w:hAnsi="仿宋" w:eastAsia="仿宋" w:cs="仿宋"/>
          <w:sz w:val="30"/>
          <w:szCs w:val="30"/>
        </w:rPr>
        <w:t xml:space="preserve">年，在质量保证期内，乙方应对服务出现的问题负责处理并承担一切费用。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服务范围：</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六、履约保证金</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本合同生效之后</w:t>
      </w:r>
      <w:r>
        <w:rPr>
          <w:rFonts w:hint="eastAsia" w:ascii="仿宋" w:hAnsi="仿宋" w:eastAsia="仿宋" w:cs="仿宋"/>
          <w:sz w:val="30"/>
          <w:szCs w:val="30"/>
          <w:u w:val="single"/>
        </w:rPr>
        <w:t xml:space="preserve">/</w:t>
      </w:r>
      <w:r>
        <w:rPr>
          <w:rFonts w:hint="eastAsia" w:ascii="仿宋" w:hAnsi="仿宋" w:eastAsia="仿宋" w:cs="仿宋"/>
          <w:sz w:val="30"/>
          <w:szCs w:val="30"/>
        </w:rPr>
        <w:t xml:space="preserve">日内，乙方应向甲方提交合同总金额</w:t>
      </w:r>
      <w:r>
        <w:rPr>
          <w:rFonts w:hint="eastAsia" w:ascii="仿宋" w:hAnsi="仿宋" w:eastAsia="仿宋" w:cs="仿宋"/>
          <w:sz w:val="30"/>
          <w:szCs w:val="30"/>
          <w:u w:val="single"/>
        </w:rPr>
        <w:t xml:space="preserve">/</w:t>
      </w:r>
      <w:r>
        <w:rPr>
          <w:rFonts w:hint="eastAsia" w:ascii="仿宋" w:hAnsi="仿宋" w:eastAsia="仿宋" w:cs="仿宋"/>
          <w:sz w:val="30"/>
          <w:szCs w:val="30"/>
        </w:rPr>
        <w:t xml:space="preserve">%的履约保证金。</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七、其他约定</w:t>
      </w:r>
      <w:r/>
    </w:p>
    <w:p>
      <w:pPr>
        <w:ind w:firstLine="588"/>
        <w:spacing w:line="560" w:lineRule="exact"/>
        <w:rPr>
          <w:rFonts w:hint="eastAsia" w:ascii="仿宋" w:hAnsi="仿宋" w:eastAsia="仿宋" w:cs="仿宋"/>
          <w:sz w:val="30"/>
          <w:szCs w:val="30"/>
          <w:u w:val="single"/>
        </w:rPr>
      </w:pP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八、合同文件</w:t>
      </w:r>
      <w:r/>
    </w:p>
    <w:p>
      <w:pPr>
        <w:ind w:firstLine="635"/>
        <w:spacing w:line="560" w:lineRule="exact"/>
        <w:rPr>
          <w:rFonts w:hint="eastAsia" w:ascii="仿宋" w:hAnsi="仿宋" w:eastAsia="仿宋" w:cs="仿宋"/>
          <w:spacing w:val="12"/>
          <w:sz w:val="30"/>
          <w:szCs w:val="30"/>
        </w:rPr>
      </w:pPr>
      <w:r>
        <w:rPr>
          <w:rFonts w:hint="eastAsia" w:ascii="仿宋" w:hAnsi="仿宋" w:eastAsia="仿宋" w:cs="仿宋"/>
          <w:spacing w:val="12"/>
          <w:sz w:val="30"/>
          <w:szCs w:val="30"/>
        </w:rPr>
        <w:t xml:space="preserve">合同通用条款（具体内容见合同第二部分）与本合同协议书一起构成本合同文件，具有同等法律效力，甲乙双方须共同遵守。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九、合同生效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本合同经甲乙双方签字并加盖公章后生效，合同协议书和通用条款部分须加盖骑缝章。</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十、合同备案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本合同一式</w:t>
      </w:r>
      <w:r>
        <w:rPr>
          <w:rFonts w:hint="eastAsia" w:ascii="仿宋" w:hAnsi="仿宋" w:eastAsia="仿宋" w:cs="仿宋"/>
          <w:b/>
          <w:bCs/>
          <w:sz w:val="30"/>
          <w:szCs w:val="30"/>
        </w:rPr>
        <w:t xml:space="preserve">6</w:t>
      </w:r>
      <w:r>
        <w:rPr>
          <w:rFonts w:hint="eastAsia" w:ascii="仿宋" w:hAnsi="仿宋" w:eastAsia="仿宋" w:cs="仿宋"/>
          <w:sz w:val="30"/>
          <w:szCs w:val="30"/>
        </w:rPr>
        <w:t xml:space="preserve">份，甲乙双方各执</w:t>
      </w:r>
      <w:r>
        <w:rPr>
          <w:rFonts w:hint="eastAsia" w:ascii="仿宋" w:hAnsi="仿宋" w:eastAsia="仿宋" w:cs="仿宋"/>
          <w:b/>
          <w:bCs/>
          <w:sz w:val="30"/>
          <w:szCs w:val="30"/>
        </w:rPr>
        <w:t xml:space="preserve">3</w:t>
      </w:r>
      <w:r>
        <w:rPr>
          <w:rFonts w:hint="eastAsia" w:ascii="仿宋" w:hAnsi="仿宋" w:eastAsia="仿宋" w:cs="仿宋"/>
          <w:sz w:val="30"/>
          <w:szCs w:val="30"/>
        </w:rPr>
        <w:t xml:space="preserve">份，具有同等法律效力。</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（以下无正文）</w:t>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r>
      <w:r/>
    </w:p>
    <w:tbl>
      <w:tblPr>
        <w:tblStyle w:val="1038"/>
        <w:tblW w:w="8941" w:type="dxa"/>
        <w:tblInd w:w="0" w:type="dxa"/>
        <w:tblLayout w:type="fixed"/>
        <w:tblCellMar>
          <w:left w:w="108" w:type="dxa"/>
          <w:top w:w="0" w:type="dxa"/>
          <w:right w:w="108" w:type="dxa"/>
          <w:bottom w:w="0" w:type="dxa"/>
        </w:tblCellMar>
        <w:tblLook w:val="04A0" w:firstRow="1" w:lastRow="0" w:firstColumn="1" w:lastColumn="0" w:noHBand="0" w:noVBand="1"/>
      </w:tblPr>
      <w:tblGrid>
        <w:gridCol w:w="4378"/>
        <w:gridCol w:w="4563"/>
      </w:tblGrid>
      <w:tr>
        <w:trPr>
          <w:trHeight w:val="1296"/>
        </w:trPr>
        <w:tc>
          <w:tcPr>
            <w:tcBorders>
              <w:top w:val="none" w:color="000000" w:sz="4" w:space="0"/>
              <w:left w:val="none" w:color="000000" w:sz="4" w:space="0"/>
              <w:bottom w:val="none" w:color="000000" w:sz="4" w:space="0"/>
              <w:right w:val="none" w:color="000000" w:sz="4" w:space="0"/>
            </w:tcBorders>
            <w:tcW w:w="4378" w:type="dxa"/>
            <w:textDirection w:val="lrTb"/>
            <w:noWrap w:val="false"/>
          </w:tcPr>
          <w:p>
            <w:pPr>
              <w:ind w:left="1" w:hanging="3"/>
              <w:spacing w:line="560" w:lineRule="exact"/>
              <w:rPr>
                <w:rFonts w:hint="eastAsia" w:ascii="仿宋" w:hAnsi="仿宋" w:eastAsia="仿宋" w:cs="仿宋"/>
                <w:sz w:val="30"/>
                <w:szCs w:val="30"/>
              </w:rPr>
            </w:pPr>
            <w:r>
              <w:rPr>
                <w:rFonts w:hint="eastAsia" w:ascii="仿宋" w:hAnsi="仿宋" w:eastAsia="仿宋" w:cs="仿宋"/>
                <w:sz w:val="30"/>
                <w:szCs w:val="30"/>
              </w:rPr>
              <w:t xml:space="preserve">甲方：  （盖章）</w:t>
            </w:r>
            <w:r/>
          </w:p>
          <w:p>
            <w:pPr>
              <w:ind w:left="1" w:hanging="3"/>
              <w:spacing w:line="560" w:lineRule="exact"/>
              <w:rPr>
                <w:rFonts w:hint="eastAsia" w:ascii="仿宋" w:hAnsi="仿宋" w:eastAsia="仿宋" w:cs="仿宋"/>
                <w:sz w:val="30"/>
                <w:szCs w:val="30"/>
              </w:rPr>
            </w:pPr>
            <w:r>
              <w:rPr>
                <w:rFonts w:hint="eastAsia" w:ascii="仿宋" w:hAnsi="仿宋" w:eastAsia="仿宋" w:cs="仿宋"/>
                <w:sz w:val="30"/>
                <w:szCs w:val="30"/>
              </w:rPr>
              <w:t xml:space="preserve">法定（授权）代表人：                    </w:t>
            </w:r>
            <w:r/>
          </w:p>
          <w:p>
            <w:pPr>
              <w:ind w:firstLine="21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年   月   日</w:t>
            </w:r>
            <w:r/>
          </w:p>
        </w:tc>
        <w:tc>
          <w:tcPr>
            <w:tcBorders>
              <w:top w:val="none" w:color="000000" w:sz="4" w:space="0"/>
              <w:left w:val="none" w:color="000000" w:sz="4" w:space="0"/>
              <w:bottom w:val="none" w:color="000000" w:sz="4" w:space="0"/>
              <w:right w:val="none" w:color="000000" w:sz="4" w:space="0"/>
            </w:tcBorders>
            <w:tcW w:w="4563" w:type="dxa"/>
            <w:textDirection w:val="lrTb"/>
            <w:noWrap w:val="false"/>
          </w:tcPr>
          <w:p>
            <w:pPr>
              <w:ind w:firstLine="3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乙方：  （盖章）</w:t>
            </w:r>
            <w:r/>
          </w:p>
          <w:p>
            <w:pPr>
              <w:ind w:left="-2" w:firstLine="3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法定（授权）代表人：           </w:t>
            </w:r>
            <w:r/>
          </w:p>
          <w:p>
            <w:pPr>
              <w:ind w:firstLine="24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年   月   日</w:t>
            </w:r>
            <w:r/>
          </w:p>
        </w:tc>
      </w:tr>
    </w:tbl>
    <w:p>
      <w:pPr>
        <w:ind w:firstLine="2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合同签订地点：南京市建邺区</w:t>
      </w:r>
      <w:r/>
    </w:p>
    <w:p>
      <w:pPr>
        <w:jc w:val="left"/>
        <w:widowControl/>
        <w:rPr>
          <w:rFonts w:hint="eastAsia" w:ascii="仿宋" w:hAnsi="仿宋" w:eastAsia="仿宋" w:cs="仿宋"/>
          <w:sz w:val="30"/>
          <w:szCs w:val="30"/>
        </w:rPr>
      </w:pPr>
      <w:r>
        <w:rPr>
          <w:rFonts w:hint="eastAsia" w:ascii="仿宋" w:hAnsi="仿宋" w:eastAsia="仿宋" w:cs="仿宋"/>
          <w:sz w:val="30"/>
          <w:szCs w:val="30"/>
        </w:rPr>
        <w:br w:type="page" w:clear="all"/>
      </w:r>
      <w:r/>
    </w:p>
    <w:p>
      <w:pPr>
        <w:spacing w:line="560" w:lineRule="exact"/>
        <w:rPr>
          <w:rFonts w:hint="eastAsia" w:ascii="仿宋" w:hAnsi="仿宋" w:eastAsia="仿宋" w:cs="仿宋"/>
          <w:sz w:val="30"/>
          <w:szCs w:val="30"/>
        </w:rPr>
      </w:pPr>
      <w:r>
        <w:rPr>
          <w:rFonts w:hint="eastAsia" w:ascii="仿宋" w:hAnsi="仿宋" w:eastAsia="仿宋" w:cs="仿宋"/>
          <w:sz w:val="30"/>
          <w:szCs w:val="30"/>
        </w:rPr>
      </w:r>
      <w:r/>
    </w:p>
    <w:p>
      <w:pPr>
        <w:jc w:val="center"/>
        <w:rPr>
          <w:rFonts w:hint="eastAsia" w:ascii="仿宋" w:hAnsi="仿宋" w:eastAsia="仿宋" w:cs="仿宋"/>
          <w:sz w:val="44"/>
          <w:szCs w:val="44"/>
        </w:rPr>
      </w:pPr>
      <w:r>
        <w:rPr>
          <w:rFonts w:hint="eastAsia" w:ascii="仿宋" w:hAnsi="仿宋" w:eastAsia="仿宋" w:cs="仿宋"/>
          <w:sz w:val="44"/>
          <w:szCs w:val="44"/>
        </w:rPr>
        <w:t xml:space="preserve">第二部分　合同通用条款</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一、服务事项执行规定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本服务事项由甲方按照政府采购和相关政策规定交由乙方组织实施，具体服务标准、规范等按照国家和我省有关规定、标准及双方约定执行，涉及国内现行适用的标准、规范等由乙方自备。</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二、甲方权利与义务</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甲方有权向乙方询问工作进展情况及相关的内容，检查和监督服务工作的质量、管理等情况。</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甲方对乙方服务过程中出现的具体问题可以提出建议和意见，要求乙方及时纠正违反合同规定的行为，并按本合同有关规定予以处理，由此造成乙方履行本合同项下任何部分义务的费用或所需时间的增减，应对合同总金额、项目进度进行合理调整同时相应修改合同。乙方必须在接到甲方的变更指示后</w:t>
      </w:r>
      <w:r>
        <w:rPr>
          <w:rFonts w:hint="eastAsia" w:ascii="仿宋" w:hAnsi="仿宋" w:eastAsia="仿宋" w:cs="仿宋"/>
          <w:sz w:val="30"/>
          <w:szCs w:val="30"/>
          <w:u w:val="single"/>
        </w:rPr>
        <w:t xml:space="preserve"> 3</w:t>
      </w:r>
      <w:r>
        <w:rPr>
          <w:rFonts w:hint="eastAsia" w:ascii="仿宋" w:hAnsi="仿宋" w:eastAsia="仿宋" w:cs="仿宋"/>
          <w:sz w:val="30"/>
          <w:szCs w:val="30"/>
        </w:rPr>
        <w:t xml:space="preserve">日内根据本条款提出调整的要求。</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甲方认定乙方项目服务人员不按项目服务合同履行其职责、不能有效与甲方配合并履行其项目服务义务，或与第三人串通给甲方造成经济损失的，甲方有权要求乙方作出相应整改，对甲方造成实际损失的，甲方有权解除合同并由乙方作出相应赔偿。</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三、乙方权利与义务</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乙方应严格遵守相关法律法规的规定，保证在合法且不侵犯他人利益的原则下开展项目服务活动，并对其所进行的服务活动负责。</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乙方应按本合同约定的时间、服务范围和内容，以及行业通常接受的技术惯例和专业机构承认的标准履行服务项目。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乙方应对所提供服务可靠性、准确性、全面性负责，因此导致甲方工作偏差或失误，乙方应承担相应法律责任。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乙方履行本合同所确定的项目团队负责人及主要专业技术、管理人员等必须是本项目实际操作者，未经甲方同意，不得调换或撤离。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四、交付使用和验收</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项目报告。乙方定期报告进展（结项）情况，报告内容需体现项目实施内容，并提供有效佐证材料。</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甲方应当在收到乙方项目验收申请之日起</w:t>
      </w:r>
      <w:r>
        <w:rPr>
          <w:rFonts w:hint="eastAsia" w:ascii="仿宋" w:hAnsi="仿宋" w:eastAsia="仿宋" w:cs="仿宋"/>
          <w:sz w:val="30"/>
          <w:szCs w:val="30"/>
          <w:u w:val="single"/>
        </w:rPr>
        <w:t xml:space="preserve"> 7</w:t>
      </w:r>
      <w:r>
        <w:rPr>
          <w:rFonts w:hint="eastAsia" w:ascii="仿宋" w:hAnsi="仿宋" w:eastAsia="仿宋" w:cs="仿宋"/>
          <w:sz w:val="30"/>
          <w:szCs w:val="30"/>
        </w:rPr>
        <w:t xml:space="preserve">个工作日内，根据国家、行业标准，以及合同约定验收方案，明确验收时间、方式、程序和内容等事项，对本项目进行实质性验收（验收申请有明显不当的除外）。</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应对提交的服务成果作出全面检查和整理，并列出清单，作为甲方验收和使用技术条件依据，清单应随提交的服务成果交给甲方。乙方提供的服务不符合采购文件、乙方响应文件及承诺等有关附件和合同规定的，甲方有权拒收，并由乙方承担验收费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五、权利保证</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知识产权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乙方在项目中使用的由甲方提供的所有资料，包括但不限于本合同及附件、采购文件、技术成果文件及说明等资料的所有权和知识产权均属于甲方。乙方为履行本合同所形成的技术成果及其他任何成果的完整知识产权均属甲方所有。</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所有权</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在项目期间内，乙方根据本合同要求提交的项目文件及服务成果（包括但不限于阶段性、过程性成果等相关资料）的所有权，归甲方所有。未经甲方同意，乙方不得擅自将服务成果对外展示或使用，否则甲方有权解除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六、服务质量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采购文件规定、响应文件承诺的规范及要求明确的，乙方所交付项目的质量标准应当符合采购文件规定、响应文件承诺的规范及要求，且不应低于国家强制性标准。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采购文件规定、响应文件承诺的规范及要求不明确的或未通过政府采购方式采购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乙方所交付的项目还应符合有关安全、环保、卫生等国家和江苏省有关规定。</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如乙方未能按合同规定履行质量保证责任和义务，甲方有权委托其他单位来实施，甲方因寻求替代履行所支付的费用和损失，由乙方赔偿，或从本合同应付或将付款项中扣除。</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七、履约保证金</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1. 履约保证金可以采用甲方认可的银行出具的履约保函，前述保函的期限应覆盖自出具之日起至完成服务且验收合格之日止的期间，如未覆盖需重新按合同规定提交。乙方提交履约保证金所需的有关费用均由其自行负担。</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2. 如乙方未能履行本合同规定的任何义务，则甲方有权从履约保证金中得到补偿。履约保证金不足弥补甲方损失的，乙方仍需承担赔偿责任。</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3. 履约保证金（全额或扣减后剩余金额部分）在按本合同规定验收合格、乙方提交验收报告后</w:t>
      </w:r>
      <w:r>
        <w:rPr>
          <w:rFonts w:hint="eastAsia" w:ascii="仿宋" w:hAnsi="仿宋" w:eastAsia="仿宋" w:cs="仿宋"/>
          <w:sz w:val="30"/>
          <w:szCs w:val="30"/>
          <w:u w:val="single"/>
        </w:rPr>
        <w:t xml:space="preserve"> 15 </w:t>
      </w:r>
      <w:r>
        <w:rPr>
          <w:rFonts w:hint="eastAsia" w:ascii="仿宋" w:hAnsi="仿宋" w:eastAsia="仿宋" w:cs="仿宋"/>
          <w:sz w:val="30"/>
          <w:szCs w:val="30"/>
        </w:rPr>
        <w:t xml:space="preserve">个工作日内退还乙方。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八、转包或分包</w:t>
      </w:r>
      <w:r/>
    </w:p>
    <w:p>
      <w:pPr>
        <w:ind w:firstLine="58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本项目合同不得转包或分包，否则甲方有权单方解除本合同。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九、合同修改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本合同一经签订，除国家规定外，甲乙双方不得擅自变更、中止或终止合同。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本合同确需进行修改、补充或完善的，甲乙双方必须就所修改、补充或完善的内容签订补充协议。补充协议与本合同具有同等法律效力，补充协议与本合同不一致的，以补充协议为准。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十、违约责任 </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甲方未按合同规定期限向乙方支付服务费，每逾期</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日向乙方支付欠款总额</w:t>
      </w:r>
      <w:r>
        <w:rPr>
          <w:rFonts w:hint="eastAsia" w:ascii="仿宋" w:hAnsi="仿宋" w:eastAsia="仿宋" w:cs="仿宋"/>
          <w:sz w:val="30"/>
          <w:szCs w:val="30"/>
          <w:u w:val="single"/>
        </w:rPr>
        <w:t xml:space="preserve"> 0.05%</w:t>
      </w:r>
      <w:r>
        <w:rPr>
          <w:rFonts w:hint="eastAsia" w:ascii="仿宋" w:hAnsi="仿宋" w:eastAsia="仿宋" w:cs="仿宋"/>
          <w:sz w:val="30"/>
          <w:szCs w:val="30"/>
        </w:rPr>
        <w:t xml:space="preserve">的违约金，但累计违约金总额不超过欠款总额的</w:t>
      </w:r>
      <w:r>
        <w:rPr>
          <w:rFonts w:hint="eastAsia" w:ascii="仿宋" w:hAnsi="仿宋" w:eastAsia="仿宋" w:cs="仿宋"/>
          <w:sz w:val="30"/>
          <w:szCs w:val="30"/>
          <w:u w:val="single"/>
        </w:rPr>
        <w:t xml:space="preserve"> 5%</w:t>
      </w:r>
      <w:r>
        <w:rPr>
          <w:rFonts w:hint="eastAsia" w:ascii="仿宋" w:hAnsi="仿宋" w:eastAsia="仿宋" w:cs="仿宋"/>
          <w:sz w:val="30"/>
          <w:szCs w:val="30"/>
        </w:rPr>
        <w:t xml:space="preserve">，因财政资金未按时拨付导致甲方迟延付款的，甲方不承担违约责任。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乙方拒绝提供服务的，甲方有权单方解除合同，乙方还应向甲方支付合同总金额</w:t>
      </w:r>
      <w:r>
        <w:rPr>
          <w:rFonts w:hint="eastAsia" w:ascii="仿宋" w:hAnsi="仿宋" w:eastAsia="仿宋" w:cs="仿宋"/>
          <w:sz w:val="30"/>
          <w:szCs w:val="30"/>
          <w:u w:val="single"/>
        </w:rPr>
        <w:t xml:space="preserve"> 30%</w:t>
      </w:r>
      <w:r>
        <w:rPr>
          <w:rFonts w:hint="eastAsia" w:ascii="仿宋" w:hAnsi="仿宋" w:eastAsia="仿宋" w:cs="仿宋"/>
          <w:sz w:val="30"/>
          <w:szCs w:val="30"/>
        </w:rPr>
        <w:t xml:space="preserve">的违约金。</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乙方逾期提供本合同项下任一子项服务内容的，每逾期</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日，乙方向甲方支付合同总金额</w:t>
      </w:r>
      <w:r>
        <w:rPr>
          <w:rFonts w:hint="eastAsia" w:ascii="仿宋" w:hAnsi="仿宋" w:eastAsia="仿宋" w:cs="仿宋"/>
          <w:sz w:val="30"/>
          <w:szCs w:val="30"/>
          <w:u w:val="single"/>
        </w:rPr>
        <w:t xml:space="preserve"> 0.05%</w:t>
      </w:r>
      <w:r>
        <w:rPr>
          <w:rFonts w:hint="eastAsia" w:ascii="仿宋" w:hAnsi="仿宋" w:eastAsia="仿宋" w:cs="仿宋"/>
          <w:sz w:val="30"/>
          <w:szCs w:val="30"/>
        </w:rPr>
        <w:t xml:space="preserve">的违约金；乙方逾期提供多项任务要求的，逾期时间及逾期责任累计计算。乙方累计逾期提供服务达到或超过</w:t>
      </w:r>
      <w:r>
        <w:rPr>
          <w:rFonts w:hint="eastAsia" w:ascii="仿宋" w:hAnsi="仿宋" w:eastAsia="仿宋" w:cs="仿宋"/>
          <w:sz w:val="30"/>
          <w:szCs w:val="30"/>
          <w:u w:val="single"/>
        </w:rPr>
        <w:t xml:space="preserve"> 10</w:t>
      </w:r>
      <w:r>
        <w:rPr>
          <w:rFonts w:hint="eastAsia" w:ascii="仿宋" w:hAnsi="仿宋" w:eastAsia="仿宋" w:cs="仿宋"/>
          <w:sz w:val="30"/>
          <w:szCs w:val="30"/>
        </w:rPr>
        <w:t xml:space="preserve">日，甲方有权解除合同，乙方应向甲方退还全部已付合同款，并向甲方支付合同总金额</w:t>
      </w:r>
      <w:r>
        <w:rPr>
          <w:rFonts w:hint="eastAsia" w:ascii="仿宋" w:hAnsi="仿宋" w:eastAsia="仿宋" w:cs="仿宋"/>
          <w:sz w:val="30"/>
          <w:szCs w:val="30"/>
          <w:u w:val="single"/>
        </w:rPr>
        <w:t xml:space="preserve"> 10%</w:t>
      </w:r>
      <w:r>
        <w:rPr>
          <w:rFonts w:hint="eastAsia" w:ascii="仿宋" w:hAnsi="仿宋" w:eastAsia="仿宋" w:cs="仿宋"/>
          <w:sz w:val="30"/>
          <w:szCs w:val="30"/>
        </w:rPr>
        <w:t xml:space="preserve">的违约金（此违约金不与逾期违约金并列适用）。</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1）乙方所提供服务中任何一部分不符合合同约定的，甲方有权拒收全部乙方服务内容或不符合约定部分的服务内容，且均有权单方解除合同，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的违约金。（3）经甲方同意，对于不符合约定的服务内容，乙方整改后重新提供且重新提供内容符合约定的，甲方对于该部分服务内容应予付费，但针对每一整改事项，乙方应向甲方支付合同总金额</w:t>
      </w:r>
      <w:r>
        <w:rPr>
          <w:rFonts w:hint="eastAsia" w:ascii="仿宋" w:hAnsi="仿宋" w:eastAsia="仿宋" w:cs="仿宋"/>
          <w:sz w:val="30"/>
          <w:szCs w:val="30"/>
          <w:u w:val="single"/>
        </w:rPr>
        <w:t xml:space="preserve"> 1%</w:t>
      </w:r>
      <w:r>
        <w:rPr>
          <w:rFonts w:hint="eastAsia" w:ascii="仿宋" w:hAnsi="仿宋" w:eastAsia="仿宋" w:cs="仿宋"/>
          <w:sz w:val="30"/>
          <w:szCs w:val="30"/>
        </w:rPr>
        <w:t xml:space="preserve">的违约金；整改后仍不符合约定的，甲方有权拒收该部分服务内容，并根据上述第（1）（2）项约定执行。</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违约责任或者给甲方造成损失的赔偿责任的，乙方应根据甲方要求另行支付。</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6. 甲方依法或者依照本合同约定解除合同的，解除合同通知自到达乙方时生效，乙方应退还全部已付合同款（如有），并向甲方支付按合同总金额</w:t>
      </w:r>
      <w:r>
        <w:rPr>
          <w:rFonts w:hint="eastAsia" w:ascii="仿宋" w:hAnsi="仿宋" w:eastAsia="仿宋" w:cs="仿宋"/>
          <w:sz w:val="30"/>
          <w:szCs w:val="30"/>
          <w:u w:val="single"/>
        </w:rPr>
        <w:t xml:space="preserve"> 10%</w:t>
      </w:r>
      <w:r>
        <w:rPr>
          <w:rFonts w:hint="eastAsia" w:ascii="仿宋" w:hAnsi="仿宋" w:eastAsia="仿宋" w:cs="仿宋"/>
          <w:sz w:val="30"/>
          <w:szCs w:val="30"/>
        </w:rPr>
        <w:t xml:space="preserve">的违约金（其他条款针对违约金有特别约定的从其约定），乙方履约保证金（如有）不予退还。</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7. 乙方在承担上述一项或多项违约责任后，仍应继续履行合同规定的义务（甲方解除合同的除外）。甲方未能及时追究乙方的任何一项违约责任并不表明甲方放弃追究乙方该项或其他违约责任。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8. 乙方响应属虚假承诺，或经权威部门检测提供的服务不能满足采购文件要求、响应文件承诺及本合同约定，或是由于乙方的过错造成合同无法继续履行的，乙方履约保证金（如有）不予退还外，还应向甲方支付不少于合同总金额</w:t>
      </w:r>
      <w:r>
        <w:rPr>
          <w:rFonts w:hint="eastAsia" w:ascii="仿宋" w:hAnsi="仿宋" w:eastAsia="仿宋" w:cs="仿宋"/>
          <w:sz w:val="30"/>
          <w:szCs w:val="30"/>
          <w:u w:val="single"/>
        </w:rPr>
        <w:t xml:space="preserve"> 30%</w:t>
      </w:r>
      <w:r>
        <w:rPr>
          <w:rFonts w:hint="eastAsia" w:ascii="仿宋" w:hAnsi="仿宋" w:eastAsia="仿宋" w:cs="仿宋"/>
          <w:sz w:val="30"/>
          <w:szCs w:val="30"/>
        </w:rPr>
        <w:t xml:space="preserve">的违约金。</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9. 甲乙双方任何一方违反本合同约定的，除应承担上述违约责任外，违约方还应当赔偿因此给守约方造成的一切损失，包括但不限于守约方的实际损失、预期可得利益损失以及为实现债权而产生的费用（包括但不限于诉讼费、保全费、保全担保费、律师费、公证费、鉴定费、差旅费等）。</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十一、保密</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乙方为履行本合同所形成的任何成果，乙方负有保密义务。</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违反保密义务的，视为严重的根本违约行为，除应按合同约定承担有关违约责任外，还应当承担由此导致的行政乃至刑事法律责任，并应承担损失赔偿责任。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6. 保密的内容包括但不限于书面、电子数据等承载保密信息的各种形式。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7. 前述保密义务条款为独立条款，不因本协议的解除、终止而失效。</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十二、不可抗力</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1. 甲乙双方因不可抗力而导致合同实施延误或不能履行合同义务，不应该承担误期赔偿或不能履行合同义务的责任。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2. 在不可抗力事件发生后，当事方应尽快以书面形式将不可抗力的情况和原因通知对方，并在</w:t>
      </w:r>
      <w:r>
        <w:rPr>
          <w:rFonts w:hint="eastAsia" w:ascii="仿宋" w:hAnsi="仿宋" w:eastAsia="仿宋" w:cs="仿宋"/>
          <w:sz w:val="30"/>
          <w:szCs w:val="30"/>
          <w:u w:val="single"/>
        </w:rPr>
        <w:t xml:space="preserve"> 15</w:t>
      </w:r>
      <w:r>
        <w:rPr>
          <w:rFonts w:hint="eastAsia" w:ascii="仿宋" w:hAnsi="仿宋" w:eastAsia="仿宋" w:cs="仿宋"/>
          <w:sz w:val="30"/>
          <w:szCs w:val="30"/>
        </w:rPr>
        <w:t xml:space="preserve">日内将有关部门出具的不可抗力证明文件发送给另一方确认。合同双方应尽实际可能继续履行合同义务，并积极寻求采取合理的方案履行不受不可抗力影响的其他事项。合同双方应通过友好协商在合理的时间内达成进一步履行合同的协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3. 当不可抗力情形终止或消除后，受影响的一方应尽快以电话、传真或邮政EMS通知对方。</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4. 受不可抗力影响方应尽一切努力减少因不可抗力而产生的损失，否则应对扩大的损失承担责任。</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5. 如不可抗力延续超过</w:t>
      </w:r>
      <w:r>
        <w:rPr>
          <w:rFonts w:hint="eastAsia" w:ascii="仿宋" w:hAnsi="仿宋" w:eastAsia="仿宋" w:cs="仿宋"/>
          <w:sz w:val="30"/>
          <w:szCs w:val="30"/>
          <w:u w:val="single"/>
        </w:rPr>
        <w:t xml:space="preserve"> 45</w:t>
      </w:r>
      <w:r>
        <w:rPr>
          <w:rFonts w:hint="eastAsia" w:ascii="仿宋" w:hAnsi="仿宋" w:eastAsia="仿宋" w:cs="仿宋"/>
          <w:sz w:val="30"/>
          <w:szCs w:val="30"/>
        </w:rPr>
        <w:t xml:space="preserve">日以上（含本数）时，双方应通过友好协商解决本合同的履行问题，并应尽快达成协议。</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十三、争议解决方式</w:t>
      </w:r>
      <w:r/>
    </w:p>
    <w:p>
      <w:pPr>
        <w:ind w:firstLine="600"/>
        <w:spacing w:line="560" w:lineRule="exact"/>
        <w:rPr>
          <w:rFonts w:hint="eastAsia" w:ascii="仿宋" w:hAnsi="仿宋" w:eastAsia="仿宋" w:cs="仿宋"/>
          <w:sz w:val="30"/>
          <w:szCs w:val="30"/>
        </w:rPr>
      </w:pPr>
      <w:r>
        <w:rPr>
          <w:rFonts w:hint="eastAsia" w:ascii="仿宋" w:hAnsi="仿宋" w:eastAsia="仿宋" w:cs="仿宋"/>
          <w:sz w:val="30"/>
          <w:szCs w:val="30"/>
        </w:rPr>
        <w:t xml:space="preserve">因履行本合同引起的或与本合同有关的争议，由甲乙双方协商处理，若协商不成，双方均同意提交甲方住所地有管辖权的人民法院诉讼解决。</w:t>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ascii="黑体" w:hAnsi="Arial" w:eastAsia="黑体" w:cs="Arial"/>
          <w:sz w:val="36"/>
          <w:szCs w:val="36"/>
          <w:lang w:val="zh-CN"/>
        </w:rPr>
        <w:outlineLvl w:val="0"/>
      </w:pPr>
      <w:r>
        <w:rPr>
          <w:rFonts w:hint="eastAsia" w:ascii="黑体" w:hAnsi="Arial" w:eastAsia="黑体" w:cs="Arial"/>
          <w:b/>
          <w:bCs/>
          <w:sz w:val="36"/>
          <w:szCs w:val="36"/>
        </w:rPr>
        <w:br w:type="page" w:clear="all"/>
      </w:r>
      <w:bookmarkStart w:id="67" w:name="_Toc30800"/>
      <w:r>
        <w:rPr>
          <w:rFonts w:hint="eastAsia" w:ascii="黑体" w:hAnsi="Arial" w:eastAsia="黑体" w:cs="Arial"/>
          <w:b/>
          <w:bCs/>
          <w:sz w:val="36"/>
          <w:szCs w:val="36"/>
        </w:rPr>
        <w:t xml:space="preserve">第六章 竞争性磋商响应文件格式及附件</w:t>
      </w:r>
      <w:bookmarkEnd w:id="67"/>
      <w:r/>
      <w:r/>
    </w:p>
    <w:p>
      <w:pPr>
        <w:ind w:left="560"/>
        <w:jc w:val="center"/>
        <w:spacing w:line="240" w:lineRule="atLeast"/>
        <w:rPr>
          <w:rFonts w:ascii="黑体" w:eastAsia="黑体"/>
          <w:b/>
          <w:bCs/>
          <w:sz w:val="36"/>
          <w:szCs w:val="36"/>
          <w:lang w:val="zh-CN"/>
        </w:rPr>
      </w:pPr>
      <w:r>
        <w:rPr>
          <w:rFonts w:ascii="黑体" w:eastAsia="黑体"/>
          <w:b/>
          <w:bCs/>
          <w:sz w:val="36"/>
          <w:szCs w:val="36"/>
          <w:lang w:val="zh-CN"/>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竞争性磋商响应文件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pStyle w:val="1054"/>
        <w:ind w:left="1470" w:right="1470"/>
      </w:pPr>
      <w:r/>
      <w:r/>
    </w:p>
    <w:p>
      <w:pPr>
        <w:ind w:firstLine="2168"/>
        <w:jc w:val="left"/>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2168"/>
        <w:jc w:val="left"/>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ind w:firstLine="2168"/>
        <w:jc w:val="left"/>
        <w:rPr>
          <w:rFonts w:hint="eastAsia"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               </w:t>
      </w:r>
      <w:r/>
    </w:p>
    <w:p>
      <w:pPr>
        <w:ind w:firstLine="2168"/>
        <w:jc w:val="left"/>
        <w:rPr>
          <w:rFonts w:hint="eastAsia" w:ascii="宋体" w:hAnsi="宋体"/>
          <w:b/>
          <w:sz w:val="36"/>
        </w:rPr>
      </w:pPr>
      <w:r>
        <w:rPr>
          <w:rFonts w:hint="eastAsia" w:ascii="宋体" w:hAnsi="宋体"/>
          <w:b/>
          <w:sz w:val="36"/>
        </w:rPr>
        <w:t xml:space="preserve">日      期 ：</w:t>
      </w:r>
      <w:r>
        <w:rPr>
          <w:rFonts w:hint="eastAsia" w:ascii="宋体" w:hAnsi="宋体"/>
          <w:b/>
          <w:sz w:val="36"/>
          <w:u w:val="single"/>
        </w:rPr>
        <w:t xml:space="preserve">               </w:t>
      </w:r>
      <w:r/>
    </w:p>
    <w:p>
      <w:pPr>
        <w:jc w:val="left"/>
        <w:rPr>
          <w:rFonts w:hint="eastAsia" w:ascii="宋体" w:hAnsi="宋体"/>
          <w:b/>
          <w:bCs/>
          <w:sz w:val="44"/>
        </w:rPr>
      </w:pPr>
      <w:r>
        <w:rPr>
          <w:rFonts w:hint="eastAsia" w:ascii="宋体" w:hAnsi="宋体"/>
          <w:b/>
          <w:bCs/>
          <w:sz w:val="44"/>
        </w:rPr>
      </w:r>
      <w:r/>
    </w:p>
    <w:p>
      <w:pPr>
        <w:jc w:val="left"/>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32"/>
          <w:szCs w:val="32"/>
        </w:rPr>
      </w:pPr>
      <w:r/>
      <w:bookmarkStart w:id="68" w:name="_Toc489655320"/>
      <w:r/>
      <w:bookmarkStart w:id="69" w:name="_Toc508699424"/>
      <w:r/>
      <w:r/>
    </w:p>
    <w:p>
      <w:pPr>
        <w:jc w:val="center"/>
        <w:rPr>
          <w:rFonts w:hint="eastAsia" w:ascii="宋体" w:hAnsi="宋体" w:cs="宋体"/>
          <w:b/>
          <w:bCs/>
          <w:sz w:val="32"/>
          <w:szCs w:val="32"/>
        </w:rPr>
      </w:pPr>
      <w:r>
        <w:rPr>
          <w:rFonts w:hint="eastAsia" w:ascii="宋体" w:hAnsi="宋体" w:cs="宋体"/>
          <w:b/>
          <w:bCs/>
          <w:sz w:val="32"/>
          <w:szCs w:val="32"/>
        </w:rPr>
        <w:t xml:space="preserve">磋商文件主要目录</w:t>
      </w:r>
      <w:bookmarkEnd w:id="68"/>
      <w:r>
        <w:rPr>
          <w:rFonts w:hint="eastAsia" w:ascii="宋体" w:hAnsi="宋体" w:cs="宋体"/>
          <w:b/>
          <w:bCs/>
          <w:sz w:val="32"/>
          <w:szCs w:val="32"/>
        </w:rPr>
        <w:t xml:space="preserve">及相关证明材料格式、附件</w:t>
      </w:r>
      <w:bookmarkEnd w:id="69"/>
      <w:r/>
      <w:r/>
    </w:p>
    <w:p>
      <w:pPr>
        <w:rPr>
          <w:rFonts w:hint="eastAsia" w:ascii="宋体" w:hAnsi="宋体" w:cs="宋体"/>
          <w:sz w:val="28"/>
          <w:szCs w:val="28"/>
        </w:rPr>
      </w:pPr>
      <w:r>
        <w:rPr>
          <w:rFonts w:hint="eastAsia" w:ascii="宋体" w:hAnsi="宋体" w:cs="宋体"/>
          <w:sz w:val="28"/>
          <w:szCs w:val="28"/>
        </w:rPr>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磋商申请及声明</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法定代表人授权书</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磋商报价表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资格证明文件</w:t>
      </w:r>
      <w:r/>
    </w:p>
    <w:p>
      <w:pPr>
        <w:numPr>
          <w:ilvl w:val="0"/>
          <w:numId w:val="5"/>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分项报价表</w:t>
      </w:r>
      <w:r/>
    </w:p>
    <w:p>
      <w:pPr>
        <w:numPr>
          <w:ilvl w:val="0"/>
          <w:numId w:val="5"/>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供应商类似业绩情况表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技术条款偏离表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商务条款偏离表</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项目技术方案或服务说明</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服务与承诺</w:t>
      </w:r>
      <w:r/>
    </w:p>
    <w:p>
      <w:pPr>
        <w:numPr>
          <w:ilvl w:val="0"/>
          <w:numId w:val="5"/>
        </w:numPr>
        <w:spacing w:line="360" w:lineRule="auto"/>
        <w:rPr>
          <w:rFonts w:hint="eastAsia" w:ascii="宋体" w:hAnsi="宋体" w:cs="宋体"/>
          <w:sz w:val="28"/>
          <w:szCs w:val="28"/>
        </w:rPr>
      </w:pPr>
      <w:r>
        <w:rPr>
          <w:rFonts w:hint="eastAsia" w:ascii="宋体" w:hAnsi="宋体" w:cs="宋体"/>
          <w:sz w:val="28"/>
          <w:szCs w:val="28"/>
        </w:rPr>
        <w:t xml:space="preserve">磋商需要的其他证明文件及材料（若有)</w:t>
      </w:r>
      <w:r/>
    </w:p>
    <w:p>
      <w:pPr>
        <w:spacing w:line="360" w:lineRule="auto"/>
        <w:rPr>
          <w:rFonts w:hint="eastAsia" w:ascii="宋体" w:hAnsi="宋体" w:cs="宋体"/>
          <w:sz w:val="28"/>
          <w:szCs w:val="28"/>
        </w:rPr>
      </w:pPr>
      <w:r>
        <w:rPr>
          <w:rFonts w:hint="eastAsia" w:ascii="宋体" w:hAnsi="宋体" w:cs="宋体"/>
          <w:sz w:val="28"/>
          <w:szCs w:val="28"/>
        </w:rPr>
        <w:t xml:space="preserve">            附件一、中小企业声明函格式</w:t>
      </w:r>
      <w:r/>
    </w:p>
    <w:p>
      <w:pPr>
        <w:spacing w:line="360" w:lineRule="auto"/>
        <w:rPr>
          <w:rFonts w:hint="eastAsia" w:ascii="宋体" w:hAnsi="宋体" w:cs="宋体"/>
          <w:sz w:val="28"/>
          <w:szCs w:val="28"/>
        </w:rPr>
      </w:pPr>
      <w:r>
        <w:rPr>
          <w:rFonts w:hint="eastAsia" w:ascii="宋体" w:hAnsi="宋体" w:cs="宋体"/>
          <w:sz w:val="28"/>
          <w:szCs w:val="28"/>
        </w:rPr>
        <w:t xml:space="preserve">            附件二、残疾人福利性单位声明函</w:t>
      </w:r>
      <w:r/>
    </w:p>
    <w:p>
      <w:pPr>
        <w:ind w:firstLine="1680"/>
        <w:spacing w:line="360" w:lineRule="auto"/>
        <w:rPr>
          <w:rFonts w:hint="eastAsia" w:ascii="宋体" w:hAnsi="宋体" w:cs="宋体"/>
          <w:sz w:val="28"/>
          <w:szCs w:val="28"/>
        </w:rPr>
      </w:pPr>
      <w:r>
        <w:rPr>
          <w:rFonts w:hint="eastAsia" w:ascii="宋体" w:hAnsi="宋体" w:cs="宋体"/>
          <w:sz w:val="28"/>
          <w:szCs w:val="28"/>
        </w:rPr>
        <w:t xml:space="preserve">附件三、属于监狱企业的证明文件格式</w:t>
      </w:r>
      <w:r/>
    </w:p>
    <w:p>
      <w:pPr>
        <w:ind w:firstLine="1680"/>
        <w:spacing w:line="360" w:lineRule="auto"/>
        <w:rPr>
          <w:rFonts w:hint="eastAsia" w:ascii="宋体" w:hAnsi="宋体" w:cs="宋体"/>
          <w:sz w:val="28"/>
          <w:szCs w:val="28"/>
        </w:rPr>
      </w:pPr>
      <w:r>
        <w:rPr>
          <w:rFonts w:hint="eastAsia" w:ascii="宋体" w:hAnsi="宋体" w:cs="宋体"/>
          <w:sz w:val="28"/>
          <w:szCs w:val="28"/>
        </w:rPr>
        <w:t xml:space="preserve">附件四、无重大违法记录声明格式</w:t>
      </w:r>
      <w:r/>
    </w:p>
    <w:p>
      <w:pPr>
        <w:spacing w:line="360" w:lineRule="auto"/>
        <w:rPr>
          <w:rFonts w:hint="eastAsia" w:ascii="宋体" w:hAnsi="宋体" w:cs="宋体"/>
          <w:sz w:val="28"/>
          <w:szCs w:val="28"/>
        </w:rPr>
      </w:pPr>
      <w:r>
        <w:rPr>
          <w:rFonts w:hint="eastAsia" w:ascii="宋体" w:hAnsi="宋体" w:cs="宋体"/>
          <w:sz w:val="28"/>
          <w:szCs w:val="28"/>
        </w:rPr>
        <w:t xml:space="preserve">            附件五、具备履行合同所必需的设备和专业技术能力的声明格式及证明材料</w:t>
      </w:r>
      <w:r/>
    </w:p>
    <w:p>
      <w:pPr>
        <w:ind w:firstLine="1680"/>
        <w:spacing w:line="360" w:lineRule="auto"/>
        <w:rPr>
          <w:rFonts w:hint="eastAsia" w:ascii="宋体" w:hAnsi="宋体" w:cs="宋体"/>
          <w:sz w:val="28"/>
          <w:szCs w:val="28"/>
        </w:rPr>
      </w:pPr>
      <w:r>
        <w:rPr>
          <w:rFonts w:hint="eastAsia" w:ascii="宋体" w:hAnsi="宋体" w:cs="宋体"/>
          <w:sz w:val="28"/>
          <w:szCs w:val="28"/>
        </w:rPr>
        <w:t xml:space="preserve">附件六 、承诺书</w:t>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24"/>
          <w:szCs w:val="24"/>
          <w:lang w:val="zh-CN"/>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目录一、磋商申请及声明</w:t>
      </w:r>
      <w:r/>
    </w:p>
    <w:p>
      <w:pPr>
        <w:jc w:val="center"/>
        <w:spacing w:line="360" w:lineRule="auto"/>
        <w:rPr>
          <w:rFonts w:hint="eastAsia" w:ascii="宋体" w:hAnsi="宋体" w:cs="宋体"/>
          <w:sz w:val="28"/>
          <w:szCs w:val="28"/>
        </w:rPr>
      </w:pPr>
      <w:r>
        <w:rPr>
          <w:rFonts w:hint="eastAsia" w:ascii="宋体" w:hAnsi="宋体" w:cs="宋体"/>
          <w:b/>
          <w:bCs/>
          <w:sz w:val="28"/>
          <w:szCs w:val="28"/>
        </w:rPr>
        <w:t xml:space="preserve">磋商申请及声明</w:t>
      </w:r>
      <w:r/>
    </w:p>
    <w:p>
      <w:pPr>
        <w:spacing w:line="360" w:lineRule="auto"/>
        <w:rPr>
          <w:rFonts w:hint="eastAsia" w:ascii="宋体" w:hAnsi="宋体" w:cs="宋体"/>
          <w:sz w:val="24"/>
          <w:szCs w:val="24"/>
          <w:u w:val="single"/>
        </w:rPr>
      </w:pPr>
      <w:r>
        <w:rPr>
          <w:rFonts w:hint="eastAsia" w:ascii="宋体" w:hAnsi="宋体" w:cs="宋体"/>
          <w:sz w:val="24"/>
          <w:szCs w:val="24"/>
          <w:lang w:val="zh-CN"/>
        </w:rPr>
        <w:t xml:space="preserve">致：</w:t>
      </w: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w:t>
      </w:r>
      <w:r>
        <w:rPr>
          <w:rFonts w:hint="eastAsia" w:ascii="宋体" w:hAnsi="宋体" w:cs="宋体"/>
          <w:sz w:val="24"/>
          <w:szCs w:val="24"/>
          <w:u w:val="single"/>
        </w:rPr>
        <w:t xml:space="preserve">南京金鼎工程造价评估有限责任公司 </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b/>
          <w:sz w:val="24"/>
          <w:szCs w:val="24"/>
          <w:u w:val="single"/>
        </w:rPr>
        <w:t xml:space="preserve">         </w:t>
      </w:r>
      <w:r>
        <w:rPr>
          <w:rFonts w:hint="eastAsia" w:ascii="宋体" w:hAnsi="宋体" w:cs="宋体"/>
          <w:sz w:val="24"/>
          <w:szCs w:val="24"/>
          <w:lang w:val="zh-CN"/>
        </w:rPr>
        <w:t xml:space="preserve">（项目编号）磋商邀请，正式授权下述签字人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(姓名和职务)代表</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（供应商名称），提交响应文件并参加磋商。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sz w:val="24"/>
          <w:szCs w:val="24"/>
          <w:lang w:val="zh-CN"/>
        </w:rPr>
        <w:t xml:space="preserve">我们的资格条件完全符合政府采购法和本次采购要求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同意并向贵方提供了与本次采购活动有关的所有证据和资料</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2、项目名称：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我们的</w:t>
      </w:r>
      <w:r>
        <w:rPr>
          <w:rFonts w:hint="eastAsia" w:ascii="宋体" w:hAnsi="宋体" w:cs="宋体"/>
          <w:sz w:val="24"/>
          <w:szCs w:val="24"/>
        </w:rPr>
        <w:t xml:space="preserve">总报价为（大写）</w:t>
      </w:r>
      <w:r>
        <w:rPr>
          <w:rFonts w:hint="eastAsia" w:ascii="宋体" w:hAnsi="宋体" w:cs="宋体"/>
          <w:b/>
          <w:bCs/>
          <w:sz w:val="24"/>
          <w:szCs w:val="24"/>
          <w:u w:val="single"/>
        </w:rPr>
        <w:t xml:space="preserve">             </w:t>
      </w:r>
      <w:r>
        <w:rPr>
          <w:rFonts w:hint="eastAsia" w:ascii="宋体" w:hAnsi="宋体" w:cs="宋体"/>
          <w:sz w:val="24"/>
          <w:szCs w:val="24"/>
        </w:rPr>
        <w:t xml:space="preserve">元人民币、（小写）</w:t>
      </w:r>
      <w:r>
        <w:rPr>
          <w:rFonts w:hint="eastAsia" w:ascii="宋体" w:hAnsi="宋体" w:cs="宋体"/>
          <w:b/>
          <w:bCs/>
          <w:sz w:val="24"/>
          <w:szCs w:val="24"/>
          <w:u w:val="single"/>
        </w:rPr>
        <w:t xml:space="preserve">             </w:t>
      </w:r>
      <w:r>
        <w:rPr>
          <w:rFonts w:hint="eastAsia" w:ascii="宋体" w:hAnsi="宋体" w:cs="宋体"/>
          <w:sz w:val="24"/>
          <w:szCs w:val="24"/>
        </w:rPr>
        <w:t xml:space="preserve">元人民币。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我们已详细审核全部磋商文件及其有效补充文件，我们放弃对磋商文件任何误解的权利，提交响应文件后，</w:t>
      </w:r>
      <w:r>
        <w:rPr>
          <w:rFonts w:hint="eastAsia" w:ascii="宋体" w:hAnsi="宋体" w:cs="宋体"/>
          <w:b/>
          <w:sz w:val="24"/>
          <w:szCs w:val="24"/>
          <w:lang w:val="zh-CN"/>
        </w:rPr>
        <w:t xml:space="preserve">不对磋商文件本身提出质疑</w:t>
      </w:r>
      <w:r>
        <w:rPr>
          <w:rFonts w:hint="eastAsia" w:ascii="宋体" w:hAnsi="宋体" w:cs="宋体"/>
          <w:sz w:val="24"/>
          <w:szCs w:val="24"/>
          <w:lang w:val="zh-CN"/>
        </w:rPr>
        <w:t xml:space="preserve">。否则，属于不诚信和故意扰乱政府采购活动行为，我们将无条件接受处罚。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7、我方正式通讯方式为：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传   真：</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8、我方正式开户银行和账号为：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供应商授权代表姓名（签字）：</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供应商名称（加盖CA电子公章）：</w:t>
      </w:r>
      <w:r>
        <w:rPr>
          <w:rFonts w:hint="eastAsia" w:ascii="宋体" w:hAnsi="宋体" w:cs="宋体"/>
          <w:sz w:val="24"/>
          <w:szCs w:val="24"/>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360" w:lineRule="auto"/>
        <w:rPr>
          <w:rFonts w:hint="eastAsia" w:ascii="宋体" w:hAnsi="宋体" w:cs="宋体"/>
          <w:b/>
          <w:bCs/>
          <w:szCs w:val="21"/>
          <w:lang w:val="zh-CN"/>
        </w:rPr>
      </w:pPr>
      <w:r>
        <w:rPr>
          <w:rFonts w:hint="eastAsia" w:ascii="宋体" w:hAnsi="宋体" w:cs="宋体"/>
          <w:b/>
          <w:bCs/>
          <w:sz w:val="24"/>
          <w:szCs w:val="24"/>
          <w:lang w:val="zh-CN"/>
        </w:rPr>
        <w:t xml:space="preserve">目录二、法定代表人授权书格式</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法定代表人授权书</w:t>
      </w:r>
      <w:r/>
    </w:p>
    <w:p>
      <w:pPr>
        <w:spacing w:line="360" w:lineRule="auto"/>
        <w:rPr>
          <w:rFonts w:hint="eastAsia" w:ascii="宋体" w:hAnsi="宋体" w:cs="宋体"/>
          <w:sz w:val="24"/>
          <w:szCs w:val="24"/>
          <w:lang w:val="zh-CN"/>
        </w:rPr>
      </w:pPr>
      <w:r>
        <w:rPr>
          <w:rFonts w:hint="eastAsia" w:ascii="宋体" w:hAnsi="宋体" w:cs="宋体"/>
          <w:color w:val="ff0000"/>
          <w:sz w:val="24"/>
          <w:szCs w:val="24"/>
        </w:rPr>
        <w:t xml:space="preserve"> </w:t>
      </w: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w:t>
      </w:r>
      <w:r>
        <w:rPr>
          <w:rFonts w:hint="eastAsia" w:ascii="宋体" w:hAnsi="宋体" w:cs="宋体"/>
          <w:sz w:val="24"/>
          <w:szCs w:val="24"/>
          <w:u w:val="single"/>
        </w:rPr>
        <w:t xml:space="preserve">南京金鼎工程造价评估有限责任公司</w:t>
      </w:r>
      <w:r>
        <w:rPr>
          <w:rFonts w:hint="eastAsia" w:ascii="宋体" w:hAnsi="宋体" w:cs="宋体"/>
          <w:sz w:val="24"/>
          <w:szCs w:val="24"/>
          <w:lang w:val="zh-CN"/>
        </w:rPr>
        <w:t xml:space="preserve">：</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本授权书声明：注册于</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（供应商住址）的</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lang w:val="zh-CN"/>
        </w:rPr>
        <w:t xml:space="preserve">（供应商名称）法定代表人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（法定代表人姓名、职务）代表本公司授权在下面签字的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（供应商代表姓名、职务）为本公司的合法代理人，就贵方组</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b/>
          <w:sz w:val="24"/>
          <w:szCs w:val="24"/>
          <w:u w:val="single"/>
        </w:rPr>
        <w:t xml:space="preserve">         </w:t>
      </w:r>
      <w:r>
        <w:rPr>
          <w:rFonts w:hint="eastAsia" w:ascii="宋体" w:hAnsi="宋体" w:cs="宋体"/>
          <w:sz w:val="24"/>
          <w:szCs w:val="24"/>
          <w:lang w:val="zh-CN"/>
        </w:rPr>
        <w:t xml:space="preserve">（项目编号）竞争性磋商，以本公司名义处理一切与之有关的事务。</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本授权书于</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日签字生效，特此声明。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授权单位名称：（加盖CA电子公章）</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法定代表人签字：</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被授权人签字：                    </w:t>
      </w:r>
      <w:r/>
    </w:p>
    <w:p>
      <w:pPr>
        <w:ind w:firstLine="420"/>
        <w:spacing w:line="360" w:lineRule="auto"/>
        <w:tabs>
          <w:tab w:val="left" w:pos="1440" w:leader="none"/>
        </w:tabs>
        <w:rPr>
          <w:rFonts w:hint="eastAsia" w:ascii="宋体" w:hAnsi="宋体" w:cs="宋体"/>
          <w:sz w:val="24"/>
          <w:szCs w:val="24"/>
          <w:lang w:val="zh-CN"/>
        </w:rPr>
      </w:pPr>
      <w:r>
        <w:rPr>
          <w:rFonts w:hint="eastAsia" w:ascii="宋体" w:hAnsi="宋体" w:cs="宋体"/>
          <w:sz w:val="24"/>
          <w:szCs w:val="24"/>
          <w:lang w:val="zh-CN"/>
        </w:rPr>
        <w:t xml:space="preserve">日        期：</w:t>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pStyle w:val="1031"/>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附法定代表人及被授权人身份证</w:t>
      </w:r>
      <w:r/>
    </w:p>
    <w:tbl>
      <w:tblPr>
        <w:tblStyle w:val="10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0"/>
      </w:tblGrid>
      <w:tr>
        <w:trPr>
          <w:trHeight w:val="4857"/>
        </w:trPr>
        <w:tc>
          <w:tcPr>
            <w:tcW w:w="9570" w:type="dxa"/>
            <w:textDirection w:val="lrTb"/>
            <w:noWrap w:val="false"/>
          </w:tcPr>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p>
            <w:pPr>
              <w:pStyle w:val="1058"/>
              <w:jc w:val="left"/>
              <w:rPr>
                <w:rFonts w:hint="eastAsia" w:hAnsi="宋体" w:cs="宋体"/>
                <w:sz w:val="24"/>
                <w:szCs w:val="24"/>
              </w:rPr>
            </w:pPr>
            <w:r>
              <w:rPr>
                <w:rFonts w:hint="eastAsia" w:hAnsi="宋体" w:cs="宋体"/>
                <w:sz w:val="24"/>
                <w:szCs w:val="24"/>
              </w:rPr>
            </w:r>
            <w:r/>
          </w:p>
        </w:tc>
      </w:tr>
    </w:tbl>
    <w:p>
      <w:pPr>
        <w:spacing w:line="360" w:lineRule="auto"/>
        <w:rPr>
          <w:rFonts w:hint="eastAsia" w:ascii="宋体" w:hAnsi="宋体" w:cs="宋体"/>
          <w:szCs w:val="21"/>
          <w:lang w:val="zh-CN"/>
        </w:rPr>
      </w:pPr>
      <w:r>
        <w:rPr>
          <w:rFonts w:hint="eastAsia" w:ascii="宋体" w:hAnsi="宋体" w:cs="宋体"/>
          <w:szCs w:val="21"/>
          <w:lang w:val="zh-CN"/>
        </w:rPr>
        <w:br w:type="page" w:clear="all"/>
      </w:r>
      <w:r>
        <w:rPr>
          <w:rFonts w:hint="eastAsia" w:ascii="宋体" w:hAnsi="宋体" w:cs="宋体"/>
          <w:b/>
          <w:bCs/>
          <w:sz w:val="24"/>
          <w:szCs w:val="24"/>
          <w:lang w:val="zh-CN"/>
        </w:rPr>
        <w:t xml:space="preserve">目录三、报价表格式</w:t>
      </w:r>
      <w:r/>
    </w:p>
    <w:p>
      <w:pPr>
        <w:jc w:val="center"/>
        <w:spacing w:line="360" w:lineRule="auto"/>
        <w:rPr>
          <w:rFonts w:hint="eastAsia" w:ascii="宋体" w:hAnsi="宋体" w:cs="宋体"/>
        </w:rPr>
      </w:pPr>
      <w:r>
        <w:rPr>
          <w:rFonts w:hint="eastAsia" w:ascii="宋体" w:hAnsi="宋体" w:cs="宋体"/>
          <w:b/>
          <w:bCs/>
          <w:sz w:val="28"/>
          <w:szCs w:val="28"/>
        </w:rPr>
        <w:t xml:space="preserve">报</w:t>
      </w:r>
      <w:r>
        <w:rPr>
          <w:rFonts w:hint="eastAsia" w:ascii="宋体" w:hAnsi="宋体" w:cs="宋体"/>
          <w:b/>
          <w:bCs/>
          <w:sz w:val="28"/>
          <w:szCs w:val="28"/>
        </w:rPr>
        <w:tab/>
      </w:r>
      <w:r>
        <w:rPr>
          <w:rFonts w:hint="eastAsia" w:ascii="宋体" w:hAnsi="宋体" w:cs="宋体"/>
          <w:b/>
          <w:bCs/>
          <w:sz w:val="28"/>
          <w:szCs w:val="28"/>
        </w:rPr>
        <w:t xml:space="preserve">价</w:t>
      </w:r>
      <w:r>
        <w:rPr>
          <w:rFonts w:hint="eastAsia" w:ascii="宋体" w:hAnsi="宋体" w:cs="宋体"/>
          <w:b/>
          <w:bCs/>
          <w:sz w:val="28"/>
          <w:szCs w:val="28"/>
        </w:rPr>
        <w:tab/>
      </w:r>
      <w:r>
        <w:rPr>
          <w:rFonts w:hint="eastAsia" w:ascii="宋体" w:hAnsi="宋体" w:cs="宋体"/>
          <w:b/>
          <w:bCs/>
          <w:sz w:val="28"/>
          <w:szCs w:val="28"/>
        </w:rPr>
        <w:t xml:space="preserve">表</w:t>
      </w:r>
      <w:r/>
    </w:p>
    <w:tbl>
      <w:tblPr>
        <w:tblStyle w:val="1038"/>
        <w:tblW w:w="9198" w:type="dxa"/>
        <w:jc w:val="center"/>
        <w:tblLayout w:type="fixed"/>
        <w:tblCellMar>
          <w:left w:w="0" w:type="dxa"/>
          <w:top w:w="0" w:type="dxa"/>
          <w:right w:w="0" w:type="dxa"/>
          <w:bottom w:w="0" w:type="dxa"/>
        </w:tblCellMar>
        <w:tblLook w:val="04A0" w:firstRow="1" w:lastRow="0" w:firstColumn="1" w:lastColumn="0" w:noHBand="0" w:noVBand="1"/>
      </w:tblPr>
      <w:tblGrid>
        <w:gridCol w:w="2425"/>
        <w:gridCol w:w="968"/>
        <w:gridCol w:w="3240"/>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响应总价</w:t>
            </w:r>
            <w:r/>
          </w:p>
        </w:tc>
        <w:tc>
          <w:tcPr>
            <w:tcBorders>
              <w:bottom w:val="single" w:color="000000" w:sz="6" w:space="0"/>
            </w:tcBorders>
            <w:tcW w:w="96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合计</w:t>
            </w:r>
            <w:r/>
          </w:p>
        </w:tc>
        <w:tc>
          <w:tcPr>
            <w:gridSpan w:val="2"/>
            <w:tcBorders>
              <w:bottom w:val="single" w:color="000000" w:sz="6" w:space="0"/>
            </w:tcBorders>
            <w:tcW w:w="580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rPr>
              <w:tab/>
            </w:r>
            <w:r>
              <w:rPr>
                <w:rFonts w:hint="eastAsia" w:ascii="宋体" w:hAnsi="宋体" w:cs="宋体"/>
                <w:sz w:val="24"/>
                <w:szCs w:val="24"/>
              </w:rPr>
              <w:t xml:space="preserve">           人民币</w:t>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rPr>
              <w:tab/>
            </w:r>
            <w:r>
              <w:rPr>
                <w:rFonts w:hint="eastAsia" w:ascii="宋体" w:hAnsi="宋体" w:cs="宋体"/>
                <w:sz w:val="24"/>
                <w:szCs w:val="24"/>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8"/>
                <w:szCs w:val="28"/>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满足磋商文件要求。</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1206"/>
        </w:trPr>
        <w:tc>
          <w:tcPr>
            <w:tcW w:w="24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响应标的是否全部由小微企业提供</w:t>
            </w:r>
            <w:r/>
          </w:p>
        </w:tc>
        <w:tc>
          <w:tcPr>
            <w:gridSpan w:val="3"/>
            <w:tcW w:w="67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（填写“是”或“否）</w:t>
            </w:r>
            <w:r/>
          </w:p>
        </w:tc>
      </w:tr>
    </w:tbl>
    <w:p>
      <w:pPr>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供应商（加盖CA电子公章）: </w:t>
      </w:r>
      <w:r>
        <w:rPr>
          <w:rFonts w:hint="eastAsia" w:ascii="宋体" w:hAnsi="宋体" w:cs="宋体"/>
          <w:sz w:val="24"/>
          <w:szCs w:val="24"/>
        </w:rPr>
        <w:tab/>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法定代表人或其授权代表（签字）：</w:t>
      </w:r>
      <w:r>
        <w:rPr>
          <w:rFonts w:hint="eastAsia" w:ascii="宋体" w:hAnsi="宋体" w:cs="宋体"/>
          <w:sz w:val="24"/>
          <w:szCs w:val="24"/>
        </w:rPr>
        <w:tab/>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ab/>
      </w:r>
      <w:r>
        <w:rPr>
          <w:rFonts w:hint="eastAsia" w:ascii="宋体" w:hAnsi="宋体" w:cs="宋体"/>
          <w:sz w:val="24"/>
          <w:szCs w:val="24"/>
        </w:rPr>
        <w:t xml:space="preserve">期：</w:t>
      </w:r>
      <w:r>
        <w:rPr>
          <w:rFonts w:hint="eastAsia" w:ascii="宋体" w:hAnsi="宋体" w:cs="宋体"/>
          <w:sz w:val="24"/>
          <w:szCs w:val="24"/>
        </w:rPr>
        <w:tab/>
      </w:r>
      <w:r>
        <w:rPr>
          <w:rFonts w:hint="eastAsia" w:ascii="宋体" w:hAnsi="宋体" w:cs="宋体"/>
          <w:sz w:val="24"/>
          <w:szCs w:val="24"/>
        </w:rPr>
        <w:t xml:space="preserve">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1、本项目仅接受一个价格，不得填报有选择性报价方案。若有优惠条款须注明，但不得影响报价，影响产品整体功能。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3、磋商结束后，磋商小组将要求所有实质性响应的供应商在规定时间内提交最后报价。</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sectPr>
          <w:footerReference w:type="default" r:id="rId15"/>
          <w:footnotePr/>
          <w:endnotePr/>
          <w:type w:val="nextPage"/>
          <w:pgSz w:w="11910" w:h="16840" w:orient="portrait"/>
          <w:pgMar w:top="1440" w:right="1080" w:bottom="1440" w:left="1080" w:header="0" w:footer="990" w:gutter="0"/>
          <w:cols w:num="1" w:sep="0" w:space="720" w:equalWidth="1"/>
          <w:docGrid w:linePitch="360"/>
        </w:sectPr>
      </w:pPr>
      <w:r>
        <w:rPr>
          <w:rFonts w:hint="eastAsia" w:ascii="宋体" w:hAnsi="宋体" w:cs="宋体"/>
          <w:sz w:val="24"/>
          <w:szCs w:val="24"/>
        </w:rPr>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目录四、资格证明文件</w:t>
      </w:r>
      <w:r/>
    </w:p>
    <w:p>
      <w:pPr>
        <w:jc w:val="center"/>
        <w:spacing w:line="360" w:lineRule="auto"/>
        <w:rPr>
          <w:rFonts w:hint="eastAsia" w:ascii="宋体" w:hAnsi="宋体" w:cs="宋体"/>
          <w:b/>
          <w:bCs/>
          <w:sz w:val="28"/>
          <w:szCs w:val="28"/>
        </w:rPr>
      </w:pPr>
      <w:r/>
      <w:bookmarkStart w:id="70" w:name="_Toc489655335"/>
      <w:r/>
      <w:bookmarkStart w:id="71" w:name="_Toc508699425"/>
      <w:r>
        <w:rPr>
          <w:rFonts w:hint="eastAsia" w:ascii="宋体" w:hAnsi="宋体" w:cs="宋体"/>
          <w:b/>
          <w:bCs/>
          <w:sz w:val="28"/>
          <w:szCs w:val="28"/>
        </w:rPr>
        <w:t xml:space="preserve">资格证明文件</w:t>
      </w:r>
      <w:bookmarkEnd w:id="70"/>
      <w:r/>
      <w:bookmarkEnd w:id="71"/>
      <w:r/>
      <w:r/>
    </w:p>
    <w:p>
      <w:pPr>
        <w:ind w:firstLine="413"/>
        <w:spacing w:line="360" w:lineRule="auto"/>
        <w:rPr>
          <w:rFonts w:hint="eastAsia" w:ascii="宋体" w:hAnsi="宋体" w:cs="宋体"/>
          <w:b/>
          <w:szCs w:val="21"/>
        </w:rPr>
      </w:pPr>
      <w:r>
        <w:rPr>
          <w:rFonts w:hint="eastAsia" w:ascii="宋体" w:hAnsi="宋体" w:cs="宋体"/>
          <w:b/>
          <w:szCs w:val="21"/>
        </w:rPr>
      </w:r>
      <w:r/>
    </w:p>
    <w:p>
      <w:pPr>
        <w:ind w:firstLine="236"/>
        <w:spacing w:before="50" w:after="50"/>
        <w:rPr>
          <w:rFonts w:hint="eastAsia" w:ascii="宋体" w:hAnsi="宋体" w:cs="宋体"/>
          <w:b/>
          <w:bCs/>
          <w:sz w:val="24"/>
          <w:szCs w:val="24"/>
        </w:rPr>
      </w:pPr>
      <w:r>
        <w:rPr>
          <w:rFonts w:hint="eastAsia" w:ascii="宋体" w:hAnsi="宋体" w:cs="宋体"/>
          <w:b/>
          <w:bCs/>
          <w:sz w:val="24"/>
          <w:szCs w:val="24"/>
        </w:rPr>
        <w:t xml:space="preserve">请按照磋商文件第一章竞争性磋商采购公告二、申请人的资格要求提供相关资料，不提供视为无，作资格审查不通过处理。</w:t>
      </w:r>
      <w:r/>
    </w:p>
    <w:p>
      <w:pPr>
        <w:jc w:val="left"/>
        <w:widowControl/>
        <w:rPr>
          <w:rFonts w:hint="eastAsia" w:ascii="宋体" w:hAnsi="宋体" w:cs="宋体"/>
          <w:b/>
          <w:sz w:val="24"/>
          <w:szCs w:val="24"/>
        </w:rPr>
      </w:pPr>
      <w:r>
        <w:rPr>
          <w:rFonts w:hint="eastAsia" w:ascii="宋体" w:hAnsi="宋体" w:cs="宋体"/>
          <w:b/>
          <w:szCs w:val="21"/>
          <w:lang w:val="zh-CN"/>
        </w:rPr>
        <w:br w:type="page" w:clear="all"/>
      </w:r>
      <w:r>
        <w:rPr>
          <w:rFonts w:hint="eastAsia" w:ascii="宋体" w:hAnsi="宋体" w:cs="宋体"/>
          <w:b/>
          <w:sz w:val="24"/>
          <w:szCs w:val="24"/>
          <w:lang w:val="zh-CN"/>
        </w:rPr>
        <w:t xml:space="preserve">目录五、分项报价表（如有）</w:t>
      </w:r>
      <w:r/>
    </w:p>
    <w:p>
      <w:pPr>
        <w:ind w:firstLine="482"/>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jc w:val="center"/>
        <w:spacing w:line="240" w:lineRule="atLeast"/>
        <w:widowControl/>
        <w:rPr>
          <w:rFonts w:hint="eastAsia" w:ascii="宋体" w:hAnsi="宋体" w:cs="宋体"/>
          <w:b/>
          <w:sz w:val="24"/>
          <w:szCs w:val="24"/>
          <w:lang w:val="zh-CN"/>
        </w:rPr>
      </w:pPr>
      <w:r>
        <w:rPr>
          <w:rFonts w:hint="eastAsia" w:ascii="宋体" w:hAnsi="宋体" w:cs="宋体"/>
          <w:b/>
          <w:sz w:val="24"/>
          <w:szCs w:val="24"/>
          <w:lang w:val="zh-CN"/>
        </w:rPr>
        <w:t xml:space="preserve">格式自拟</w:t>
      </w:r>
      <w:r/>
    </w:p>
    <w:p>
      <w:pPr>
        <w:pStyle w:val="1057"/>
        <w:rPr>
          <w:lang w:val="zh-CN"/>
        </w:rPr>
      </w:pPr>
      <w:r>
        <w:rPr>
          <w:lang w:val="zh-CN"/>
        </w:rPr>
      </w:r>
      <w:r/>
    </w:p>
    <w:p>
      <w:pPr>
        <w:jc w:val="left"/>
        <w:spacing w:line="240" w:lineRule="atLeast"/>
        <w:widowControl/>
        <w:rPr>
          <w:rFonts w:hint="eastAsia" w:ascii="宋体" w:hAnsi="宋体" w:cs="宋体"/>
          <w:b/>
          <w:szCs w:val="21"/>
          <w:lang w:val="zh-CN"/>
        </w:rPr>
        <w:sectPr>
          <w:footnotePr/>
          <w:endnotePr/>
          <w:type w:val="nextPage"/>
          <w:pgSz w:w="11910" w:h="16840" w:orient="portrait"/>
          <w:pgMar w:top="1440" w:right="1080" w:bottom="1440" w:left="1080" w:header="0" w:footer="990" w:gutter="0"/>
          <w:cols w:num="1" w:sep="0" w:space="720" w:equalWidth="1"/>
          <w:docGrid w:linePitch="360"/>
        </w:sectPr>
      </w:pPr>
      <w:r>
        <w:rPr>
          <w:rFonts w:hint="eastAsia" w:ascii="宋体" w:hAnsi="宋体" w:cs="宋体"/>
          <w:b/>
          <w:szCs w:val="21"/>
          <w:lang w:val="zh-CN"/>
        </w:rPr>
      </w:r>
      <w:r/>
    </w:p>
    <w:p>
      <w:pPr>
        <w:jc w:val="left"/>
        <w:spacing w:line="240" w:lineRule="atLeast"/>
        <w:widowControl/>
        <w:rPr>
          <w:rFonts w:hint="eastAsia" w:ascii="宋体" w:hAnsi="宋体" w:cs="宋体"/>
          <w:b/>
          <w:sz w:val="36"/>
          <w:szCs w:val="22"/>
          <w:lang w:val="zh-CN" w:bidi="zh-CN"/>
        </w:rPr>
      </w:pPr>
      <w:r>
        <w:rPr>
          <w:rFonts w:hint="eastAsia" w:ascii="宋体" w:hAnsi="宋体" w:cs="宋体"/>
          <w:b/>
          <w:sz w:val="24"/>
          <w:szCs w:val="24"/>
          <w:lang w:val="zh-CN"/>
        </w:rPr>
        <w:t xml:space="preserve">目录六、供应商类似业绩情况表</w:t>
      </w:r>
      <w:r/>
    </w:p>
    <w:p>
      <w:pPr>
        <w:jc w:val="center"/>
        <w:spacing w:line="360" w:lineRule="auto"/>
        <w:rPr>
          <w:rFonts w:hint="eastAsia" w:ascii="宋体" w:hAnsi="宋体" w:cs="宋体"/>
          <w:b/>
          <w:szCs w:val="21"/>
          <w:lang w:val="zh-CN"/>
        </w:rPr>
      </w:pPr>
      <w:r>
        <w:rPr>
          <w:rFonts w:hint="eastAsia" w:ascii="宋体" w:hAnsi="宋体" w:cs="宋体"/>
          <w:b/>
          <w:bCs/>
          <w:sz w:val="28"/>
          <w:szCs w:val="28"/>
          <w:lang w:val="zh-CN"/>
        </w:rPr>
        <w:t xml:space="preserve">供应商类似业绩情况表</w:t>
      </w:r>
      <w:r/>
    </w:p>
    <w:tbl>
      <w:tblPr>
        <w:tblStyle w:val="1038"/>
        <w:tblW w:w="9163" w:type="dxa"/>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序号</w:t>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项目名称</w:t>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业主单位</w:t>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工作主要内容</w:t>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合同金额</w:t>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46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35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700"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gridSpan w:val="2"/>
            <w:tcW w:w="153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7"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c>
          <w:tcPr>
            <w:tcW w:w="1024" w:type="dxa"/>
            <w:vAlign w:val="center"/>
            <w:textDirection w:val="lrTb"/>
            <w:noWrap w:val="false"/>
          </w:tcPr>
          <w:p>
            <w:pPr>
              <w:jc w:val="center"/>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tc>
      </w:tr>
    </w:tbl>
    <w:p>
      <w:pPr>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firstLine="1680"/>
        <w:jc w:val="left"/>
        <w:spacing w:line="360" w:lineRule="auto"/>
        <w:widowControl/>
        <w:rPr>
          <w:rFonts w:hint="eastAsia" w:ascii="宋体" w:hAnsi="宋体" w:cs="宋体"/>
          <w:bCs/>
          <w:sz w:val="24"/>
          <w:szCs w:val="24"/>
          <w:u w:val="single"/>
          <w:lang w:val="zh-CN"/>
        </w:rPr>
      </w:pPr>
      <w:r>
        <w:rPr>
          <w:rFonts w:hint="eastAsia" w:ascii="宋体" w:hAnsi="宋体" w:cs="宋体"/>
          <w:bCs/>
          <w:sz w:val="24"/>
          <w:szCs w:val="24"/>
          <w:lang w:val="zh-CN"/>
        </w:rPr>
        <w:t xml:space="preserve">供应商（加盖CA电子公章）: </w:t>
      </w:r>
      <w:r>
        <w:rPr>
          <w:rFonts w:hint="eastAsia" w:ascii="宋体" w:hAnsi="宋体" w:cs="宋体"/>
          <w:bCs/>
          <w:sz w:val="24"/>
          <w:szCs w:val="24"/>
          <w:u w:val="single"/>
        </w:rPr>
        <w:t xml:space="preserve">       </w:t>
      </w:r>
      <w:r>
        <w:rPr>
          <w:rFonts w:hint="eastAsia" w:ascii="宋体" w:hAnsi="宋体" w:cs="宋体"/>
          <w:bCs/>
          <w:sz w:val="24"/>
          <w:szCs w:val="24"/>
          <w:u w:val="single"/>
          <w:lang w:val="zh-CN"/>
        </w:rPr>
        <w:tab/>
      </w:r>
      <w:r/>
    </w:p>
    <w:p>
      <w:pPr>
        <w:ind w:firstLine="1680"/>
        <w:jc w:val="left"/>
        <w:spacing w:line="360" w:lineRule="auto"/>
        <w:widowControl/>
        <w:rPr>
          <w:rFonts w:hint="eastAsia" w:ascii="宋体" w:hAnsi="宋体" w:cs="宋体"/>
          <w:bCs/>
          <w:sz w:val="24"/>
          <w:szCs w:val="24"/>
          <w:u w:val="single"/>
          <w:lang w:val="zh-CN"/>
        </w:rPr>
      </w:pPr>
      <w:r>
        <w:rPr>
          <w:rFonts w:hint="eastAsia" w:ascii="宋体" w:hAnsi="宋体" w:cs="宋体"/>
          <w:bCs/>
          <w:sz w:val="24"/>
          <w:szCs w:val="24"/>
          <w:lang w:val="zh-CN"/>
        </w:rPr>
        <w:t xml:space="preserve">法定代表人或其授权代表（签字）：</w:t>
      </w:r>
      <w:r>
        <w:rPr>
          <w:rFonts w:hint="eastAsia" w:ascii="宋体" w:hAnsi="宋体" w:cs="宋体"/>
          <w:bCs/>
          <w:sz w:val="24"/>
          <w:szCs w:val="24"/>
          <w:u w:val="single"/>
        </w:rPr>
        <w:t xml:space="preserve">       </w:t>
      </w:r>
      <w:r>
        <w:rPr>
          <w:rFonts w:hint="eastAsia" w:ascii="宋体" w:hAnsi="宋体" w:cs="宋体"/>
          <w:bCs/>
          <w:sz w:val="24"/>
          <w:szCs w:val="24"/>
          <w:u w:val="single"/>
          <w:lang w:val="zh-CN"/>
        </w:rPr>
        <w:tab/>
      </w:r>
      <w:r>
        <w:rPr>
          <w:rFonts w:hint="eastAsia" w:ascii="宋体" w:hAnsi="宋体" w:cs="宋体"/>
          <w:bCs/>
          <w:sz w:val="24"/>
          <w:szCs w:val="24"/>
          <w:u w:val="single"/>
          <w:lang w:val="zh-CN"/>
        </w:rPr>
        <w:t xml:space="preserve">    </w:t>
      </w:r>
      <w:r/>
    </w:p>
    <w:p>
      <w:pPr>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日</w:t>
      </w:r>
      <w:r>
        <w:rPr>
          <w:rFonts w:hint="eastAsia" w:ascii="宋体" w:hAnsi="宋体" w:cs="宋体"/>
          <w:bCs/>
          <w:sz w:val="24"/>
          <w:szCs w:val="24"/>
          <w:lang w:val="zh-CN"/>
        </w:rPr>
        <w:tab/>
      </w:r>
      <w:r>
        <w:rPr>
          <w:rFonts w:hint="eastAsia" w:ascii="宋体" w:hAnsi="宋体" w:cs="宋体"/>
          <w:bCs/>
          <w:sz w:val="24"/>
          <w:szCs w:val="24"/>
        </w:rPr>
        <w:t xml:space="preserve"> </w:t>
      </w:r>
      <w:r>
        <w:rPr>
          <w:rFonts w:hint="eastAsia" w:ascii="宋体" w:hAnsi="宋体" w:cs="宋体"/>
          <w:bCs/>
          <w:sz w:val="24"/>
          <w:szCs w:val="24"/>
          <w:lang w:val="zh-CN"/>
        </w:rPr>
        <w:t xml:space="preserve">期：</w:t>
      </w:r>
      <w:r>
        <w:rPr>
          <w:rFonts w:hint="eastAsia" w:ascii="宋体" w:hAnsi="宋体" w:cs="宋体"/>
          <w:bCs/>
          <w:sz w:val="24"/>
          <w:szCs w:val="24"/>
          <w:lang w:val="zh-CN"/>
        </w:rPr>
        <w:tab/>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firstLine="480"/>
        <w:jc w:val="left"/>
        <w:spacing w:line="360" w:lineRule="auto"/>
        <w:widowControl/>
        <w:rPr>
          <w:rFonts w:hint="eastAsia" w:ascii="宋体" w:hAnsi="宋体" w:cs="宋体"/>
          <w:bCs/>
          <w:sz w:val="24"/>
          <w:szCs w:val="24"/>
          <w:lang w:val="zh-CN"/>
        </w:rPr>
        <w:sectPr>
          <w:footnotePr/>
          <w:endnotePr/>
          <w:type w:val="nextPage"/>
          <w:pgSz w:w="11910" w:h="16840" w:orient="portrait"/>
          <w:pgMar w:top="1440" w:right="1080" w:bottom="1440" w:left="1080" w:header="0" w:footer="990" w:gutter="0"/>
          <w:cols w:num="1" w:sep="0" w:space="720" w:equalWidth="1"/>
          <w:docGrid w:linePitch="360"/>
        </w:sectPr>
      </w:pPr>
      <w:r>
        <w:rPr>
          <w:rFonts w:hint="eastAsia" w:ascii="宋体" w:hAnsi="宋体" w:cs="宋体"/>
          <w:bCs/>
          <w:sz w:val="24"/>
          <w:szCs w:val="24"/>
          <w:lang w:val="zh-CN"/>
        </w:rPr>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目录七、技术条款偏离表格式</w:t>
      </w:r>
      <w:r/>
    </w:p>
    <w:p>
      <w:pPr>
        <w:jc w:val="center"/>
        <w:spacing w:line="360" w:lineRule="auto"/>
        <w:rPr>
          <w:rFonts w:hint="eastAsia" w:ascii="宋体" w:hAnsi="宋体" w:cs="宋体"/>
          <w:b/>
          <w:bCs/>
          <w:sz w:val="28"/>
          <w:szCs w:val="28"/>
          <w:lang w:val="zh-CN"/>
        </w:rPr>
      </w:pPr>
      <w:r/>
      <w:bookmarkStart w:id="72" w:name="_Toc508699426"/>
      <w:r>
        <w:rPr>
          <w:rFonts w:hint="eastAsia" w:ascii="宋体" w:hAnsi="宋体" w:cs="宋体"/>
          <w:b/>
          <w:bCs/>
          <w:sz w:val="28"/>
          <w:szCs w:val="28"/>
          <w:lang w:val="zh-CN"/>
        </w:rPr>
        <w:t xml:space="preserve">技术条款偏离表</w:t>
      </w:r>
      <w:bookmarkEnd w:id="72"/>
      <w:r/>
      <w:r/>
    </w:p>
    <w:tbl>
      <w:tblPr>
        <w:tblStyle w:val="1038"/>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68"/>
        <w:gridCol w:w="2305"/>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76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2305"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bl>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（加盖CA电子公章）</w:t>
      </w:r>
      <w:r/>
    </w:p>
    <w:p>
      <w:pPr>
        <w:jc w:val="left"/>
        <w:spacing w:line="360" w:lineRule="auto"/>
        <w:widowControl/>
        <w:rPr>
          <w:rFonts w:hint="eastAsia" w:ascii="宋体" w:hAnsi="宋体" w:cs="宋体"/>
          <w:b/>
          <w:sz w:val="24"/>
          <w:szCs w:val="24"/>
          <w:lang w:val="zh-CN"/>
        </w:rPr>
      </w:pPr>
      <w:r>
        <w:rPr>
          <w:rFonts w:hint="eastAsia" w:ascii="宋体" w:hAnsi="宋体" w:cs="宋体"/>
          <w:sz w:val="24"/>
          <w:szCs w:val="24"/>
          <w:lang w:val="zh-CN"/>
        </w:rPr>
        <w:t xml:space="preserve">说明：</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、如果行数不够，请自行增加。</w:t>
      </w:r>
      <w:r/>
    </w:p>
    <w:p>
      <w:pPr>
        <w:jc w:val="left"/>
        <w:spacing w:line="360" w:lineRule="auto"/>
        <w:widowControl/>
        <w:rPr>
          <w:rFonts w:hint="eastAsia" w:ascii="宋体" w:hAnsi="宋体" w:cs="宋体"/>
          <w:b/>
          <w:sz w:val="24"/>
          <w:szCs w:val="24"/>
          <w:lang w:val="zh-CN"/>
        </w:rPr>
      </w:pPr>
      <w:r>
        <w:rPr>
          <w:rFonts w:hint="eastAsia" w:ascii="宋体" w:hAnsi="宋体" w:cs="宋体"/>
          <w:b/>
          <w:sz w:val="24"/>
          <w:szCs w:val="24"/>
        </w:rPr>
        <w:br w:type="page" w:clear="all"/>
      </w:r>
      <w:r>
        <w:rPr>
          <w:rFonts w:hint="eastAsia" w:ascii="宋体" w:hAnsi="宋体" w:cs="宋体"/>
          <w:b/>
          <w:sz w:val="24"/>
          <w:szCs w:val="24"/>
          <w:lang w:val="zh-CN"/>
        </w:rPr>
        <w:t xml:space="preserve">目录八、商务条款偏离表格式</w:t>
      </w:r>
      <w:r/>
    </w:p>
    <w:p>
      <w:pPr>
        <w:jc w:val="center"/>
        <w:spacing w:line="360" w:lineRule="auto"/>
        <w:rPr>
          <w:rFonts w:hint="eastAsia" w:ascii="宋体" w:hAnsi="宋体" w:cs="宋体"/>
          <w:b/>
          <w:bCs/>
          <w:sz w:val="28"/>
          <w:szCs w:val="28"/>
          <w:lang w:val="zh-CN"/>
        </w:rPr>
      </w:pPr>
      <w:r/>
      <w:bookmarkStart w:id="73" w:name="_Toc508699427"/>
      <w:r>
        <w:rPr>
          <w:rFonts w:hint="eastAsia" w:ascii="宋体" w:hAnsi="宋体" w:cs="宋体"/>
          <w:b/>
          <w:bCs/>
          <w:sz w:val="28"/>
          <w:szCs w:val="28"/>
          <w:lang w:val="zh-CN"/>
        </w:rPr>
        <w:t xml:space="preserve">商务条款偏离表</w:t>
      </w:r>
      <w:bookmarkEnd w:id="73"/>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22"/>
        <w:gridCol w:w="2498"/>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磋商文件条目号</w:t>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供应商响应</w:t>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82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2498"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W w:w="1372" w:type="dxa"/>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1822"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9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gridSpan w:val="2"/>
            <w:tcW w:w="2873"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1372"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r>
            <w:r/>
          </w:p>
        </w:tc>
      </w:tr>
    </w:tbl>
    <w:p>
      <w:pPr>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（加盖CA电子公章）</w:t>
      </w:r>
      <w:r/>
    </w:p>
    <w:p>
      <w:pPr>
        <w:jc w:val="left"/>
        <w:spacing w:line="360" w:lineRule="auto"/>
        <w:widowControl/>
        <w:rPr>
          <w:rFonts w:hint="eastAsia" w:ascii="宋体" w:hAnsi="宋体" w:cs="宋体"/>
          <w:b/>
          <w:sz w:val="24"/>
          <w:szCs w:val="24"/>
        </w:rPr>
      </w:pPr>
      <w:r>
        <w:rPr>
          <w:rFonts w:hint="eastAsia" w:ascii="宋体" w:hAnsi="宋体" w:cs="宋体"/>
          <w:sz w:val="24"/>
          <w:szCs w:val="24"/>
          <w:lang w:val="zh-CN"/>
        </w:rPr>
        <w:t xml:space="preserve">说明：如果行数不够，请自行增加。</w:t>
      </w:r>
      <w:r/>
    </w:p>
    <w:p>
      <w:pPr>
        <w:spacing w:line="240" w:lineRule="atLeas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目录九、项目技术方案或服务说明</w:t>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项目技术方案或服务说明</w:t>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jc w:val="both"/>
        <w:spacing w:line="240" w:lineRule="auto"/>
        <w:rPr>
          <w:rFonts w:hint="eastAsia" w:ascii="宋体" w:hAnsi="宋体" w:cs="宋体"/>
          <w:b/>
          <w:bCs/>
          <w:sz w:val="28"/>
          <w:szCs w:val="28"/>
          <w:lang w:val="zh-CN"/>
        </w:rPr>
      </w:pPr>
      <w:r>
        <w:rPr>
          <w:rFonts w:hint="eastAsia" w:ascii="宋体" w:hAnsi="宋体" w:cs="宋体"/>
          <w:b/>
          <w:bCs/>
          <w:sz w:val="28"/>
          <w:szCs w:val="28"/>
          <w:lang w:val="zh-CN"/>
        </w:rPr>
        <w:br w:type="page" w:clear="all"/>
      </w:r>
      <w:r/>
    </w:p>
    <w:p>
      <w:pPr>
        <w:spacing w:line="240" w:lineRule="atLeast"/>
        <w:rPr>
          <w:rFonts w:hint="eastAsia" w:ascii="宋体" w:hAnsi="宋体" w:cs="宋体"/>
          <w:b/>
          <w:sz w:val="24"/>
          <w:szCs w:val="24"/>
        </w:rPr>
      </w:pPr>
      <w:r>
        <w:rPr>
          <w:rFonts w:hint="eastAsia" w:ascii="宋体" w:hAnsi="宋体" w:cs="宋体"/>
          <w:b/>
          <w:sz w:val="24"/>
          <w:szCs w:val="24"/>
        </w:rPr>
        <w:t xml:space="preserve">目录十、服务与承诺</w:t>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服务与承诺</w:t>
      </w:r>
      <w:r/>
    </w:p>
    <w:p>
      <w:pPr>
        <w:jc w:val="center"/>
        <w:spacing w:line="240" w:lineRule="auto"/>
        <w:rPr>
          <w:rFonts w:hint="eastAsia" w:ascii="宋体" w:hAnsi="宋体" w:cs="宋体"/>
          <w:sz w:val="28"/>
          <w:szCs w:val="28"/>
        </w:rPr>
      </w:pPr>
      <w:r>
        <w:rPr>
          <w:rFonts w:hint="eastAsia" w:ascii="宋体" w:hAnsi="宋体" w:cs="宋体"/>
          <w:sz w:val="28"/>
          <w:szCs w:val="28"/>
        </w:rPr>
      </w:r>
      <w:r/>
    </w:p>
    <w:p>
      <w:pPr>
        <w:jc w:val="center"/>
        <w:spacing w:line="240" w:lineRule="auto"/>
        <w:rPr>
          <w:rFonts w:hint="eastAsia" w:ascii="宋体" w:hAnsi="宋体" w:cs="宋体"/>
          <w:sz w:val="28"/>
          <w:szCs w:val="28"/>
        </w:rPr>
      </w:pPr>
      <w:r>
        <w:rPr>
          <w:rFonts w:hint="eastAsia" w:ascii="宋体" w:hAnsi="宋体" w:cs="宋体"/>
          <w:sz w:val="28"/>
          <w:szCs w:val="28"/>
        </w:rPr>
      </w:r>
      <w:r/>
    </w:p>
    <w:p>
      <w:pPr>
        <w:jc w:val="center"/>
        <w:spacing w:line="240" w:lineRule="auto"/>
        <w:rPr>
          <w:rFonts w:hint="eastAsia" w:ascii="宋体" w:hAnsi="宋体" w:cs="宋体"/>
          <w:sz w:val="28"/>
          <w:szCs w:val="28"/>
        </w:rPr>
      </w:pPr>
      <w:r>
        <w:rPr>
          <w:rFonts w:hint="eastAsia" w:ascii="宋体" w:hAnsi="宋体" w:cs="宋体"/>
          <w:sz w:val="28"/>
          <w:szCs w:val="28"/>
        </w:rPr>
      </w:r>
      <w:r/>
    </w:p>
    <w:p>
      <w:pPr>
        <w:jc w:val="both"/>
        <w:spacing w:line="240" w:lineRule="auto"/>
        <w:rPr>
          <w:rFonts w:hint="eastAsia" w:ascii="宋体" w:hAnsi="宋体" w:cs="宋体"/>
          <w:b/>
          <w:sz w:val="24"/>
          <w:szCs w:val="24"/>
        </w:rPr>
      </w:pPr>
      <w:r>
        <w:rPr>
          <w:rFonts w:hint="eastAsia" w:ascii="宋体" w:hAnsi="宋体" w:cs="宋体"/>
          <w:sz w:val="28"/>
          <w:szCs w:val="28"/>
        </w:rPr>
        <w:br w:type="page" w:clear="all"/>
      </w:r>
      <w:r/>
    </w:p>
    <w:p>
      <w:pPr>
        <w:spacing w:line="240" w:lineRule="atLeast"/>
        <w:rPr>
          <w:rFonts w:hint="eastAsia" w:ascii="宋体" w:hAnsi="宋体" w:cs="宋体"/>
          <w:b/>
          <w:sz w:val="24"/>
          <w:szCs w:val="24"/>
        </w:rPr>
      </w:pPr>
      <w:r>
        <w:rPr>
          <w:rFonts w:hint="eastAsia" w:ascii="宋体" w:hAnsi="宋体" w:cs="宋体"/>
          <w:b/>
          <w:sz w:val="24"/>
          <w:szCs w:val="24"/>
        </w:rPr>
        <w:t xml:space="preserve">目录十一、磋商需要的其他证明文件及材料</w:t>
      </w:r>
      <w:r/>
    </w:p>
    <w:p>
      <w:pPr>
        <w:spacing w:line="240" w:lineRule="atLeast"/>
        <w:rPr>
          <w:rFonts w:hint="eastAsia" w:ascii="宋体" w:hAnsi="宋体" w:cs="宋体"/>
          <w:b/>
        </w:rPr>
      </w:pPr>
      <w:r>
        <w:rPr>
          <w:rFonts w:hint="eastAsia" w:ascii="宋体" w:hAnsi="宋体" w:cs="宋体"/>
          <w:b/>
        </w:rPr>
      </w:r>
      <w:r/>
    </w:p>
    <w:p>
      <w:pPr>
        <w:spacing w:line="240" w:lineRule="atLeast"/>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磋商需要的其他证明文件及材料（若有）</w:t>
      </w:r>
      <w:r/>
    </w:p>
    <w:p>
      <w:pPr>
        <w:spacing w:line="240" w:lineRule="atLeast"/>
        <w:rPr>
          <w:rFonts w:hint="eastAsia" w:ascii="宋体" w:hAnsi="宋体" w:cs="宋体"/>
          <w:sz w:val="28"/>
          <w:szCs w:val="28"/>
        </w:rPr>
      </w:pPr>
      <w:r>
        <w:rPr>
          <w:rFonts w:hint="eastAsia" w:ascii="宋体" w:hAnsi="宋体" w:cs="宋体"/>
          <w:sz w:val="28"/>
          <w:szCs w:val="28"/>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b/>
          <w:sz w:val="24"/>
          <w:szCs w:val="24"/>
        </w:rPr>
      </w:pPr>
      <w:r>
        <w:rPr>
          <w:rFonts w:hint="eastAsia" w:ascii="宋体" w:hAnsi="宋体" w:cs="宋体"/>
          <w:b/>
          <w:sz w:val="24"/>
          <w:szCs w:val="24"/>
        </w:rPr>
      </w:r>
      <w:r/>
    </w:p>
    <w:p>
      <w:pPr>
        <w:spacing w:line="240" w:lineRule="atLeast"/>
        <w:rPr>
          <w:rFonts w:hint="eastAsia" w:ascii="宋体" w:hAnsi="宋体" w:cs="宋体"/>
          <w:sz w:val="24"/>
          <w:szCs w:val="24"/>
        </w:rPr>
      </w:pPr>
      <w:r>
        <w:rPr>
          <w:rFonts w:hint="eastAsia" w:ascii="宋体" w:hAnsi="宋体" w:cs="宋体"/>
          <w:b/>
          <w:sz w:val="24"/>
          <w:szCs w:val="24"/>
        </w:rPr>
        <w:br w:type="page" w:clear="all"/>
      </w:r>
      <w:r>
        <w:rPr>
          <w:rFonts w:hint="eastAsia" w:ascii="宋体" w:hAnsi="宋体" w:cs="宋体"/>
          <w:b/>
          <w:bCs/>
          <w:sz w:val="24"/>
          <w:szCs w:val="24"/>
        </w:rPr>
        <w:t xml:space="preserve">附件1</w:t>
      </w:r>
      <w:r/>
    </w:p>
    <w:p>
      <w:pPr>
        <w:ind w:firstLine="275"/>
        <w:jc w:val="center"/>
        <w:spacing w:before="50" w:after="50" w:line="360" w:lineRule="auto"/>
        <w:rPr>
          <w:rFonts w:hint="eastAsia" w:ascii="宋体" w:hAnsi="宋体" w:cs="宋体"/>
          <w:b/>
          <w:bCs/>
          <w:sz w:val="28"/>
          <w:szCs w:val="28"/>
          <w:lang w:val="zh-CN"/>
        </w:rPr>
      </w:pPr>
      <w:r/>
      <w:bookmarkStart w:id="74" w:name="bookmark33"/>
      <w:r/>
      <w:bookmarkStart w:id="75" w:name="bookmark34"/>
      <w:r/>
      <w:bookmarkStart w:id="76" w:name="bookmark32"/>
      <w:r>
        <w:rPr>
          <w:rFonts w:hint="eastAsia" w:ascii="宋体" w:hAnsi="宋体" w:cs="宋体"/>
          <w:b/>
          <w:bCs/>
          <w:sz w:val="28"/>
          <w:szCs w:val="28"/>
          <w:lang w:val="zh-CN"/>
        </w:rPr>
        <w:t xml:space="preserve">中小企业声明函（工程、服务）</w:t>
      </w:r>
      <w:bookmarkEnd w:id="74"/>
      <w:r/>
      <w:bookmarkEnd w:id="75"/>
      <w:r/>
      <w:bookmarkEnd w:id="76"/>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hint="eastAsia" w:ascii="宋体" w:hAnsi="宋体" w:cs="宋体"/>
          <w:sz w:val="24"/>
          <w:szCs w:val="24"/>
        </w:rPr>
      </w:pPr>
      <w:r/>
      <w:bookmarkStart w:id="77" w:name="bookmark35"/>
      <w:r/>
      <w:bookmarkEnd w:id="77"/>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软件和信息技术服务业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ab/>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rPr>
      </w:pPr>
      <w:r/>
      <w:bookmarkStart w:id="78" w:name="bookmark36"/>
      <w:r/>
      <w:bookmarkEnd w:id="78"/>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w:t>
      </w:r>
      <w:r>
        <w:rPr>
          <w:rFonts w:hint="eastAsia" w:ascii="宋体" w:hAnsi="宋体" w:cs="宋体"/>
          <w:sz w:val="24"/>
          <w:szCs w:val="24"/>
          <w:u w:val="single"/>
          <w:lang w:val="zh-CN"/>
        </w:rPr>
        <w:t xml:space="preserve">业）</w:t>
      </w:r>
      <w:r>
        <w:rPr>
          <w:rFonts w:hint="eastAsia" w:ascii="宋体" w:hAnsi="宋体" w:cs="宋体"/>
          <w:sz w:val="24"/>
          <w:szCs w:val="24"/>
          <w:lang w:val="zh-CN"/>
        </w:rPr>
        <w:t xml:space="preserve">；</w:t>
      </w:r>
      <w:r>
        <w:rPr>
          <w:rFonts w:hint="eastAsia" w:ascii="宋体" w:hAnsi="宋体" w:cs="宋体"/>
          <w:sz w:val="24"/>
          <w:szCs w:val="24"/>
        </w:rPr>
        <w:tab/>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0"/>
        <w:spacing w:line="360" w:lineRule="auto"/>
        <w:widowControl/>
        <w:rPr>
          <w:rFonts w:hint="eastAsia" w:ascii="宋体" w:hAnsi="宋体" w:cs="宋体"/>
          <w:sz w:val="24"/>
          <w:szCs w:val="24"/>
        </w:rPr>
      </w:pPr>
      <w:r>
        <w:rPr>
          <w:rFonts w:hint="eastAsia" w:ascii="宋体" w:hAnsi="宋体" w:cs="宋体"/>
          <w:sz w:val="24"/>
          <w:szCs w:val="24"/>
        </w:rPr>
        <w:t xml:space="preserve">企业名称（加盖CA电子公章）：           </w:t>
      </w:r>
      <w:r/>
    </w:p>
    <w:p>
      <w:pPr>
        <w:ind w:firstLine="4800"/>
        <w:spacing w:line="36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pStyle w:val="1235"/>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注：从业人员、营业收入、资产总额填报上一年度数据，无上一年度数据的新成立企业可不填报。</w:t>
      </w:r>
      <w:r/>
    </w:p>
    <w:p>
      <w:pPr>
        <w:ind w:firstLine="482"/>
        <w:jc w:val="left"/>
        <w:spacing w:line="360" w:lineRule="auto"/>
        <w:widowControl/>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sz w:val="24"/>
          <w:szCs w:val="24"/>
        </w:rPr>
        <w:sectPr>
          <w:headerReference w:type="default" r:id="rId11"/>
          <w:footerReference w:type="default" r:id="rId16"/>
          <w:footerReference w:type="even" r:id="rId17"/>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sz w:val="24"/>
          <w:szCs w:val="24"/>
        </w:rPr>
      </w:r>
      <w:r/>
    </w:p>
    <w:p>
      <w:pPr>
        <w:spacing w:line="240" w:lineRule="atLeast"/>
        <w:rPr>
          <w:rFonts w:hint="eastAsia" w:ascii="宋体" w:hAnsi="宋体" w:cs="宋体"/>
          <w:b/>
          <w:bCs/>
          <w:sz w:val="24"/>
          <w:szCs w:val="24"/>
        </w:rPr>
      </w:pPr>
      <w:r>
        <w:rPr>
          <w:rFonts w:hint="eastAsia" w:ascii="宋体" w:hAnsi="宋体" w:cs="宋体"/>
          <w:b/>
          <w:bCs/>
          <w:sz w:val="24"/>
          <w:szCs w:val="24"/>
        </w:rPr>
        <w:t xml:space="preserve">附件2</w:t>
      </w:r>
      <w:r/>
    </w:p>
    <w:p>
      <w:pPr>
        <w:ind w:firstLine="275"/>
        <w:jc w:val="center"/>
        <w:spacing w:before="50" w:after="50" w:line="360" w:lineRule="auto"/>
        <w:rPr>
          <w:rFonts w:hint="eastAsia" w:ascii="宋体" w:hAnsi="宋体" w:cs="宋体"/>
          <w:b/>
          <w:bCs/>
          <w:sz w:val="28"/>
          <w:szCs w:val="28"/>
          <w:lang w:val="zh-CN"/>
        </w:rPr>
      </w:pPr>
      <w:r/>
      <w:bookmarkStart w:id="79" w:name="OLE_LINK14"/>
      <w:r/>
      <w:bookmarkStart w:id="80" w:name="OLE_LINK13"/>
      <w:r>
        <w:rPr>
          <w:rFonts w:hint="eastAsia" w:ascii="宋体" w:hAnsi="宋体" w:cs="宋体"/>
          <w:b/>
          <w:bCs/>
          <w:sz w:val="28"/>
          <w:szCs w:val="28"/>
          <w:lang w:val="zh-CN"/>
        </w:rPr>
        <w:t xml:space="preserve">残疾人福利性单位声明函</w:t>
      </w:r>
      <w:bookmarkEnd w:id="79"/>
      <w:r/>
      <w:bookmarkEnd w:id="80"/>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5040"/>
        <w:jc w:val="left"/>
        <w:spacing w:line="440" w:lineRule="exact"/>
        <w:widowControl/>
        <w:rPr>
          <w:szCs w:val="21"/>
        </w:rPr>
      </w:pPr>
      <w:r>
        <w:rPr>
          <w:szCs w:val="21"/>
        </w:rPr>
      </w:r>
      <w:r/>
    </w:p>
    <w:p>
      <w:pPr>
        <w:ind w:firstLine="5040"/>
        <w:jc w:val="left"/>
        <w:spacing w:line="440" w:lineRule="exact"/>
        <w:widowControl/>
        <w:rPr>
          <w:szCs w:val="21"/>
        </w:rPr>
      </w:pPr>
      <w:r>
        <w:rPr>
          <w:szCs w:val="21"/>
        </w:rPr>
      </w:r>
      <w:r/>
    </w:p>
    <w:p>
      <w:pPr>
        <w:ind w:firstLine="5040"/>
        <w:jc w:val="left"/>
        <w:spacing w:line="440" w:lineRule="exact"/>
        <w:widowControl/>
        <w:rPr>
          <w:szCs w:val="21"/>
        </w:rPr>
      </w:pPr>
      <w:r>
        <w:rPr>
          <w:szCs w:val="21"/>
        </w:rPr>
      </w:r>
      <w:r/>
    </w:p>
    <w:p>
      <w:pPr>
        <w:ind w:firstLine="480"/>
        <w:jc w:val="right"/>
        <w:spacing w:line="360" w:lineRule="auto"/>
        <w:widowControl/>
        <w:rPr>
          <w:rFonts w:hint="eastAsia" w:ascii="宋体" w:hAnsi="宋体" w:cs="宋体"/>
          <w:sz w:val="24"/>
          <w:szCs w:val="24"/>
        </w:rPr>
      </w:pPr>
      <w:r>
        <w:rPr>
          <w:rFonts w:hint="eastAsia" w:ascii="宋体" w:hAnsi="宋体" w:cs="宋体"/>
          <w:sz w:val="24"/>
          <w:szCs w:val="24"/>
        </w:rPr>
        <w:t xml:space="preserve">供应商（加盖CA电子公章）:</w:t>
      </w:r>
      <w:r/>
    </w:p>
    <w:p>
      <w:pPr>
        <w:ind w:firstLine="480"/>
        <w:jc w:val="right"/>
        <w:spacing w:line="360" w:lineRule="auto"/>
        <w:widowControl/>
        <w:rPr>
          <w:rFonts w:hint="eastAsia" w:ascii="宋体" w:hAnsi="宋体" w:cs="宋体"/>
          <w:sz w:val="24"/>
          <w:szCs w:val="24"/>
        </w:rPr>
      </w:pPr>
      <w:r>
        <w:rPr>
          <w:rFonts w:hint="eastAsia" w:ascii="宋体" w:hAnsi="宋体" w:cs="宋体"/>
          <w:sz w:val="24"/>
          <w:szCs w:val="24"/>
        </w:rPr>
        <w:t xml:space="preserve">日    期：   年    月    日</w:t>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r>
      <w:r/>
    </w:p>
    <w:p>
      <w:pPr>
        <w:ind w:firstLine="0"/>
        <w:jc w:val="left"/>
        <w:spacing w:line="240" w:lineRule="auto"/>
        <w:widowControl/>
        <w:rPr>
          <w:rFonts w:hint="eastAsia" w:ascii="宋体" w:hAnsi="宋体" w:cs="宋体"/>
          <w:sz w:val="24"/>
          <w:szCs w:val="24"/>
        </w:rPr>
      </w:pPr>
      <w:r>
        <w:rPr>
          <w:rFonts w:hint="eastAsia" w:ascii="宋体" w:hAnsi="宋体" w:cs="宋体"/>
          <w:sz w:val="24"/>
          <w:szCs w:val="24"/>
        </w:rPr>
        <w:br w:type="page" w:clear="all"/>
      </w:r>
      <w:r/>
    </w:p>
    <w:p>
      <w:pPr>
        <w:spacing w:line="240" w:lineRule="atLeast"/>
        <w:rPr>
          <w:rFonts w:hint="eastAsia" w:ascii="宋体" w:hAnsi="宋体" w:cs="宋体"/>
          <w:b/>
          <w:bCs/>
          <w:sz w:val="24"/>
          <w:szCs w:val="24"/>
        </w:rPr>
      </w:pPr>
      <w:r>
        <w:rPr>
          <w:rFonts w:hint="eastAsia" w:ascii="宋体" w:hAnsi="宋体" w:cs="宋体"/>
          <w:b/>
          <w:bCs/>
          <w:sz w:val="24"/>
          <w:szCs w:val="24"/>
        </w:rPr>
        <w:t xml:space="preserve">附件3</w:t>
      </w:r>
      <w:r/>
    </w:p>
    <w:p>
      <w:pPr>
        <w:ind w:firstLine="275"/>
        <w:jc w:val="center"/>
        <w:spacing w:before="50" w:after="5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属于监狱企业的证明文件格式</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（提供由省级以上监狱管理局、戒毒管理局(含新疆生产建设兵团)出具的属于监狱企业的证明文件）</w:t>
      </w:r>
      <w:r/>
    </w:p>
    <w:p>
      <w:pPr>
        <w:spacing w:line="240" w:lineRule="atLeast"/>
        <w:rPr>
          <w:rFonts w:hint="eastAsia" w:ascii="宋体" w:hAnsi="宋体" w:cs="宋体"/>
          <w:b/>
          <w:bCs/>
          <w:sz w:val="24"/>
          <w:szCs w:val="24"/>
        </w:rPr>
      </w:pPr>
      <w:r>
        <w:rPr>
          <w:rFonts w:hint="eastAsia" w:ascii="宋体" w:hAnsi="宋体" w:cs="宋体"/>
          <w:b/>
          <w:bCs/>
          <w:sz w:val="24"/>
          <w:szCs w:val="24"/>
        </w:rPr>
      </w:r>
      <w:r/>
    </w:p>
    <w:p>
      <w:pPr>
        <w:pStyle w:val="1052"/>
      </w:pPr>
      <w:r/>
      <w:r/>
    </w:p>
    <w:p>
      <w:pPr>
        <w:spacing w:line="240" w:lineRule="atLeast"/>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附件4</w:t>
      </w:r>
      <w:r/>
    </w:p>
    <w:p>
      <w:pPr>
        <w:ind w:firstLine="275"/>
        <w:jc w:val="center"/>
        <w:spacing w:before="50" w:after="5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无重大违法记录声明</w:t>
      </w:r>
      <w:r/>
    </w:p>
    <w:p>
      <w:pPr>
        <w:spacing w:line="360" w:lineRule="auto"/>
        <w:rPr>
          <w:rFonts w:hint="eastAsia" w:ascii="宋体" w:hAnsi="宋体" w:cs="宋体"/>
        </w:rPr>
      </w:pPr>
      <w:r>
        <w:rPr>
          <w:rFonts w:hint="eastAsia" w:ascii="宋体" w:hAnsi="宋体" w:cs="宋体"/>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、南京金鼎工程造价评估有限责任公司</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    我单位</w:t>
      </w:r>
      <w:r>
        <w:rPr>
          <w:rFonts w:hint="eastAsia" w:ascii="宋体" w:hAnsi="宋体" w:cs="宋体"/>
          <w:sz w:val="24"/>
          <w:szCs w:val="24"/>
          <w:u w:val="single"/>
        </w:rPr>
        <w:t xml:space="preserve">                                       （供应商名称）</w:t>
      </w:r>
      <w:r>
        <w:rPr>
          <w:rFonts w:hint="eastAsia" w:ascii="宋体" w:hAnsi="宋体" w:cs="宋体"/>
          <w:sz w:val="24"/>
          <w:szCs w:val="24"/>
        </w:rPr>
        <w:t xml:space="preserve">郑重声明：</w:t>
      </w:r>
      <w:r/>
    </w:p>
    <w:p>
      <w:pPr>
        <w:spacing w:line="360" w:lineRule="auto"/>
        <w:rPr>
          <w:rFonts w:hint="eastAsia" w:ascii="宋体" w:hAnsi="宋体" w:cs="宋体"/>
          <w:sz w:val="24"/>
          <w:szCs w:val="24"/>
        </w:rPr>
      </w:pPr>
      <w:r>
        <w:rPr>
          <w:rFonts w:hint="eastAsia" w:ascii="宋体" w:hAnsi="宋体" w:cs="宋体"/>
          <w:sz w:val="24"/>
          <w:szCs w:val="24"/>
        </w:rPr>
        <w:t xml:space="preserve">    参加政府采购活动前3年内在经营活动中</w:t>
      </w:r>
      <w:r>
        <w:rPr>
          <w:rFonts w:hint="eastAsia" w:ascii="宋体" w:hAnsi="宋体" w:cs="宋体"/>
          <w:sz w:val="24"/>
          <w:szCs w:val="24"/>
          <w:u w:val="single"/>
        </w:rPr>
        <w:t xml:space="preserve">        （在下划线上如实填写：有或没有）</w:t>
      </w:r>
      <w:r>
        <w:rPr>
          <w:rFonts w:hint="eastAsia" w:ascii="宋体" w:hAnsi="宋体" w:cs="宋体"/>
          <w:sz w:val="24"/>
          <w:szCs w:val="24"/>
        </w:rPr>
        <w:t xml:space="preserve">重大违法记录。</w:t>
      </w:r>
      <w:r/>
    </w:p>
    <w:p>
      <w:pPr>
        <w:spacing w:line="360" w:lineRule="auto"/>
        <w:rPr>
          <w:rFonts w:hint="eastAsia" w:ascii="宋体" w:hAnsi="宋体" w:cs="宋体"/>
          <w:sz w:val="24"/>
          <w:szCs w:val="24"/>
        </w:rPr>
      </w:pPr>
      <w:r>
        <w:rPr>
          <w:rFonts w:hint="eastAsia" w:ascii="宋体" w:hAnsi="宋体" w:cs="宋体"/>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                                                      声明人：（加盖CA电子公章）</w:t>
      </w:r>
      <w:r/>
    </w:p>
    <w:p>
      <w:pPr>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日期：</w:t>
      </w:r>
      <w:r>
        <w:rPr>
          <w:rFonts w:hint="eastAsia" w:ascii="宋体" w:hAnsi="宋体" w:cs="宋体"/>
          <w:bCs/>
          <w:sz w:val="24"/>
          <w:szCs w:val="24"/>
          <w:lang w:val="zh-CN"/>
        </w:rPr>
        <w:t xml:space="preserve">年</w:t>
      </w:r>
      <w:r>
        <w:rPr>
          <w:rFonts w:hint="eastAsia" w:ascii="宋体" w:hAnsi="宋体" w:cs="宋体"/>
          <w:bCs/>
          <w:sz w:val="24"/>
          <w:szCs w:val="24"/>
          <w:lang w:val="zh-CN"/>
        </w:rPr>
        <w:tab/>
      </w:r>
      <w:r>
        <w:rPr>
          <w:rFonts w:hint="eastAsia" w:ascii="宋体" w:hAnsi="宋体" w:cs="宋体"/>
          <w:bCs/>
          <w:sz w:val="24"/>
          <w:szCs w:val="24"/>
          <w:lang w:val="zh-CN"/>
        </w:rPr>
        <w:t xml:space="preserve">月</w:t>
      </w:r>
      <w:r>
        <w:rPr>
          <w:rFonts w:hint="eastAsia" w:ascii="宋体" w:hAnsi="宋体" w:cs="宋体"/>
          <w:bCs/>
          <w:sz w:val="24"/>
          <w:szCs w:val="24"/>
          <w:lang w:val="zh-CN"/>
        </w:rPr>
        <w:tab/>
      </w:r>
      <w:r>
        <w:rPr>
          <w:rFonts w:hint="eastAsia" w:ascii="宋体" w:hAnsi="宋体" w:cs="宋体"/>
          <w:bCs/>
          <w:sz w:val="24"/>
          <w:szCs w:val="24"/>
          <w:lang w:val="zh-CN"/>
        </w:rPr>
        <w:t xml:space="preserve">日</w:t>
      </w:r>
      <w:r/>
    </w:p>
    <w:p>
      <w:pPr>
        <w:spacing w:line="240" w:lineRule="atLeast"/>
        <w:rPr>
          <w:rFonts w:hint="eastAsia" w:ascii="宋体" w:hAnsi="宋体" w:cs="宋体"/>
          <w:b/>
          <w:bCs/>
          <w:sz w:val="24"/>
          <w:szCs w:val="24"/>
        </w:rPr>
      </w:pPr>
      <w:r>
        <w:rPr>
          <w:rFonts w:hint="eastAsia" w:ascii="宋体" w:hAnsi="宋体" w:cs="宋体"/>
          <w:b/>
          <w:bCs/>
          <w:sz w:val="24"/>
          <w:szCs w:val="24"/>
        </w:rPr>
      </w:r>
      <w:r/>
    </w:p>
    <w:p>
      <w:pPr>
        <w:spacing w:line="240" w:lineRule="atLeast"/>
        <w:rPr>
          <w:rFonts w:hint="eastAsia" w:ascii="宋体" w:hAnsi="宋体" w:cs="宋体"/>
          <w:b/>
          <w:bCs/>
          <w:sz w:val="24"/>
          <w:szCs w:val="24"/>
        </w:rPr>
      </w:pPr>
      <w:r>
        <w:rPr>
          <w:rFonts w:hint="eastAsia" w:ascii="宋体" w:hAnsi="宋体" w:cs="宋体"/>
          <w:b/>
          <w:bCs/>
          <w:sz w:val="24"/>
          <w:szCs w:val="24"/>
        </w:rPr>
      </w:r>
      <w:r/>
    </w:p>
    <w:p>
      <w:pPr>
        <w:spacing w:line="240" w:lineRule="atLeast"/>
        <w:rPr>
          <w:rFonts w:hint="eastAsia" w:ascii="宋体" w:hAnsi="宋体" w:cs="宋体"/>
          <w:b/>
          <w:bCs/>
          <w:sz w:val="24"/>
          <w:szCs w:val="24"/>
        </w:rPr>
      </w:pPr>
      <w:r>
        <w:rPr>
          <w:rFonts w:hint="eastAsia" w:ascii="宋体" w:hAnsi="宋体" w:cs="宋体"/>
          <w:b/>
          <w:bCs/>
          <w:sz w:val="24"/>
          <w:szCs w:val="24"/>
        </w:rPr>
      </w:r>
      <w:r/>
    </w:p>
    <w:p>
      <w:pPr>
        <w:spacing w:line="240" w:lineRule="auto"/>
        <w:rPr>
          <w:rFonts w:hint="eastAsia" w:ascii="宋体" w:hAnsi="宋体" w:cs="宋体"/>
          <w:b/>
          <w:bCs/>
          <w:sz w:val="24"/>
          <w:szCs w:val="24"/>
        </w:rPr>
      </w:pPr>
      <w:r>
        <w:rPr>
          <w:rFonts w:hint="eastAsia" w:ascii="宋体" w:hAnsi="宋体" w:cs="宋体"/>
          <w:b/>
          <w:bCs/>
          <w:sz w:val="24"/>
          <w:szCs w:val="24"/>
        </w:rPr>
        <w:br w:type="page" w:clear="all"/>
      </w:r>
      <w:r/>
    </w:p>
    <w:p>
      <w:pPr>
        <w:spacing w:line="240" w:lineRule="atLeast"/>
        <w:rPr>
          <w:rFonts w:hint="eastAsia" w:ascii="宋体" w:hAnsi="宋体" w:cs="宋体"/>
          <w:b/>
          <w:bCs/>
          <w:sz w:val="24"/>
          <w:szCs w:val="24"/>
        </w:rPr>
      </w:pPr>
      <w:r>
        <w:rPr>
          <w:rFonts w:hint="eastAsia" w:ascii="宋体" w:hAnsi="宋体" w:cs="宋体"/>
          <w:b/>
          <w:bCs/>
          <w:sz w:val="24"/>
          <w:szCs w:val="24"/>
        </w:rPr>
        <w:t xml:space="preserve">附件5</w:t>
      </w:r>
      <w:r/>
    </w:p>
    <w:p>
      <w:pPr>
        <w:ind w:firstLine="275"/>
        <w:jc w:val="center"/>
        <w:spacing w:before="50" w:after="5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具备履行合同所必需的设备和专业技术能力的声明</w:t>
      </w:r>
      <w:r/>
    </w:p>
    <w:p>
      <w:pPr>
        <w:ind w:firstLine="480"/>
        <w:spacing w:line="360" w:lineRule="auto"/>
        <w:widowControl/>
        <w:rPr>
          <w:rFonts w:hint="eastAsia" w:ascii="宋体" w:hAnsi="宋体" w:cs="宋体"/>
          <w:sz w:val="24"/>
          <w:szCs w:val="24"/>
        </w:rPr>
      </w:pPr>
      <w:r>
        <w:rPr>
          <w:rFonts w:hint="eastAsia" w:ascii="宋体" w:hAnsi="宋体" w:cs="宋体"/>
          <w:sz w:val="24"/>
          <w:szCs w:val="24"/>
          <w:u w:val="single"/>
        </w:rPr>
        <w:t xml:space="preserve">江苏省省级机关住房资金管理中心</w:t>
      </w:r>
      <w:r>
        <w:rPr>
          <w:rFonts w:hint="eastAsia" w:ascii="宋体" w:hAnsi="宋体" w:cs="宋体"/>
          <w:sz w:val="24"/>
          <w:szCs w:val="24"/>
          <w:u w:val="single"/>
          <w:lang w:val="zh-CN"/>
        </w:rPr>
        <w:t xml:space="preserve">、南京金鼎工程造价评估有限责任公司</w:t>
      </w:r>
      <w:r>
        <w:rPr>
          <w:rFonts w:hint="eastAsia" w:ascii="宋体" w:hAnsi="宋体" w:cs="宋体"/>
          <w:sz w:val="24"/>
          <w:szCs w:val="24"/>
        </w:rPr>
        <w:t xml:space="preserve"> ：</w:t>
      </w:r>
      <w:r/>
    </w:p>
    <w:p>
      <w:pPr>
        <w:ind w:firstLine="480"/>
        <w:spacing w:line="360" w:lineRule="auto"/>
        <w:widowControl/>
        <w:rPr>
          <w:rFonts w:hint="eastAsia" w:ascii="宋体" w:hAnsi="宋体" w:cs="宋体"/>
          <w:position w:val="18"/>
          <w:sz w:val="24"/>
          <w:szCs w:val="24"/>
        </w:rPr>
      </w:pPr>
      <w:r>
        <w:rPr>
          <w:rFonts w:hint="eastAsia" w:ascii="宋体" w:hAnsi="宋体" w:cs="宋体"/>
          <w:position w:val="18"/>
          <w:sz w:val="24"/>
          <w:szCs w:val="24"/>
        </w:rPr>
        <w:t xml:space="preserve">我单位 </w:t>
      </w:r>
      <w:r>
        <w:rPr>
          <w:rFonts w:hint="eastAsia" w:ascii="宋体" w:hAnsi="宋体" w:cs="宋体"/>
          <w:position w:val="18"/>
          <w:sz w:val="24"/>
          <w:szCs w:val="24"/>
          <w:u w:val="single"/>
        </w:rPr>
        <w:t xml:space="preserve">        </w:t>
      </w:r>
      <w:r>
        <w:rPr>
          <w:rFonts w:hint="eastAsia" w:ascii="宋体" w:hAnsi="宋体" w:cs="宋体"/>
          <w:position w:val="18"/>
          <w:sz w:val="24"/>
          <w:szCs w:val="24"/>
        </w:rPr>
        <w:t xml:space="preserve">（供应商名称）郑重声明：我公司具备履行本项采购合同所必需的设备和专业技术能力，为履行本项采购合同我单位具备如下主要设备和主要专业技术能力：</w:t>
      </w:r>
      <w:r/>
    </w:p>
    <w:p>
      <w:pPr>
        <w:ind w:firstLine="480"/>
        <w:spacing w:line="360" w:lineRule="auto"/>
        <w:widowControl/>
        <w:rPr>
          <w:rFonts w:hint="eastAsia" w:ascii="宋体" w:hAnsi="宋体" w:cs="宋体"/>
          <w:sz w:val="24"/>
          <w:szCs w:val="24"/>
        </w:rPr>
      </w:pPr>
      <w:r>
        <w:rPr>
          <w:rFonts w:hint="eastAsia" w:ascii="宋体" w:hAnsi="宋体" w:cs="宋体"/>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主要设备有：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主要专业技术能力有：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声明人：（加盖CA电子公章）</w:t>
      </w:r>
      <w:r/>
    </w:p>
    <w:p>
      <w:pPr>
        <w:pStyle w:val="1062"/>
        <w:ind w:left="0" w:firstLine="480"/>
        <w:spacing w:line="360" w:lineRule="auto"/>
        <w:rPr>
          <w:rFonts w:hint="eastAsia" w:ascii="宋体" w:hAnsi="宋体" w:eastAsia="宋体" w:cs="宋体"/>
          <w:bCs/>
          <w:sz w:val="24"/>
          <w:szCs w:val="24"/>
          <w:lang w:val="zh-CN"/>
        </w:rPr>
      </w:pPr>
      <w:r>
        <w:rPr>
          <w:rFonts w:hint="eastAsia" w:ascii="宋体" w:hAnsi="宋体" w:eastAsia="宋体" w:cs="宋体"/>
          <w:sz w:val="24"/>
          <w:szCs w:val="24"/>
        </w:rPr>
        <w:t xml:space="preserve">日期：</w:t>
      </w:r>
      <w:r>
        <w:rPr>
          <w:rFonts w:hint="eastAsia" w:ascii="宋体" w:hAnsi="宋体" w:eastAsia="宋体" w:cs="宋体"/>
          <w:bCs/>
          <w:sz w:val="24"/>
          <w:szCs w:val="24"/>
          <w:lang w:val="zh-CN"/>
        </w:rPr>
        <w:t xml:space="preserve">年</w:t>
      </w:r>
      <w:r>
        <w:rPr>
          <w:rFonts w:hint="eastAsia" w:ascii="宋体" w:hAnsi="宋体" w:eastAsia="宋体" w:cs="宋体"/>
          <w:bCs/>
          <w:sz w:val="24"/>
          <w:szCs w:val="24"/>
          <w:lang w:val="zh-CN"/>
        </w:rPr>
        <w:tab/>
      </w:r>
      <w:r>
        <w:rPr>
          <w:rFonts w:hint="eastAsia" w:ascii="宋体" w:hAnsi="宋体" w:eastAsia="宋体" w:cs="宋体"/>
          <w:bCs/>
          <w:sz w:val="24"/>
          <w:szCs w:val="24"/>
          <w:lang w:val="zh-CN"/>
        </w:rPr>
        <w:t xml:space="preserve">月</w:t>
      </w:r>
      <w:r>
        <w:rPr>
          <w:rFonts w:hint="eastAsia" w:ascii="宋体" w:hAnsi="宋体" w:eastAsia="宋体" w:cs="宋体"/>
          <w:bCs/>
          <w:sz w:val="24"/>
          <w:szCs w:val="24"/>
          <w:lang w:val="zh-CN"/>
        </w:rPr>
        <w:tab/>
      </w:r>
      <w:r>
        <w:rPr>
          <w:rFonts w:hint="eastAsia" w:ascii="宋体" w:hAnsi="宋体" w:eastAsia="宋体" w:cs="宋体"/>
          <w:bCs/>
          <w:sz w:val="24"/>
          <w:szCs w:val="24"/>
          <w:lang w:val="zh-CN"/>
        </w:rPr>
        <w:t xml:space="preserve">日</w:t>
      </w:r>
      <w:r/>
    </w:p>
    <w:p>
      <w:pPr>
        <w:pStyle w:val="1063"/>
        <w:jc w:val="both"/>
        <w:rPr>
          <w:lang w:val="zh-CN"/>
        </w:rPr>
      </w:pPr>
      <w:r>
        <w:rPr>
          <w:lang w:val="zh-CN"/>
        </w:rPr>
      </w:r>
      <w:r/>
    </w:p>
    <w:sectPr>
      <w:footerReference w:type="default" r:id="rId18"/>
      <w:footnotePr/>
      <w:endnotePr/>
      <w:type w:val="nextPage"/>
      <w:pgSz w:w="11906" w:h="16838" w:orient="portrait"/>
      <w:pgMar w:top="1440" w:right="1080" w:bottom="1440" w:left="1080"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mbria">
    <w:panose1 w:val="02040503050406030204"/>
  </w:font>
  <w:font w:name="Courier New">
    <w:panose1 w:val="02070309020205020404"/>
  </w:font>
  <w:font w:name="楷体_GB2312">
    <w:panose1 w:val="02010609060101010101"/>
  </w:font>
  <w:font w:name="ˎ̥">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45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9"/>
      </w:rPr>
      <w:framePr w:wrap="around" w:vAnchor="text" w:hAnchor="margin" w:xAlign="center" w:y="1"/>
    </w:pPr>
    <w:r>
      <w:fldChar w:fldCharType="begin"/>
    </w:r>
    <w:r>
      <w:rPr>
        <w:rStyle w:val="1099"/>
      </w:rPr>
      <w:instrText xml:space="preserve">PAGE  </w:instrText>
    </w:r>
    <w:r>
      <w:fldChar w:fldCharType="separate"/>
    </w:r>
    <w:r>
      <w:rPr>
        <w:rStyle w:val="1099"/>
      </w:rPr>
      <w:t xml:space="preserve">1</w:t>
    </w:r>
    <w:r>
      <w:fldChar w:fldCharType="end"/>
    </w:r>
    <w:r/>
  </w:p>
  <w:p>
    <w:pPr>
      <w:pStyle w:val="107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1">
    <w:multiLevelType w:val="hybridMultilevel"/>
    <w:lvl w:ilvl="0">
      <w:start w:val="1"/>
      <w:numFmt w:val="bullet"/>
      <w:pStyle w:val="126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40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8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96"/>
      <w:isLgl w:val="false"/>
      <w:suff w:val="tab"/>
      <w:lvlText w:val="%1"/>
      <w:lvlJc w:val="left"/>
      <w:pPr>
        <w:ind w:left="567" w:hanging="567"/>
        <w:tabs>
          <w:tab w:val="left" w:pos="567" w:leader="none"/>
        </w:tabs>
      </w:pPr>
      <w:rPr>
        <w:rFonts w:hint="eastAsia"/>
      </w:rPr>
    </w:lvl>
    <w:lvl w:ilvl="1">
      <w:start w:val="1"/>
      <w:numFmt w:val="decimal"/>
      <w:pStyle w:val="1306"/>
      <w:isLgl w:val="false"/>
      <w:suff w:val="tab"/>
      <w:lvlText w:val="%1.%2"/>
      <w:lvlJc w:val="left"/>
      <w:pPr>
        <w:ind w:left="567" w:hanging="283"/>
        <w:tabs>
          <w:tab w:val="left" w:pos="1004" w:leader="none"/>
        </w:tabs>
      </w:pPr>
      <w:rPr>
        <w:rFonts w:hint="eastAsia"/>
      </w:rPr>
    </w:lvl>
    <w:lvl w:ilvl="2">
      <w:start w:val="1"/>
      <w:numFmt w:val="decimal"/>
      <w:pStyle w:val="133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2">
    <w:name w:val="Heading 1 Char"/>
    <w:basedOn w:val="1037"/>
    <w:link w:val="1028"/>
    <w:uiPriority w:val="9"/>
    <w:rPr>
      <w:rFonts w:ascii="Arial" w:hAnsi="Arial" w:eastAsia="Arial" w:cs="Arial"/>
      <w:sz w:val="40"/>
      <w:szCs w:val="40"/>
    </w:rPr>
  </w:style>
  <w:style w:type="character" w:styleId="883">
    <w:name w:val="Heading 2 Char"/>
    <w:basedOn w:val="1037"/>
    <w:link w:val="1029"/>
    <w:uiPriority w:val="9"/>
    <w:rPr>
      <w:rFonts w:ascii="Arial" w:hAnsi="Arial" w:eastAsia="Arial" w:cs="Arial"/>
      <w:sz w:val="34"/>
    </w:rPr>
  </w:style>
  <w:style w:type="character" w:styleId="884">
    <w:name w:val="Heading 3 Char"/>
    <w:basedOn w:val="1037"/>
    <w:link w:val="1030"/>
    <w:uiPriority w:val="9"/>
    <w:rPr>
      <w:rFonts w:ascii="Arial" w:hAnsi="Arial" w:eastAsia="Arial" w:cs="Arial"/>
      <w:sz w:val="30"/>
      <w:szCs w:val="30"/>
    </w:rPr>
  </w:style>
  <w:style w:type="character" w:styleId="885">
    <w:name w:val="Heading 4 Char"/>
    <w:basedOn w:val="1037"/>
    <w:link w:val="1031"/>
    <w:uiPriority w:val="9"/>
    <w:rPr>
      <w:rFonts w:ascii="Arial" w:hAnsi="Arial" w:eastAsia="Arial" w:cs="Arial"/>
      <w:b/>
      <w:bCs/>
      <w:sz w:val="26"/>
      <w:szCs w:val="26"/>
    </w:rPr>
  </w:style>
  <w:style w:type="character" w:styleId="886">
    <w:name w:val="Heading 5 Char"/>
    <w:basedOn w:val="1037"/>
    <w:link w:val="1032"/>
    <w:uiPriority w:val="9"/>
    <w:rPr>
      <w:rFonts w:ascii="Arial" w:hAnsi="Arial" w:eastAsia="Arial" w:cs="Arial"/>
      <w:b/>
      <w:bCs/>
      <w:sz w:val="24"/>
      <w:szCs w:val="24"/>
    </w:rPr>
  </w:style>
  <w:style w:type="character" w:styleId="887">
    <w:name w:val="Heading 6 Char"/>
    <w:basedOn w:val="1037"/>
    <w:link w:val="1033"/>
    <w:uiPriority w:val="9"/>
    <w:rPr>
      <w:rFonts w:ascii="Arial" w:hAnsi="Arial" w:eastAsia="Arial" w:cs="Arial"/>
      <w:b/>
      <w:bCs/>
      <w:sz w:val="22"/>
      <w:szCs w:val="22"/>
    </w:rPr>
  </w:style>
  <w:style w:type="character" w:styleId="888">
    <w:name w:val="Heading 7 Char"/>
    <w:basedOn w:val="1037"/>
    <w:link w:val="1034"/>
    <w:uiPriority w:val="9"/>
    <w:rPr>
      <w:rFonts w:ascii="Arial" w:hAnsi="Arial" w:eastAsia="Arial" w:cs="Arial"/>
      <w:b/>
      <w:bCs/>
      <w:i/>
      <w:iCs/>
      <w:sz w:val="22"/>
      <w:szCs w:val="22"/>
    </w:rPr>
  </w:style>
  <w:style w:type="character" w:styleId="889">
    <w:name w:val="Heading 8 Char"/>
    <w:basedOn w:val="1037"/>
    <w:link w:val="1035"/>
    <w:uiPriority w:val="9"/>
    <w:rPr>
      <w:rFonts w:ascii="Arial" w:hAnsi="Arial" w:eastAsia="Arial" w:cs="Arial"/>
      <w:i/>
      <w:iCs/>
      <w:sz w:val="22"/>
      <w:szCs w:val="22"/>
    </w:rPr>
  </w:style>
  <w:style w:type="character" w:styleId="890">
    <w:name w:val="Heading 9 Char"/>
    <w:basedOn w:val="1037"/>
    <w:link w:val="1036"/>
    <w:uiPriority w:val="9"/>
    <w:rPr>
      <w:rFonts w:ascii="Arial" w:hAnsi="Arial" w:eastAsia="Arial" w:cs="Arial"/>
      <w:i/>
      <w:iCs/>
      <w:sz w:val="21"/>
      <w:szCs w:val="21"/>
    </w:rPr>
  </w:style>
  <w:style w:type="character" w:styleId="891">
    <w:name w:val="Title Char"/>
    <w:basedOn w:val="1037"/>
    <w:link w:val="1093"/>
    <w:uiPriority w:val="10"/>
    <w:rPr>
      <w:sz w:val="48"/>
      <w:szCs w:val="48"/>
    </w:rPr>
  </w:style>
  <w:style w:type="character" w:styleId="892">
    <w:name w:val="Subtitle Char"/>
    <w:basedOn w:val="1037"/>
    <w:link w:val="1080"/>
    <w:uiPriority w:val="11"/>
    <w:rPr>
      <w:sz w:val="24"/>
      <w:szCs w:val="24"/>
    </w:rPr>
  </w:style>
  <w:style w:type="character" w:styleId="893">
    <w:name w:val="Quote Char"/>
    <w:link w:val="1144"/>
    <w:uiPriority w:val="29"/>
    <w:rPr>
      <w:i/>
    </w:rPr>
  </w:style>
  <w:style w:type="character" w:styleId="894">
    <w:name w:val="Intense Quote Char"/>
    <w:link w:val="1176"/>
    <w:uiPriority w:val="30"/>
    <w:rPr>
      <w:i/>
    </w:rPr>
  </w:style>
  <w:style w:type="character" w:styleId="895">
    <w:name w:val="Header Char"/>
    <w:basedOn w:val="1037"/>
    <w:link w:val="1074"/>
    <w:uiPriority w:val="99"/>
  </w:style>
  <w:style w:type="character" w:styleId="896">
    <w:name w:val="Footer Char"/>
    <w:basedOn w:val="1037"/>
    <w:link w:val="1073"/>
    <w:uiPriority w:val="99"/>
  </w:style>
  <w:style w:type="paragraph" w:styleId="897">
    <w:name w:val="Caption"/>
    <w:basedOn w:val="1027"/>
    <w:next w:val="1027"/>
    <w:uiPriority w:val="35"/>
    <w:semiHidden/>
    <w:unhideWhenUsed/>
    <w:qFormat/>
    <w:pPr>
      <w:spacing w:line="276" w:lineRule="auto"/>
    </w:pPr>
    <w:rPr>
      <w:b/>
      <w:bCs/>
      <w:color w:val="4f81bd" w:themeColor="accent1"/>
      <w:sz w:val="18"/>
      <w:szCs w:val="18"/>
    </w:rPr>
  </w:style>
  <w:style w:type="character" w:styleId="898">
    <w:name w:val="Caption Char"/>
    <w:basedOn w:val="897"/>
    <w:link w:val="1073"/>
    <w:uiPriority w:val="99"/>
  </w:style>
  <w:style w:type="table" w:styleId="899">
    <w:name w:val="Table Grid Light"/>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basedOn w:val="10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basedOn w:val="10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basedOn w:val="10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basedOn w:val="10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basedOn w:val="10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basedOn w:val="10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basedOn w:val="10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basedOn w:val="10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basedOn w:val="10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basedOn w:val="10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basedOn w:val="10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basedOn w:val="10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basedOn w:val="10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basedOn w:val="10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basedOn w:val="10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basedOn w:val="10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basedOn w:val="10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basedOn w:val="10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basedOn w:val="10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basedOn w:val="10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basedOn w:val="10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basedOn w:val="10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basedOn w:val="10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4">
    <w:name w:val="Footnote Text Char"/>
    <w:link w:val="1081"/>
    <w:uiPriority w:val="99"/>
    <w:rPr>
      <w:sz w:val="18"/>
    </w:rPr>
  </w:style>
  <w:style w:type="character" w:styleId="1025">
    <w:name w:val="Endnote Text Char"/>
    <w:link w:val="1071"/>
    <w:uiPriority w:val="99"/>
    <w:rPr>
      <w:sz w:val="20"/>
    </w:rPr>
  </w:style>
  <w:style w:type="paragraph" w:styleId="1026">
    <w:name w:val="TOC Heading"/>
    <w:uiPriority w:val="39"/>
    <w:unhideWhenUsed/>
  </w:style>
  <w:style w:type="paragraph" w:styleId="102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28">
    <w:name w:val="Heading 1"/>
    <w:basedOn w:val="1027"/>
    <w:next w:val="1027"/>
    <w:link w:val="1108"/>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029">
    <w:name w:val="Heading 2"/>
    <w:basedOn w:val="1027"/>
    <w:next w:val="1039"/>
    <w:link w:val="1109"/>
    <w:uiPriority w:val="0"/>
    <w:qFormat/>
    <w:pPr>
      <w:jc w:val="left"/>
      <w:keepLines/>
      <w:keepNext/>
      <w:spacing w:before="120" w:after="120"/>
      <w:outlineLvl w:val="1"/>
    </w:pPr>
    <w:rPr>
      <w:rFonts w:ascii="宋体" w:hAnsi="宋体"/>
      <w:b/>
      <w:szCs w:val="24"/>
    </w:rPr>
  </w:style>
  <w:style w:type="paragraph" w:styleId="1030">
    <w:name w:val="Heading 3"/>
    <w:basedOn w:val="1040"/>
    <w:next w:val="1027"/>
    <w:link w:val="1111"/>
    <w:uiPriority w:val="0"/>
    <w:qFormat/>
    <w:pPr>
      <w:keepLines/>
      <w:keepNext/>
      <w:spacing w:line="390" w:lineRule="atLeast"/>
      <w:shd w:val="clear" w:color="auto" w:fill="ffffff"/>
      <w:outlineLvl w:val="2"/>
    </w:pPr>
    <w:rPr>
      <w:rFonts w:ascii="宋体" w:hAnsi="宋体"/>
      <w:b/>
      <w:szCs w:val="21"/>
    </w:rPr>
  </w:style>
  <w:style w:type="paragraph" w:styleId="1031">
    <w:name w:val="Heading 4"/>
    <w:basedOn w:val="1027"/>
    <w:next w:val="1039"/>
    <w:link w:val="1112"/>
    <w:uiPriority w:val="0"/>
    <w:qFormat/>
    <w:pPr>
      <w:keepLines/>
      <w:keepNext/>
      <w:spacing w:before="120" w:after="120"/>
      <w:outlineLvl w:val="3"/>
    </w:pPr>
    <w:rPr>
      <w:rFonts w:ascii="Arial" w:hAnsi="Arial" w:eastAsia="黑体"/>
      <w:b/>
      <w:sz w:val="28"/>
    </w:rPr>
  </w:style>
  <w:style w:type="paragraph" w:styleId="1032">
    <w:name w:val="Heading 5"/>
    <w:basedOn w:val="1027"/>
    <w:next w:val="1039"/>
    <w:link w:val="1113"/>
    <w:uiPriority w:val="0"/>
    <w:qFormat/>
    <w:pPr>
      <w:keepNext/>
      <w:outlineLvl w:val="4"/>
    </w:pPr>
    <w:rPr>
      <w:rFonts w:ascii="黑体" w:eastAsia="黑体"/>
      <w:b/>
      <w:color w:val="000000"/>
      <w:sz w:val="28"/>
    </w:rPr>
  </w:style>
  <w:style w:type="paragraph" w:styleId="1033">
    <w:name w:val="Heading 6"/>
    <w:basedOn w:val="1027"/>
    <w:next w:val="1027"/>
    <w:link w:val="1114"/>
    <w:uiPriority w:val="0"/>
    <w:qFormat/>
    <w:pPr>
      <w:keepLines/>
      <w:keepNext/>
      <w:spacing w:before="240" w:after="64" w:line="320" w:lineRule="auto"/>
      <w:outlineLvl w:val="5"/>
    </w:pPr>
    <w:rPr>
      <w:rFonts w:ascii="Arial" w:hAnsi="Arial" w:eastAsia="黑体"/>
      <w:b/>
      <w:bCs/>
      <w:sz w:val="24"/>
      <w:szCs w:val="24"/>
    </w:rPr>
  </w:style>
  <w:style w:type="paragraph" w:styleId="1034">
    <w:name w:val="Heading 7"/>
    <w:basedOn w:val="1027"/>
    <w:next w:val="1027"/>
    <w:link w:val="1115"/>
    <w:uiPriority w:val="0"/>
    <w:qFormat/>
    <w:pPr>
      <w:keepLines/>
      <w:keepNext/>
      <w:spacing w:before="240" w:after="64" w:line="320" w:lineRule="auto"/>
      <w:outlineLvl w:val="6"/>
    </w:pPr>
    <w:rPr>
      <w:b/>
      <w:bCs/>
      <w:sz w:val="24"/>
      <w:szCs w:val="24"/>
    </w:rPr>
  </w:style>
  <w:style w:type="paragraph" w:styleId="1035">
    <w:name w:val="Heading 8"/>
    <w:basedOn w:val="1027"/>
    <w:next w:val="1027"/>
    <w:link w:val="1116"/>
    <w:uiPriority w:val="0"/>
    <w:qFormat/>
    <w:pPr>
      <w:keepLines/>
      <w:keepNext/>
      <w:spacing w:before="240" w:after="64" w:line="320" w:lineRule="auto"/>
      <w:outlineLvl w:val="7"/>
    </w:pPr>
    <w:rPr>
      <w:rFonts w:ascii="Arial" w:hAnsi="Arial" w:eastAsia="黑体"/>
      <w:sz w:val="24"/>
      <w:szCs w:val="24"/>
    </w:rPr>
  </w:style>
  <w:style w:type="paragraph" w:styleId="1036">
    <w:name w:val="Heading 9"/>
    <w:basedOn w:val="1027"/>
    <w:next w:val="1027"/>
    <w:link w:val="1117"/>
    <w:uiPriority w:val="0"/>
    <w:qFormat/>
    <w:pPr>
      <w:keepLines/>
      <w:keepNext/>
      <w:spacing w:before="240" w:after="64" w:line="320" w:lineRule="auto"/>
      <w:outlineLvl w:val="8"/>
    </w:pPr>
    <w:rPr>
      <w:rFonts w:ascii="Arial" w:hAnsi="Arial" w:eastAsia="黑体"/>
      <w:szCs w:val="21"/>
    </w:rPr>
  </w:style>
  <w:style w:type="character" w:styleId="1037" w:default="1">
    <w:name w:val="Default Paragraph Font"/>
    <w:uiPriority w:val="1"/>
    <w:unhideWhenUsed/>
    <w:qFormat/>
  </w:style>
  <w:style w:type="table" w:styleId="1038" w:default="1">
    <w:name w:val="Normal Table"/>
    <w:uiPriority w:val="99"/>
    <w:semiHidden/>
    <w:unhideWhenUsed/>
    <w:qFormat/>
    <w:tblPr>
      <w:tblCellMar>
        <w:left w:w="108" w:type="dxa"/>
        <w:top w:w="0" w:type="dxa"/>
        <w:right w:w="108" w:type="dxa"/>
        <w:bottom w:w="0" w:type="dxa"/>
      </w:tblCellMar>
    </w:tblPr>
  </w:style>
  <w:style w:type="paragraph" w:styleId="1039">
    <w:name w:val="Normal Indent"/>
    <w:basedOn w:val="1027"/>
    <w:uiPriority w:val="0"/>
    <w:qFormat/>
    <w:pPr>
      <w:ind w:firstLine="420"/>
    </w:pPr>
  </w:style>
  <w:style w:type="paragraph" w:styleId="1040">
    <w:name w:val="No Spacing"/>
    <w:link w:val="1110"/>
    <w:uiPriority w:val="0"/>
    <w:qFormat/>
    <w:pPr>
      <w:jc w:val="both"/>
      <w:widowControl w:val="off"/>
    </w:pPr>
    <w:rPr>
      <w:rFonts w:ascii="Times New Roman" w:hAnsi="Times New Roman" w:eastAsia="微软雅黑" w:cs="Times New Roman"/>
      <w:sz w:val="24"/>
      <w:szCs w:val="22"/>
      <w:lang w:val="en-US" w:eastAsia="zh-CN" w:bidi="ar-SA"/>
    </w:rPr>
  </w:style>
  <w:style w:type="paragraph" w:styleId="1041">
    <w:name w:val="List 3"/>
    <w:basedOn w:val="1027"/>
    <w:uiPriority w:val="0"/>
    <w:qFormat/>
    <w:pPr>
      <w:ind w:left="1260" w:hanging="420"/>
    </w:pPr>
  </w:style>
  <w:style w:type="paragraph" w:styleId="1042">
    <w:name w:val="toc 7"/>
    <w:basedOn w:val="1027"/>
    <w:next w:val="1027"/>
    <w:uiPriority w:val="0"/>
    <w:semiHidden/>
    <w:qFormat/>
    <w:pPr>
      <w:ind w:left="1260"/>
      <w:jc w:val="left"/>
    </w:pPr>
    <w:rPr>
      <w:sz w:val="18"/>
    </w:rPr>
  </w:style>
  <w:style w:type="paragraph" w:styleId="1043">
    <w:name w:val="List Number 2"/>
    <w:basedOn w:val="1027"/>
    <w:uiPriority w:val="0"/>
    <w:qFormat/>
    <w:pPr>
      <w:ind w:left="1440" w:hanging="1440"/>
      <w:spacing w:line="360" w:lineRule="auto"/>
      <w:tabs>
        <w:tab w:val="left" w:pos="1440" w:leader="none"/>
      </w:tabs>
    </w:pPr>
    <w:rPr>
      <w:sz w:val="24"/>
      <w:szCs w:val="24"/>
    </w:rPr>
  </w:style>
  <w:style w:type="paragraph" w:styleId="1044">
    <w:name w:val="index 8"/>
    <w:basedOn w:val="1027"/>
    <w:next w:val="1027"/>
    <w:uiPriority w:val="0"/>
    <w:semiHidden/>
    <w:qFormat/>
    <w:pPr>
      <w:ind w:left="2940"/>
    </w:pPr>
  </w:style>
  <w:style w:type="paragraph" w:styleId="1045">
    <w:name w:val="List Number"/>
    <w:basedOn w:val="1027"/>
    <w:uiPriority w:val="0"/>
    <w:qFormat/>
    <w:pPr>
      <w:ind w:left="2952" w:hanging="432"/>
      <w:tabs>
        <w:tab w:val="left" w:pos="2952" w:leader="none"/>
      </w:tabs>
    </w:pPr>
    <w:rPr>
      <w:szCs w:val="24"/>
    </w:rPr>
  </w:style>
  <w:style w:type="paragraph" w:styleId="1046">
    <w:name w:val="index 5"/>
    <w:basedOn w:val="1027"/>
    <w:next w:val="1027"/>
    <w:uiPriority w:val="0"/>
    <w:semiHidden/>
    <w:qFormat/>
    <w:pPr>
      <w:ind w:left="1680"/>
    </w:pPr>
  </w:style>
  <w:style w:type="paragraph" w:styleId="1047">
    <w:name w:val="Document Map"/>
    <w:basedOn w:val="1027"/>
    <w:link w:val="1118"/>
    <w:uiPriority w:val="0"/>
    <w:semiHidden/>
    <w:qFormat/>
    <w:pPr>
      <w:shd w:val="clear" w:color="auto" w:fill="000080"/>
    </w:pPr>
  </w:style>
  <w:style w:type="paragraph" w:styleId="1048">
    <w:name w:val="annotation text"/>
    <w:basedOn w:val="1027"/>
    <w:link w:val="1119"/>
    <w:uiPriority w:val="99"/>
    <w:qFormat/>
    <w:pPr>
      <w:jc w:val="left"/>
    </w:pPr>
  </w:style>
  <w:style w:type="paragraph" w:styleId="1049">
    <w:name w:val="index 6"/>
    <w:basedOn w:val="1027"/>
    <w:next w:val="1027"/>
    <w:uiPriority w:val="0"/>
    <w:semiHidden/>
    <w:qFormat/>
    <w:pPr>
      <w:ind w:left="2100"/>
    </w:pPr>
  </w:style>
  <w:style w:type="paragraph" w:styleId="1050">
    <w:name w:val="Salutation"/>
    <w:basedOn w:val="1027"/>
    <w:next w:val="1027"/>
    <w:uiPriority w:val="0"/>
    <w:qFormat/>
    <w:rPr>
      <w:rFonts w:ascii="仿宋_GB2312" w:eastAsia="仿宋_GB2312"/>
      <w:sz w:val="28"/>
    </w:rPr>
  </w:style>
  <w:style w:type="paragraph" w:styleId="1051">
    <w:name w:val="Body Text 3"/>
    <w:basedOn w:val="1027"/>
    <w:uiPriority w:val="0"/>
    <w:qFormat/>
    <w:rPr>
      <w:rFonts w:ascii="仿宋_GB2312" w:hAnsi="Arial" w:eastAsia="仿宋_GB2312"/>
      <w:sz w:val="32"/>
    </w:rPr>
  </w:style>
  <w:style w:type="paragraph" w:styleId="1052">
    <w:name w:val="Body Text"/>
    <w:basedOn w:val="1027"/>
    <w:uiPriority w:val="0"/>
    <w:qFormat/>
    <w:rPr>
      <w:rFonts w:ascii="楷体_GB2312" w:hAnsi="Arial" w:eastAsia="楷体_GB2312"/>
      <w:sz w:val="28"/>
    </w:rPr>
  </w:style>
  <w:style w:type="paragraph" w:styleId="1053">
    <w:name w:val="Body Text Indent"/>
    <w:basedOn w:val="1027"/>
    <w:link w:val="1120"/>
    <w:uiPriority w:val="0"/>
    <w:qFormat/>
    <w:pPr>
      <w:ind w:firstLine="645"/>
    </w:pPr>
    <w:rPr>
      <w:rFonts w:ascii="楷体_GB2312" w:eastAsia="楷体_GB2312"/>
      <w:sz w:val="32"/>
    </w:rPr>
  </w:style>
  <w:style w:type="paragraph" w:styleId="1054">
    <w:name w:val="Block Text"/>
    <w:basedOn w:val="1027"/>
    <w:next w:val="1052"/>
    <w:uiPriority w:val="0"/>
    <w:qFormat/>
    <w:pPr>
      <w:ind w:left="1440" w:right="1440"/>
      <w:spacing w:after="120"/>
    </w:pPr>
  </w:style>
  <w:style w:type="paragraph" w:styleId="1055">
    <w:name w:val="index 4"/>
    <w:basedOn w:val="1027"/>
    <w:next w:val="1027"/>
    <w:uiPriority w:val="0"/>
    <w:semiHidden/>
    <w:qFormat/>
    <w:pPr>
      <w:ind w:left="1260"/>
    </w:pPr>
  </w:style>
  <w:style w:type="paragraph" w:styleId="1056">
    <w:name w:val="toc 5"/>
    <w:basedOn w:val="1027"/>
    <w:next w:val="1027"/>
    <w:uiPriority w:val="0"/>
    <w:semiHidden/>
    <w:qFormat/>
    <w:pPr>
      <w:ind w:left="840"/>
      <w:jc w:val="left"/>
    </w:pPr>
    <w:rPr>
      <w:sz w:val="18"/>
    </w:rPr>
  </w:style>
  <w:style w:type="paragraph" w:styleId="1057">
    <w:name w:val="toc 3"/>
    <w:basedOn w:val="1027"/>
    <w:next w:val="1027"/>
    <w:uiPriority w:val="0"/>
    <w:semiHidden/>
    <w:qFormat/>
    <w:pPr>
      <w:ind w:left="420"/>
      <w:jc w:val="left"/>
    </w:pPr>
    <w:rPr>
      <w:i/>
      <w:sz w:val="20"/>
    </w:rPr>
  </w:style>
  <w:style w:type="paragraph" w:styleId="1058">
    <w:name w:val="Plain Text"/>
    <w:basedOn w:val="1027"/>
    <w:link w:val="1121"/>
    <w:uiPriority w:val="0"/>
    <w:qFormat/>
    <w:rPr>
      <w:rFonts w:ascii="宋体" w:hAnsi="Courier New"/>
    </w:rPr>
  </w:style>
  <w:style w:type="paragraph" w:styleId="1059">
    <w:name w:val="toc 8"/>
    <w:basedOn w:val="1027"/>
    <w:next w:val="1027"/>
    <w:uiPriority w:val="0"/>
    <w:semiHidden/>
    <w:qFormat/>
    <w:pPr>
      <w:ind w:left="1470"/>
      <w:jc w:val="left"/>
    </w:pPr>
    <w:rPr>
      <w:sz w:val="18"/>
    </w:rPr>
  </w:style>
  <w:style w:type="paragraph" w:styleId="1060">
    <w:name w:val="index 3"/>
    <w:basedOn w:val="1027"/>
    <w:next w:val="1027"/>
    <w:uiPriority w:val="0"/>
    <w:semiHidden/>
    <w:qFormat/>
    <w:pPr>
      <w:ind w:left="840"/>
    </w:pPr>
  </w:style>
  <w:style w:type="paragraph" w:styleId="1061">
    <w:name w:val="Date"/>
    <w:basedOn w:val="1027"/>
    <w:next w:val="1027"/>
    <w:uiPriority w:val="0"/>
    <w:qFormat/>
    <w:pPr>
      <w:ind w:left="100"/>
    </w:pPr>
    <w:rPr>
      <w:sz w:val="28"/>
    </w:rPr>
  </w:style>
  <w:style w:type="paragraph" w:styleId="1062">
    <w:name w:val="Body Text Indent 2"/>
    <w:basedOn w:val="1027"/>
    <w:next w:val="1063"/>
    <w:link w:val="1122"/>
    <w:uiPriority w:val="0"/>
    <w:qFormat/>
    <w:pPr>
      <w:ind w:left="630" w:firstLine="645"/>
    </w:pPr>
    <w:rPr>
      <w:rFonts w:ascii="Arial" w:hAnsi="Arial" w:eastAsia="仿宋_GB2312"/>
      <w:sz w:val="32"/>
    </w:rPr>
  </w:style>
  <w:style w:type="paragraph" w:styleId="1063" w:customStyle="1">
    <w:name w:val="xl75"/>
    <w:basedOn w:val="1027"/>
    <w:next w:val="1064"/>
    <w:uiPriority w:val="0"/>
    <w:qFormat/>
    <w:pPr>
      <w:ind w:left="200" w:firstLine="5320"/>
      <w:jc w:val="center"/>
      <w:spacing w:before="280" w:after="280"/>
      <w:widowControl/>
    </w:pPr>
    <w:rPr>
      <w:rFonts w:ascii="宋体"/>
    </w:rPr>
  </w:style>
  <w:style w:type="paragraph" w:styleId="1064" w:customStyle="1">
    <w:name w:val="Test2"/>
    <w:basedOn w:val="1029"/>
    <w:next w:val="1065"/>
    <w:uiPriority w:val="0"/>
    <w:qFormat/>
    <w:pPr>
      <w:jc w:val="center"/>
      <w:spacing w:line="480" w:lineRule="exact"/>
      <w:widowControl/>
    </w:pPr>
    <w:rPr>
      <w:rFonts w:ascii="黑体" w:hAnsi="Arial" w:eastAsia="黑体"/>
      <w:bCs/>
      <w:sz w:val="24"/>
    </w:rPr>
  </w:style>
  <w:style w:type="paragraph" w:styleId="1065" w:customStyle="1">
    <w:name w:val="xl59"/>
    <w:basedOn w:val="1027"/>
    <w:next w:val="10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6" w:customStyle="1">
    <w:name w:val="方案正文"/>
    <w:basedOn w:val="1027"/>
    <w:next w:val="1067"/>
    <w:uiPriority w:val="0"/>
    <w:qFormat/>
    <w:pPr>
      <w:ind w:firstLine="359"/>
      <w:jc w:val="left"/>
      <w:spacing w:before="156" w:line="360" w:lineRule="auto"/>
    </w:pPr>
    <w:rPr>
      <w:rFonts w:ascii="Arial" w:hAnsi="Arial" w:cs="宋体"/>
      <w:sz w:val="24"/>
      <w:szCs w:val="21"/>
    </w:rPr>
  </w:style>
  <w:style w:type="paragraph" w:styleId="1067" w:customStyle="1">
    <w:name w:val="小四 段落 宋体 Char Char Char Char"/>
    <w:basedOn w:val="1027"/>
    <w:next w:val="1068"/>
    <w:uiPriority w:val="0"/>
    <w:qFormat/>
    <w:pPr>
      <w:ind w:right="-33" w:firstLine="480"/>
      <w:jc w:val="left"/>
      <w:spacing w:line="360" w:lineRule="auto"/>
    </w:pPr>
    <w:rPr>
      <w:sz w:val="24"/>
      <w:szCs w:val="24"/>
    </w:rPr>
  </w:style>
  <w:style w:type="paragraph" w:styleId="1068" w:customStyle="1">
    <w:name w:val="flType"/>
    <w:basedOn w:val="1069"/>
    <w:next w:val="1027"/>
    <w:uiPriority w:val="0"/>
    <w:qFormat/>
    <w:pPr>
      <w:spacing w:after="284"/>
    </w:pPr>
    <w:rPr>
      <w:rFonts w:eastAsia="宋体"/>
      <w:b w:val="0"/>
    </w:rPr>
  </w:style>
  <w:style w:type="paragraph" w:styleId="1069" w:customStyle="1">
    <w:name w:val="flName"/>
    <w:basedOn w:val="1070"/>
    <w:uiPriority w:val="0"/>
    <w:qFormat/>
    <w:pPr>
      <w:spacing w:before="0" w:line="113" w:lineRule="atLeast"/>
    </w:pPr>
  </w:style>
  <w:style w:type="paragraph" w:styleId="1070" w:customStyle="1">
    <w:name w:val="flNote"/>
    <w:basedOn w:val="1027"/>
    <w:uiPriority w:val="0"/>
    <w:qFormat/>
    <w:pPr>
      <w:jc w:val="center"/>
      <w:spacing w:before="567" w:line="360" w:lineRule="atLeast"/>
    </w:pPr>
    <w:rPr>
      <w:rFonts w:eastAsia="黑体"/>
      <w:b/>
      <w:sz w:val="24"/>
    </w:rPr>
  </w:style>
  <w:style w:type="paragraph" w:styleId="1071">
    <w:name w:val="endnote text"/>
    <w:basedOn w:val="1027"/>
    <w:uiPriority w:val="0"/>
    <w:qFormat/>
    <w:pPr>
      <w:jc w:val="left"/>
    </w:pPr>
    <w:rPr>
      <w:sz w:val="20"/>
      <w:szCs w:val="24"/>
    </w:rPr>
  </w:style>
  <w:style w:type="paragraph" w:styleId="1072">
    <w:name w:val="Balloon Text"/>
    <w:basedOn w:val="1027"/>
    <w:uiPriority w:val="0"/>
    <w:semiHidden/>
    <w:qFormat/>
    <w:rPr>
      <w:sz w:val="18"/>
      <w:szCs w:val="18"/>
    </w:rPr>
  </w:style>
  <w:style w:type="paragraph" w:styleId="1073">
    <w:name w:val="Footer"/>
    <w:basedOn w:val="1027"/>
    <w:link w:val="1123"/>
    <w:uiPriority w:val="0"/>
    <w:qFormat/>
    <w:pPr>
      <w:jc w:val="left"/>
      <w:tabs>
        <w:tab w:val="center" w:pos="4153" w:leader="none"/>
        <w:tab w:val="right" w:pos="8306" w:leader="none"/>
      </w:tabs>
    </w:pPr>
    <w:rPr>
      <w:sz w:val="18"/>
    </w:rPr>
  </w:style>
  <w:style w:type="paragraph" w:styleId="1074">
    <w:name w:val="Header"/>
    <w:basedOn w:val="1027"/>
    <w:uiPriority w:val="0"/>
    <w:qFormat/>
    <w:pPr>
      <w:jc w:val="center"/>
      <w:tabs>
        <w:tab w:val="center" w:pos="4153" w:leader="none"/>
        <w:tab w:val="right" w:pos="8306" w:leader="none"/>
      </w:tabs>
      <w:pBdr>
        <w:bottom w:val="single" w:color="auto" w:sz="6" w:space="1"/>
      </w:pBdr>
    </w:pPr>
    <w:rPr>
      <w:sz w:val="18"/>
    </w:rPr>
  </w:style>
  <w:style w:type="paragraph" w:styleId="1075">
    <w:name w:val="Signature"/>
    <w:basedOn w:val="1027"/>
    <w:uiPriority w:val="0"/>
    <w:qFormat/>
    <w:pPr>
      <w:jc w:val="center"/>
      <w:spacing w:after="600" w:line="312" w:lineRule="atLeast"/>
    </w:pPr>
    <w:rPr>
      <w:rFonts w:eastAsia="仿宋_GB2312"/>
      <w:sz w:val="24"/>
    </w:rPr>
  </w:style>
  <w:style w:type="paragraph" w:styleId="1076">
    <w:name w:val="toc 1"/>
    <w:basedOn w:val="1027"/>
    <w:next w:val="1027"/>
    <w:uiPriority w:val="39"/>
    <w:qFormat/>
    <w:pPr>
      <w:jc w:val="left"/>
      <w:spacing w:before="120" w:after="120"/>
    </w:pPr>
    <w:rPr>
      <w:b/>
      <w:caps/>
      <w:sz w:val="20"/>
    </w:rPr>
  </w:style>
  <w:style w:type="paragraph" w:styleId="1077">
    <w:name w:val="toc 4"/>
    <w:basedOn w:val="1027"/>
    <w:next w:val="1027"/>
    <w:uiPriority w:val="0"/>
    <w:semiHidden/>
    <w:qFormat/>
    <w:pPr>
      <w:ind w:left="630"/>
      <w:jc w:val="left"/>
    </w:pPr>
    <w:rPr>
      <w:sz w:val="18"/>
    </w:rPr>
  </w:style>
  <w:style w:type="paragraph" w:styleId="1078">
    <w:name w:val="index heading"/>
    <w:basedOn w:val="1027"/>
    <w:next w:val="1079"/>
    <w:uiPriority w:val="0"/>
    <w:semiHidden/>
    <w:qFormat/>
  </w:style>
  <w:style w:type="paragraph" w:styleId="1079">
    <w:name w:val="index 1"/>
    <w:basedOn w:val="1027"/>
    <w:next w:val="1027"/>
    <w:uiPriority w:val="0"/>
    <w:semiHidden/>
    <w:qFormat/>
    <w:rPr>
      <w:rFonts w:ascii="仿宋_GB2312" w:hAnsi="宋体" w:eastAsia="仿宋_GB2312"/>
      <w:sz w:val="30"/>
      <w:szCs w:val="24"/>
    </w:rPr>
  </w:style>
  <w:style w:type="paragraph" w:styleId="1080">
    <w:name w:val="Subtitle"/>
    <w:basedOn w:val="1027"/>
    <w:next w:val="1027"/>
    <w:uiPriority w:val="0"/>
    <w:qFormat/>
    <w:pPr>
      <w:jc w:val="left"/>
      <w:spacing w:after="600" w:line="276" w:lineRule="auto"/>
      <w:widowControl/>
    </w:pPr>
    <w:rPr>
      <w:rFonts w:ascii="Cambria" w:hAnsi="Cambria"/>
      <w:i/>
      <w:iCs/>
      <w:spacing w:val="13"/>
      <w:sz w:val="24"/>
      <w:szCs w:val="24"/>
      <w:lang w:eastAsia="en-US" w:bidi="en-US"/>
    </w:rPr>
  </w:style>
  <w:style w:type="paragraph" w:styleId="1081">
    <w:name w:val="footnote text"/>
    <w:basedOn w:val="1027"/>
    <w:uiPriority w:val="0"/>
    <w:qFormat/>
    <w:pPr>
      <w:jc w:val="left"/>
    </w:pPr>
    <w:rPr>
      <w:sz w:val="18"/>
      <w:szCs w:val="18"/>
    </w:rPr>
  </w:style>
  <w:style w:type="paragraph" w:styleId="1082">
    <w:name w:val="toc 6"/>
    <w:basedOn w:val="1027"/>
    <w:next w:val="1027"/>
    <w:uiPriority w:val="0"/>
    <w:semiHidden/>
    <w:qFormat/>
    <w:pPr>
      <w:ind w:left="1050"/>
      <w:jc w:val="left"/>
    </w:pPr>
    <w:rPr>
      <w:sz w:val="18"/>
    </w:rPr>
  </w:style>
  <w:style w:type="paragraph" w:styleId="1083">
    <w:name w:val="Body Text Indent 3"/>
    <w:basedOn w:val="1027"/>
    <w:link w:val="1124"/>
    <w:uiPriority w:val="0"/>
    <w:qFormat/>
    <w:pPr>
      <w:ind w:left="645" w:firstLine="645"/>
    </w:pPr>
    <w:rPr>
      <w:rFonts w:ascii="Arial" w:hAnsi="Arial" w:eastAsia="仿宋_GB2312"/>
      <w:color w:val="ffff00"/>
      <w:sz w:val="32"/>
    </w:rPr>
  </w:style>
  <w:style w:type="paragraph" w:styleId="1084">
    <w:name w:val="index 7"/>
    <w:basedOn w:val="1027"/>
    <w:next w:val="1027"/>
    <w:uiPriority w:val="0"/>
    <w:semiHidden/>
    <w:qFormat/>
    <w:pPr>
      <w:ind w:left="2520"/>
    </w:pPr>
  </w:style>
  <w:style w:type="paragraph" w:styleId="1085">
    <w:name w:val="index 9"/>
    <w:basedOn w:val="1027"/>
    <w:next w:val="1027"/>
    <w:uiPriority w:val="0"/>
    <w:semiHidden/>
    <w:qFormat/>
    <w:pPr>
      <w:ind w:left="3360"/>
    </w:pPr>
  </w:style>
  <w:style w:type="paragraph" w:styleId="1086">
    <w:name w:val="table of figures"/>
    <w:basedOn w:val="1027"/>
    <w:next w:val="1027"/>
    <w:uiPriority w:val="0"/>
    <w:semiHidden/>
    <w:qFormat/>
    <w:pPr>
      <w:ind w:left="840" w:hanging="420"/>
    </w:pPr>
  </w:style>
  <w:style w:type="paragraph" w:styleId="1087">
    <w:name w:val="toc 2"/>
    <w:basedOn w:val="1027"/>
    <w:next w:val="1027"/>
    <w:uiPriority w:val="0"/>
    <w:semiHidden/>
    <w:qFormat/>
    <w:pPr>
      <w:ind w:left="210"/>
      <w:jc w:val="left"/>
    </w:pPr>
    <w:rPr>
      <w:smallCaps/>
      <w:sz w:val="20"/>
    </w:rPr>
  </w:style>
  <w:style w:type="paragraph" w:styleId="1088">
    <w:name w:val="toc 9"/>
    <w:basedOn w:val="1027"/>
    <w:next w:val="1027"/>
    <w:uiPriority w:val="0"/>
    <w:semiHidden/>
    <w:qFormat/>
    <w:pPr>
      <w:ind w:left="1680"/>
      <w:jc w:val="left"/>
    </w:pPr>
    <w:rPr>
      <w:sz w:val="18"/>
    </w:rPr>
  </w:style>
  <w:style w:type="paragraph" w:styleId="1089">
    <w:name w:val="Body Text 2"/>
    <w:basedOn w:val="1027"/>
    <w:uiPriority w:val="0"/>
    <w:qFormat/>
    <w:pPr>
      <w:jc w:val="center"/>
      <w:widowControl/>
    </w:pPr>
    <w:rPr>
      <w:rFonts w:ascii="楷体_GB2312" w:eastAsia="楷体_GB2312"/>
      <w:sz w:val="28"/>
    </w:rPr>
  </w:style>
  <w:style w:type="paragraph" w:styleId="1090">
    <w:name w:val="HTML Preformatted"/>
    <w:basedOn w:val="1027"/>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91">
    <w:name w:val="Normal (Web)"/>
    <w:basedOn w:val="1027"/>
    <w:uiPriority w:val="99"/>
    <w:qFormat/>
    <w:pPr>
      <w:jc w:val="left"/>
      <w:spacing w:before="100" w:beforeAutospacing="1" w:after="100" w:afterAutospacing="1"/>
      <w:widowControl/>
    </w:pPr>
    <w:rPr>
      <w:rFonts w:ascii="Arial" w:hAnsi="Arial" w:eastAsia="Arial Unicode MS" w:cs="Arial"/>
      <w:sz w:val="24"/>
      <w:szCs w:val="24"/>
    </w:rPr>
  </w:style>
  <w:style w:type="paragraph" w:styleId="1092">
    <w:name w:val="index 2"/>
    <w:basedOn w:val="1027"/>
    <w:next w:val="1027"/>
    <w:uiPriority w:val="0"/>
    <w:semiHidden/>
    <w:qFormat/>
    <w:pPr>
      <w:ind w:left="420"/>
    </w:pPr>
  </w:style>
  <w:style w:type="paragraph" w:styleId="1093">
    <w:name w:val="Title"/>
    <w:basedOn w:val="1027"/>
    <w:link w:val="1126"/>
    <w:uiPriority w:val="0"/>
    <w:qFormat/>
    <w:pPr>
      <w:jc w:val="center"/>
      <w:spacing w:line="420" w:lineRule="exact"/>
      <w:widowControl/>
    </w:pPr>
    <w:rPr>
      <w:rFonts w:eastAsia="黑体"/>
      <w:b/>
      <w:sz w:val="28"/>
      <w:lang w:val="en-GB"/>
    </w:rPr>
  </w:style>
  <w:style w:type="paragraph" w:styleId="1094">
    <w:name w:val="annotation subject"/>
    <w:basedOn w:val="1048"/>
    <w:next w:val="1048"/>
    <w:link w:val="1127"/>
    <w:uiPriority w:val="0"/>
    <w:semiHidden/>
    <w:qFormat/>
    <w:rPr>
      <w:b/>
      <w:bCs/>
    </w:rPr>
  </w:style>
  <w:style w:type="paragraph" w:styleId="1095">
    <w:name w:val="Body Text First Indent"/>
    <w:basedOn w:val="1052"/>
    <w:link w:val="1128"/>
    <w:uiPriority w:val="0"/>
    <w:qFormat/>
    <w:pPr>
      <w:ind w:firstLine="420"/>
      <w:spacing w:after="120"/>
    </w:pPr>
    <w:rPr>
      <w:rFonts w:ascii="Times New Roman" w:hAnsi="Times New Roman" w:eastAsia="宋体"/>
      <w:sz w:val="21"/>
      <w:szCs w:val="24"/>
    </w:rPr>
  </w:style>
  <w:style w:type="table" w:styleId="1096">
    <w:name w:val="Table Grid"/>
    <w:basedOn w:val="10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7">
    <w:name w:val="Strong"/>
    <w:uiPriority w:val="0"/>
    <w:qFormat/>
    <w:rPr>
      <w:b/>
      <w:bCs/>
    </w:rPr>
  </w:style>
  <w:style w:type="character" w:styleId="1098">
    <w:name w:val="endnote reference"/>
    <w:uiPriority w:val="0"/>
    <w:qFormat/>
    <w:rPr>
      <w:vertAlign w:val="superscript"/>
    </w:rPr>
  </w:style>
  <w:style w:type="character" w:styleId="1099">
    <w:name w:val="page number"/>
    <w:uiPriority w:val="0"/>
    <w:qFormat/>
  </w:style>
  <w:style w:type="character" w:styleId="1100">
    <w:name w:val="FollowedHyperlink"/>
    <w:uiPriority w:val="0"/>
    <w:qFormat/>
    <w:rPr>
      <w:color w:val="800080"/>
      <w:u w:val="single"/>
    </w:rPr>
  </w:style>
  <w:style w:type="character" w:styleId="1101">
    <w:name w:val="Emphasis"/>
    <w:uiPriority w:val="0"/>
    <w:qFormat/>
    <w:rPr>
      <w:b/>
      <w:bCs/>
      <w:i/>
      <w:iCs/>
      <w:spacing w:val="10"/>
      <w:shd w:val="clear" w:color="auto" w:fill="auto"/>
    </w:rPr>
  </w:style>
  <w:style w:type="character" w:styleId="1102">
    <w:name w:val="line number"/>
    <w:uiPriority w:val="0"/>
    <w:qFormat/>
  </w:style>
  <w:style w:type="character" w:styleId="1103">
    <w:name w:val="HTML Typewriter"/>
    <w:uiPriority w:val="0"/>
    <w:qFormat/>
    <w:rPr>
      <w:rFonts w:ascii="宋体" w:hAnsi="宋体" w:eastAsia="宋体" w:cs="宋体"/>
      <w:sz w:val="24"/>
      <w:szCs w:val="24"/>
    </w:rPr>
  </w:style>
  <w:style w:type="character" w:styleId="1104">
    <w:name w:val="Hyperlink"/>
    <w:uiPriority w:val="99"/>
    <w:qFormat/>
    <w:rPr>
      <w:color w:val="0000ff"/>
      <w:u w:val="single"/>
    </w:rPr>
  </w:style>
  <w:style w:type="character" w:styleId="1105">
    <w:name w:val="annotation reference"/>
    <w:uiPriority w:val="0"/>
    <w:qFormat/>
    <w:rPr>
      <w:sz w:val="21"/>
    </w:rPr>
  </w:style>
  <w:style w:type="character" w:styleId="1106">
    <w:name w:val="footnote reference"/>
    <w:uiPriority w:val="0"/>
    <w:qFormat/>
    <w:rPr>
      <w:vertAlign w:val="superscript"/>
    </w:rPr>
  </w:style>
  <w:style w:type="character" w:styleId="1107">
    <w:name w:val="HTML Sample"/>
    <w:uiPriority w:val="0"/>
    <w:qFormat/>
    <w:rPr>
      <w:rFonts w:ascii="Courier New" w:hAnsi="宋体" w:eastAsia="宋体" w:cs="Courier New"/>
    </w:rPr>
  </w:style>
  <w:style w:type="character" w:styleId="1108" w:customStyle="1">
    <w:name w:val="标题 1 字符"/>
    <w:link w:val="1028"/>
    <w:uiPriority w:val="0"/>
    <w:qFormat/>
    <w:rPr>
      <w:rFonts w:ascii="黑体" w:eastAsia="黑体"/>
      <w:b/>
      <w:sz w:val="24"/>
      <w:szCs w:val="28"/>
      <w:lang w:val="en-US" w:eastAsia="zh-CN" w:bidi="ar-SA"/>
    </w:rPr>
  </w:style>
  <w:style w:type="character" w:styleId="1109" w:customStyle="1">
    <w:name w:val="标题 2 字符"/>
    <w:link w:val="1029"/>
    <w:uiPriority w:val="0"/>
    <w:qFormat/>
    <w:rPr>
      <w:rFonts w:ascii="宋体" w:hAnsi="宋体" w:eastAsia="宋体"/>
      <w:b/>
      <w:sz w:val="21"/>
      <w:szCs w:val="24"/>
      <w:lang w:val="en-US" w:eastAsia="zh-CN" w:bidi="ar-SA"/>
    </w:rPr>
  </w:style>
  <w:style w:type="character" w:styleId="1110" w:customStyle="1">
    <w:name w:val="无间隔 字符"/>
    <w:link w:val="1040"/>
    <w:uiPriority w:val="0"/>
    <w:qFormat/>
    <w:rPr>
      <w:rFonts w:eastAsia="微软雅黑"/>
      <w:sz w:val="24"/>
      <w:szCs w:val="22"/>
      <w:lang w:val="en-US" w:eastAsia="zh-CN" w:bidi="ar-SA"/>
    </w:rPr>
  </w:style>
  <w:style w:type="character" w:styleId="1111" w:customStyle="1">
    <w:name w:val="标题 3 字符"/>
    <w:link w:val="1030"/>
    <w:uiPriority w:val="0"/>
    <w:qFormat/>
    <w:rPr>
      <w:rFonts w:ascii="宋体" w:hAnsi="宋体" w:eastAsia="宋体"/>
      <w:b/>
      <w:sz w:val="21"/>
      <w:szCs w:val="21"/>
      <w:shd w:val="clear" w:color="auto" w:fill="ffffff"/>
    </w:rPr>
  </w:style>
  <w:style w:type="character" w:styleId="1112" w:customStyle="1">
    <w:name w:val="标题 4 字符"/>
    <w:link w:val="1031"/>
    <w:uiPriority w:val="0"/>
    <w:qFormat/>
    <w:rPr>
      <w:rFonts w:ascii="Arial" w:hAnsi="Arial" w:eastAsia="黑体"/>
      <w:b/>
      <w:sz w:val="28"/>
      <w:lang w:val="en-US" w:eastAsia="zh-CN" w:bidi="ar-SA"/>
    </w:rPr>
  </w:style>
  <w:style w:type="character" w:styleId="1113" w:customStyle="1">
    <w:name w:val="标题 5 字符"/>
    <w:link w:val="1032"/>
    <w:uiPriority w:val="0"/>
    <w:qFormat/>
    <w:rPr>
      <w:rFonts w:ascii="黑体" w:eastAsia="黑体"/>
      <w:b/>
      <w:color w:val="000000"/>
      <w:sz w:val="28"/>
      <w:lang w:val="en-US" w:eastAsia="zh-CN" w:bidi="ar-SA"/>
    </w:rPr>
  </w:style>
  <w:style w:type="character" w:styleId="1114" w:customStyle="1">
    <w:name w:val="标题 6 字符"/>
    <w:link w:val="1033"/>
    <w:uiPriority w:val="0"/>
    <w:qFormat/>
    <w:rPr>
      <w:rFonts w:ascii="Arial" w:hAnsi="Arial" w:eastAsia="黑体"/>
      <w:b/>
      <w:bCs/>
      <w:sz w:val="24"/>
      <w:szCs w:val="24"/>
      <w:lang w:val="en-US" w:eastAsia="zh-CN" w:bidi="ar-SA"/>
    </w:rPr>
  </w:style>
  <w:style w:type="character" w:styleId="1115" w:customStyle="1">
    <w:name w:val="标题 7 字符"/>
    <w:link w:val="1034"/>
    <w:uiPriority w:val="0"/>
    <w:qFormat/>
    <w:rPr>
      <w:rFonts w:eastAsia="宋体"/>
      <w:b/>
      <w:bCs/>
      <w:sz w:val="24"/>
      <w:szCs w:val="24"/>
      <w:lang w:val="en-US" w:eastAsia="zh-CN" w:bidi="ar-SA"/>
    </w:rPr>
  </w:style>
  <w:style w:type="character" w:styleId="1116" w:customStyle="1">
    <w:name w:val="标题 8 字符"/>
    <w:link w:val="1035"/>
    <w:uiPriority w:val="0"/>
    <w:qFormat/>
    <w:rPr>
      <w:rFonts w:ascii="Arial" w:hAnsi="Arial" w:eastAsia="黑体"/>
      <w:sz w:val="24"/>
      <w:szCs w:val="24"/>
      <w:lang w:val="en-US" w:eastAsia="zh-CN" w:bidi="ar-SA"/>
    </w:rPr>
  </w:style>
  <w:style w:type="character" w:styleId="1117" w:customStyle="1">
    <w:name w:val="标题 9 字符"/>
    <w:link w:val="1036"/>
    <w:uiPriority w:val="0"/>
    <w:qFormat/>
    <w:rPr>
      <w:rFonts w:ascii="Arial" w:hAnsi="Arial" w:eastAsia="黑体"/>
      <w:sz w:val="21"/>
      <w:szCs w:val="21"/>
      <w:lang w:val="en-US" w:eastAsia="zh-CN" w:bidi="ar-SA"/>
    </w:rPr>
  </w:style>
  <w:style w:type="character" w:styleId="1118" w:customStyle="1">
    <w:name w:val="文档结构图 字符"/>
    <w:link w:val="1047"/>
    <w:uiPriority w:val="0"/>
    <w:qFormat/>
    <w:rPr>
      <w:rFonts w:eastAsia="宋体"/>
      <w:sz w:val="21"/>
      <w:lang w:val="en-US" w:eastAsia="zh-CN" w:bidi="ar-SA"/>
    </w:rPr>
  </w:style>
  <w:style w:type="character" w:styleId="1119" w:customStyle="1">
    <w:name w:val="批注文字 字符"/>
    <w:link w:val="1048"/>
    <w:uiPriority w:val="99"/>
    <w:qFormat/>
    <w:rPr>
      <w:rFonts w:eastAsia="宋体"/>
      <w:sz w:val="21"/>
      <w:lang w:val="en-US" w:eastAsia="zh-CN" w:bidi="ar-SA"/>
    </w:rPr>
  </w:style>
  <w:style w:type="character" w:styleId="1120" w:customStyle="1">
    <w:name w:val="正文文本缩进 字符"/>
    <w:link w:val="1053"/>
    <w:uiPriority w:val="0"/>
    <w:qFormat/>
    <w:rPr>
      <w:rFonts w:ascii="楷体_GB2312" w:eastAsia="楷体_GB2312"/>
      <w:sz w:val="32"/>
      <w:lang w:val="en-US" w:eastAsia="zh-CN" w:bidi="ar-SA"/>
    </w:rPr>
  </w:style>
  <w:style w:type="character" w:styleId="1121" w:customStyle="1">
    <w:name w:val="纯文本 字符"/>
    <w:link w:val="1058"/>
    <w:uiPriority w:val="0"/>
    <w:qFormat/>
    <w:rPr>
      <w:rFonts w:ascii="宋体" w:hAnsi="Courier New" w:eastAsia="宋体"/>
      <w:sz w:val="21"/>
      <w:lang w:val="en-US" w:eastAsia="zh-CN" w:bidi="ar-SA"/>
    </w:rPr>
  </w:style>
  <w:style w:type="character" w:styleId="1122" w:customStyle="1">
    <w:name w:val="正文文本缩进 2 字符"/>
    <w:link w:val="1062"/>
    <w:uiPriority w:val="0"/>
    <w:qFormat/>
    <w:rPr>
      <w:rFonts w:ascii="Arial" w:hAnsi="Arial" w:eastAsia="仿宋_GB2312"/>
      <w:sz w:val="32"/>
      <w:lang w:val="en-US" w:eastAsia="zh-CN" w:bidi="ar-SA"/>
    </w:rPr>
  </w:style>
  <w:style w:type="character" w:styleId="1123" w:customStyle="1">
    <w:name w:val="页脚 字符"/>
    <w:link w:val="1073"/>
    <w:uiPriority w:val="0"/>
    <w:qFormat/>
    <w:rPr>
      <w:sz w:val="18"/>
    </w:rPr>
  </w:style>
  <w:style w:type="character" w:styleId="1124" w:customStyle="1">
    <w:name w:val="正文文本缩进 3 字符"/>
    <w:link w:val="1083"/>
    <w:uiPriority w:val="0"/>
    <w:qFormat/>
    <w:rPr>
      <w:rFonts w:ascii="Arial" w:hAnsi="Arial" w:eastAsia="仿宋_GB2312"/>
      <w:color w:val="ffff00"/>
      <w:sz w:val="32"/>
      <w:lang w:val="en-US" w:eastAsia="zh-CN" w:bidi="ar-SA"/>
    </w:rPr>
  </w:style>
  <w:style w:type="character" w:styleId="1125" w:customStyle="1">
    <w:name w:val="HTML 预设格式 字符"/>
    <w:link w:val="1090"/>
    <w:uiPriority w:val="0"/>
    <w:qFormat/>
    <w:rPr>
      <w:rFonts w:ascii="黑体" w:hAnsi="Courier New" w:eastAsia="黑体" w:cs="Courier New"/>
      <w:lang w:val="en-US" w:eastAsia="zh-CN" w:bidi="ar-SA"/>
    </w:rPr>
  </w:style>
  <w:style w:type="character" w:styleId="1126" w:customStyle="1">
    <w:name w:val="标题 字符"/>
    <w:link w:val="1093"/>
    <w:uiPriority w:val="0"/>
    <w:qFormat/>
    <w:rPr>
      <w:rFonts w:eastAsia="黑体"/>
      <w:b/>
      <w:sz w:val="28"/>
      <w:lang w:val="en-GB" w:eastAsia="zh-CN" w:bidi="ar-SA"/>
    </w:rPr>
  </w:style>
  <w:style w:type="character" w:styleId="1127" w:customStyle="1">
    <w:name w:val="批注主题 字符"/>
    <w:link w:val="1094"/>
    <w:uiPriority w:val="0"/>
    <w:qFormat/>
    <w:rPr>
      <w:rFonts w:eastAsia="宋体"/>
      <w:b/>
      <w:bCs/>
      <w:sz w:val="21"/>
      <w:lang w:val="en-US" w:eastAsia="zh-CN" w:bidi="ar-SA"/>
    </w:rPr>
  </w:style>
  <w:style w:type="character" w:styleId="1128" w:customStyle="1">
    <w:name w:val="正文文本首行缩进 字符"/>
    <w:link w:val="1095"/>
    <w:uiPriority w:val="0"/>
    <w:qFormat/>
    <w:rPr>
      <w:sz w:val="21"/>
      <w:szCs w:val="24"/>
    </w:rPr>
  </w:style>
  <w:style w:type="character" w:styleId="1129" w:customStyle="1">
    <w:name w:val="111111 Char"/>
    <w:link w:val="1130"/>
    <w:uiPriority w:val="0"/>
    <w:qFormat/>
    <w:rPr>
      <w:rFonts w:ascii="宋体" w:hAnsi="宋体" w:eastAsia="黑体" w:cs="宋体"/>
      <w:b/>
      <w:bCs/>
      <w:sz w:val="21"/>
      <w:szCs w:val="21"/>
      <w:lang w:val="en-US" w:eastAsia="zh-CN" w:bidi="ar-SA"/>
    </w:rPr>
  </w:style>
  <w:style w:type="paragraph" w:styleId="1130" w:customStyle="1">
    <w:name w:val="111111"/>
    <w:basedOn w:val="1027"/>
    <w:link w:val="1129"/>
    <w:uiPriority w:val="0"/>
    <w:qFormat/>
    <w:pPr>
      <w:jc w:val="center"/>
      <w:spacing w:before="120" w:after="120"/>
    </w:pPr>
    <w:rPr>
      <w:rFonts w:ascii="宋体" w:hAnsi="宋体" w:eastAsia="黑体" w:cs="宋体"/>
      <w:b/>
      <w:bCs/>
      <w:szCs w:val="21"/>
    </w:rPr>
  </w:style>
  <w:style w:type="character" w:styleId="1131" w:customStyle="1">
    <w:name w:val="样式 首行缩进:  2 字符 Char Char"/>
    <w:link w:val="1132"/>
    <w:uiPriority w:val="0"/>
    <w:qFormat/>
    <w:rPr>
      <w:rFonts w:eastAsia="宋体" w:cs="宋体"/>
      <w:sz w:val="24"/>
      <w:lang w:val="en-US" w:eastAsia="zh-CN" w:bidi="ar-SA"/>
    </w:rPr>
  </w:style>
  <w:style w:type="paragraph" w:styleId="1132" w:customStyle="1">
    <w:name w:val="样式 首行缩进:  2 字符"/>
    <w:basedOn w:val="1027"/>
    <w:link w:val="1131"/>
    <w:uiPriority w:val="0"/>
    <w:qFormat/>
    <w:pPr>
      <w:ind w:firstLine="480"/>
      <w:spacing w:line="360" w:lineRule="auto"/>
    </w:pPr>
    <w:rPr>
      <w:rFonts w:cs="宋体"/>
      <w:sz w:val="24"/>
    </w:rPr>
  </w:style>
  <w:style w:type="character" w:styleId="1133" w:customStyle="1">
    <w:name w:val="正文缩进 Char1"/>
    <w:link w:val="1134"/>
    <w:uiPriority w:val="0"/>
    <w:qFormat/>
    <w:rPr>
      <w:rFonts w:eastAsia="宋体"/>
      <w:lang w:bidi="ar-SA"/>
    </w:rPr>
  </w:style>
  <w:style w:type="paragraph" w:styleId="1134" w:customStyle="1">
    <w:name w:val="正文缩进1"/>
    <w:basedOn w:val="1027"/>
    <w:link w:val="1133"/>
    <w:uiPriority w:val="0"/>
    <w:qFormat/>
    <w:pPr>
      <w:ind w:firstLine="420"/>
    </w:pPr>
    <w:rPr>
      <w:sz w:val="20"/>
    </w:rPr>
  </w:style>
  <w:style w:type="character" w:styleId="1135" w:customStyle="1">
    <w:name w:val="Char Char211"/>
    <w:uiPriority w:val="0"/>
    <w:qFormat/>
    <w:rPr>
      <w:rFonts w:ascii="宋体" w:hAnsi="Courier New" w:eastAsia="宋体"/>
      <w:sz w:val="21"/>
      <w:szCs w:val="21"/>
      <w:lang w:val="en-US" w:eastAsia="zh-CN" w:bidi="ar-SA"/>
    </w:rPr>
  </w:style>
  <w:style w:type="character" w:styleId="1136" w:customStyle="1">
    <w:name w:val="小四 段落 宋体 Char Char Char Char Char Char Char Char"/>
    <w:uiPriority w:val="0"/>
    <w:qFormat/>
    <w:rPr>
      <w:rFonts w:eastAsia="宋体"/>
      <w:sz w:val="24"/>
      <w:szCs w:val="24"/>
      <w:lang w:val="en-US" w:eastAsia="zh-CN" w:bidi="ar-SA"/>
    </w:rPr>
  </w:style>
  <w:style w:type="character" w:styleId="1137" w:customStyle="1">
    <w:name w:val="t1"/>
    <w:uiPriority w:val="0"/>
    <w:qFormat/>
  </w:style>
  <w:style w:type="character" w:styleId="1138" w:customStyle="1">
    <w:name w:val="华宇段落1 Char Char Char"/>
    <w:uiPriority w:val="0"/>
    <w:qFormat/>
    <w:rPr>
      <w:rFonts w:eastAsia="宋体"/>
      <w:bCs/>
      <w:sz w:val="24"/>
      <w:szCs w:val="24"/>
      <w:lang w:val="en-US" w:eastAsia="zh-CN" w:bidi="ar-SA"/>
    </w:rPr>
  </w:style>
  <w:style w:type="character" w:styleId="1139" w:customStyle="1">
    <w:name w:val="h Char Char"/>
    <w:uiPriority w:val="0"/>
    <w:qFormat/>
    <w:rPr>
      <w:rFonts w:eastAsia="宋体"/>
      <w:sz w:val="18"/>
      <w:szCs w:val="18"/>
      <w:lang w:val="en-US" w:eastAsia="zh-CN" w:bidi="ar-SA"/>
    </w:rPr>
  </w:style>
  <w:style w:type="character" w:styleId="1140" w:customStyle="1">
    <w:name w:val="_Style 113"/>
    <w:uiPriority w:val="0"/>
    <w:qFormat/>
    <w:rPr>
      <w:b/>
      <w:bCs/>
    </w:rPr>
  </w:style>
  <w:style w:type="character" w:styleId="1141" w:customStyle="1">
    <w:name w:val="正文 + 宋体 Char"/>
    <w:uiPriority w:val="0"/>
    <w:qFormat/>
    <w:rPr>
      <w:rFonts w:eastAsia="宋体"/>
      <w:sz w:val="21"/>
      <w:szCs w:val="24"/>
      <w:lang w:val="en-US" w:eastAsia="zh-CN" w:bidi="ar-SA"/>
    </w:rPr>
  </w:style>
  <w:style w:type="character" w:styleId="1142" w:customStyle="1">
    <w:name w:val="样式 非加粗"/>
    <w:uiPriority w:val="0"/>
    <w:qFormat/>
    <w:rPr>
      <w:rFonts w:eastAsia="宋体"/>
      <w:sz w:val="28"/>
    </w:rPr>
  </w:style>
  <w:style w:type="character" w:styleId="1143" w:customStyle="1">
    <w:name w:val="引用 字符"/>
    <w:link w:val="1144"/>
    <w:uiPriority w:val="0"/>
    <w:qFormat/>
    <w:rPr>
      <w:rFonts w:ascii="Calibri" w:hAnsi="Calibri" w:eastAsia="宋体"/>
      <w:i/>
      <w:iCs/>
      <w:sz w:val="22"/>
      <w:szCs w:val="22"/>
      <w:lang w:val="en-US" w:eastAsia="en-US" w:bidi="en-US"/>
    </w:rPr>
  </w:style>
  <w:style w:type="paragraph" w:styleId="1144">
    <w:name w:val="Quote"/>
    <w:basedOn w:val="1027"/>
    <w:next w:val="1027"/>
    <w:link w:val="1143"/>
    <w:uiPriority w:val="0"/>
    <w:qFormat/>
    <w:pPr>
      <w:ind w:left="360" w:right="360"/>
      <w:jc w:val="left"/>
      <w:spacing w:before="200" w:line="276" w:lineRule="auto"/>
      <w:widowControl/>
    </w:pPr>
    <w:rPr>
      <w:i/>
      <w:iCs/>
      <w:sz w:val="22"/>
      <w:szCs w:val="22"/>
      <w:lang w:eastAsia="en-US" w:bidi="en-US"/>
    </w:rPr>
  </w:style>
  <w:style w:type="character" w:styleId="1145" w:customStyle="1">
    <w:name w:val="标准小四 Char Char"/>
    <w:uiPriority w:val="0"/>
    <w:qFormat/>
    <w:rPr>
      <w:rFonts w:ascii="Arial" w:hAnsi="Arial" w:eastAsia="宋体"/>
      <w:sz w:val="24"/>
      <w:szCs w:val="21"/>
      <w:lang w:val="en-US" w:eastAsia="zh-CN" w:bidi="ar-SA"/>
    </w:rPr>
  </w:style>
  <w:style w:type="character" w:styleId="1146" w:customStyle="1">
    <w:name w:val="subtitle1"/>
    <w:uiPriority w:val="0"/>
    <w:qFormat/>
    <w:rPr>
      <w:rFonts w:hint="default" w:ascii="Georgia" w:hAnsi="Georgia"/>
      <w:b/>
      <w:bCs/>
      <w:color w:val="666666"/>
      <w:sz w:val="18"/>
      <w:szCs w:val="18"/>
    </w:rPr>
  </w:style>
  <w:style w:type="character" w:styleId="1147" w:customStyle="1">
    <w:name w:val="标准文本 Char"/>
    <w:uiPriority w:val="0"/>
    <w:qFormat/>
    <w:rPr>
      <w:rFonts w:eastAsia="宋体" w:cs="宋体"/>
      <w:sz w:val="24"/>
      <w:szCs w:val="24"/>
      <w:lang w:val="en-US" w:eastAsia="zh-CN" w:bidi="ar-SA"/>
    </w:rPr>
  </w:style>
  <w:style w:type="character" w:styleId="1148" w:customStyle="1">
    <w:name w:val="纯文本 Char1"/>
    <w:uiPriority w:val="0"/>
    <w:qFormat/>
    <w:rPr>
      <w:rFonts w:ascii="宋体" w:hAnsi="Courier New" w:cs="Courier New"/>
      <w:sz w:val="21"/>
      <w:szCs w:val="21"/>
    </w:rPr>
  </w:style>
  <w:style w:type="character" w:styleId="1149" w:customStyle="1">
    <w:name w:val="font81"/>
    <w:uiPriority w:val="0"/>
    <w:qFormat/>
    <w:rPr>
      <w:rFonts w:hint="eastAsia" w:ascii="宋体" w:hAnsi="宋体" w:eastAsia="宋体" w:cs="宋体"/>
      <w:i/>
      <w:color w:val="000000"/>
      <w:sz w:val="18"/>
      <w:szCs w:val="18"/>
      <w:u w:val="none"/>
    </w:rPr>
  </w:style>
  <w:style w:type="character" w:styleId="1150" w:customStyle="1">
    <w:name w:val="3zw"/>
    <w:uiPriority w:val="0"/>
    <w:qFormat/>
  </w:style>
  <w:style w:type="character" w:styleId="1151" w:customStyle="1">
    <w:name w:val="Char Char28"/>
    <w:uiPriority w:val="0"/>
    <w:qFormat/>
    <w:rPr>
      <w:rFonts w:ascii="Arial" w:hAnsi="Arial" w:eastAsia="黑体" w:cs="Arial"/>
      <w:b/>
      <w:bCs/>
      <w:sz w:val="32"/>
      <w:szCs w:val="32"/>
    </w:rPr>
  </w:style>
  <w:style w:type="character" w:styleId="1152" w:customStyle="1">
    <w:name w:val="小四 段落 宋体 Char Char Char Char Char Char"/>
    <w:uiPriority w:val="0"/>
    <w:qFormat/>
    <w:rPr>
      <w:rFonts w:eastAsia="宋体"/>
      <w:sz w:val="24"/>
      <w:szCs w:val="24"/>
      <w:lang w:val="en-US" w:eastAsia="zh-CN" w:bidi="ar-SA"/>
    </w:rPr>
  </w:style>
  <w:style w:type="character" w:styleId="1153" w:customStyle="1">
    <w:name w:val="表格抬头 Char"/>
    <w:link w:val="1154"/>
    <w:uiPriority w:val="0"/>
    <w:qFormat/>
    <w:rPr>
      <w:rFonts w:ascii="黑体" w:eastAsia="黑体"/>
      <w:b/>
      <w:sz w:val="21"/>
      <w:lang w:bidi="ar-SA"/>
    </w:rPr>
  </w:style>
  <w:style w:type="paragraph" w:styleId="1154" w:customStyle="1">
    <w:name w:val="表格抬头"/>
    <w:basedOn w:val="1027"/>
    <w:link w:val="1153"/>
    <w:uiPriority w:val="0"/>
    <w:qFormat/>
    <w:pPr>
      <w:jc w:val="center"/>
    </w:pPr>
    <w:rPr>
      <w:rFonts w:ascii="黑体" w:eastAsia="黑体"/>
      <w:b/>
    </w:rPr>
  </w:style>
  <w:style w:type="character" w:styleId="1155" w:customStyle="1">
    <w:name w:val="Char Char21"/>
    <w:uiPriority w:val="0"/>
    <w:qFormat/>
    <w:rPr>
      <w:rFonts w:ascii="Arial" w:hAnsi="Arial" w:eastAsia="黑体"/>
      <w:sz w:val="24"/>
      <w:szCs w:val="24"/>
    </w:rPr>
  </w:style>
  <w:style w:type="character" w:styleId="1156" w:customStyle="1">
    <w:name w:val="小四 段落 宋体 Char1"/>
    <w:uiPriority w:val="0"/>
    <w:qFormat/>
    <w:rPr>
      <w:rFonts w:eastAsia="宋体"/>
      <w:sz w:val="24"/>
      <w:szCs w:val="24"/>
      <w:lang w:val="en-US" w:eastAsia="zh-CN" w:bidi="ar-SA"/>
    </w:rPr>
  </w:style>
  <w:style w:type="character" w:styleId="1157" w:customStyle="1">
    <w:name w:val="小四 段落 宋体 Char Char Char1"/>
    <w:uiPriority w:val="0"/>
    <w:qFormat/>
    <w:rPr>
      <w:rFonts w:ascii="宋体" w:hAnsi="宋体" w:eastAsia="宋体"/>
      <w:sz w:val="24"/>
      <w:szCs w:val="24"/>
      <w:lang w:val="en-US" w:eastAsia="zh-CN" w:bidi="ar-SA"/>
    </w:rPr>
  </w:style>
  <w:style w:type="character" w:styleId="1158" w:customStyle="1">
    <w:name w:val="纯文本 Char Char"/>
    <w:uiPriority w:val="0"/>
    <w:qFormat/>
    <w:rPr>
      <w:rFonts w:ascii="宋体" w:hAnsi="Courier New" w:eastAsia="宋体"/>
      <w:sz w:val="21"/>
      <w:szCs w:val="21"/>
      <w:lang w:val="en-US" w:eastAsia="zh-CN" w:bidi="ar-SA"/>
    </w:rPr>
  </w:style>
  <w:style w:type="character" w:styleId="1159" w:customStyle="1">
    <w:name w:val="Char Char17"/>
    <w:uiPriority w:val="0"/>
    <w:qFormat/>
    <w:rPr>
      <w:rFonts w:ascii="宋体" w:hAnsi="Courier New"/>
      <w:sz w:val="21"/>
      <w:szCs w:val="21"/>
    </w:rPr>
  </w:style>
  <w:style w:type="character" w:styleId="1160" w:customStyle="1">
    <w:name w:val="华宇段落1 Char Char"/>
    <w:uiPriority w:val="0"/>
    <w:qFormat/>
    <w:rPr>
      <w:rFonts w:eastAsia="宋体"/>
      <w:bCs/>
      <w:sz w:val="24"/>
      <w:szCs w:val="24"/>
      <w:lang w:val="en-US" w:eastAsia="zh-CN" w:bidi="ar-SA"/>
    </w:rPr>
  </w:style>
  <w:style w:type="character" w:styleId="1161" w:customStyle="1">
    <w:name w:val="Char Char20"/>
    <w:uiPriority w:val="0"/>
    <w:qFormat/>
    <w:rPr>
      <w:rFonts w:ascii="Arial" w:hAnsi="Arial" w:eastAsia="黑体"/>
      <w:sz w:val="21"/>
      <w:szCs w:val="21"/>
    </w:rPr>
  </w:style>
  <w:style w:type="character" w:styleId="1162" w:customStyle="1">
    <w:name w:val="title_emph1"/>
    <w:uiPriority w:val="0"/>
    <w:qFormat/>
    <w:rPr>
      <w:rFonts w:ascii="Arial" w:cs="Arial"/>
      <w:b/>
      <w:bCs/>
      <w:sz w:val="18"/>
      <w:szCs w:val="18"/>
    </w:rPr>
  </w:style>
  <w:style w:type="character" w:styleId="1163" w:customStyle="1">
    <w:name w:val="param-value"/>
    <w:uiPriority w:val="0"/>
    <w:qFormat/>
  </w:style>
  <w:style w:type="character" w:styleId="1164" w:customStyle="1">
    <w:name w:val="Char Char24"/>
    <w:uiPriority w:val="0"/>
    <w:qFormat/>
    <w:rPr>
      <w:b/>
      <w:bCs/>
      <w:sz w:val="28"/>
      <w:szCs w:val="28"/>
    </w:rPr>
  </w:style>
  <w:style w:type="character" w:styleId="1165" w:customStyle="1">
    <w:name w:val="concon"/>
    <w:uiPriority w:val="0"/>
    <w:qFormat/>
  </w:style>
  <w:style w:type="character" w:styleId="1166" w:customStyle="1">
    <w:name w:val="标题 3 Char"/>
    <w:uiPriority w:val="0"/>
    <w:qFormat/>
    <w:rPr>
      <w:rFonts w:ascii="宋体" w:hAnsi="宋体" w:eastAsia="宋体"/>
      <w:b/>
      <w:bCs/>
      <w:sz w:val="24"/>
      <w:szCs w:val="32"/>
      <w:lang w:val="en-US" w:eastAsia="zh-CN" w:bidi="ar-SA"/>
    </w:rPr>
  </w:style>
  <w:style w:type="character" w:styleId="1167" w:customStyle="1">
    <w:name w:val="para_small"/>
    <w:uiPriority w:val="0"/>
    <w:qFormat/>
  </w:style>
  <w:style w:type="character" w:styleId="1168" w:customStyle="1">
    <w:name w:val="Char Char22"/>
    <w:uiPriority w:val="0"/>
    <w:qFormat/>
    <w:rPr>
      <w:b/>
      <w:bCs/>
      <w:sz w:val="24"/>
      <w:szCs w:val="24"/>
    </w:rPr>
  </w:style>
  <w:style w:type="character" w:styleId="1169" w:customStyle="1">
    <w:name w:val="font71"/>
    <w:uiPriority w:val="0"/>
    <w:qFormat/>
    <w:rPr>
      <w:rFonts w:ascii="宋体" w:hAnsi="宋体" w:eastAsia="宋体" w:cs="宋体"/>
      <w:color w:val="000000"/>
      <w:sz w:val="18"/>
      <w:szCs w:val="18"/>
      <w:u w:val="none"/>
    </w:rPr>
  </w:style>
  <w:style w:type="character" w:styleId="1170" w:customStyle="1">
    <w:name w:val="textcontents"/>
    <w:uiPriority w:val="0"/>
    <w:qFormat/>
  </w:style>
  <w:style w:type="character" w:styleId="117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72" w:customStyle="1">
    <w:name w:val="标题 Char1"/>
    <w:uiPriority w:val="0"/>
    <w:qFormat/>
    <w:rPr>
      <w:rFonts w:ascii="Cambria" w:eastAsia="宋体" w:cs="Times New Roman"/>
      <w:b/>
      <w:bCs/>
      <w:sz w:val="32"/>
      <w:szCs w:val="32"/>
    </w:rPr>
  </w:style>
  <w:style w:type="character" w:styleId="1173" w:customStyle="1">
    <w:name w:val="纯文本 Char Char Char"/>
    <w:uiPriority w:val="0"/>
    <w:qFormat/>
    <w:rPr>
      <w:rFonts w:ascii="宋体" w:hAnsi="Courier New" w:eastAsia="宋体"/>
      <w:sz w:val="21"/>
      <w:szCs w:val="21"/>
      <w:lang w:val="en-US" w:eastAsia="zh-CN" w:bidi="ar-SA"/>
    </w:rPr>
  </w:style>
  <w:style w:type="character" w:styleId="1174" w:customStyle="1">
    <w:name w:val="已访问的超链接1"/>
    <w:uiPriority w:val="0"/>
    <w:qFormat/>
    <w:rPr>
      <w:color w:val="auto"/>
      <w:u w:val="none"/>
    </w:rPr>
  </w:style>
  <w:style w:type="character" w:styleId="1175" w:customStyle="1">
    <w:name w:val="明显引用 字符"/>
    <w:link w:val="1176"/>
    <w:uiPriority w:val="0"/>
    <w:qFormat/>
    <w:rPr>
      <w:rFonts w:ascii="Calibri" w:hAnsi="Calibri" w:eastAsia="宋体"/>
      <w:b/>
      <w:bCs/>
      <w:i/>
      <w:iCs/>
      <w:sz w:val="22"/>
      <w:szCs w:val="22"/>
      <w:lang w:val="en-US" w:eastAsia="en-US" w:bidi="en-US"/>
    </w:rPr>
  </w:style>
  <w:style w:type="paragraph" w:styleId="1176">
    <w:name w:val="Intense Quote"/>
    <w:basedOn w:val="1027"/>
    <w:next w:val="1027"/>
    <w:link w:val="1175"/>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77" w:customStyle="1">
    <w:name w:val="A2"/>
    <w:uiPriority w:val="0"/>
    <w:qFormat/>
    <w:rPr>
      <w:rFonts w:cs="Helvetica"/>
      <w:color w:val="000000"/>
      <w:sz w:val="18"/>
      <w:szCs w:val="18"/>
    </w:rPr>
  </w:style>
  <w:style w:type="character" w:styleId="1178" w:customStyle="1">
    <w:name w:val="normalfont1"/>
    <w:uiPriority w:val="0"/>
    <w:qFormat/>
    <w:rPr>
      <w:rFonts w:hint="default" w:ascii="ˎ̥" w:hAnsi="ˎ̥"/>
      <w:sz w:val="18"/>
      <w:szCs w:val="18"/>
      <w:u w:val="none"/>
    </w:rPr>
  </w:style>
  <w:style w:type="character" w:styleId="1179" w:customStyle="1">
    <w:name w:val="Char Char23"/>
    <w:uiPriority w:val="0"/>
    <w:qFormat/>
    <w:rPr>
      <w:rFonts w:ascii="Arial" w:hAnsi="Arial" w:eastAsia="黑体"/>
      <w:b/>
      <w:bCs/>
      <w:sz w:val="24"/>
      <w:szCs w:val="24"/>
    </w:rPr>
  </w:style>
  <w:style w:type="character" w:styleId="1180" w:customStyle="1">
    <w:name w:val="Char Char29"/>
    <w:uiPriority w:val="0"/>
    <w:qFormat/>
    <w:rPr>
      <w:rFonts w:ascii="Times New Roman" w:hAnsi="Times New Roman" w:eastAsia="宋体" w:cs="Times New Roman"/>
      <w:b/>
      <w:bCs/>
      <w:sz w:val="44"/>
      <w:szCs w:val="44"/>
    </w:rPr>
  </w:style>
  <w:style w:type="character" w:styleId="1181" w:customStyle="1">
    <w:name w:val="_Style 154"/>
    <w:uiPriority w:val="0"/>
    <w:qFormat/>
    <w:rPr>
      <w:smallCaps/>
    </w:rPr>
  </w:style>
  <w:style w:type="character" w:styleId="1182" w:customStyle="1">
    <w:name w:val="style131"/>
    <w:uiPriority w:val="0"/>
    <w:qFormat/>
    <w:rPr>
      <w:rFonts w:cs="Times New Roman"/>
      <w:sz w:val="18"/>
      <w:szCs w:val="18"/>
    </w:rPr>
  </w:style>
  <w:style w:type="character" w:styleId="1183" w:customStyle="1">
    <w:name w:val="小四 段落 宋体 Char Char Char Char Char"/>
    <w:uiPriority w:val="0"/>
    <w:qFormat/>
    <w:rPr>
      <w:rFonts w:eastAsia="宋体"/>
      <w:sz w:val="24"/>
      <w:szCs w:val="24"/>
      <w:lang w:val="en-US" w:eastAsia="zh-CN" w:bidi="ar-SA"/>
    </w:rPr>
  </w:style>
  <w:style w:type="character" w:styleId="1184" w:customStyle="1">
    <w:name w:val="font01"/>
    <w:uiPriority w:val="0"/>
    <w:qFormat/>
    <w:rPr>
      <w:rFonts w:hint="default" w:ascii="MingLiU" w:hAnsi="MingLiU" w:eastAsia="MingLiU" w:cs="MingLiU"/>
      <w:color w:val="000000"/>
      <w:sz w:val="20"/>
      <w:szCs w:val="20"/>
      <w:u w:val="none"/>
    </w:rPr>
  </w:style>
  <w:style w:type="character" w:styleId="1185" w:customStyle="1">
    <w:name w:val="apple-converted-space"/>
    <w:uiPriority w:val="0"/>
    <w:qFormat/>
  </w:style>
  <w:style w:type="character" w:styleId="1186" w:customStyle="1">
    <w:name w:val="content_lineheight1"/>
    <w:uiPriority w:val="0"/>
    <w:qFormat/>
  </w:style>
  <w:style w:type="character" w:styleId="1187" w:customStyle="1">
    <w:name w:val="point_normal1"/>
    <w:uiPriority w:val="0"/>
    <w:qFormat/>
    <w:rPr>
      <w:rFonts w:hint="default" w:ascii="Arial" w:hAnsi="Arial" w:cs="Arial"/>
      <w:sz w:val="18"/>
      <w:szCs w:val="18"/>
    </w:rPr>
  </w:style>
  <w:style w:type="character" w:styleId="1188" w:customStyle="1">
    <w:name w:val="标题 3 Char Char"/>
    <w:uiPriority w:val="0"/>
    <w:qFormat/>
    <w:rPr>
      <w:rFonts w:eastAsia="仿宋_GB2312"/>
      <w:b/>
      <w:bCs/>
      <w:sz w:val="28"/>
      <w:szCs w:val="32"/>
      <w:lang w:val="en-US" w:eastAsia="zh-CN" w:bidi="ar-SA"/>
    </w:rPr>
  </w:style>
  <w:style w:type="character" w:styleId="1189" w:customStyle="1">
    <w:name w:val="样式 宋体 小四"/>
    <w:uiPriority w:val="0"/>
    <w:qFormat/>
    <w:rPr>
      <w:rFonts w:ascii="宋体" w:hAnsi="宋体"/>
      <w:sz w:val="24"/>
    </w:rPr>
  </w:style>
  <w:style w:type="character" w:styleId="1190" w:customStyle="1">
    <w:name w:val="2nd level Char"/>
    <w:uiPriority w:val="0"/>
    <w:qFormat/>
    <w:rPr>
      <w:rFonts w:ascii="Arial" w:hAnsi="Arial" w:eastAsia="黑体"/>
      <w:b/>
      <w:bCs/>
      <w:sz w:val="32"/>
      <w:szCs w:val="32"/>
      <w:lang w:val="en-US" w:eastAsia="zh-CN" w:bidi="ar-SA"/>
    </w:rPr>
  </w:style>
  <w:style w:type="character" w:styleId="1191" w:customStyle="1">
    <w:name w:val="标准文本 Char Char"/>
    <w:uiPriority w:val="0"/>
    <w:qFormat/>
    <w:rPr>
      <w:rFonts w:eastAsia="宋体" w:cs="宋体"/>
      <w:sz w:val="24"/>
      <w:szCs w:val="24"/>
      <w:lang w:val="en-US" w:eastAsia="zh-CN" w:bidi="ar-SA"/>
    </w:rPr>
  </w:style>
  <w:style w:type="character" w:styleId="1192" w:customStyle="1">
    <w:name w:val="listbenefit"/>
    <w:uiPriority w:val="0"/>
    <w:qFormat/>
  </w:style>
  <w:style w:type="character" w:styleId="1193" w:customStyle="1">
    <w:name w:val="Title1 Char"/>
    <w:uiPriority w:val="0"/>
    <w:qFormat/>
    <w:rPr>
      <w:rFonts w:eastAsia="宋体"/>
      <w:b/>
      <w:bCs/>
      <w:sz w:val="44"/>
      <w:szCs w:val="44"/>
      <w:lang w:val="en-US" w:eastAsia="zh-CN" w:bidi="ar-SA"/>
    </w:rPr>
  </w:style>
  <w:style w:type="character" w:styleId="1194" w:customStyle="1">
    <w:name w:val="font31"/>
    <w:uiPriority w:val="0"/>
    <w:qFormat/>
    <w:rPr>
      <w:rFonts w:hint="default" w:ascii="MingLiU" w:hAnsi="MingLiU" w:eastAsia="MingLiU" w:cs="MingLiU"/>
      <w:color w:val="000000"/>
      <w:sz w:val="18"/>
      <w:szCs w:val="18"/>
      <w:u w:val="none"/>
    </w:rPr>
  </w:style>
  <w:style w:type="character" w:styleId="1195" w:customStyle="1">
    <w:name w:val="ih151"/>
    <w:uiPriority w:val="0"/>
    <w:qFormat/>
    <w:rPr>
      <w:color w:val="666666"/>
      <w:sz w:val="18"/>
      <w:szCs w:val="18"/>
      <w:u w:val="none"/>
    </w:rPr>
  </w:style>
  <w:style w:type="character" w:styleId="1196" w:customStyle="1">
    <w:name w:val="font21"/>
    <w:uiPriority w:val="0"/>
    <w:qFormat/>
    <w:rPr>
      <w:rFonts w:hint="eastAsia" w:ascii="宋体" w:hAnsi="宋体" w:eastAsia="宋体" w:cs="宋体"/>
      <w:color w:val="000000"/>
      <w:sz w:val="18"/>
      <w:szCs w:val="18"/>
      <w:u w:val="none"/>
    </w:rPr>
  </w:style>
  <w:style w:type="character" w:styleId="1197" w:customStyle="1">
    <w:name w:val="case31"/>
    <w:uiPriority w:val="0"/>
    <w:qFormat/>
    <w:rPr>
      <w:sz w:val="21"/>
      <w:szCs w:val="21"/>
    </w:rPr>
  </w:style>
  <w:style w:type="character" w:styleId="1198" w:customStyle="1">
    <w:name w:val="style13"/>
    <w:uiPriority w:val="0"/>
    <w:qFormat/>
    <w:rPr>
      <w:sz w:val="18"/>
      <w:szCs w:val="18"/>
    </w:rPr>
  </w:style>
  <w:style w:type="character" w:styleId="1199" w:customStyle="1">
    <w:name w:val="列出段落 Char"/>
    <w:link w:val="1200"/>
    <w:uiPriority w:val="0"/>
    <w:qFormat/>
    <w:rPr>
      <w:rFonts w:ascii="Arial" w:hAnsi="Arial" w:eastAsia="黑体"/>
      <w:sz w:val="24"/>
      <w:szCs w:val="24"/>
      <w:lang w:eastAsia="en-US"/>
    </w:rPr>
  </w:style>
  <w:style w:type="paragraph" w:styleId="1200" w:customStyle="1">
    <w:name w:val="列出段落1"/>
    <w:basedOn w:val="1027"/>
    <w:link w:val="1199"/>
    <w:uiPriority w:val="0"/>
    <w:qFormat/>
    <w:pPr>
      <w:contextualSpacing/>
      <w:ind w:left="720"/>
      <w:jc w:val="left"/>
      <w:widowControl/>
    </w:pPr>
    <w:rPr>
      <w:rFonts w:ascii="Arial" w:hAnsi="Arial" w:eastAsia="黑体"/>
      <w:sz w:val="24"/>
      <w:szCs w:val="24"/>
      <w:lang w:eastAsia="en-US"/>
    </w:rPr>
  </w:style>
  <w:style w:type="character" w:styleId="1201" w:customStyle="1">
    <w:name w:val="font61"/>
    <w:uiPriority w:val="0"/>
    <w:qFormat/>
    <w:rPr>
      <w:rFonts w:hint="eastAsia" w:ascii="宋体" w:hAnsi="宋体" w:eastAsia="宋体" w:cs="宋体"/>
      <w:color w:val="000000"/>
      <w:sz w:val="20"/>
      <w:szCs w:val="20"/>
      <w:u w:val="none"/>
    </w:rPr>
  </w:style>
  <w:style w:type="character" w:styleId="1202" w:customStyle="1">
    <w:name w:val="_Style 175"/>
    <w:uiPriority w:val="0"/>
    <w:qFormat/>
    <w:rPr>
      <w:i/>
      <w:iCs/>
    </w:rPr>
  </w:style>
  <w:style w:type="character" w:styleId="1203" w:customStyle="1">
    <w:name w:val="标准小四 Char"/>
    <w:uiPriority w:val="0"/>
    <w:qFormat/>
    <w:rPr>
      <w:rFonts w:ascii="Arial" w:hAnsi="Arial" w:eastAsia="宋体"/>
      <w:sz w:val="24"/>
      <w:szCs w:val="21"/>
      <w:lang w:val="en-US" w:eastAsia="zh-CN" w:bidi="ar-SA"/>
    </w:rPr>
  </w:style>
  <w:style w:type="character" w:styleId="1204" w:customStyle="1">
    <w:name w:val="普通文字1 Char"/>
    <w:uiPriority w:val="0"/>
    <w:qFormat/>
    <w:rPr>
      <w:rFonts w:ascii="宋体" w:eastAsia="宋体"/>
      <w:sz w:val="21"/>
      <w:szCs w:val="21"/>
      <w:lang w:val="en-US" w:eastAsia="zh-CN" w:bidi="ar-SA"/>
    </w:rPr>
  </w:style>
  <w:style w:type="character" w:styleId="1205" w:customStyle="1">
    <w:name w:val="_Style 178"/>
    <w:uiPriority w:val="0"/>
    <w:qFormat/>
    <w:rPr>
      <w:i/>
      <w:iCs/>
      <w:smallCaps/>
      <w:spacing w:val="5"/>
    </w:rPr>
  </w:style>
  <w:style w:type="character" w:styleId="1206" w:customStyle="1">
    <w:name w:val="font41"/>
    <w:uiPriority w:val="0"/>
    <w:qFormat/>
    <w:rPr>
      <w:rFonts w:hint="default" w:ascii="MingLiU" w:hAnsi="MingLiU" w:eastAsia="MingLiU" w:cs="MingLiU"/>
      <w:i/>
      <w:color w:val="000000"/>
      <w:sz w:val="18"/>
      <w:szCs w:val="18"/>
      <w:u w:val="none"/>
    </w:rPr>
  </w:style>
  <w:style w:type="character" w:styleId="1207" w:customStyle="1">
    <w:name w:val="特点 Char1"/>
    <w:uiPriority w:val="0"/>
    <w:qFormat/>
    <w:rPr>
      <w:rFonts w:eastAsia="宋体"/>
      <w:sz w:val="21"/>
      <w:lang w:val="en-US" w:eastAsia="zh-CN" w:bidi="ar-SA"/>
    </w:rPr>
  </w:style>
  <w:style w:type="character" w:styleId="1208" w:customStyle="1">
    <w:name w:val="content"/>
    <w:uiPriority w:val="0"/>
    <w:qFormat/>
  </w:style>
  <w:style w:type="character" w:styleId="1209" w:customStyle="1">
    <w:name w:val="Char Char26"/>
    <w:uiPriority w:val="0"/>
    <w:qFormat/>
    <w:rPr>
      <w:b/>
      <w:bCs/>
      <w:sz w:val="32"/>
      <w:szCs w:val="32"/>
    </w:rPr>
  </w:style>
  <w:style w:type="character" w:styleId="1210" w:customStyle="1">
    <w:name w:val="_Style 183"/>
    <w:uiPriority w:val="0"/>
    <w:qFormat/>
    <w:rPr>
      <w:smallCaps/>
      <w:spacing w:val="5"/>
      <w:u w:val="single"/>
    </w:rPr>
  </w:style>
  <w:style w:type="character" w:styleId="1211" w:customStyle="1">
    <w:name w:val="新图表正文 Char Char"/>
    <w:link w:val="1212"/>
    <w:uiPriority w:val="0"/>
    <w:qFormat/>
    <w:rPr>
      <w:rFonts w:ascii="宋体" w:hAnsi="宋体"/>
      <w:sz w:val="18"/>
      <w:szCs w:val="21"/>
      <w:lang w:val="en-US" w:eastAsia="zh-CN" w:bidi="ar-SA"/>
    </w:rPr>
  </w:style>
  <w:style w:type="paragraph" w:styleId="1212" w:customStyle="1">
    <w:name w:val="新图表正文"/>
    <w:link w:val="1211"/>
    <w:uiPriority w:val="0"/>
    <w:qFormat/>
    <w:pPr>
      <w:jc w:val="both"/>
    </w:pPr>
    <w:rPr>
      <w:rFonts w:ascii="宋体" w:hAnsi="宋体" w:eastAsia="宋体" w:cs="Times New Roman"/>
      <w:sz w:val="18"/>
      <w:szCs w:val="21"/>
      <w:lang w:val="en-US" w:eastAsia="zh-CN" w:bidi="ar-SA"/>
    </w:rPr>
  </w:style>
  <w:style w:type="character" w:styleId="1213" w:customStyle="1">
    <w:name w:val="小四 段落 宋体 Char Char Char Char1"/>
    <w:uiPriority w:val="0"/>
    <w:qFormat/>
    <w:rPr>
      <w:rFonts w:eastAsia="宋体"/>
      <w:sz w:val="24"/>
      <w:szCs w:val="24"/>
      <w:lang w:val="en-US" w:eastAsia="zh-CN" w:bidi="ar-SA"/>
    </w:rPr>
  </w:style>
  <w:style w:type="character" w:styleId="1214" w:customStyle="1">
    <w:name w:val="样式 首行缩进:  2 字符 Char"/>
    <w:uiPriority w:val="0"/>
    <w:qFormat/>
    <w:rPr>
      <w:rFonts w:eastAsia="宋体" w:cs="宋体"/>
      <w:sz w:val="24"/>
      <w:lang w:val="en-US" w:eastAsia="zh-CN" w:bidi="ar-SA"/>
    </w:rPr>
  </w:style>
  <w:style w:type="character" w:styleId="1215" w:customStyle="1">
    <w:name w:val="Char Char27"/>
    <w:uiPriority w:val="0"/>
    <w:qFormat/>
    <w:rPr>
      <w:b/>
      <w:bCs/>
      <w:sz w:val="44"/>
      <w:szCs w:val="44"/>
    </w:rPr>
  </w:style>
  <w:style w:type="character" w:styleId="1216" w:customStyle="1">
    <w:name w:val="纯文本 Char Char Char1"/>
    <w:uiPriority w:val="0"/>
    <w:qFormat/>
    <w:rPr>
      <w:rFonts w:ascii="宋体" w:hAnsi="Courier New" w:eastAsia="宋体"/>
      <w:sz w:val="21"/>
      <w:szCs w:val="21"/>
      <w:lang w:val="en-US" w:eastAsia="zh-CN" w:bidi="ar-SA"/>
    </w:rPr>
  </w:style>
  <w:style w:type="character" w:styleId="1217" w:customStyle="1">
    <w:name w:val="Char Char25"/>
    <w:uiPriority w:val="0"/>
    <w:qFormat/>
    <w:rPr>
      <w:rFonts w:ascii="Arial" w:hAnsi="Arial" w:eastAsia="黑体"/>
      <w:b/>
      <w:sz w:val="28"/>
    </w:rPr>
  </w:style>
  <w:style w:type="paragraph" w:styleId="1218" w:customStyle="1">
    <w:name w:val="Char Char Char Char Char Char Char Char Char Char Char Char Char Char Char Char Char Char Char Char Char"/>
    <w:basedOn w:val="1027"/>
    <w:uiPriority w:val="0"/>
    <w:qFormat/>
    <w:rPr>
      <w:rFonts w:ascii="Tahoma" w:hAnsi="Tahoma"/>
      <w:sz w:val="24"/>
    </w:rPr>
  </w:style>
  <w:style w:type="paragraph" w:styleId="1219" w:customStyle="1">
    <w:name w:val="xl25"/>
    <w:basedOn w:val="1027"/>
    <w:uiPriority w:val="0"/>
    <w:qFormat/>
    <w:pPr>
      <w:jc w:val="center"/>
      <w:spacing w:before="100" w:beforeAutospacing="1" w:after="100" w:afterAutospacing="1"/>
      <w:widowControl/>
      <w:pBdr>
        <w:right w:val="single" w:color="auto" w:sz="4" w:space="0"/>
      </w:pBdr>
    </w:pPr>
    <w:rPr>
      <w:szCs w:val="21"/>
    </w:rPr>
  </w:style>
  <w:style w:type="paragraph" w:styleId="1220" w:customStyle="1">
    <w:name w:val="Char Char Char Char Char Char Char Char Char Char Char Char Char Char Char Char Char Char Char Char Char Char Char1"/>
    <w:basedOn w:val="1027"/>
    <w:uiPriority w:val="0"/>
    <w:qFormat/>
    <w:rPr>
      <w:rFonts w:ascii="Tahoma" w:hAnsi="Tahoma" w:cs="Tahoma"/>
      <w:sz w:val="24"/>
    </w:rPr>
  </w:style>
  <w:style w:type="paragraph" w:styleId="1221" w:customStyle="1">
    <w:name w:val="Char Char Char Char Char Char Char Char Char Char Char1"/>
    <w:basedOn w:val="1027"/>
    <w:uiPriority w:val="0"/>
    <w:qFormat/>
    <w:rPr>
      <w:rFonts w:ascii="Tahoma" w:hAnsi="Tahoma"/>
      <w:sz w:val="24"/>
    </w:rPr>
  </w:style>
  <w:style w:type="paragraph" w:styleId="1222" w:customStyle="1">
    <w:name w:val="标题5，章节第五层"/>
    <w:basedOn w:val="1027"/>
    <w:next w:val="102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3" w:customStyle="1">
    <w:name w:val="Char"/>
    <w:basedOn w:val="1027"/>
    <w:uiPriority w:val="0"/>
    <w:semiHidden/>
    <w:qFormat/>
    <w:rPr>
      <w:rFonts w:ascii="Tahoma" w:hAnsi="Tahoma" w:cs="仿宋_GB2312"/>
      <w:sz w:val="24"/>
      <w:szCs w:val="28"/>
    </w:rPr>
  </w:style>
  <w:style w:type="paragraph" w:styleId="1224" w:customStyle="1">
    <w:name w:val="Char Char Char Char1"/>
    <w:basedOn w:val="1027"/>
    <w:uiPriority w:val="0"/>
    <w:qFormat/>
    <w:pPr>
      <w:jc w:val="center"/>
      <w:spacing w:after="160" w:line="240" w:lineRule="exact"/>
      <w:widowControl/>
    </w:pPr>
    <w:rPr>
      <w:rFonts w:ascii="黑体" w:hAnsi="Verdana" w:eastAsia="黑体"/>
      <w:sz w:val="32"/>
      <w:szCs w:val="32"/>
      <w:lang w:eastAsia="en-US"/>
    </w:rPr>
  </w:style>
  <w:style w:type="paragraph" w:styleId="1225" w:customStyle="1">
    <w:name w:val="a"/>
    <w:basedOn w:val="1027"/>
    <w:uiPriority w:val="0"/>
    <w:qFormat/>
    <w:pPr>
      <w:spacing w:before="100" w:beforeAutospacing="1" w:after="100" w:afterAutospacing="1"/>
      <w:widowControl/>
    </w:pPr>
    <w:rPr>
      <w:rFonts w:ascii="宋体" w:hAnsi="宋体" w:cs="宋体"/>
      <w:sz w:val="24"/>
      <w:szCs w:val="24"/>
    </w:rPr>
  </w:style>
  <w:style w:type="paragraph" w:styleId="1226" w:customStyle="1">
    <w:name w:val="正文--表格内正文"/>
    <w:basedOn w:val="1027"/>
    <w:uiPriority w:val="0"/>
    <w:qFormat/>
    <w:pPr>
      <w:jc w:val="center"/>
      <w:spacing w:line="0" w:lineRule="atLeast"/>
    </w:pPr>
    <w:rPr>
      <w:rFonts w:ascii="宋体" w:hAnsi="宋体"/>
      <w:color w:val="000000"/>
      <w:sz w:val="24"/>
      <w:szCs w:val="24"/>
    </w:rPr>
  </w:style>
  <w:style w:type="paragraph" w:styleId="1227" w:customStyle="1">
    <w:name w:val="xl31"/>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28" w:customStyle="1">
    <w:name w:val="Char1 Char Char Char"/>
    <w:basedOn w:val="1027"/>
    <w:uiPriority w:val="0"/>
    <w:qFormat/>
    <w:rPr>
      <w:rFonts w:ascii="Tahoma" w:hAnsi="Tahoma"/>
      <w:sz w:val="24"/>
    </w:rPr>
  </w:style>
  <w:style w:type="paragraph" w:styleId="1229" w:customStyle="1">
    <w:name w:val="一级标题"/>
    <w:basedOn w:val="1027"/>
    <w:uiPriority w:val="0"/>
    <w:qFormat/>
    <w:pPr>
      <w:ind w:left="900" w:hanging="420"/>
      <w:spacing w:line="360" w:lineRule="auto"/>
      <w:tabs>
        <w:tab w:val="left" w:pos="903" w:leader="none"/>
      </w:tabs>
    </w:pPr>
    <w:rPr>
      <w:rFonts w:ascii="Arial" w:hAnsi="Arial" w:cs="Arial"/>
      <w:sz w:val="24"/>
    </w:rPr>
  </w:style>
  <w:style w:type="paragraph" w:styleId="1230" w:customStyle="1">
    <w:name w:val="小四 段落 宋体"/>
    <w:basedOn w:val="1045"/>
    <w:uiPriority w:val="0"/>
    <w:qFormat/>
    <w:pPr>
      <w:ind w:left="113" w:right="113" w:firstLine="425"/>
      <w:jc w:val="left"/>
      <w:spacing w:line="360" w:lineRule="auto"/>
      <w:tabs>
        <w:tab w:val="clear" w:pos="2952" w:leader="none"/>
      </w:tabs>
    </w:pPr>
    <w:rPr>
      <w:sz w:val="24"/>
    </w:rPr>
  </w:style>
  <w:style w:type="paragraph" w:styleId="1231" w:customStyle="1">
    <w:name w:val="_Style 204"/>
    <w:basedOn w:val="1028"/>
    <w:next w:val="1027"/>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32" w:customStyle="1">
    <w:name w:val="部分1"/>
    <w:basedOn w:val="1027"/>
    <w:uiPriority w:val="0"/>
    <w:qFormat/>
    <w:pPr>
      <w:jc w:val="center"/>
      <w:keepNext/>
      <w:pageBreakBefore/>
      <w:spacing w:line="360" w:lineRule="auto"/>
      <w:tabs>
        <w:tab w:val="left" w:pos="360" w:leader="none"/>
      </w:tabs>
      <w:outlineLvl w:val="0"/>
    </w:pPr>
    <w:rPr>
      <w:rFonts w:eastAsia="黑体"/>
      <w:b/>
      <w:sz w:val="36"/>
    </w:rPr>
  </w:style>
  <w:style w:type="paragraph" w:styleId="1233" w:customStyle="1">
    <w:name w:val="正文文本 22"/>
    <w:basedOn w:val="1027"/>
    <w:uiPriority w:val="0"/>
    <w:qFormat/>
    <w:pPr>
      <w:ind w:left="720" w:hanging="720"/>
      <w:widowControl/>
    </w:pPr>
    <w:rPr>
      <w:sz w:val="24"/>
      <w:lang w:val="en-GB"/>
    </w:rPr>
  </w:style>
  <w:style w:type="paragraph" w:styleId="1234" w:customStyle="1">
    <w:name w:val="xl38"/>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name w:val="List Paragraph"/>
    <w:basedOn w:val="1027"/>
    <w:uiPriority w:val="34"/>
    <w:qFormat/>
    <w:pPr>
      <w:ind w:firstLine="420"/>
    </w:pPr>
    <w:rPr>
      <w:szCs w:val="24"/>
    </w:rPr>
  </w:style>
  <w:style w:type="paragraph" w:styleId="1236" w:customStyle="1">
    <w:name w:val="font9"/>
    <w:basedOn w:val="1027"/>
    <w:uiPriority w:val="0"/>
    <w:qFormat/>
    <w:pPr>
      <w:jc w:val="left"/>
      <w:spacing w:before="100" w:beforeAutospacing="1" w:after="100" w:afterAutospacing="1"/>
      <w:widowControl/>
    </w:pPr>
    <w:rPr>
      <w:b/>
      <w:bCs/>
      <w:sz w:val="20"/>
    </w:rPr>
  </w:style>
  <w:style w:type="paragraph" w:styleId="1237" w:customStyle="1">
    <w:name w:val="xl28"/>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8" w:customStyle="1">
    <w:name w:val="Char12"/>
    <w:basedOn w:val="1027"/>
    <w:uiPriority w:val="0"/>
    <w:qFormat/>
    <w:rPr>
      <w:rFonts w:ascii="仿宋_GB2312" w:hAnsi="宋体" w:eastAsia="仿宋_GB2312" w:cs="宋体"/>
      <w:b/>
      <w:sz w:val="32"/>
      <w:szCs w:val="32"/>
    </w:rPr>
  </w:style>
  <w:style w:type="paragraph" w:styleId="1239" w:customStyle="1">
    <w:name w:val="xl50"/>
    <w:basedOn w:val="10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40" w:customStyle="1">
    <w:name w:val="正文文本 New New"/>
    <w:basedOn w:val="1027"/>
    <w:uiPriority w:val="0"/>
    <w:qFormat/>
    <w:pPr>
      <w:ind w:firstLine="200"/>
      <w:spacing w:before="60" w:after="60" w:line="360" w:lineRule="auto"/>
      <w:widowControl/>
    </w:pPr>
    <w:rPr>
      <w:rFonts w:eastAsia="华文楷体"/>
      <w:sz w:val="24"/>
      <w:szCs w:val="24"/>
    </w:rPr>
  </w:style>
  <w:style w:type="paragraph" w:styleId="1241" w:customStyle="1">
    <w:name w:val="xl27"/>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2" w:customStyle="1">
    <w:name w:val="font14"/>
    <w:basedOn w:val="1027"/>
    <w:uiPriority w:val="0"/>
    <w:qFormat/>
    <w:pPr>
      <w:jc w:val="left"/>
      <w:spacing w:before="100" w:beforeAutospacing="1" w:after="100" w:afterAutospacing="1"/>
      <w:widowControl/>
    </w:pPr>
    <w:rPr>
      <w:sz w:val="36"/>
      <w:szCs w:val="36"/>
    </w:rPr>
  </w:style>
  <w:style w:type="paragraph" w:styleId="1243" w:customStyle="1">
    <w:name w:val="xl36"/>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4" w:customStyle="1">
    <w:name w:val="xl37"/>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45" w:customStyle="1">
    <w:name w:val="标题3"/>
    <w:basedOn w:val="1030"/>
    <w:uiPriority w:val="0"/>
    <w:qFormat/>
    <w:pPr>
      <w:keepLines w:val="0"/>
      <w:keepNext w:val="0"/>
      <w:spacing w:line="360" w:lineRule="auto"/>
    </w:pPr>
    <w:rPr>
      <w:rFonts w:eastAsia="仿宋_GB2312"/>
      <w:b w:val="0"/>
      <w:bCs/>
      <w:sz w:val="30"/>
      <w:szCs w:val="32"/>
    </w:rPr>
  </w:style>
  <w:style w:type="paragraph" w:styleId="1246" w:customStyle="1">
    <w:name w:val="Char Char Char Char Char Char Char Char Char Char Char1 Char Char Char1"/>
    <w:basedOn w:val="1027"/>
    <w:uiPriority w:val="0"/>
    <w:semiHidden/>
    <w:qFormat/>
    <w:pPr>
      <w:ind w:firstLine="200"/>
      <w:jc w:val="left"/>
    </w:pPr>
    <w:rPr>
      <w:rFonts w:ascii="Tahoma" w:hAnsi="Tahoma"/>
      <w:sz w:val="24"/>
      <w:szCs w:val="24"/>
    </w:rPr>
  </w:style>
  <w:style w:type="paragraph" w:styleId="1247" w:customStyle="1">
    <w:name w:val="Pa5"/>
    <w:basedOn w:val="1027"/>
    <w:next w:val="1027"/>
    <w:uiPriority w:val="0"/>
    <w:qFormat/>
    <w:pPr>
      <w:jc w:val="left"/>
      <w:spacing w:line="241" w:lineRule="atLeast"/>
    </w:pPr>
    <w:rPr>
      <w:rFonts w:ascii="HYDaHeiJ" w:eastAsia="HYDaHeiJ"/>
      <w:sz w:val="24"/>
      <w:szCs w:val="24"/>
    </w:rPr>
  </w:style>
  <w:style w:type="paragraph" w:styleId="1248" w:customStyle="1">
    <w:name w:val="小四 段落 宋体 Char"/>
    <w:basedOn w:val="1045"/>
    <w:uiPriority w:val="0"/>
    <w:qFormat/>
    <w:pPr>
      <w:ind w:left="0" w:right="-33" w:firstLine="600"/>
      <w:jc w:val="left"/>
      <w:tabs>
        <w:tab w:val="clear" w:pos="2952" w:leader="none"/>
      </w:tabs>
    </w:pPr>
    <w:rPr>
      <w:rFonts w:ascii="仿宋_GB2312" w:eastAsia="仿宋_GB2312"/>
      <w:sz w:val="30"/>
      <w:szCs w:val="30"/>
    </w:rPr>
  </w:style>
  <w:style w:type="paragraph" w:styleId="1249" w:customStyle="1">
    <w:name w:val="Default Text"/>
    <w:basedOn w:val="1027"/>
    <w:uiPriority w:val="0"/>
    <w:qFormat/>
    <w:pPr>
      <w:jc w:val="left"/>
      <w:widowControl/>
    </w:pPr>
    <w:rPr>
      <w:sz w:val="24"/>
      <w:lang w:eastAsia="en-US"/>
    </w:rPr>
  </w:style>
  <w:style w:type="paragraph" w:styleId="1250" w:customStyle="1">
    <w:name w:val="xl32"/>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1" w:customStyle="1">
    <w:name w:val="Char Char Char Char Char"/>
    <w:basedOn w:val="1027"/>
    <w:uiPriority w:val="0"/>
    <w:qFormat/>
    <w:rPr>
      <w:rFonts w:ascii="Tahoma" w:hAnsi="Tahoma"/>
      <w:sz w:val="24"/>
    </w:rPr>
  </w:style>
  <w:style w:type="paragraph" w:styleId="1252" w:customStyle="1">
    <w:name w:val="Char Char Char Char"/>
    <w:basedOn w:val="1047"/>
    <w:uiPriority w:val="0"/>
    <w:qFormat/>
    <w:pPr>
      <w:spacing w:line="360" w:lineRule="auto"/>
    </w:pPr>
    <w:rPr>
      <w:rFonts w:ascii="Tahoma" w:hAnsi="Tahoma"/>
      <w:sz w:val="24"/>
      <w:szCs w:val="24"/>
    </w:rPr>
  </w:style>
  <w:style w:type="paragraph" w:styleId="1253" w:customStyle="1">
    <w:name w:val="Char Char Char1"/>
    <w:basedOn w:val="1027"/>
    <w:uiPriority w:val="0"/>
    <w:qFormat/>
    <w:rPr>
      <w:rFonts w:ascii="Tahoma" w:hAnsi="Tahoma"/>
      <w:sz w:val="24"/>
    </w:rPr>
  </w:style>
  <w:style w:type="paragraph" w:styleId="1254" w:customStyle="1">
    <w:name w:val="xl30"/>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5" w:customStyle="1">
    <w:name w:val="默认段落字体 Para Char Char Char Char Char Char Char Char Char1 Char Char Char Char Char Char Char"/>
    <w:basedOn w:val="1047"/>
    <w:uiPriority w:val="0"/>
    <w:qFormat/>
  </w:style>
  <w:style w:type="paragraph" w:styleId="1256" w:customStyle="1">
    <w:name w:val="默认段落字体 Para Char"/>
    <w:basedOn w:val="1027"/>
    <w:uiPriority w:val="0"/>
    <w:qFormat/>
    <w:rPr>
      <w:sz w:val="24"/>
      <w:szCs w:val="24"/>
    </w:rPr>
  </w:style>
  <w:style w:type="paragraph" w:styleId="1257" w:customStyle="1">
    <w:name w:val="Pa6"/>
    <w:basedOn w:val="1027"/>
    <w:next w:val="1027"/>
    <w:uiPriority w:val="0"/>
    <w:qFormat/>
    <w:pPr>
      <w:jc w:val="left"/>
      <w:spacing w:line="241" w:lineRule="atLeast"/>
    </w:pPr>
    <w:rPr>
      <w:rFonts w:ascii="HYDaHeiJ" w:eastAsia="HYDaHeiJ"/>
      <w:sz w:val="24"/>
      <w:szCs w:val="24"/>
    </w:rPr>
  </w:style>
  <w:style w:type="paragraph" w:styleId="1258" w:customStyle="1">
    <w:name w:val="样式2"/>
    <w:basedOn w:val="1027"/>
    <w:uiPriority w:val="0"/>
    <w:qFormat/>
    <w:pPr>
      <w:ind w:left="200"/>
      <w:spacing w:line="360" w:lineRule="auto"/>
    </w:pPr>
    <w:rPr>
      <w:rFonts w:ascii="宋体" w:hAnsi="宋体"/>
      <w:b/>
      <w:sz w:val="24"/>
      <w:szCs w:val="24"/>
    </w:rPr>
  </w:style>
  <w:style w:type="paragraph" w:styleId="1259" w:customStyle="1">
    <w:name w:val="马刚标题3"/>
    <w:basedOn w:val="1027"/>
    <w:next w:val="10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0" w:customStyle="1">
    <w:name w:val="a0"/>
    <w:basedOn w:val="1027"/>
    <w:uiPriority w:val="0"/>
    <w:qFormat/>
    <w:pPr>
      <w:spacing w:before="100" w:beforeAutospacing="1" w:after="100" w:afterAutospacing="1"/>
      <w:widowControl/>
    </w:pPr>
    <w:rPr>
      <w:rFonts w:ascii="宋体" w:hAnsi="宋体" w:cs="宋体"/>
      <w:sz w:val="24"/>
      <w:szCs w:val="24"/>
    </w:rPr>
  </w:style>
  <w:style w:type="paragraph" w:styleId="1261" w:customStyle="1">
    <w:name w:val="font11"/>
    <w:basedOn w:val="1027"/>
    <w:uiPriority w:val="0"/>
    <w:qFormat/>
    <w:pPr>
      <w:jc w:val="left"/>
      <w:spacing w:before="100" w:beforeAutospacing="1" w:after="100" w:afterAutospacing="1"/>
      <w:widowControl/>
    </w:pPr>
    <w:rPr>
      <w:b/>
      <w:bCs/>
      <w:sz w:val="18"/>
      <w:szCs w:val="18"/>
    </w:rPr>
  </w:style>
  <w:style w:type="paragraph" w:styleId="1262" w:customStyle="1">
    <w:name w:val="xl61"/>
    <w:basedOn w:val="102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3" w:customStyle="1">
    <w:name w:val="样式 加点正文 + 段前: 0.5 行 段后: 0.5 行1"/>
    <w:basedOn w:val="1027"/>
    <w:uiPriority w:val="0"/>
    <w:qFormat/>
    <w:pPr>
      <w:numPr>
        <w:ilvl w:val="0"/>
        <w:numId w:val="1"/>
      </w:numPr>
      <w:ind w:left="1268"/>
      <w:spacing w:line="300" w:lineRule="auto"/>
      <w:tabs>
        <w:tab w:val="left" w:pos="1268" w:leader="none"/>
      </w:tabs>
    </w:pPr>
    <w:rPr>
      <w:sz w:val="24"/>
    </w:rPr>
  </w:style>
  <w:style w:type="paragraph" w:styleId="1264" w:customStyle="1">
    <w:name w:val="表格文字"/>
    <w:basedOn w:val="1027"/>
    <w:uiPriority w:val="0"/>
    <w:qFormat/>
    <w:pPr>
      <w:ind w:firstLine="200"/>
      <w:jc w:val="left"/>
      <w:spacing w:line="360" w:lineRule="auto"/>
    </w:pPr>
    <w:rPr>
      <w:rFonts w:ascii="Arial" w:hAnsi="Arial"/>
      <w:sz w:val="24"/>
    </w:rPr>
  </w:style>
  <w:style w:type="paragraph" w:styleId="1265" w:customStyle="1">
    <w:name w:val="丁华正文"/>
    <w:basedOn w:val="1083"/>
    <w:uiPriority w:val="0"/>
    <w:qFormat/>
    <w:pPr>
      <w:ind w:left="0" w:firstLine="510"/>
      <w:spacing w:line="360" w:lineRule="auto"/>
    </w:pPr>
    <w:rPr>
      <w:rFonts w:ascii="Times New Roman" w:hAnsi="Times New Roman" w:eastAsia="宋体"/>
      <w:color w:val="auto"/>
      <w:sz w:val="24"/>
      <w:szCs w:val="16"/>
    </w:rPr>
  </w:style>
  <w:style w:type="paragraph" w:styleId="1266" w:customStyle="1">
    <w:name w:val="普通文字"/>
    <w:basedOn w:val="1027"/>
    <w:next w:val="1027"/>
    <w:uiPriority w:val="0"/>
    <w:qFormat/>
    <w:rPr>
      <w:rFonts w:ascii="宋体" w:hAnsi="宋体" w:cs="宋体"/>
      <w:sz w:val="24"/>
    </w:rPr>
  </w:style>
  <w:style w:type="paragraph" w:styleId="1267" w:customStyle="1">
    <w:name w:val="Normal1"/>
    <w:basedOn w:val="1027"/>
    <w:uiPriority w:val="0"/>
    <w:qFormat/>
    <w:rPr>
      <w:rFonts w:ascii="Calibri" w:hAnsi="Calibri" w:eastAsia="Calibri" w:cs="宋体"/>
      <w:lang w:val="zh-CN"/>
    </w:rPr>
  </w:style>
  <w:style w:type="paragraph" w:styleId="1268" w:customStyle="1">
    <w:name w:val="标题2，章节第二层"/>
    <w:basedOn w:val="1027"/>
    <w:next w:val="1269"/>
    <w:uiPriority w:val="0"/>
    <w:qFormat/>
    <w:pPr>
      <w:numPr>
        <w:ilvl w:val="4"/>
        <w:numId w:val="2"/>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69" w:customStyle="1">
    <w:name w:val="正文格式"/>
    <w:basedOn w:val="1027"/>
    <w:uiPriority w:val="0"/>
    <w:qFormat/>
    <w:pPr>
      <w:ind w:left="178" w:right="44" w:hanging="178"/>
      <w:jc w:val="left"/>
      <w:spacing w:line="360" w:lineRule="auto"/>
      <w:widowControl/>
    </w:pPr>
    <w:rPr>
      <w:rFonts w:ascii="宋体" w:hAnsi="宋体"/>
      <w:bCs/>
      <w:szCs w:val="21"/>
    </w:rPr>
  </w:style>
  <w:style w:type="paragraph" w:styleId="1270" w:customStyle="1">
    <w:name w:val="Char Char Char Char Char Char Char1 Char"/>
    <w:basedOn w:val="1027"/>
    <w:uiPriority w:val="0"/>
    <w:qFormat/>
    <w:rPr>
      <w:rFonts w:ascii="Tahoma" w:hAnsi="Tahoma" w:cs="Tahoma"/>
      <w:sz w:val="24"/>
    </w:rPr>
  </w:style>
  <w:style w:type="paragraph" w:styleId="1271" w:customStyle="1">
    <w:name w:val="项目符号，二级"/>
    <w:basedOn w:val="1269"/>
    <w:next w:val="126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2" w:customStyle="1">
    <w:name w:val="zw"/>
    <w:basedOn w:val="1027"/>
    <w:uiPriority w:val="0"/>
    <w:qFormat/>
    <w:pPr>
      <w:ind w:firstLine="480"/>
      <w:jc w:val="left"/>
      <w:spacing w:line="360" w:lineRule="auto"/>
      <w:widowControl/>
    </w:pPr>
    <w:rPr>
      <w:rFonts w:ascii="宋体" w:hAnsi="宋体"/>
      <w:bCs/>
      <w:sz w:val="24"/>
    </w:rPr>
  </w:style>
  <w:style w:type="paragraph" w:styleId="1273" w:customStyle="1">
    <w:name w:val="retrait3"/>
    <w:basedOn w:val="1027"/>
    <w:uiPriority w:val="0"/>
    <w:qFormat/>
    <w:pPr>
      <w:ind w:left="851"/>
      <w:jc w:val="left"/>
      <w:spacing w:before="20" w:after="20"/>
      <w:widowControl/>
    </w:pPr>
    <w:rPr>
      <w:rFonts w:ascii="Arial" w:hAnsi="Arial"/>
      <w:sz w:val="24"/>
      <w:lang w:val="en-GB"/>
    </w:rPr>
  </w:style>
  <w:style w:type="paragraph" w:styleId="1274" w:customStyle="1">
    <w:name w:val="文档正文"/>
    <w:basedOn w:val="1027"/>
    <w:uiPriority w:val="0"/>
    <w:qFormat/>
    <w:pPr>
      <w:spacing w:line="360" w:lineRule="auto"/>
    </w:pPr>
    <w:rPr>
      <w:rFonts w:ascii="宋体" w:hAnsi="宋体"/>
      <w:b/>
      <w:bCs/>
      <w:szCs w:val="24"/>
    </w:rPr>
  </w:style>
  <w:style w:type="paragraph" w:styleId="1275" w:customStyle="1">
    <w:name w:val="font8"/>
    <w:basedOn w:val="1027"/>
    <w:uiPriority w:val="0"/>
    <w:qFormat/>
    <w:pPr>
      <w:jc w:val="left"/>
      <w:spacing w:before="100" w:beforeAutospacing="1" w:after="100" w:afterAutospacing="1"/>
      <w:widowControl/>
    </w:pPr>
    <w:rPr>
      <w:rFonts w:ascii="宋体" w:hAnsi="宋体" w:cs="宋体"/>
      <w:b/>
      <w:bCs/>
      <w:i/>
      <w:iCs/>
      <w:sz w:val="20"/>
    </w:rPr>
  </w:style>
  <w:style w:type="paragraph" w:styleId="1276" w:customStyle="1">
    <w:name w:val="Char Char Char Char Char Char Char Char Char Char Char Char Char Char Char Char Char Char Char Char Char Char Char"/>
    <w:basedOn w:val="1027"/>
    <w:uiPriority w:val="0"/>
    <w:qFormat/>
    <w:rPr>
      <w:rFonts w:ascii="Tahoma" w:hAnsi="Tahoma"/>
      <w:sz w:val="24"/>
    </w:rPr>
  </w:style>
  <w:style w:type="paragraph" w:styleId="1277" w:customStyle="1">
    <w:name w:val="Char2 Char Char Char Char Char Char1"/>
    <w:basedOn w:val="1027"/>
    <w:uiPriority w:val="0"/>
    <w:qFormat/>
    <w:pPr>
      <w:ind w:hanging="425"/>
      <w:keepNext/>
      <w:spacing w:before="80" w:after="80"/>
      <w:widowControl/>
      <w:tabs>
        <w:tab w:val="left" w:pos="425" w:leader="none"/>
      </w:tabs>
    </w:pPr>
    <w:rPr>
      <w:rFonts w:ascii="Arial" w:hAnsi="Arial" w:cs="Arial"/>
      <w:sz w:val="20"/>
    </w:rPr>
  </w:style>
  <w:style w:type="paragraph" w:styleId="1278" w:customStyle="1">
    <w:name w:val="xl34"/>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9" w:customStyle="1">
    <w:name w:val="xl55"/>
    <w:basedOn w:val="102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0" w:customStyle="1">
    <w:name w:val="_Style 2"/>
    <w:basedOn w:val="1027"/>
    <w:uiPriority w:val="0"/>
    <w:qFormat/>
    <w:pPr>
      <w:ind w:firstLine="420"/>
    </w:pPr>
    <w:rPr>
      <w:rFonts w:ascii="Calibri" w:hAnsi="Calibri"/>
    </w:rPr>
  </w:style>
  <w:style w:type="paragraph" w:styleId="1281" w:customStyle="1">
    <w:name w:val="tableau"/>
    <w:basedOn w:val="1027"/>
    <w:uiPriority w:val="0"/>
    <w:qFormat/>
    <w:pPr>
      <w:jc w:val="center"/>
      <w:spacing w:before="20" w:after="20"/>
      <w:widowControl/>
    </w:pPr>
    <w:rPr>
      <w:rFonts w:ascii="Arial" w:hAnsi="Arial"/>
      <w:sz w:val="16"/>
      <w:lang w:val="en-GB" w:eastAsia="en-US"/>
    </w:rPr>
  </w:style>
  <w:style w:type="paragraph" w:styleId="1282" w:customStyle="1">
    <w:name w:val="正文文本缩进1"/>
    <w:basedOn w:val="1027"/>
    <w:uiPriority w:val="0"/>
    <w:qFormat/>
    <w:pPr>
      <w:ind w:left="420"/>
      <w:spacing w:after="120"/>
    </w:pPr>
    <w:rPr>
      <w:szCs w:val="24"/>
    </w:rPr>
  </w:style>
  <w:style w:type="paragraph" w:styleId="1283" w:customStyle="1">
    <w:name w:val="段"/>
    <w:next w:val="1027"/>
    <w:uiPriority w:val="0"/>
    <w:qFormat/>
    <w:pPr>
      <w:ind w:firstLine="200"/>
      <w:jc w:val="both"/>
    </w:pPr>
    <w:rPr>
      <w:rFonts w:ascii="宋体" w:hAnsi="Times New Roman" w:eastAsia="宋体" w:cs="Times New Roman"/>
      <w:sz w:val="21"/>
      <w:lang w:val="en-US" w:eastAsia="zh-CN" w:bidi="ar-SA"/>
    </w:rPr>
  </w:style>
  <w:style w:type="paragraph" w:styleId="1284" w:customStyle="1">
    <w:name w:val="xl29"/>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85" w:customStyle="1">
    <w:name w:val="Table Text Char"/>
    <w:uiPriority w:val="0"/>
    <w:qFormat/>
    <w:pPr>
      <w:spacing w:before="80" w:after="80"/>
    </w:pPr>
    <w:rPr>
      <w:rFonts w:ascii="Arial" w:hAnsi="Arial" w:eastAsia="宋体" w:cs="Arial"/>
      <w:sz w:val="18"/>
      <w:szCs w:val="28"/>
      <w:lang w:val="en-US" w:eastAsia="zh-CN" w:bidi="ar-SA"/>
    </w:rPr>
  </w:style>
  <w:style w:type="paragraph" w:styleId="1286" w:customStyle="1">
    <w:name w:val="Char Char2"/>
    <w:basedOn w:val="1027"/>
    <w:uiPriority w:val="0"/>
    <w:qFormat/>
    <w:rPr>
      <w:rFonts w:ascii="Tahoma" w:hAnsi="Tahoma"/>
      <w:sz w:val="24"/>
    </w:rPr>
  </w:style>
  <w:style w:type="paragraph" w:styleId="1287" w:customStyle="1">
    <w:name w:val="Char1 Char Char Char1"/>
    <w:basedOn w:val="1027"/>
    <w:uiPriority w:val="0"/>
    <w:qFormat/>
    <w:rPr>
      <w:rFonts w:ascii="Tahoma" w:hAnsi="Tahoma" w:cs="Tahoma"/>
      <w:sz w:val="24"/>
    </w:rPr>
  </w:style>
  <w:style w:type="paragraph" w:styleId="1288" w:customStyle="1">
    <w:name w:val="论文正文"/>
    <w:basedOn w:val="1062"/>
    <w:uiPriority w:val="0"/>
    <w:qFormat/>
    <w:pPr>
      <w:ind w:left="0" w:firstLine="200"/>
      <w:jc w:val="left"/>
      <w:spacing w:line="360" w:lineRule="auto"/>
    </w:pPr>
    <w:rPr>
      <w:rFonts w:ascii="Times New Roman" w:hAnsi="Times New Roman"/>
      <w:sz w:val="28"/>
      <w:szCs w:val="24"/>
    </w:rPr>
  </w:style>
  <w:style w:type="paragraph" w:styleId="1289" w:customStyle="1">
    <w:name w:val="Char Char1 Char1"/>
    <w:basedOn w:val="1027"/>
    <w:uiPriority w:val="0"/>
    <w:qFormat/>
    <w:pPr>
      <w:jc w:val="left"/>
      <w:spacing w:after="160" w:line="240" w:lineRule="exact"/>
      <w:widowControl/>
    </w:pPr>
    <w:rPr>
      <w:rFonts w:ascii="Verdana" w:hAnsi="Verdana"/>
      <w:sz w:val="20"/>
      <w:lang w:eastAsia="en-US"/>
    </w:rPr>
  </w:style>
  <w:style w:type="paragraph" w:styleId="1290" w:customStyle="1">
    <w:name w:val="正文2"/>
    <w:basedOn w:val="1027"/>
    <w:uiPriority w:val="0"/>
    <w:qFormat/>
    <w:pPr>
      <w:ind w:firstLine="510"/>
      <w:spacing w:before="156" w:line="360" w:lineRule="auto"/>
    </w:pPr>
    <w:rPr>
      <w:sz w:val="24"/>
    </w:rPr>
  </w:style>
  <w:style w:type="paragraph" w:styleId="1291" w:customStyle="1">
    <w:name w:val="xl24"/>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2" w:customStyle="1">
    <w:name w:val="标题1，章节第一层"/>
    <w:basedOn w:val="1269"/>
    <w:next w:val="1269"/>
    <w:uiPriority w:val="0"/>
    <w:qFormat/>
    <w:pPr>
      <w:ind w:left="482"/>
      <w:tabs>
        <w:tab w:val="left" w:pos="693" w:leader="none"/>
      </w:tabs>
      <w:outlineLvl w:val="0"/>
    </w:pPr>
    <w:rPr>
      <w:color w:val="000000"/>
      <w:sz w:val="24"/>
      <w:szCs w:val="24"/>
    </w:rPr>
  </w:style>
  <w:style w:type="paragraph" w:styleId="1293" w:customStyle="1">
    <w:name w:val="样式 样式 首行缩进:  2 字符 + 行距: 1.5 倍行距"/>
    <w:basedOn w:val="1027"/>
    <w:uiPriority w:val="0"/>
    <w:qFormat/>
    <w:pPr>
      <w:ind w:firstLine="470"/>
      <w:spacing w:line="360" w:lineRule="auto"/>
    </w:pPr>
    <w:rPr>
      <w:sz w:val="24"/>
    </w:rPr>
  </w:style>
  <w:style w:type="paragraph" w:styleId="1294" w:customStyle="1">
    <w:name w:val="正文缩进2字符"/>
    <w:basedOn w:val="1027"/>
    <w:uiPriority w:val="0"/>
    <w:qFormat/>
    <w:pPr>
      <w:ind w:firstLine="200"/>
      <w:spacing w:line="300" w:lineRule="auto"/>
    </w:pPr>
    <w:rPr>
      <w:rFonts w:ascii="仿宋_GB2312" w:eastAsia="仿宋_GB2312"/>
      <w:sz w:val="32"/>
      <w:szCs w:val="32"/>
    </w:rPr>
  </w:style>
  <w:style w:type="paragraph" w:styleId="1295" w:customStyle="1">
    <w:name w:val="xl47"/>
    <w:basedOn w:val="10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6" w:customStyle="1">
    <w:name w:val="xl43"/>
    <w:basedOn w:val="10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97" w:customStyle="1">
    <w:name w:val="纯文本1"/>
    <w:basedOn w:val="1027"/>
    <w:uiPriority w:val="0"/>
    <w:qFormat/>
    <w:rPr>
      <w:rFonts w:ascii="宋体" w:hAnsi="宋体" w:eastAsia="楷体_GB2312" w:cs="宋体"/>
      <w:sz w:val="28"/>
    </w:rPr>
  </w:style>
  <w:style w:type="paragraph" w:styleId="1298" w:customStyle="1">
    <w:name w:val="小四 段落 宋体 Char Char Char"/>
    <w:basedOn w:val="1045"/>
    <w:uiPriority w:val="0"/>
    <w:qFormat/>
    <w:pPr>
      <w:ind w:left="0" w:right="-33" w:firstLine="545"/>
      <w:jc w:val="left"/>
      <w:spacing w:line="360" w:lineRule="auto"/>
      <w:tabs>
        <w:tab w:val="clear" w:pos="2952" w:leader="none"/>
      </w:tabs>
    </w:pPr>
    <w:rPr>
      <w:sz w:val="24"/>
    </w:rPr>
  </w:style>
  <w:style w:type="paragraph" w:styleId="1299" w:customStyle="1">
    <w:name w:val="Char Char Char Char Char Char Char Char Char Char Char Char Char"/>
    <w:basedOn w:val="1047"/>
    <w:uiPriority w:val="0"/>
    <w:qFormat/>
    <w:rPr>
      <w:rFonts w:ascii="Tahoma" w:hAnsi="Tahoma"/>
      <w:sz w:val="24"/>
      <w:szCs w:val="24"/>
    </w:rPr>
  </w:style>
  <w:style w:type="paragraph" w:styleId="1300" w:customStyle="1">
    <w:name w:val="Char Char Char Char Char Char Char1"/>
    <w:basedOn w:val="1027"/>
    <w:uiPriority w:val="0"/>
    <w:qFormat/>
    <w:rPr>
      <w:rFonts w:ascii="Tahoma" w:hAnsi="Tahoma"/>
      <w:sz w:val="24"/>
    </w:rPr>
  </w:style>
  <w:style w:type="paragraph" w:styleId="1301" w:customStyle="1">
    <w:name w:val="正文表标题"/>
    <w:next w:val="128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02" w:customStyle="1">
    <w:name w:val="华宇段落1 Char"/>
    <w:basedOn w:val="1027"/>
    <w:uiPriority w:val="0"/>
    <w:qFormat/>
    <w:pPr>
      <w:ind w:firstLine="200"/>
      <w:spacing w:line="360" w:lineRule="auto"/>
    </w:pPr>
    <w:rPr>
      <w:bCs/>
      <w:sz w:val="24"/>
      <w:szCs w:val="24"/>
    </w:rPr>
  </w:style>
  <w:style w:type="paragraph" w:styleId="1303" w:customStyle="1">
    <w:name w:val="Char Char1"/>
    <w:basedOn w:val="1027"/>
    <w:uiPriority w:val="0"/>
    <w:qFormat/>
    <w:rPr>
      <w:rFonts w:ascii="Tahoma" w:hAnsi="Tahoma" w:cs="Tahoma"/>
      <w:sz w:val="24"/>
    </w:rPr>
  </w:style>
  <w:style w:type="paragraph" w:styleId="1304" w:customStyle="1">
    <w:name w:val="xl42"/>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5" w:customStyle="1">
    <w:name w:val="正文11"/>
    <w:basedOn w:val="1027"/>
    <w:next w:val="1027"/>
    <w:uiPriority w:val="0"/>
    <w:qFormat/>
    <w:pPr>
      <w:ind w:firstLine="510"/>
      <w:spacing w:before="156" w:line="360" w:lineRule="auto"/>
    </w:pPr>
    <w:rPr>
      <w:sz w:val="24"/>
    </w:rPr>
  </w:style>
  <w:style w:type="paragraph" w:styleId="1306" w:customStyle="1">
    <w:name w:val="丁华标题2"/>
    <w:basedOn w:val="1029"/>
    <w:next w:val="1265"/>
    <w:uiPriority w:val="0"/>
    <w:qFormat/>
    <w:pPr>
      <w:numPr>
        <w:ilvl w:val="1"/>
        <w:numId w:val="3"/>
      </w:numPr>
      <w:spacing w:line="415" w:lineRule="auto"/>
    </w:pPr>
    <w:rPr>
      <w:rFonts w:ascii="Arial" w:hAnsi="Arial" w:eastAsia="黑体"/>
      <w:b w:val="0"/>
      <w:sz w:val="28"/>
      <w:szCs w:val="20"/>
    </w:rPr>
  </w:style>
  <w:style w:type="paragraph" w:styleId="1307" w:customStyle="1">
    <w:name w:val="xl60"/>
    <w:basedOn w:val="10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08" w:customStyle="1">
    <w:name w:val="样式3"/>
    <w:basedOn w:val="1027"/>
    <w:next w:val="1027"/>
    <w:uiPriority w:val="0"/>
    <w:qFormat/>
    <w:pPr>
      <w:spacing w:line="360" w:lineRule="auto"/>
    </w:pPr>
  </w:style>
  <w:style w:type="paragraph" w:styleId="1309" w:customStyle="1">
    <w:name w:val="正文 + 宋体"/>
    <w:basedOn w:val="1027"/>
    <w:uiPriority w:val="0"/>
    <w:qFormat/>
    <w:pPr>
      <w:ind w:firstLine="420"/>
      <w:spacing w:line="360" w:lineRule="auto"/>
    </w:pPr>
    <w:rPr>
      <w:szCs w:val="24"/>
    </w:rPr>
  </w:style>
  <w:style w:type="paragraph" w:styleId="131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1" w:customStyle="1">
    <w:name w:val="Char Char Char Char Char Char Char Char Char Char Char"/>
    <w:basedOn w:val="1027"/>
    <w:uiPriority w:val="0"/>
    <w:qFormat/>
    <w:rPr>
      <w:rFonts w:ascii="Tahoma" w:hAnsi="Tahoma" w:cs="Tahoma"/>
      <w:sz w:val="24"/>
    </w:rPr>
  </w:style>
  <w:style w:type="paragraph" w:styleId="1312" w:customStyle="1">
    <w:name w:val="项目符号，一级"/>
    <w:basedOn w:val="1269"/>
    <w:next w:val="1269"/>
    <w:uiPriority w:val="0"/>
    <w:qFormat/>
    <w:pPr>
      <w:ind w:left="376" w:firstLine="0"/>
      <w:spacing w:line="240" w:lineRule="atLeast"/>
      <w:tabs>
        <w:tab w:val="left" w:pos="1320" w:leader="none"/>
      </w:tabs>
    </w:pPr>
    <w:rPr>
      <w:bCs w:val="0"/>
      <w:color w:val="000000"/>
      <w:szCs w:val="24"/>
    </w:rPr>
  </w:style>
  <w:style w:type="paragraph" w:styleId="1313" w:customStyle="1">
    <w:name w:val="Char Char1 Char Char Char Char Char Char Char"/>
    <w:basedOn w:val="1027"/>
    <w:uiPriority w:val="0"/>
    <w:qFormat/>
    <w:rPr>
      <w:rFonts w:ascii="Tahoma" w:hAnsi="Tahoma" w:cs="Tahoma"/>
      <w:sz w:val="24"/>
    </w:rPr>
  </w:style>
  <w:style w:type="paragraph" w:styleId="1314" w:customStyle="1">
    <w:name w:val="表蕊"/>
    <w:basedOn w:val="1027"/>
    <w:uiPriority w:val="0"/>
    <w:qFormat/>
    <w:pPr>
      <w:jc w:val="left"/>
      <w:spacing w:line="320" w:lineRule="atLeast"/>
    </w:pPr>
    <w:rPr>
      <w:rFonts w:eastAsia="楷体_GB2312"/>
      <w:spacing w:val="-10"/>
    </w:rPr>
  </w:style>
  <w:style w:type="paragraph" w:styleId="13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16" w:customStyle="1">
    <w:name w:val="xl33"/>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18" w:customStyle="1">
    <w:name w:val="Char Char Char Char Char Char Char Char Char Char Char Char Char Char1"/>
    <w:basedOn w:val="1027"/>
    <w:uiPriority w:val="0"/>
    <w:qFormat/>
    <w:rPr>
      <w:rFonts w:ascii="Tahoma" w:hAnsi="Tahoma" w:cs="Tahoma"/>
      <w:sz w:val="24"/>
    </w:rPr>
  </w:style>
  <w:style w:type="paragraph" w:styleId="1319" w:customStyle="1">
    <w:name w:val="样式 样式 标题 3H3sect1.2.3BOD 0Heading 3 - oldh3l3CTLevel 3 Head... +..."/>
    <w:basedOn w:val="1027"/>
    <w:uiPriority w:val="0"/>
    <w:qFormat/>
    <w:pPr>
      <w:jc w:val="left"/>
      <w:keepLines/>
      <w:keepNext/>
      <w:outlineLvl w:val="2"/>
    </w:pPr>
    <w:rPr>
      <w:rFonts w:cs="宋体"/>
      <w:b/>
      <w:bCs/>
      <w:sz w:val="24"/>
    </w:rPr>
  </w:style>
  <w:style w:type="paragraph" w:styleId="1320" w:customStyle="1">
    <w:name w:val="样式4 Char"/>
    <w:basedOn w:val="1027"/>
    <w:uiPriority w:val="0"/>
    <w:qFormat/>
    <w:pPr>
      <w:ind w:firstLine="480"/>
      <w:jc w:val="left"/>
      <w:spacing w:line="360" w:lineRule="auto"/>
      <w:widowControl/>
    </w:pPr>
    <w:rPr>
      <w:rFonts w:cs="宋体"/>
      <w:color w:val="000000"/>
      <w:sz w:val="24"/>
      <w:szCs w:val="24"/>
    </w:rPr>
  </w:style>
  <w:style w:type="paragraph" w:styleId="1321" w:customStyle="1">
    <w:name w:val="标题6"/>
    <w:basedOn w:val="1032"/>
    <w:uiPriority w:val="0"/>
    <w:qFormat/>
    <w:pPr>
      <w:ind w:left="420" w:hanging="420"/>
      <w:keepLines/>
      <w:tabs>
        <w:tab w:val="left" w:pos="420" w:leader="none"/>
      </w:tabs>
    </w:pPr>
    <w:rPr>
      <w:rFonts w:ascii="Times New Roman"/>
      <w:b w:val="0"/>
      <w:bCs/>
      <w:color w:val="auto"/>
      <w:sz w:val="24"/>
      <w:szCs w:val="28"/>
    </w:rPr>
  </w:style>
  <w:style w:type="paragraph" w:styleId="1322" w:customStyle="1">
    <w:name w:val="大标题"/>
    <w:basedOn w:val="1027"/>
    <w:next w:val="1027"/>
    <w:uiPriority w:val="0"/>
    <w:qFormat/>
    <w:pPr>
      <w:ind w:hanging="420"/>
      <w:pageBreakBefore/>
      <w:spacing w:line="360" w:lineRule="auto"/>
      <w:tabs>
        <w:tab w:val="left" w:pos="420" w:leader="none"/>
      </w:tabs>
      <w:outlineLvl w:val="0"/>
    </w:pPr>
    <w:rPr>
      <w:b/>
      <w:iCs/>
      <w:sz w:val="44"/>
      <w:szCs w:val="24"/>
    </w:rPr>
  </w:style>
  <w:style w:type="paragraph" w:styleId="1323" w:customStyle="1">
    <w:name w:val="Char Char Char Char Char Char Char Char Char1"/>
    <w:basedOn w:val="1027"/>
    <w:uiPriority w:val="0"/>
    <w:qFormat/>
    <w:pPr>
      <w:ind w:left="200" w:hanging="200"/>
      <w:tabs>
        <w:tab w:val="left" w:pos="360" w:leader="none"/>
      </w:tabs>
    </w:pPr>
    <w:rPr>
      <w:sz w:val="24"/>
      <w:szCs w:val="24"/>
    </w:rPr>
  </w:style>
  <w:style w:type="paragraph" w:styleId="1324" w:customStyle="1">
    <w:name w:val="xl62"/>
    <w:basedOn w:val="10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25" w:customStyle="1">
    <w:name w:val="Char Char Char Char Char1"/>
    <w:basedOn w:val="1027"/>
    <w:uiPriority w:val="0"/>
    <w:qFormat/>
    <w:rPr>
      <w:rFonts w:ascii="Tahoma" w:hAnsi="Tahoma" w:cs="Tahoma"/>
      <w:sz w:val="24"/>
    </w:rPr>
  </w:style>
  <w:style w:type="paragraph" w:styleId="1326" w:customStyle="1">
    <w:name w:val="马刚标题4"/>
    <w:basedOn w:val="1259"/>
    <w:next w:val="1027"/>
    <w:uiPriority w:val="0"/>
    <w:qFormat/>
    <w:pPr>
      <w:spacing w:before="100" w:after="40"/>
      <w:tabs>
        <w:tab w:val="clear" w:pos="567" w:leader="none"/>
        <w:tab w:val="clear" w:pos="735" w:leader="none"/>
        <w:tab w:val="left" w:pos="1050" w:leader="none"/>
      </w:tabs>
      <w:outlineLvl w:val="3"/>
    </w:pPr>
    <w:rPr>
      <w:b w:val="0"/>
    </w:rPr>
  </w:style>
  <w:style w:type="paragraph" w:styleId="1327" w:customStyle="1">
    <w:name w:val="xl57"/>
    <w:basedOn w:val="102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28" w:customStyle="1">
    <w:name w:val="表头_5"/>
    <w:basedOn w:val="1027"/>
    <w:uiPriority w:val="0"/>
    <w:qFormat/>
    <w:pPr>
      <w:spacing w:line="360" w:lineRule="auto"/>
    </w:pPr>
    <w:rPr>
      <w:b/>
      <w:bCs/>
      <w:sz w:val="28"/>
      <w:szCs w:val="21"/>
    </w:rPr>
  </w:style>
  <w:style w:type="paragraph" w:styleId="1329" w:customStyle="1">
    <w:name w:val="正文 首行缩进:  2 字符 Char"/>
    <w:basedOn w:val="1027"/>
    <w:uiPriority w:val="0"/>
    <w:qFormat/>
    <w:pPr>
      <w:ind w:firstLine="480"/>
      <w:spacing w:line="360" w:lineRule="auto"/>
    </w:pPr>
    <w:rPr>
      <w:rFonts w:cs="宋体"/>
      <w:sz w:val="24"/>
    </w:rPr>
  </w:style>
  <w:style w:type="paragraph" w:styleId="1330" w:customStyle="1">
    <w:name w:val="正文 + Arial Char"/>
    <w:basedOn w:val="1027"/>
    <w:uiPriority w:val="0"/>
    <w:qFormat/>
    <w:pPr>
      <w:ind w:left="315" w:hanging="315"/>
      <w:spacing w:line="300" w:lineRule="auto"/>
      <w:widowControl/>
      <w:tabs>
        <w:tab w:val="left" w:pos="315" w:leader="none"/>
      </w:tabs>
    </w:pPr>
    <w:rPr>
      <w:rFonts w:ascii="Arial" w:hAnsi="Arial" w:cs="Arial"/>
      <w:b/>
      <w:color w:val="000000"/>
    </w:rPr>
  </w:style>
  <w:style w:type="paragraph" w:styleId="1331" w:customStyle="1">
    <w:name w:val="列出段落2"/>
    <w:basedOn w:val="1027"/>
    <w:uiPriority w:val="0"/>
    <w:qFormat/>
    <w:pPr>
      <w:ind w:left="720"/>
      <w:jc w:val="left"/>
      <w:widowControl/>
    </w:pPr>
    <w:rPr>
      <w:rFonts w:ascii="Arial" w:hAnsi="Arial" w:eastAsia="黑体" w:cs="Arial"/>
      <w:sz w:val="24"/>
      <w:szCs w:val="24"/>
      <w:lang w:eastAsia="en-US"/>
    </w:rPr>
  </w:style>
  <w:style w:type="paragraph" w:styleId="1332" w:customStyle="1">
    <w:name w:val="xl56"/>
    <w:basedOn w:val="10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33" w:customStyle="1">
    <w:name w:val="样式 样式 首行缩进:  0.74 厘米 行距: 1.5 倍行距 + 段后: 0.5 行"/>
    <w:basedOn w:val="1027"/>
    <w:uiPriority w:val="0"/>
    <w:qFormat/>
    <w:pPr>
      <w:ind w:firstLine="420"/>
      <w:spacing w:line="360" w:lineRule="auto"/>
    </w:pPr>
    <w:rPr>
      <w:rFonts w:ascii="楷体_GB2312" w:eastAsia="楷体_GB2312"/>
      <w:bCs/>
      <w:sz w:val="24"/>
    </w:rPr>
  </w:style>
  <w:style w:type="paragraph" w:styleId="1334" w:customStyle="1">
    <w:name w:val="丁华标题3"/>
    <w:basedOn w:val="1306"/>
    <w:next w:val="1265"/>
    <w:uiPriority w:val="0"/>
    <w:qFormat/>
    <w:pPr>
      <w:numPr>
        <w:ilvl w:val="2"/>
      </w:numPr>
      <w:ind w:left="1980" w:hanging="420"/>
      <w:spacing w:after="0"/>
      <w:tabs>
        <w:tab w:val="left" w:pos="1470" w:leader="none"/>
        <w:tab w:val="left" w:pos="1980" w:leader="none"/>
      </w:tabs>
      <w:outlineLvl w:val="2"/>
    </w:pPr>
    <w:rPr>
      <w:sz w:val="24"/>
    </w:rPr>
  </w:style>
  <w:style w:type="paragraph" w:styleId="1335" w:customStyle="1">
    <w:name w:val="样式 标题 2第一章 标题 2Heading 2 HiddenHeading 2 CCBSheading 2H2h2..."/>
    <w:basedOn w:val="102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36" w:customStyle="1">
    <w:name w:val="xl40"/>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7" w:customStyle="1">
    <w:name w:val="我的正文"/>
    <w:basedOn w:val="1027"/>
    <w:uiPriority w:val="0"/>
    <w:qFormat/>
    <w:pPr>
      <w:ind w:firstLine="420"/>
      <w:jc w:val="left"/>
      <w:spacing w:line="360" w:lineRule="auto"/>
      <w:widowControl/>
    </w:pPr>
    <w:rPr>
      <w:rFonts w:ascii="宋体" w:hAnsi="宋体" w:cs="宋体"/>
      <w:szCs w:val="21"/>
    </w:rPr>
  </w:style>
  <w:style w:type="paragraph" w:styleId="1338" w:customStyle="1">
    <w:name w:val="Char Char Char Char Char Char Char Char Char Char Char Char Char1"/>
    <w:basedOn w:val="1027"/>
    <w:uiPriority w:val="0"/>
    <w:qFormat/>
    <w:pPr>
      <w:jc w:val="left"/>
      <w:spacing w:after="160" w:line="240" w:lineRule="exact"/>
      <w:widowControl/>
    </w:pPr>
    <w:rPr>
      <w:szCs w:val="24"/>
    </w:rPr>
  </w:style>
  <w:style w:type="paragraph" w:styleId="1339" w:customStyle="1">
    <w:name w:val="1"/>
    <w:basedOn w:val="1027"/>
    <w:next w:val="1089"/>
    <w:uiPriority w:val="0"/>
    <w:qFormat/>
    <w:pPr>
      <w:spacing w:line="360" w:lineRule="auto"/>
    </w:pPr>
    <w:rPr>
      <w:rFonts w:eastAsia="仿宋_GB2312"/>
      <w:sz w:val="24"/>
      <w:szCs w:val="24"/>
    </w:rPr>
  </w:style>
  <w:style w:type="paragraph" w:styleId="1340" w:customStyle="1">
    <w:name w:val="样式 段后: 0.5 行 左  0.75 字符"/>
    <w:basedOn w:val="1027"/>
    <w:uiPriority w:val="0"/>
    <w:qFormat/>
    <w:pPr>
      <w:ind w:firstLine="420"/>
      <w:spacing w:line="360" w:lineRule="auto"/>
      <w:widowControl/>
    </w:pPr>
    <w:rPr>
      <w:rFonts w:hAnsi="Arial" w:cs="Arial"/>
      <w:szCs w:val="21"/>
    </w:rPr>
  </w:style>
  <w:style w:type="paragraph" w:styleId="1341" w:customStyle="1">
    <w:name w:val="Char Char Char Char Char Char Char Char Char"/>
    <w:basedOn w:val="1027"/>
    <w:uiPriority w:val="0"/>
    <w:qFormat/>
    <w:pPr>
      <w:ind w:left="360" w:hanging="360"/>
      <w:tabs>
        <w:tab w:val="left" w:pos="360" w:leader="none"/>
      </w:tabs>
    </w:pPr>
    <w:rPr>
      <w:sz w:val="24"/>
      <w:szCs w:val="24"/>
    </w:rPr>
  </w:style>
  <w:style w:type="paragraph" w:styleId="1342" w:customStyle="1">
    <w:name w:val="表格1"/>
    <w:basedOn w:val="1027"/>
    <w:uiPriority w:val="0"/>
    <w:qFormat/>
    <w:rPr>
      <w:rFonts w:ascii="宋体"/>
      <w:szCs w:val="21"/>
    </w:rPr>
  </w:style>
  <w:style w:type="paragraph" w:styleId="1343" w:customStyle="1">
    <w:name w:val="Char Char Char Char Char Char Char Char Char Char Char Char Char Char"/>
    <w:basedOn w:val="1027"/>
    <w:uiPriority w:val="0"/>
    <w:qFormat/>
    <w:rPr>
      <w:rFonts w:ascii="Tahoma" w:hAnsi="Tahoma"/>
      <w:sz w:val="24"/>
    </w:rPr>
  </w:style>
  <w:style w:type="paragraph" w:styleId="1344" w:customStyle="1">
    <w:name w:val="Char11"/>
    <w:basedOn w:val="1027"/>
    <w:uiPriority w:val="0"/>
    <w:qFormat/>
    <w:pPr>
      <w:spacing w:line="360" w:lineRule="auto"/>
    </w:pPr>
    <w:rPr>
      <w:rFonts w:ascii="Tahoma" w:hAnsi="Tahoma"/>
      <w:sz w:val="24"/>
    </w:rPr>
  </w:style>
  <w:style w:type="paragraph" w:styleId="1345" w:customStyle="1">
    <w:name w:val="p0"/>
    <w:basedOn w:val="1027"/>
    <w:uiPriority w:val="0"/>
    <w:qFormat/>
    <w:pPr>
      <w:jc w:val="left"/>
      <w:spacing w:before="100" w:beforeAutospacing="1" w:after="100" w:afterAutospacing="1"/>
      <w:widowControl/>
    </w:pPr>
    <w:rPr>
      <w:rFonts w:ascii="宋体" w:hAnsi="宋体" w:cs="宋体"/>
      <w:sz w:val="24"/>
      <w:szCs w:val="24"/>
    </w:rPr>
  </w:style>
  <w:style w:type="paragraph" w:styleId="1346" w:customStyle="1">
    <w:name w:val="xl44"/>
    <w:basedOn w:val="10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47" w:customStyle="1">
    <w:name w:val="xl45"/>
    <w:basedOn w:val="10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48" w:customStyle="1">
    <w:name w:val="标准小四"/>
    <w:basedOn w:val="1027"/>
    <w:uiPriority w:val="0"/>
    <w:qFormat/>
    <w:pPr>
      <w:ind w:firstLine="480"/>
      <w:spacing w:line="360" w:lineRule="auto"/>
    </w:pPr>
    <w:rPr>
      <w:rFonts w:ascii="Arial" w:hAnsi="Arial"/>
      <w:sz w:val="24"/>
      <w:szCs w:val="21"/>
    </w:rPr>
  </w:style>
  <w:style w:type="paragraph" w:styleId="1349" w:customStyle="1">
    <w:name w:val="xl41"/>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0" w:customStyle="1">
    <w:name w:val="样式"/>
    <w:basedOn w:val="1027"/>
    <w:uiPriority w:val="0"/>
    <w:qFormat/>
    <w:pPr>
      <w:spacing w:before="120" w:after="120" w:line="360" w:lineRule="auto"/>
    </w:pPr>
    <w:rPr>
      <w:rFonts w:ascii="宋体"/>
      <w:sz w:val="24"/>
    </w:rPr>
  </w:style>
  <w:style w:type="paragraph" w:styleId="1351" w:customStyle="1">
    <w:name w:val="表格"/>
    <w:basedOn w:val="1027"/>
    <w:uiPriority w:val="0"/>
    <w:qFormat/>
    <w:pPr>
      <w:ind w:firstLine="21"/>
    </w:pPr>
    <w:rPr>
      <w:rFonts w:ascii="宋体" w:hAnsi="宋体" w:cs="宋体"/>
      <w:sz w:val="20"/>
    </w:rPr>
  </w:style>
  <w:style w:type="paragraph" w:styleId="1352" w:customStyle="1">
    <w:name w:val="_Style 325"/>
    <w:uiPriority w:val="0"/>
    <w:semiHidden/>
    <w:qFormat/>
    <w:rPr>
      <w:rFonts w:ascii="Times New Roman" w:hAnsi="Times New Roman" w:eastAsia="宋体" w:cs="Times New Roman"/>
      <w:sz w:val="21"/>
      <w:szCs w:val="24"/>
      <w:lang w:val="en-US" w:eastAsia="zh-CN" w:bidi="ar-SA"/>
    </w:rPr>
  </w:style>
  <w:style w:type="paragraph" w:styleId="1353" w:customStyle="1">
    <w:name w:val="项目符号：一级"/>
    <w:basedOn w:val="1269"/>
    <w:next w:val="1269"/>
    <w:uiPriority w:val="0"/>
    <w:qFormat/>
    <w:pPr>
      <w:ind w:right="-134"/>
    </w:pPr>
    <w:rPr>
      <w:bCs w:val="0"/>
    </w:rPr>
  </w:style>
  <w:style w:type="paragraph" w:styleId="1354" w:customStyle="1">
    <w:name w:val="默认段落字体 Para Char Char Char Char Char Char Char"/>
    <w:basedOn w:val="1027"/>
    <w:uiPriority w:val="0"/>
    <w:qFormat/>
  </w:style>
  <w:style w:type="paragraph" w:styleId="1355" w:customStyle="1">
    <w:name w:val="公文标题 2"/>
    <w:basedOn w:val="1027"/>
    <w:next w:val="1356"/>
    <w:uiPriority w:val="0"/>
    <w:qFormat/>
    <w:pPr>
      <w:outlineLvl w:val="1"/>
    </w:pPr>
    <w:rPr>
      <w:rFonts w:ascii="仿宋_GB2312" w:hAnsi="宋体" w:eastAsia="仿宋_GB2312"/>
      <w:sz w:val="28"/>
      <w:szCs w:val="24"/>
    </w:rPr>
  </w:style>
  <w:style w:type="paragraph" w:styleId="1356" w:customStyle="1">
    <w:name w:val="公文正文"/>
    <w:basedOn w:val="1053"/>
    <w:uiPriority w:val="0"/>
    <w:qFormat/>
    <w:pPr>
      <w:ind w:firstLine="200"/>
    </w:pPr>
    <w:rPr>
      <w:rFonts w:ascii="仿宋_GB2312" w:hAnsi="宋体" w:eastAsia="仿宋_GB2312"/>
      <w:sz w:val="28"/>
      <w:szCs w:val="24"/>
    </w:rPr>
  </w:style>
  <w:style w:type="paragraph" w:styleId="1357" w:customStyle="1">
    <w:name w:val="章标题"/>
    <w:next w:val="1283"/>
    <w:uiPriority w:val="0"/>
    <w:qFormat/>
    <w:pPr>
      <w:jc w:val="both"/>
      <w:outlineLvl w:val="1"/>
    </w:pPr>
    <w:rPr>
      <w:rFonts w:ascii="Times New Roman" w:hAnsi="Times New Roman" w:eastAsia="黑体" w:cs="Times New Roman"/>
      <w:sz w:val="21"/>
      <w:lang w:val="en-US" w:eastAsia="zh-CN" w:bidi="ar-SA"/>
    </w:rPr>
  </w:style>
  <w:style w:type="paragraph" w:styleId="1358" w:customStyle="1">
    <w:name w:val="Char Char Char Char Char Char Char Char Char Char Char Char Char Char Char Char Char Char Char Char Char1"/>
    <w:basedOn w:val="1027"/>
    <w:uiPriority w:val="0"/>
    <w:qFormat/>
    <w:rPr>
      <w:rFonts w:ascii="Tahoma" w:hAnsi="Tahoma" w:cs="Tahoma"/>
      <w:sz w:val="24"/>
    </w:rPr>
  </w:style>
  <w:style w:type="paragraph" w:styleId="1359" w:customStyle="1">
    <w:name w:val="font7"/>
    <w:basedOn w:val="1027"/>
    <w:uiPriority w:val="0"/>
    <w:qFormat/>
    <w:pPr>
      <w:jc w:val="left"/>
      <w:spacing w:before="100" w:beforeAutospacing="1" w:after="100" w:afterAutospacing="1"/>
      <w:widowControl/>
    </w:pPr>
    <w:rPr>
      <w:rFonts w:hint="eastAsia" w:ascii="宋体" w:hAnsi="宋体"/>
      <w:b/>
      <w:bCs/>
      <w:sz w:val="24"/>
      <w:szCs w:val="24"/>
    </w:rPr>
  </w:style>
  <w:style w:type="paragraph" w:styleId="136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61" w:customStyle="1">
    <w:name w:val="段落"/>
    <w:basedOn w:val="1027"/>
    <w:uiPriority w:val="0"/>
    <w:qFormat/>
    <w:pPr>
      <w:ind w:firstLine="480"/>
      <w:spacing w:line="460" w:lineRule="exact"/>
    </w:pPr>
    <w:rPr>
      <w:sz w:val="24"/>
    </w:rPr>
  </w:style>
  <w:style w:type="paragraph" w:styleId="1362" w:customStyle="1">
    <w:name w:val="标题3，章节第三层"/>
    <w:basedOn w:val="1027"/>
    <w:next w:val="1269"/>
    <w:uiPriority w:val="0"/>
    <w:qFormat/>
    <w:pPr>
      <w:spacing w:before="78" w:line="300" w:lineRule="auto"/>
      <w:outlineLvl w:val="2"/>
    </w:pPr>
    <w:rPr>
      <w:rFonts w:ascii="Arial" w:hAnsi="Arial" w:eastAsia="华文细黑"/>
      <w:sz w:val="30"/>
      <w:szCs w:val="24"/>
    </w:rPr>
  </w:style>
  <w:style w:type="paragraph" w:styleId="1363" w:customStyle="1">
    <w:name w:val="Body Text 21"/>
    <w:basedOn w:val="1027"/>
    <w:uiPriority w:val="0"/>
    <w:qFormat/>
    <w:pPr>
      <w:ind w:left="720" w:hanging="720"/>
      <w:widowControl/>
    </w:pPr>
    <w:rPr>
      <w:sz w:val="24"/>
      <w:lang w:val="en-GB"/>
    </w:rPr>
  </w:style>
  <w:style w:type="paragraph" w:styleId="1364" w:customStyle="1">
    <w:name w:val="xl35"/>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65" w:customStyle="1">
    <w:name w:val="二级条标题"/>
    <w:basedOn w:val="1027"/>
    <w:next w:val="1283"/>
    <w:uiPriority w:val="0"/>
    <w:qFormat/>
    <w:pPr>
      <w:ind w:hanging="420"/>
      <w:widowControl/>
      <w:tabs>
        <w:tab w:val="left" w:pos="2240" w:leader="none"/>
      </w:tabs>
      <w:outlineLvl w:val="3"/>
    </w:pPr>
    <w:rPr>
      <w:rFonts w:eastAsia="黑体"/>
    </w:rPr>
  </w:style>
  <w:style w:type="paragraph" w:styleId="1366" w:customStyle="1">
    <w:name w:val="符号与编号"/>
    <w:basedOn w:val="1027"/>
    <w:uiPriority w:val="0"/>
    <w:qFormat/>
    <w:pPr>
      <w:ind w:left="900" w:hanging="420"/>
      <w:spacing w:line="400" w:lineRule="atLeast"/>
      <w:tabs>
        <w:tab w:val="left" w:pos="900" w:leader="none"/>
      </w:tabs>
    </w:pPr>
    <w:rPr>
      <w:sz w:val="24"/>
      <w:szCs w:val="24"/>
    </w:rPr>
  </w:style>
  <w:style w:type="paragraph" w:styleId="1367" w:customStyle="1">
    <w:name w:val="xl26"/>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8" w:customStyle="1">
    <w:name w:val="font6"/>
    <w:basedOn w:val="1027"/>
    <w:uiPriority w:val="0"/>
    <w:qFormat/>
    <w:pPr>
      <w:jc w:val="left"/>
      <w:spacing w:before="100" w:beforeAutospacing="1" w:after="100" w:afterAutospacing="1"/>
      <w:widowControl/>
    </w:pPr>
    <w:rPr>
      <w:rFonts w:ascii="宋体" w:hAnsi="宋体" w:cs="宋体"/>
      <w:b/>
      <w:bCs/>
      <w:sz w:val="20"/>
    </w:rPr>
  </w:style>
  <w:style w:type="paragraph" w:styleId="1369" w:customStyle="1">
    <w:name w:val="xl51"/>
    <w:basedOn w:val="10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70" w:customStyle="1">
    <w:name w:val="Char Char"/>
    <w:basedOn w:val="1027"/>
    <w:uiPriority w:val="0"/>
    <w:qFormat/>
    <w:rPr>
      <w:rFonts w:ascii="Tahoma" w:hAnsi="Tahoma" w:cs="Tahoma"/>
      <w:sz w:val="24"/>
    </w:rPr>
  </w:style>
  <w:style w:type="paragraph" w:styleId="1371" w:customStyle="1">
    <w:name w:val="Char Char1 Char"/>
    <w:basedOn w:val="1027"/>
    <w:uiPriority w:val="0"/>
    <w:qFormat/>
    <w:pPr>
      <w:jc w:val="left"/>
      <w:spacing w:after="160" w:line="240" w:lineRule="exact"/>
      <w:widowControl/>
    </w:pPr>
    <w:rPr>
      <w:rFonts w:ascii="Verdana" w:hAnsi="Verdana"/>
      <w:sz w:val="20"/>
      <w:lang w:eastAsia="en-US"/>
    </w:rPr>
  </w:style>
  <w:style w:type="paragraph" w:styleId="1372" w:customStyle="1">
    <w:name w:val="正文 首行缩进:  2 字符 Char Char"/>
    <w:basedOn w:val="1027"/>
    <w:uiPriority w:val="0"/>
    <w:qFormat/>
    <w:pPr>
      <w:ind w:firstLine="480"/>
      <w:spacing w:line="360" w:lineRule="auto"/>
    </w:pPr>
    <w:rPr>
      <w:rFonts w:ascii="楷体_GB2312" w:eastAsia="楷体_GB2312"/>
      <w:bCs/>
      <w:sz w:val="24"/>
      <w:szCs w:val="24"/>
    </w:rPr>
  </w:style>
  <w:style w:type="paragraph" w:styleId="1373" w:customStyle="1">
    <w:name w:val="Char Char1 Char Char Char Char"/>
    <w:basedOn w:val="1047"/>
    <w:uiPriority w:val="0"/>
    <w:qFormat/>
    <w:pPr>
      <w:ind w:left="357"/>
      <w:jc w:val="left"/>
      <w:spacing w:line="436" w:lineRule="exact"/>
      <w:outlineLvl w:val="3"/>
    </w:pPr>
    <w:rPr>
      <w:rFonts w:ascii="Tahoma" w:hAnsi="Tahoma" w:cs="Tahoma"/>
      <w:b/>
      <w:sz w:val="24"/>
      <w:szCs w:val="24"/>
    </w:rPr>
  </w:style>
  <w:style w:type="paragraph" w:styleId="1374" w:customStyle="1">
    <w:name w:val="表格内容"/>
    <w:basedOn w:val="1027"/>
    <w:uiPriority w:val="0"/>
    <w:qFormat/>
    <w:pPr>
      <w:jc w:val="center"/>
      <w:spacing w:before="60" w:line="300" w:lineRule="auto"/>
      <w:widowControl/>
    </w:pPr>
  </w:style>
  <w:style w:type="paragraph" w:styleId="1375" w:customStyle="1">
    <w:name w:val="样式1"/>
    <w:basedOn w:val="1027"/>
    <w:uiPriority w:val="0"/>
    <w:qFormat/>
    <w:pPr>
      <w:ind w:firstLine="480"/>
      <w:spacing w:line="300" w:lineRule="auto"/>
    </w:pPr>
    <w:rPr>
      <w:sz w:val="24"/>
      <w:szCs w:val="24"/>
    </w:rPr>
  </w:style>
  <w:style w:type="paragraph" w:styleId="1376" w:customStyle="1">
    <w:name w:val="Char Char Char"/>
    <w:basedOn w:val="1047"/>
    <w:uiPriority w:val="0"/>
    <w:qFormat/>
    <w:pPr>
      <w:spacing w:line="436" w:lineRule="exact"/>
    </w:pPr>
    <w:rPr>
      <w:szCs w:val="24"/>
    </w:rPr>
  </w:style>
  <w:style w:type="paragraph" w:styleId="1377" w:customStyle="1">
    <w:name w:val="xl63"/>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78" w:customStyle="1">
    <w:name w:val="列出段落3"/>
    <w:basedOn w:val="1027"/>
    <w:uiPriority w:val="0"/>
    <w:qFormat/>
    <w:pPr>
      <w:contextualSpacing/>
      <w:ind w:left="720"/>
      <w:jc w:val="left"/>
      <w:widowControl/>
    </w:pPr>
    <w:rPr>
      <w:rFonts w:ascii="Arial" w:hAnsi="Arial" w:eastAsia="黑体"/>
      <w:sz w:val="24"/>
      <w:szCs w:val="24"/>
      <w:lang w:eastAsia="en-US"/>
    </w:rPr>
  </w:style>
  <w:style w:type="paragraph" w:styleId="1379" w:customStyle="1">
    <w:name w:val="样式 标题 3H3sect1.2.3BOD 0Heading 3 - oldh3l3CTLevel 3 Head..."/>
    <w:basedOn w:val="1030"/>
    <w:uiPriority w:val="0"/>
    <w:qFormat/>
    <w:pPr>
      <w:jc w:val="left"/>
    </w:pPr>
    <w:rPr>
      <w:rFonts w:cs="宋体"/>
      <w:bCs/>
      <w:sz w:val="30"/>
    </w:rPr>
  </w:style>
  <w:style w:type="paragraph" w:styleId="1380" w:customStyle="1">
    <w:name w:val="中等深浅网格 1 - 强调文字颜色 21"/>
    <w:basedOn w:val="1027"/>
    <w:uiPriority w:val="0"/>
    <w:qFormat/>
    <w:pPr>
      <w:ind w:firstLine="420"/>
    </w:pPr>
    <w:rPr>
      <w:rFonts w:ascii="Calibri" w:hAnsi="Calibri"/>
      <w:szCs w:val="22"/>
    </w:rPr>
  </w:style>
  <w:style w:type="paragraph" w:styleId="138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82" w:customStyle="1">
    <w:name w:val="xl39"/>
    <w:basedOn w:val="10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font10"/>
    <w:basedOn w:val="102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8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86" w:customStyle="1">
    <w:name w:val="Bullets L1"/>
    <w:basedOn w:val="1027"/>
    <w:uiPriority w:val="0"/>
    <w:qFormat/>
    <w:pPr>
      <w:numPr>
        <w:ilvl w:val="0"/>
        <w:numId w:val="4"/>
      </w:numPr>
      <w:jc w:val="left"/>
      <w:spacing w:before="60" w:after="60"/>
      <w:widowControl/>
    </w:pPr>
    <w:rPr>
      <w:rFonts w:ascii="Arial" w:hAnsi="Arial"/>
      <w:sz w:val="20"/>
    </w:rPr>
  </w:style>
  <w:style w:type="paragraph" w:styleId="1387" w:customStyle="1">
    <w:name w:val="font13"/>
    <w:basedOn w:val="1027"/>
    <w:uiPriority w:val="0"/>
    <w:qFormat/>
    <w:pPr>
      <w:jc w:val="left"/>
      <w:spacing w:before="100" w:beforeAutospacing="1" w:after="100" w:afterAutospacing="1"/>
      <w:widowControl/>
    </w:pPr>
    <w:rPr>
      <w:i/>
      <w:iCs/>
      <w:sz w:val="36"/>
      <w:szCs w:val="36"/>
    </w:rPr>
  </w:style>
  <w:style w:type="paragraph" w:styleId="1388" w:customStyle="1">
    <w:name w:val="Char1"/>
    <w:basedOn w:val="1027"/>
    <w:uiPriority w:val="0"/>
    <w:qFormat/>
    <w:pPr>
      <w:jc w:val="left"/>
      <w:spacing w:after="160" w:line="240" w:lineRule="exact"/>
      <w:widowControl/>
    </w:pPr>
    <w:rPr>
      <w:rFonts w:ascii="Verdana" w:hAnsi="Verdana" w:eastAsia="仿宋_GB2312"/>
      <w:sz w:val="24"/>
      <w:lang w:eastAsia="en-US"/>
    </w:rPr>
  </w:style>
  <w:style w:type="paragraph" w:styleId="1389" w:customStyle="1">
    <w:name w:val="xl58"/>
    <w:basedOn w:val="102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90" w:customStyle="1">
    <w:name w:val="greytypebeni"/>
    <w:basedOn w:val="1027"/>
    <w:uiPriority w:val="0"/>
    <w:qFormat/>
    <w:pPr>
      <w:jc w:val="left"/>
      <w:widowControl/>
    </w:pPr>
    <w:rPr>
      <w:rFonts w:ascii="宋体" w:hAnsi="宋体" w:cs="宋体"/>
      <w:sz w:val="24"/>
      <w:szCs w:val="24"/>
    </w:rPr>
  </w:style>
  <w:style w:type="paragraph" w:styleId="1391" w:customStyle="1">
    <w:name w:val="样式 段后: 0.25 行"/>
    <w:basedOn w:val="1027"/>
    <w:uiPriority w:val="0"/>
    <w:qFormat/>
    <w:pPr>
      <w:ind w:firstLine="420"/>
      <w:jc w:val="left"/>
      <w:spacing w:line="300" w:lineRule="auto"/>
      <w:widowControl/>
    </w:pPr>
    <w:rPr>
      <w:rFonts w:ascii="Arial" w:hAnsi="Arial" w:cs="宋体"/>
      <w:sz w:val="22"/>
      <w:lang w:eastAsia="en-US" w:bidi="en-US"/>
    </w:rPr>
  </w:style>
  <w:style w:type="paragraph" w:styleId="1392" w:customStyle="1">
    <w:name w:val="符号与编号 Char Char"/>
    <w:basedOn w:val="1027"/>
    <w:uiPriority w:val="0"/>
    <w:qFormat/>
    <w:pPr>
      <w:ind w:left="839" w:hanging="419"/>
      <w:spacing w:line="400" w:lineRule="atLeast"/>
      <w:tabs>
        <w:tab w:val="left" w:pos="840" w:leader="none"/>
      </w:tabs>
    </w:pPr>
    <w:rPr>
      <w:sz w:val="24"/>
      <w:szCs w:val="24"/>
    </w:rPr>
  </w:style>
  <w:style w:type="paragraph" w:styleId="1393" w:customStyle="1">
    <w:name w:val="马刚标题1"/>
    <w:basedOn w:val="1028"/>
    <w:next w:val="102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94" w:customStyle="1">
    <w:name w:val="xl49"/>
    <w:basedOn w:val="102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95" w:customStyle="1">
    <w:name w:val="content_lineheight"/>
    <w:basedOn w:val="1027"/>
    <w:uiPriority w:val="0"/>
    <w:qFormat/>
    <w:pPr>
      <w:jc w:val="left"/>
      <w:spacing w:before="100" w:beforeAutospacing="1" w:after="100" w:afterAutospacing="1"/>
      <w:widowControl/>
    </w:pPr>
    <w:rPr>
      <w:rFonts w:ascii="宋体" w:hAnsi="宋体"/>
      <w:sz w:val="24"/>
      <w:szCs w:val="24"/>
    </w:rPr>
  </w:style>
  <w:style w:type="paragraph" w:styleId="1396" w:customStyle="1">
    <w:name w:val="丁华标题1"/>
    <w:basedOn w:val="1028"/>
    <w:next w:val="1265"/>
    <w:uiPriority w:val="0"/>
    <w:qFormat/>
    <w:pPr>
      <w:numPr>
        <w:ilvl w:val="0"/>
        <w:numId w:val="3"/>
      </w:numPr>
      <w:ind w:firstLine="0"/>
      <w:jc w:val="left"/>
      <w:keepLines/>
      <w:spacing w:line="578" w:lineRule="auto"/>
      <w:tabs>
        <w:tab w:val="clear" w:pos="5670" w:leader="none"/>
      </w:tabs>
    </w:pPr>
    <w:rPr>
      <w:rFonts w:ascii="Times New Roman"/>
      <w:b w:val="0"/>
      <w:sz w:val="32"/>
      <w:szCs w:val="20"/>
    </w:rPr>
  </w:style>
  <w:style w:type="paragraph" w:styleId="1397" w:customStyle="1">
    <w:name w:val="插图"/>
    <w:basedOn w:val="1027"/>
    <w:uiPriority w:val="0"/>
    <w:qFormat/>
    <w:pPr>
      <w:jc w:val="center"/>
      <w:tabs>
        <w:tab w:val="left" w:pos="1620" w:leader="none"/>
      </w:tabs>
    </w:pPr>
    <w:rPr>
      <w:bCs/>
      <w:color w:val="000000"/>
      <w:szCs w:val="22"/>
    </w:rPr>
  </w:style>
  <w:style w:type="paragraph" w:styleId="1398" w:customStyle="1">
    <w:name w:val="标题4，章节第四层"/>
    <w:basedOn w:val="1027"/>
    <w:next w:val="1027"/>
    <w:uiPriority w:val="0"/>
    <w:qFormat/>
    <w:pPr>
      <w:spacing w:line="360" w:lineRule="auto"/>
      <w:tabs>
        <w:tab w:val="left" w:pos="0" w:leader="none"/>
      </w:tabs>
      <w:outlineLvl w:val="3"/>
    </w:pPr>
    <w:rPr>
      <w:rFonts w:ascii="宋体" w:hAnsi="宋体"/>
      <w:b/>
      <w:sz w:val="24"/>
      <w:szCs w:val="24"/>
    </w:rPr>
  </w:style>
  <w:style w:type="paragraph" w:styleId="1399" w:customStyle="1">
    <w:name w:val="xl54"/>
    <w:basedOn w:val="10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00" w:customStyle="1">
    <w:name w:val="Char Char Char Char Char Char Char"/>
    <w:basedOn w:val="1027"/>
    <w:uiPriority w:val="0"/>
    <w:qFormat/>
    <w:pPr>
      <w:jc w:val="left"/>
    </w:pPr>
    <w:rPr>
      <w:rFonts w:ascii="Tahoma" w:hAnsi="Tahoma"/>
      <w:sz w:val="24"/>
    </w:rPr>
  </w:style>
  <w:style w:type="paragraph" w:styleId="1401" w:customStyle="1">
    <w:name w:val="正文 居中"/>
    <w:basedOn w:val="1027"/>
    <w:uiPriority w:val="0"/>
    <w:qFormat/>
    <w:pPr>
      <w:jc w:val="center"/>
      <w:spacing w:line="360" w:lineRule="auto"/>
    </w:pPr>
    <w:rPr>
      <w:sz w:val="24"/>
    </w:rPr>
  </w:style>
  <w:style w:type="paragraph" w:styleId="1402" w:customStyle="1">
    <w:name w:val="正文文本 21"/>
    <w:basedOn w:val="1027"/>
    <w:uiPriority w:val="0"/>
    <w:qFormat/>
    <w:pPr>
      <w:ind w:left="720" w:hanging="720"/>
      <w:widowControl/>
    </w:pPr>
    <w:rPr>
      <w:sz w:val="24"/>
      <w:lang w:val="en-GB"/>
    </w:rPr>
  </w:style>
  <w:style w:type="paragraph" w:styleId="1403" w:customStyle="1">
    <w:name w:val="符号与编号 Char"/>
    <w:basedOn w:val="1027"/>
    <w:uiPriority w:val="0"/>
    <w:qFormat/>
    <w:pPr>
      <w:ind w:left="720"/>
      <w:spacing w:line="400" w:lineRule="atLeast"/>
      <w:tabs>
        <w:tab w:val="left" w:pos="720" w:leader="none"/>
      </w:tabs>
    </w:pPr>
    <w:rPr>
      <w:sz w:val="24"/>
      <w:szCs w:val="24"/>
    </w:rPr>
  </w:style>
  <w:style w:type="paragraph" w:styleId="1404" w:customStyle="1">
    <w:name w:val="xl52"/>
    <w:basedOn w:val="102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05" w:customStyle="1">
    <w:name w:val="7"/>
    <w:basedOn w:val="1027"/>
    <w:next w:val="1091"/>
    <w:uiPriority w:val="0"/>
    <w:qFormat/>
    <w:pPr>
      <w:jc w:val="left"/>
      <w:spacing w:before="100" w:beforeAutospacing="1" w:after="100" w:afterAutospacing="1"/>
      <w:widowControl/>
    </w:pPr>
    <w:rPr>
      <w:rFonts w:ascii="宋体" w:hAnsi="宋体"/>
      <w:sz w:val="24"/>
    </w:rPr>
  </w:style>
  <w:style w:type="paragraph" w:styleId="1406" w:customStyle="1">
    <w:name w:val="正文lzq"/>
    <w:basedOn w:val="1027"/>
    <w:uiPriority w:val="0"/>
    <w:qFormat/>
    <w:pPr>
      <w:ind w:firstLine="480"/>
      <w:spacing w:line="360" w:lineRule="auto"/>
    </w:pPr>
    <w:rPr>
      <w:sz w:val="24"/>
    </w:rPr>
  </w:style>
  <w:style w:type="paragraph" w:styleId="1407" w:customStyle="1">
    <w:name w:val="Item Step in Table"/>
    <w:uiPriority w:val="0"/>
    <w:qFormat/>
    <w:pPr>
      <w:numPr>
        <w:ilvl w:val="0"/>
        <w:numId w:val="2"/>
      </w:numPr>
      <w:jc w:val="both"/>
      <w:spacing w:before="40" w:after="40"/>
    </w:pPr>
    <w:rPr>
      <w:rFonts w:ascii="Arial" w:hAnsi="Arial" w:eastAsia="宋体" w:cs="Arial"/>
      <w:sz w:val="18"/>
      <w:szCs w:val="18"/>
      <w:lang w:val="en-US" w:eastAsia="zh-CN" w:bidi="ar-SA"/>
    </w:rPr>
  </w:style>
  <w:style w:type="paragraph" w:styleId="1408" w:customStyle="1">
    <w:name w:val="标题 4宋体"/>
    <w:basedOn w:val="1031"/>
    <w:uiPriority w:val="0"/>
    <w:qFormat/>
    <w:pPr>
      <w:jc w:val="left"/>
      <w:keepLines w:val="0"/>
      <w:spacing w:before="0" w:after="0" w:line="360" w:lineRule="auto"/>
    </w:pPr>
    <w:rPr>
      <w:rFonts w:ascii="宋体" w:hAnsi="宋体" w:eastAsia="宋体"/>
      <w:bCs/>
      <w:color w:val="000000"/>
      <w:sz w:val="24"/>
    </w:rPr>
  </w:style>
  <w:style w:type="paragraph" w:styleId="1409" w:customStyle="1">
    <w:name w:val="条1"/>
    <w:basedOn w:val="1027"/>
    <w:uiPriority w:val="0"/>
    <w:qFormat/>
    <w:pPr>
      <w:ind w:left="780" w:hanging="360"/>
      <w:spacing w:before="156" w:line="360" w:lineRule="auto"/>
      <w:tabs>
        <w:tab w:val="left" w:pos="780" w:leader="none"/>
      </w:tabs>
    </w:pPr>
    <w:rPr>
      <w:rFonts w:eastAsia="黑体"/>
      <w:sz w:val="24"/>
    </w:rPr>
  </w:style>
  <w:style w:type="paragraph" w:styleId="1410" w:customStyle="1">
    <w:name w:val="_Style 42"/>
    <w:basedOn w:val="1027"/>
    <w:next w:val="1052"/>
    <w:uiPriority w:val="0"/>
    <w:qFormat/>
    <w:rPr>
      <w:rFonts w:ascii="楷体_GB2312" w:hAnsi="Arial" w:eastAsia="楷体_GB2312"/>
      <w:sz w:val="28"/>
    </w:rPr>
  </w:style>
  <w:style w:type="paragraph" w:styleId="1411" w:customStyle="1">
    <w:name w:val="font5"/>
    <w:basedOn w:val="1027"/>
    <w:uiPriority w:val="0"/>
    <w:qFormat/>
    <w:pPr>
      <w:jc w:val="left"/>
      <w:spacing w:before="100" w:beforeAutospacing="1" w:after="100" w:afterAutospacing="1"/>
      <w:widowControl/>
    </w:pPr>
    <w:rPr>
      <w:rFonts w:ascii="宋体" w:hAnsi="宋体" w:cs="宋体"/>
      <w:sz w:val="18"/>
      <w:szCs w:val="18"/>
    </w:rPr>
  </w:style>
  <w:style w:type="paragraph" w:styleId="1412" w:customStyle="1">
    <w:name w:val="xl46"/>
    <w:basedOn w:val="102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13" w:customStyle="1">
    <w:name w:val="列表内容"/>
    <w:basedOn w:val="1027"/>
    <w:next w:val="1027"/>
    <w:uiPriority w:val="0"/>
    <w:qFormat/>
    <w:pPr>
      <w:ind w:left="840" w:hanging="420"/>
      <w:jc w:val="left"/>
      <w:widowControl/>
      <w:tabs>
        <w:tab w:val="left" w:pos="840" w:leader="none"/>
      </w:tabs>
    </w:pPr>
    <w:rPr>
      <w:sz w:val="18"/>
      <w:szCs w:val="24"/>
    </w:rPr>
  </w:style>
  <w:style w:type="paragraph" w:styleId="1414" w:customStyle="1">
    <w:name w:val="Char Char Char Char Char Char Char Char1"/>
    <w:basedOn w:val="1027"/>
    <w:uiPriority w:val="0"/>
    <w:qFormat/>
    <w:rPr>
      <w:rFonts w:ascii="Tahoma" w:hAnsi="Tahoma" w:cs="Tahoma"/>
      <w:sz w:val="24"/>
    </w:rPr>
  </w:style>
  <w:style w:type="paragraph" w:styleId="1415" w:customStyle="1">
    <w:name w:val="表格内文字"/>
    <w:basedOn w:val="1027"/>
    <w:uiPriority w:val="0"/>
    <w:qFormat/>
    <w:pPr>
      <w:spacing w:line="300" w:lineRule="atLeast"/>
    </w:pPr>
    <w:rPr>
      <w:sz w:val="18"/>
      <w:szCs w:val="24"/>
    </w:rPr>
  </w:style>
  <w:style w:type="paragraph" w:styleId="1416" w:customStyle="1">
    <w:name w:val="xl53"/>
    <w:basedOn w:val="10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17" w:customStyle="1">
    <w:name w:val="Char Char Char Char Char Char Char Char"/>
    <w:basedOn w:val="1027"/>
    <w:uiPriority w:val="0"/>
    <w:qFormat/>
    <w:rPr>
      <w:rFonts w:ascii="Tahoma" w:hAnsi="Tahoma"/>
      <w:sz w:val="24"/>
    </w:rPr>
  </w:style>
  <w:style w:type="paragraph" w:styleId="1418" w:customStyle="1">
    <w:name w:val="Char Char11"/>
    <w:basedOn w:val="1027"/>
    <w:uiPriority w:val="0"/>
    <w:qFormat/>
    <w:rPr>
      <w:rFonts w:ascii="Tahoma" w:hAnsi="Tahoma"/>
      <w:sz w:val="24"/>
    </w:rPr>
  </w:style>
  <w:style w:type="paragraph" w:styleId="1419" w:customStyle="1">
    <w:name w:val="Char Char Char Char Char Char"/>
    <w:basedOn w:val="1027"/>
    <w:uiPriority w:val="0"/>
    <w:qFormat/>
    <w:rPr>
      <w:rFonts w:ascii="Tahoma" w:hAnsi="Tahoma" w:cs="Tahoma"/>
      <w:sz w:val="24"/>
    </w:rPr>
  </w:style>
  <w:style w:type="paragraph" w:styleId="1420" w:customStyle="1">
    <w:name w:val="xl48"/>
    <w:basedOn w:val="102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21" w:customStyle="1">
    <w:name w:val="标准文本"/>
    <w:basedOn w:val="1027"/>
    <w:uiPriority w:val="0"/>
    <w:qFormat/>
    <w:pPr>
      <w:ind w:firstLine="480"/>
      <w:spacing w:line="360" w:lineRule="auto"/>
    </w:pPr>
    <w:rPr>
      <w:rFonts w:cs="宋体"/>
      <w:sz w:val="24"/>
      <w:szCs w:val="24"/>
    </w:rPr>
  </w:style>
  <w:style w:type="paragraph" w:styleId="1422" w:customStyle="1">
    <w:name w:val="font12"/>
    <w:basedOn w:val="1027"/>
    <w:uiPriority w:val="0"/>
    <w:qFormat/>
    <w:pPr>
      <w:jc w:val="left"/>
      <w:spacing w:before="100" w:beforeAutospacing="1" w:after="100" w:afterAutospacing="1"/>
      <w:widowControl/>
    </w:pPr>
    <w:rPr>
      <w:rFonts w:ascii="宋体" w:hAnsi="宋体" w:cs="宋体"/>
      <w:sz w:val="36"/>
      <w:szCs w:val="36"/>
    </w:rPr>
  </w:style>
  <w:style w:type="paragraph" w:styleId="1423" w:customStyle="1">
    <w:name w:val="正文1"/>
    <w:basedOn w:val="1027"/>
    <w:uiPriority w:val="0"/>
    <w:qFormat/>
    <w:rPr>
      <w:rFonts w:ascii="Calibri" w:hAnsi="Calibri" w:eastAsia="Calibri" w:cs="宋体"/>
      <w:lang w:val="zh-CN"/>
    </w:rPr>
  </w:style>
  <w:style w:type="paragraph" w:styleId="1424" w:customStyle="1">
    <w:name w:val="小四 段落 宋体 Char Char"/>
    <w:basedOn w:val="1027"/>
    <w:uiPriority w:val="0"/>
    <w:qFormat/>
    <w:pPr>
      <w:ind w:firstLine="480"/>
      <w:spacing w:line="360" w:lineRule="auto"/>
    </w:pPr>
    <w:rPr>
      <w:rFonts w:ascii="宋体" w:hAnsi="宋体"/>
      <w:sz w:val="24"/>
      <w:szCs w:val="24"/>
    </w:rPr>
  </w:style>
  <w:style w:type="paragraph" w:styleId="1425" w:customStyle="1">
    <w:name w:val="Char Char1 Char Char Char Char1 Char Char Char Char Char Char"/>
    <w:basedOn w:val="1027"/>
    <w:uiPriority w:val="0"/>
    <w:qFormat/>
    <w:rPr>
      <w:rFonts w:ascii="Tahoma" w:hAnsi="Tahoma"/>
      <w:sz w:val="24"/>
    </w:rPr>
  </w:style>
  <w:style w:type="paragraph" w:styleId="1426" w:customStyle="1">
    <w:name w:val="Table Paragraph"/>
    <w:basedOn w:val="1027"/>
    <w:uiPriority w:val="1"/>
    <w:unhideWhenUsed/>
    <w:qFormat/>
    <w:pPr>
      <w:jc w:val="left"/>
    </w:pPr>
    <w:rPr>
      <w:rFonts w:ascii="Calibri" w:hAnsi="Calibri" w:cs="宋体"/>
      <w:sz w:val="24"/>
      <w:szCs w:val="24"/>
    </w:rPr>
  </w:style>
  <w:style w:type="paragraph" w:styleId="1427" w:customStyle="1">
    <w:name w:val="缺省文本"/>
    <w:basedOn w:val="1027"/>
    <w:uiPriority w:val="0"/>
    <w:qFormat/>
    <w:pPr>
      <w:jc w:val="left"/>
      <w:spacing w:line="360" w:lineRule="auto"/>
    </w:pPr>
    <w:rPr>
      <w:rFonts w:ascii="Arial" w:hAnsi="Arial"/>
      <w:sz w:val="24"/>
      <w:szCs w:val="21"/>
    </w:rPr>
  </w:style>
  <w:style w:type="paragraph" w:styleId="1428" w:customStyle="1">
    <w:name w:val="普通正文"/>
    <w:basedOn w:val="1027"/>
    <w:uiPriority w:val="0"/>
    <w:qFormat/>
    <w:pPr>
      <w:ind w:firstLine="480"/>
      <w:jc w:val="left"/>
      <w:spacing w:before="120" w:after="120" w:line="360" w:lineRule="auto"/>
    </w:pPr>
    <w:rPr>
      <w:rFonts w:ascii="Arial" w:hAnsi="Arial"/>
      <w:sz w:val="24"/>
      <w:szCs w:val="24"/>
    </w:rPr>
  </w:style>
  <w:style w:type="paragraph" w:styleId="1429" w:customStyle="1">
    <w:name w:val="首行缩进"/>
    <w:basedOn w:val="1027"/>
    <w:uiPriority w:val="0"/>
    <w:qFormat/>
    <w:pPr>
      <w:ind w:firstLine="480"/>
    </w:pPr>
    <w:rPr>
      <w:lang w:val="zh-CN"/>
    </w:rPr>
  </w:style>
  <w:style w:type="table" w:styleId="1430" w:customStyle="1">
    <w:name w:val="Table Normal"/>
    <w:uiPriority w:val="0"/>
    <w:unhideWhenUsed/>
    <w:qFormat/>
    <w:tblPr>
      <w:tblCellMar>
        <w:left w:w="0" w:type="dxa"/>
        <w:top w:w="0" w:type="dxa"/>
        <w:right w:w="0" w:type="dxa"/>
        <w:bottom w:w="0" w:type="dxa"/>
      </w:tblCellMar>
    </w:tblPr>
  </w:style>
  <w:style w:type="paragraph" w:styleId="1431" w:customStyle="1">
    <w:name w:val="Other|1"/>
    <w:basedOn w:val="1027"/>
    <w:uiPriority w:val="0"/>
    <w:qFormat/>
    <w:rPr>
      <w:rFonts w:ascii="宋体" w:hAnsi="宋体" w:cs="宋体"/>
      <w:sz w:val="19"/>
      <w:szCs w:val="19"/>
      <w:lang w:val="zh-TW" w:eastAsia="zh-TW" w:bidi="zh-TW"/>
    </w:rPr>
  </w:style>
  <w:style w:type="paragraph" w:styleId="1432" w:customStyle="1">
    <w:name w:val="ZK_标题1"/>
    <w:basedOn w:val="1027"/>
    <w:next w:val="1027"/>
    <w:uiPriority w:val="0"/>
    <w:qFormat/>
    <w:pPr>
      <w:ind w:left="4815" w:hanging="420"/>
      <w:jc w:val="center"/>
      <w:spacing w:line="300" w:lineRule="auto"/>
      <w:tabs>
        <w:tab w:val="left" w:pos="2160" w:leader="none"/>
        <w:tab w:val="left" w:pos="3060" w:leader="none"/>
        <w:tab w:val="left" w:pos="4500" w:leader="none"/>
        <w:tab w:val="left" w:pos="4815" w:leader="none"/>
      </w:tabs>
      <w:outlineLvl w:val="0"/>
    </w:pPr>
    <w:rPr>
      <w:rFonts w:ascii="宋体" w:hAnsi="Calibri" w:eastAsia="黑体"/>
      <w:b/>
      <w:sz w:val="52"/>
    </w:rPr>
  </w:style>
  <w:style w:type="paragraph" w:styleId="1433" w:customStyle="1">
    <w:name w:val="标题 4（xuhuan）"/>
    <w:basedOn w:val="1031"/>
    <w:next w:val="1027"/>
    <w:uiPriority w:val="0"/>
    <w:qFormat/>
    <w:pPr>
      <w:ind w:left="1447" w:hanging="1021"/>
      <w:jc w:val="left"/>
      <w:spacing w:after="156"/>
      <w:widowControl/>
    </w:pPr>
  </w:style>
  <w:style w:type="paragraph" w:styleId="1434" w:customStyle="1">
    <w:name w:val="Revision"/>
    <w:hidden/>
    <w:uiPriority w:val="99"/>
    <w:unhideWhenUsed/>
    <w:qFormat/>
    <w:rPr>
      <w:rFonts w:ascii="Times New Roman" w:hAnsi="Times New Roman" w:eastAsia="宋体" w:cs="Times New Roman"/>
      <w:sz w:val="21"/>
      <w:lang w:val="en-US" w:eastAsia="zh-CN" w:bidi="ar-SA"/>
    </w:rPr>
  </w:style>
  <w:style w:type="numbering" w:styleId="1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9</cp:revision>
  <dcterms:created xsi:type="dcterms:W3CDTF">2025-05-08T02:58:00Z</dcterms:created>
  <dcterms:modified xsi:type="dcterms:W3CDTF">2026-09-15T01:26:17Z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DocHome">
    <vt:r8>717910467.000000</vt:r8>
  </property>
  <property fmtid="{D5CDD505-2E9C-101B-9397-08002B2CF9AE}" pid="4" name="ICV">
    <vt:lpwstr>031C9DD9001C476EB25A959B055CA513_13</vt:lpwstr>
  </property>
  <property fmtid="{D5CDD505-2E9C-101B-9397-08002B2CF9AE}" pid="5" name="KSOTemplateDocerSaveRecord">
    <vt:lpwstr>eyJoZGlkIjoiZDhiMDgyMjlkOGYzZWQ0YTY0ZjNkZDlmZjMyYzM0MjMiLCJ1c2VySWQiOiI3NjU1ODIwMDAifQ==</vt:lpwstr>
  </property>
</Properties>
</file>