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hint="default" w:ascii="黑体" w:hAnsi="Arial" w:eastAsia="宋体"/>
          <w:b/>
          <w:color w:val="000000"/>
          <w:sz w:val="44"/>
          <w:szCs w:val="21"/>
          <w:lang w:val="en-US" w:eastAsia="zh-CN"/>
        </w:rPr>
      </w:pPr>
      <w:r>
        <w:rPr>
          <w:rFonts w:hint="eastAsia" w:ascii="Arial" w:hAnsi="Arial"/>
          <w:b/>
          <w:bCs/>
          <w:color w:val="000000"/>
          <w:sz w:val="32"/>
          <w:szCs w:val="24"/>
        </w:rPr>
        <w:t xml:space="preserve">项目名称：连云港市连云生态环境局视频会议设备采购</w:t>
      </w:r>
      <w:r>
        <w:rPr>
          <w:rFonts w:hint="eastAsia" w:ascii="Arial" w:hAnsi="Arial"/>
          <w:b/>
          <w:bCs/>
          <w:color w:val="000000"/>
          <w:sz w:val="32"/>
          <w:szCs w:val="24"/>
          <w:lang w:eastAsia="zh-CN"/>
        </w:rPr>
        <w:t xml:space="preserve">（</w:t>
      </w:r>
      <w:r>
        <w:rPr>
          <w:rFonts w:hint="eastAsia" w:ascii="Arial" w:hAnsi="Arial"/>
          <w:b/>
          <w:bCs/>
          <w:color w:val="000000"/>
          <w:sz w:val="32"/>
          <w:szCs w:val="24"/>
          <w:lang w:val="en-US" w:eastAsia="zh-CN"/>
        </w:rPr>
        <w:t xml:space="preserve">二次）</w:t>
      </w:r>
      <w:r/>
    </w:p>
    <w:p>
      <w:pPr>
        <w:ind w:firstLine="1285"/>
        <w:spacing w:line="480" w:lineRule="auto"/>
        <w:rPr>
          <w:rFonts w:hint="default" w:ascii="黑体" w:hAnsi="Arial" w:eastAsia="宋体"/>
          <w:b/>
          <w:color w:val="000000"/>
          <w:sz w:val="44"/>
          <w:szCs w:val="21"/>
          <w:lang w:val="en-US" w:eastAsia="zh-CN"/>
        </w:rPr>
      </w:pPr>
      <w:r>
        <w:rPr>
          <w:rFonts w:hint="eastAsia" w:ascii="Arial" w:hAnsi="Arial"/>
          <w:b/>
          <w:bCs/>
          <w:sz w:val="32"/>
          <w:szCs w:val="24"/>
        </w:rPr>
        <w:t xml:space="preserve">项目编号：JSZC-320700-JZCG-G2026-0</w:t>
      </w:r>
      <w:r>
        <w:rPr>
          <w:rFonts w:hint="eastAsia" w:ascii="Arial" w:hAnsi="Arial"/>
          <w:b/>
          <w:bCs/>
          <w:sz w:val="32"/>
          <w:szCs w:val="24"/>
          <w:lang w:val="en-US" w:eastAsia="zh-CN"/>
        </w:rPr>
        <w:t xml:space="preserve">106</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highlight w:val="none"/>
          <w:lang w:val="en-US" w:eastAsia="zh-CN"/>
        </w:rPr>
        <w:t xml:space="preserve">8</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74"/>
      </w:pPr>
      <w:r>
        <w:rPr>
          <w:rFonts w:hint="eastAsia"/>
        </w:rPr>
        <w:t xml:space="preserve">目  录</w:t>
      </w:r>
      <w:r/>
    </w:p>
    <w:p>
      <w:pPr>
        <w:pStyle w:val="874"/>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p>
    <w:p>
      <w:pPr>
        <w:pStyle w:val="874"/>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p>
    <w:p>
      <w:pPr>
        <w:pStyle w:val="874"/>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26</w:t>
      </w:r>
      <w:r>
        <w:rPr>
          <w:sz w:val="36"/>
          <w:szCs w:val="36"/>
        </w:rPr>
        <w:fldChar w:fldCharType="end"/>
      </w:r>
      <w:r/>
    </w:p>
    <w:p>
      <w:pPr>
        <w:pStyle w:val="874"/>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42</w:t>
      </w:r>
      <w:r>
        <w:rPr>
          <w:sz w:val="36"/>
          <w:szCs w:val="36"/>
        </w:rPr>
        <w:fldChar w:fldCharType="end"/>
      </w:r>
      <w:r/>
    </w:p>
    <w:p>
      <w:pPr>
        <w:pStyle w:val="874"/>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49</w:t>
      </w:r>
      <w:r>
        <w:rPr>
          <w:sz w:val="36"/>
          <w:szCs w:val="36"/>
        </w:rPr>
        <w:fldChar w:fldCharType="end"/>
      </w:r>
      <w:r/>
    </w:p>
    <w:p>
      <w:pPr>
        <w:pStyle w:val="874"/>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52</w:t>
      </w:r>
      <w:r>
        <w:rPr>
          <w:sz w:val="36"/>
          <w:szCs w:val="36"/>
        </w:rPr>
        <w:fldChar w:fldCharType="end"/>
      </w:r>
      <w:r/>
    </w:p>
    <w:p>
      <w:pPr>
        <w:jc w:val="left"/>
        <w:widowControl/>
      </w:pPr>
      <w:r>
        <w:fldChar w:fldCharType="end"/>
      </w:r>
      <w:r>
        <w:br w:type="page" w:clear="all"/>
      </w:r>
      <w:r/>
    </w:p>
    <w:p>
      <w:pPr>
        <w:pStyle w:val="847"/>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受连云港市连云生态环境局的委托，连云港市公共资源交易中心就连云港市连云生态环境局视频会议设备采购</w:t>
      </w:r>
      <w:r>
        <w:rPr>
          <w:rFonts w:hint="eastAsia"/>
          <w:sz w:val="24"/>
          <w:szCs w:val="24"/>
          <w:lang w:eastAsia="zh-CN"/>
        </w:rPr>
        <w:t xml:space="preserve">（</w:t>
      </w:r>
      <w:r>
        <w:rPr>
          <w:rFonts w:hint="eastAsia"/>
          <w:sz w:val="24"/>
          <w:szCs w:val="24"/>
          <w:lang w:val="en-US" w:eastAsia="zh-CN"/>
        </w:rPr>
        <w:t xml:space="preserve">二次）</w:t>
      </w:r>
      <w:r>
        <w:rPr>
          <w:rFonts w:hint="eastAsia"/>
          <w:sz w:val="24"/>
          <w:szCs w:val="24"/>
        </w:rPr>
        <w:t xml:space="preserve">项目（</w:t>
      </w:r>
      <w:r>
        <w:rPr>
          <w:rFonts w:hint="eastAsia"/>
          <w:sz w:val="24"/>
          <w:szCs w:val="24"/>
          <w:highlight w:val="none"/>
        </w:rPr>
        <w:t xml:space="preserve">项目编号JSZC-320700-JZCG-G2026-0</w:t>
      </w:r>
      <w:r>
        <w:rPr>
          <w:rFonts w:hint="eastAsia"/>
          <w:sz w:val="24"/>
          <w:szCs w:val="24"/>
          <w:highlight w:val="none"/>
          <w:lang w:val="en-US" w:eastAsia="zh-CN"/>
        </w:rPr>
        <w:t xml:space="preserve">106</w:t>
      </w:r>
      <w:r>
        <w:rPr>
          <w:rFonts w:hint="eastAsia"/>
          <w:sz w:val="24"/>
          <w:szCs w:val="24"/>
        </w:rPr>
        <w:t xml:space="preserve">）进行公开招标采购，欢迎符合条件的供应商投标。</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连云港市连云生态环境局视频会议设备采购</w:t>
            </w:r>
            <w:r>
              <w:rPr>
                <w:rFonts w:hint="eastAsia"/>
                <w:sz w:val="24"/>
                <w:szCs w:val="24"/>
              </w:rPr>
              <w:t xml:space="preserve">（</w:t>
            </w:r>
            <w:r>
              <w:rPr>
                <w:rFonts w:hint="eastAsia"/>
                <w:sz w:val="24"/>
                <w:szCs w:val="24"/>
              </w:rPr>
              <w:t xml:space="preserve">二次</w:t>
            </w:r>
            <w:r>
              <w:rPr>
                <w:rFonts w:hint="eastAsia"/>
                <w:sz w:val="24"/>
                <w:szCs w:val="24"/>
              </w:rPr>
              <w:t xml:space="preserve">）</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于2026年</w:t>
            </w:r>
            <w:r>
              <w:rPr>
                <w:rFonts w:hint="eastAsia"/>
                <w:sz w:val="24"/>
                <w:szCs w:val="24"/>
                <w:highlight w:val="none"/>
                <w:lang w:val="en-US" w:eastAsia="zh-CN"/>
              </w:rPr>
              <w:t xml:space="preserve">9</w:t>
            </w:r>
            <w:r>
              <w:rPr>
                <w:rFonts w:hint="eastAsia"/>
                <w:sz w:val="24"/>
                <w:szCs w:val="24"/>
                <w:highlight w:val="none"/>
              </w:rPr>
              <w:t xml:space="preserve">月</w:t>
            </w:r>
            <w:r>
              <w:rPr>
                <w:rFonts w:hint="eastAsia"/>
                <w:sz w:val="24"/>
                <w:szCs w:val="24"/>
                <w:highlight w:val="none"/>
                <w:lang w:val="en-US" w:eastAsia="zh-CN"/>
              </w:rPr>
              <w:t xml:space="preserve">2</w:t>
            </w:r>
            <w:r>
              <w:rPr>
                <w:rFonts w:hint="eastAsia"/>
                <w:sz w:val="24"/>
                <w:szCs w:val="24"/>
                <w:highlight w:val="none"/>
                <w:lang w:val="en-US" w:eastAsia="zh-CN"/>
              </w:rPr>
              <w:t xml:space="preserve">1</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北京时间）前递交（上传）投标文件。</w:t>
            </w:r>
            <w:r/>
          </w:p>
        </w:tc>
      </w:tr>
    </w:tbl>
    <w:p>
      <w:pPr>
        <w:pStyle w:val="848"/>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default" w:eastAsia="宋体"/>
          <w:sz w:val="24"/>
          <w:szCs w:val="24"/>
          <w:lang w:val="en-US" w:eastAsia="zh-CN"/>
        </w:rPr>
      </w:pPr>
      <w:r>
        <w:rPr>
          <w:rFonts w:hint="eastAsia"/>
          <w:sz w:val="24"/>
          <w:szCs w:val="24"/>
        </w:rPr>
        <w:t xml:space="preserve">项目编号：</w:t>
      </w:r>
      <w:r>
        <w:rPr>
          <w:rFonts w:hint="eastAsia"/>
          <w:sz w:val="24"/>
          <w:szCs w:val="24"/>
          <w:highlight w:val="none"/>
        </w:rPr>
        <w:t xml:space="preserve">JSZC-320700-JZCG-G2026-0</w:t>
      </w:r>
      <w:r>
        <w:rPr>
          <w:rFonts w:hint="eastAsia"/>
          <w:sz w:val="24"/>
          <w:szCs w:val="24"/>
          <w:highlight w:val="none"/>
          <w:lang w:val="en-US" w:eastAsia="zh-CN"/>
        </w:rPr>
        <w:t xml:space="preserve">106</w:t>
      </w:r>
      <w:r/>
    </w:p>
    <w:p>
      <w:pPr>
        <w:ind w:firstLine="480"/>
        <w:jc w:val="left"/>
        <w:spacing w:line="500" w:lineRule="exact"/>
        <w:rPr>
          <w:rFonts w:hint="default" w:eastAsia="宋体" w:cs="Times New Roman"/>
          <w:sz w:val="24"/>
          <w:szCs w:val="24"/>
          <w:lang w:val="en-US" w:eastAsia="zh-CN"/>
        </w:rPr>
      </w:pPr>
      <w:r>
        <w:rPr>
          <w:rFonts w:hint="eastAsia" w:eastAsia="宋体" w:cs="Times New Roman"/>
          <w:sz w:val="24"/>
          <w:szCs w:val="24"/>
        </w:rPr>
        <w:t xml:space="preserve">项目名称：连云港市连云生态环境局视频会议设备采购</w:t>
      </w:r>
      <w:r>
        <w:rPr>
          <w:rFonts w:hint="eastAsia" w:cs="Times New Roman"/>
          <w:sz w:val="24"/>
          <w:szCs w:val="24"/>
          <w:lang w:eastAsia="zh-CN"/>
        </w:rPr>
        <w:t xml:space="preserve">（</w:t>
      </w:r>
      <w:r>
        <w:rPr>
          <w:rFonts w:hint="eastAsia" w:cs="Times New Roman"/>
          <w:sz w:val="24"/>
          <w:szCs w:val="24"/>
          <w:lang w:val="en-US" w:eastAsia="zh-CN"/>
        </w:rPr>
        <w:t xml:space="preserve">二次）</w:t>
      </w:r>
      <w:r/>
    </w:p>
    <w:p>
      <w:pPr>
        <w:ind w:firstLine="480"/>
        <w:jc w:val="left"/>
        <w:spacing w:line="500" w:lineRule="exact"/>
        <w:rPr>
          <w:rFonts w:hint="eastAsia" w:eastAsia="宋体" w:cs="Times New Roman"/>
          <w:sz w:val="24"/>
          <w:szCs w:val="24"/>
        </w:rPr>
      </w:pPr>
      <w:r>
        <w:rPr>
          <w:rFonts w:hint="eastAsia" w:eastAsia="宋体" w:cs="Times New Roman"/>
          <w:sz w:val="24"/>
          <w:szCs w:val="24"/>
        </w:rPr>
        <w:t xml:space="preserve">预算金额：6.5万元</w:t>
      </w:r>
      <w:r/>
    </w:p>
    <w:p>
      <w:pPr>
        <w:ind w:firstLine="480"/>
        <w:jc w:val="left"/>
        <w:spacing w:line="500" w:lineRule="exact"/>
        <w:rPr>
          <w:sz w:val="24"/>
          <w:szCs w:val="24"/>
        </w:rPr>
      </w:pPr>
      <w:r>
        <w:rPr>
          <w:rFonts w:hint="eastAsia"/>
          <w:sz w:val="24"/>
          <w:szCs w:val="24"/>
        </w:rPr>
        <w:t xml:space="preserve">采购方式：公开招标</w:t>
      </w:r>
      <w:r/>
    </w:p>
    <w:p>
      <w:pPr>
        <w:ind w:firstLine="480"/>
        <w:spacing w:line="560" w:lineRule="exact"/>
        <w:rPr>
          <w:rFonts w:ascii="仿宋_GB2312" w:eastAsia="仿宋_GB2312"/>
          <w:sz w:val="32"/>
          <w:szCs w:val="32"/>
        </w:rPr>
      </w:pPr>
      <w:r>
        <w:rPr>
          <w:rFonts w:hint="eastAsia"/>
          <w:sz w:val="24"/>
          <w:szCs w:val="24"/>
        </w:rPr>
        <w:t xml:space="preserve">采购需求：为满足线上会议工作需要，解决现有会议设备老旧、画质音质差、远程对接故障频出、投屏不稳定等问题，保障各类视频会议、培训交流、线上汇报工作高效有序开展，提升办公会议标准化、智能化水平，拟采购一套视频会议设备。</w:t>
      </w:r>
      <w:r>
        <w:rPr>
          <w:rFonts w:hint="eastAsia"/>
          <w:sz w:val="24"/>
          <w:szCs w:val="24"/>
          <w:lang w:val="en-US" w:eastAsia="zh-CN"/>
        </w:rPr>
        <w:t xml:space="preserve">具体要求详见第四章采购需求</w:t>
      </w:r>
      <w:r>
        <w:rPr>
          <w:rFonts w:hint="eastAsia"/>
          <w:sz w:val="24"/>
          <w:szCs w:val="24"/>
        </w:rPr>
        <w:t xml:space="preserve">。</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eastAsia="宋体"/>
          <w:sz w:val="24"/>
          <w:szCs w:val="24"/>
          <w:lang w:eastAsia="zh-CN"/>
        </w:rPr>
      </w:pPr>
      <w:r>
        <w:rPr>
          <w:rFonts w:hint="eastAsia"/>
          <w:sz w:val="24"/>
          <w:szCs w:val="24"/>
        </w:rPr>
        <w:t xml:space="preserve">合同履行期限：合同签订后7天内完成安装调试，达到预期效果</w:t>
      </w:r>
      <w:r>
        <w:rPr>
          <w:rFonts w:hint="eastAsia"/>
          <w:sz w:val="24"/>
          <w:szCs w:val="24"/>
          <w:lang w:eastAsia="zh-CN"/>
        </w:rPr>
        <w:t xml:space="preserve">。</w:t>
      </w:r>
      <w:r/>
    </w:p>
    <w:p>
      <w:pPr>
        <w:ind w:firstLine="480"/>
        <w:jc w:val="left"/>
        <w:spacing w:line="500" w:lineRule="exact"/>
        <w:rPr>
          <w:rFonts w:hint="eastAsia"/>
          <w:sz w:val="24"/>
          <w:szCs w:val="24"/>
          <w:highlight w:val="yellow"/>
        </w:rPr>
      </w:pPr>
      <w:r>
        <w:rPr>
          <w:rFonts w:hint="eastAsia"/>
          <w:sz w:val="24"/>
          <w:szCs w:val="24"/>
        </w:rPr>
        <w:t xml:space="preserve">本项目（是/否）接受联合体投标：不接受联合体。</w:t>
      </w:r>
      <w:r/>
    </w:p>
    <w:p>
      <w:pPr>
        <w:pStyle w:val="883"/>
        <w:rPr>
          <w:lang w:eastAsia="zh-CN"/>
        </w:rPr>
      </w:pPr>
      <w:r>
        <w:rPr>
          <w:rFonts w:hint="eastAsia" w:ascii="Calibri" w:hAnsi="Calibri" w:eastAsia="宋体"/>
          <w:sz w:val="24"/>
          <w:szCs w:val="24"/>
          <w:lang w:eastAsia="zh-CN"/>
        </w:rPr>
        <w:t xml:space="preserve">本项目不接受进口产品（进口产品是指通过中国海关报关验放进入中国境内且产自关境外的产品）投标，中标后不允许分包或转包。</w:t>
      </w:r>
      <w:r/>
    </w:p>
    <w:p>
      <w:pPr>
        <w:pStyle w:val="848"/>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48"/>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sz w:val="24"/>
          <w:szCs w:val="24"/>
          <w:highlight w:val="none"/>
        </w:rPr>
        <w:t xml:space="preserve">自招标文件公告发布之日起5个工作日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4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：2026年</w:t>
      </w:r>
      <w:r>
        <w:rPr>
          <w:rFonts w:hint="eastAsia"/>
          <w:sz w:val="24"/>
          <w:szCs w:val="24"/>
          <w:highlight w:val="none"/>
          <w:lang w:val="en-US" w:eastAsia="zh-CN"/>
        </w:rPr>
        <w:t xml:space="preserve">9</w:t>
      </w:r>
      <w:r>
        <w:rPr>
          <w:rFonts w:hint="eastAsia"/>
          <w:sz w:val="24"/>
          <w:szCs w:val="24"/>
          <w:highlight w:val="none"/>
        </w:rPr>
        <w:t xml:space="preserve">月</w:t>
      </w:r>
      <w:r>
        <w:rPr>
          <w:rFonts w:hint="eastAsia"/>
          <w:sz w:val="24"/>
          <w:szCs w:val="24"/>
          <w:highlight w:val="none"/>
          <w:lang w:val="en-US" w:eastAsia="zh-CN"/>
        </w:rPr>
        <w:t xml:space="preserve">2</w:t>
      </w:r>
      <w:r>
        <w:rPr>
          <w:rFonts w:hint="eastAsia"/>
          <w:sz w:val="24"/>
          <w:szCs w:val="24"/>
          <w:highlight w:val="none"/>
          <w:lang w:val="en-US" w:eastAsia="zh-CN"/>
        </w:rPr>
        <w:t xml:space="preserve">1</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48"/>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48"/>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rFonts w:hint="eastAsia"/>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称：连云港市连云生态环境局</w:t>
      </w:r>
      <w:r/>
    </w:p>
    <w:p>
      <w:pPr>
        <w:ind w:firstLine="480"/>
        <w:jc w:val="left"/>
        <w:spacing w:line="500" w:lineRule="exact"/>
        <w:rPr>
          <w:sz w:val="24"/>
          <w:szCs w:val="24"/>
        </w:rPr>
      </w:pPr>
      <w:r>
        <w:rPr>
          <w:rFonts w:hint="eastAsia"/>
          <w:sz w:val="24"/>
          <w:szCs w:val="24"/>
        </w:rPr>
        <w:t xml:space="preserve">地    址：连云港市连云区海州湾街道西墅路1号</w:t>
      </w:r>
      <w:r/>
    </w:p>
    <w:p>
      <w:pPr>
        <w:ind w:firstLine="480"/>
        <w:jc w:val="left"/>
        <w:spacing w:line="500" w:lineRule="exact"/>
        <w:rPr>
          <w:sz w:val="24"/>
          <w:szCs w:val="24"/>
        </w:rPr>
      </w:pPr>
      <w:r>
        <w:rPr>
          <w:rFonts w:hint="eastAsia"/>
          <w:sz w:val="24"/>
          <w:szCs w:val="24"/>
        </w:rPr>
        <w:t xml:space="preserve">联 系 人：王丹丹</w:t>
      </w:r>
      <w:r/>
    </w:p>
    <w:p>
      <w:pPr>
        <w:ind w:firstLine="480"/>
        <w:jc w:val="left"/>
        <w:spacing w:line="500" w:lineRule="exact"/>
        <w:rPr>
          <w:sz w:val="24"/>
          <w:szCs w:val="24"/>
        </w:rPr>
      </w:pPr>
      <w:r>
        <w:rPr>
          <w:rFonts w:hint="eastAsia"/>
          <w:sz w:val="24"/>
          <w:szCs w:val="24"/>
        </w:rPr>
        <w:t xml:space="preserve">联系电话：0518-82312782</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址：连云港市海州区凌洲东路9号2号楼4</w:t>
      </w:r>
      <w:r>
        <w:rPr>
          <w:rFonts w:hint="eastAsia"/>
          <w:sz w:val="24"/>
          <w:szCs w:val="24"/>
          <w:lang w:val="en-US" w:eastAsia="zh-CN"/>
        </w:rPr>
        <w:t xml:space="preserve">20</w:t>
      </w:r>
      <w:r>
        <w:rPr>
          <w:rFonts w:hint="eastAsia"/>
          <w:sz w:val="24"/>
          <w:szCs w:val="24"/>
        </w:rPr>
        <w:t xml:space="preserve">室</w:t>
      </w:r>
      <w:r/>
    </w:p>
    <w:p>
      <w:pPr>
        <w:ind w:firstLine="480"/>
        <w:jc w:val="left"/>
        <w:spacing w:line="500" w:lineRule="exact"/>
        <w:rPr>
          <w:rFonts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孔庆阳</w:t>
      </w:r>
      <w:r/>
    </w:p>
    <w:p>
      <w:pPr>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0518-82256586</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sz w:val="24"/>
          <w:szCs w:val="24"/>
        </w:rPr>
      </w:pPr>
      <w:r>
        <w:rPr>
          <w:rFonts w:hint="eastAsia"/>
          <w:sz w:val="24"/>
          <w:szCs w:val="24"/>
        </w:rPr>
        <w:t xml:space="preserve">项目联系人：</w:t>
      </w:r>
      <w:r>
        <w:rPr>
          <w:rFonts w:hint="eastAsia"/>
          <w:sz w:val="24"/>
          <w:szCs w:val="24"/>
          <w:lang w:val="en-US" w:eastAsia="zh-CN"/>
        </w:rPr>
        <w:t xml:space="preserve">孔庆阳</w:t>
      </w:r>
      <w:r/>
    </w:p>
    <w:p>
      <w:pPr>
        <w:ind w:firstLine="480"/>
        <w:jc w:val="left"/>
        <w:spacing w:line="500" w:lineRule="exact"/>
        <w:rPr>
          <w:sz w:val="24"/>
          <w:szCs w:val="24"/>
        </w:rPr>
      </w:pPr>
      <w:r>
        <w:rPr>
          <w:rFonts w:hint="eastAsia"/>
          <w:sz w:val="24"/>
          <w:szCs w:val="24"/>
        </w:rPr>
        <w:t xml:space="preserve">电      话：</w:t>
      </w:r>
      <w:r>
        <w:rPr>
          <w:rFonts w:hint="eastAsia"/>
          <w:sz w:val="24"/>
          <w:szCs w:val="24"/>
          <w:lang w:val="en-US" w:eastAsia="zh-CN"/>
        </w:rPr>
        <w:t xml:space="preserve">0518-82256586</w:t>
      </w:r>
      <w:r/>
    </w:p>
    <w:p>
      <w:pPr>
        <w:jc w:val="left"/>
        <w:widowControl/>
        <w:rPr>
          <w:rFonts w:ascii="黑体" w:hAnsi="黑体" w:eastAsia="黑体"/>
          <w:bCs/>
          <w:sz w:val="44"/>
          <w:szCs w:val="44"/>
        </w:rPr>
      </w:pPr>
      <w:r>
        <w:rPr>
          <w:rFonts w:ascii="黑体" w:hAnsi="黑体" w:eastAsia="黑体"/>
          <w:bCs/>
          <w:sz w:val="44"/>
          <w:szCs w:val="44"/>
        </w:rPr>
        <w:br w:type="page" w:clear="all"/>
      </w:r>
      <w:r/>
    </w:p>
    <w:p>
      <w:pPr>
        <w:pStyle w:val="847"/>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848"/>
        <w:spacing w:before="0" w:after="0" w:line="360" w:lineRule="auto"/>
        <w:rPr>
          <w:rFonts w:ascii="黑体" w:hAnsi="黑体" w:eastAsia="黑体"/>
          <w:b w:val="0"/>
        </w:rPr>
      </w:pPr>
      <w:r>
        <w:rPr>
          <w:rFonts w:hint="eastAsia" w:ascii="黑体" w:hAnsi="黑体" w:eastAsia="黑体"/>
          <w:b w:val="0"/>
        </w:rPr>
        <w:t xml:space="preserve">一、总则</w:t>
      </w:r>
      <w:r/>
    </w:p>
    <w:p>
      <w:pPr>
        <w:pStyle w:val="849"/>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9"/>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849"/>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9"/>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49"/>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8"/>
        <w:spacing w:before="0" w:after="0" w:line="360" w:lineRule="auto"/>
        <w:rPr>
          <w:rFonts w:ascii="黑体" w:hAnsi="黑体" w:eastAsia="黑体"/>
          <w:b w:val="0"/>
        </w:rPr>
      </w:pPr>
      <w:r>
        <w:rPr>
          <w:rFonts w:hint="eastAsia" w:ascii="黑体" w:hAnsi="黑体" w:eastAsia="黑体"/>
          <w:b w:val="0"/>
        </w:rPr>
        <w:t xml:space="preserve">二、招标文件</w:t>
      </w:r>
      <w:r/>
    </w:p>
    <w:p>
      <w:pPr>
        <w:pStyle w:val="849"/>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49"/>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49"/>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8"/>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9"/>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color w:val="000000"/>
          <w:sz w:val="24"/>
          <w:szCs w:val="24"/>
          <w:highlight w:val="none"/>
        </w:rPr>
        <w:outlineLvl w:val="2"/>
      </w:pPr>
      <w:r>
        <w:rPr>
          <w:rFonts w:hint="eastAsia"/>
          <w:color w:val="000000"/>
          <w:sz w:val="24"/>
          <w:szCs w:val="24"/>
          <w:highlight w:val="none"/>
        </w:rPr>
        <w:t xml:space="preserve">10.暗标编制要求</w:t>
      </w:r>
      <w:r/>
    </w:p>
    <w:p>
      <w:pPr>
        <w:ind w:firstLine="480"/>
        <w:spacing w:line="500" w:lineRule="exact"/>
        <w:rPr>
          <w:rFonts w:hint="eastAsia" w:ascii="宋体" w:hAnsi="宋体" w:cs="Calibri"/>
          <w:bCs/>
          <w:color w:val="000000"/>
          <w:sz w:val="24"/>
          <w:szCs w:val="24"/>
          <w:highlight w:val="none"/>
        </w:rPr>
      </w:pPr>
      <w:r>
        <w:rPr>
          <w:rFonts w:hint="eastAsia" w:ascii="宋体" w:hAnsi="宋体" w:cs="Calibri"/>
          <w:bCs/>
          <w:color w:val="000000"/>
          <w:sz w:val="24"/>
          <w:szCs w:val="24"/>
          <w:highlight w:val="none"/>
        </w:rPr>
        <w:t xml:space="preserve">10.1.本项目评审因素中技术（方案）部分采用暗标评审。要求如下：方案内容、文字、各类型图表、框图均不得出现供应商名称、相关人员姓名和其他可识别供应商身份的字符、徽标、人员名称、</w:t>
      </w:r>
      <w:r>
        <w:rPr>
          <w:rFonts w:ascii="宋体" w:hAnsi="宋体" w:cs="Calibri"/>
          <w:bCs/>
          <w:color w:val="000000"/>
          <w:sz w:val="24"/>
          <w:szCs w:val="24"/>
          <w:highlight w:val="none"/>
        </w:rPr>
        <w:t xml:space="preserve">投标人独享的企业标准或编号</w:t>
      </w:r>
      <w:r>
        <w:rPr>
          <w:rFonts w:hint="eastAsia" w:ascii="宋体" w:hAnsi="宋体" w:cs="Calibri"/>
          <w:bCs/>
          <w:color w:val="000000"/>
          <w:sz w:val="24"/>
          <w:szCs w:val="24"/>
          <w:highlight w:val="none"/>
        </w:rPr>
        <w:t xml:space="preserve">等内容；</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cs="Calibri"/>
          <w:bCs/>
          <w:color w:val="000000"/>
          <w:sz w:val="24"/>
          <w:szCs w:val="24"/>
          <w:highlight w:val="none"/>
        </w:rPr>
        <w:t xml:space="preserve">不得出现以前所承担过的项目名称，不得作任何标识或暗示该供应商单位名称或人员姓名的标记，</w:t>
      </w:r>
      <w:r>
        <w:rPr>
          <w:rFonts w:ascii="宋体" w:hAnsi="宋体" w:cs="Calibri"/>
          <w:bCs/>
          <w:color w:val="000000"/>
          <w:sz w:val="24"/>
          <w:szCs w:val="24"/>
          <w:highlight w:val="none"/>
        </w:rPr>
        <w:t xml:space="preserve">相关人员姓名应以职务或职称代替</w:t>
      </w:r>
      <w:r>
        <w:rPr>
          <w:rFonts w:hint="eastAsia" w:ascii="宋体" w:hAnsi="宋体" w:cs="Calibri"/>
          <w:bCs/>
          <w:color w:val="000000"/>
          <w:sz w:val="24"/>
          <w:szCs w:val="24"/>
          <w:highlight w:val="none"/>
        </w:rPr>
        <w:t xml:space="preserve">。</w:t>
      </w:r>
      <w:r/>
    </w:p>
    <w:p>
      <w:pPr>
        <w:ind w:firstLine="480"/>
        <w:spacing w:line="360" w:lineRule="auto"/>
        <w:widowControl/>
        <w:rPr>
          <w:color w:val="000000"/>
          <w:sz w:val="24"/>
          <w:szCs w:val="24"/>
          <w:highlight w:val="none"/>
        </w:rPr>
      </w:pPr>
      <w:r>
        <w:rPr>
          <w:rFonts w:hint="eastAsia" w:ascii="宋体" w:hAnsi="宋体" w:cs="Calibri"/>
          <w:bCs/>
          <w:color w:val="000000"/>
          <w:sz w:val="24"/>
          <w:szCs w:val="24"/>
          <w:highlight w:val="none"/>
        </w:rPr>
        <w:t xml:space="preserve">10.2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pStyle w:val="849"/>
        <w:ind w:firstLine="562"/>
        <w:jc w:val="left"/>
        <w:spacing w:before="0" w:after="0" w:line="360" w:lineRule="auto"/>
        <w:rPr>
          <w:sz w:val="28"/>
          <w:szCs w:val="28"/>
        </w:rPr>
      </w:pPr>
      <w:r>
        <w:rPr>
          <w:rFonts w:hint="eastAsia"/>
          <w:sz w:val="28"/>
          <w:szCs w:val="28"/>
        </w:rPr>
        <w:t xml:space="preserve">11、投标文件的语言及度量衡单位</w:t>
      </w:r>
      <w:r/>
    </w:p>
    <w:p>
      <w:pPr>
        <w:ind w:firstLine="480"/>
        <w:jc w:val="left"/>
        <w:spacing w:line="500" w:lineRule="exact"/>
        <w:rPr>
          <w:sz w:val="24"/>
          <w:szCs w:val="24"/>
        </w:rPr>
      </w:pPr>
      <w:r>
        <w:rPr>
          <w:rFonts w:hint="eastAsia"/>
          <w:sz w:val="24"/>
          <w:szCs w:val="24"/>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11.2 除技术性能另有规定外，投标文件所使用的度量衡单位，均须采用国家法定计量单位。</w:t>
      </w:r>
      <w:r/>
    </w:p>
    <w:p>
      <w:pPr>
        <w:pStyle w:val="849"/>
        <w:ind w:firstLine="562"/>
        <w:jc w:val="left"/>
        <w:spacing w:before="0" w:after="0" w:line="360" w:lineRule="auto"/>
        <w:rPr>
          <w:sz w:val="28"/>
          <w:szCs w:val="28"/>
        </w:rPr>
      </w:pPr>
      <w:r>
        <w:rPr>
          <w:rFonts w:hint="eastAsia"/>
          <w:sz w:val="28"/>
          <w:szCs w:val="28"/>
        </w:rPr>
        <w:t xml:space="preserve">12、投标文件的构成</w:t>
      </w:r>
      <w:r/>
    </w:p>
    <w:p>
      <w:pPr>
        <w:ind w:firstLine="480"/>
        <w:jc w:val="left"/>
        <w:spacing w:line="500" w:lineRule="exact"/>
        <w:rPr>
          <w:sz w:val="24"/>
          <w:szCs w:val="24"/>
        </w:rPr>
      </w:pPr>
      <w:r>
        <w:rPr>
          <w:rFonts w:hint="eastAsia"/>
          <w:sz w:val="24"/>
          <w:szCs w:val="24"/>
        </w:rPr>
        <w:t xml:space="preserve">12.1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12.2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12.3 特别提醒投标人，混乱的编排导致投标文件被误读或评标委员会（以下简称评委会）查找不到有效文件是投标人的风险。</w:t>
      </w:r>
      <w:r/>
    </w:p>
    <w:p>
      <w:pPr>
        <w:pStyle w:val="849"/>
        <w:ind w:firstLine="562"/>
        <w:jc w:val="left"/>
        <w:spacing w:before="0" w:after="0" w:line="360" w:lineRule="auto"/>
        <w:rPr>
          <w:sz w:val="28"/>
          <w:szCs w:val="28"/>
        </w:rPr>
      </w:pPr>
      <w:r>
        <w:rPr>
          <w:rFonts w:hint="eastAsia"/>
          <w:sz w:val="28"/>
          <w:szCs w:val="28"/>
        </w:rPr>
        <w:t xml:space="preserve">13、证明投标人及投标标的符合招标文件规定的文件</w:t>
      </w:r>
      <w:r/>
    </w:p>
    <w:p>
      <w:pPr>
        <w:ind w:firstLine="480"/>
        <w:jc w:val="left"/>
        <w:spacing w:line="500" w:lineRule="exact"/>
        <w:rPr>
          <w:sz w:val="24"/>
          <w:szCs w:val="24"/>
        </w:rPr>
      </w:pPr>
      <w:r>
        <w:rPr>
          <w:rFonts w:hint="eastAsia"/>
          <w:sz w:val="24"/>
          <w:szCs w:val="24"/>
        </w:rPr>
        <w:t xml:space="preserve">13.1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13.2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13.3 投标人委托代理时应当提交授权委托书，请按招标文件第六章给定格式及要求填写并附法定代表人（单位负责人）与委托代理人身份证明。</w:t>
      </w:r>
      <w:r/>
    </w:p>
    <w:p>
      <w:pPr>
        <w:pStyle w:val="849"/>
        <w:ind w:firstLine="562"/>
        <w:jc w:val="left"/>
        <w:spacing w:before="0" w:after="0" w:line="360" w:lineRule="auto"/>
      </w:pPr>
      <w:r>
        <w:rPr>
          <w:rFonts w:hint="eastAsia"/>
          <w:sz w:val="28"/>
          <w:szCs w:val="28"/>
        </w:rPr>
        <w:t xml:space="preserve">14、投标分项报价表</w:t>
      </w:r>
      <w:r/>
    </w:p>
    <w:p>
      <w:pPr>
        <w:ind w:firstLine="480"/>
        <w:jc w:val="left"/>
        <w:spacing w:line="500" w:lineRule="exact"/>
        <w:rPr>
          <w:sz w:val="24"/>
          <w:szCs w:val="24"/>
        </w:rPr>
      </w:pPr>
      <w:r>
        <w:rPr>
          <w:rFonts w:hint="eastAsia"/>
          <w:sz w:val="24"/>
          <w:szCs w:val="24"/>
        </w:rPr>
        <w:t xml:space="preserve">14.1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14.2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14.3 投标文件中的单价和总价无特殊规定的采用人民币报价，以元为单位标注。招标文件中另有规定的按规定执行。</w:t>
      </w:r>
      <w:r/>
    </w:p>
    <w:p>
      <w:pPr>
        <w:pStyle w:val="849"/>
        <w:ind w:firstLine="562"/>
        <w:jc w:val="left"/>
        <w:spacing w:before="0" w:after="0" w:line="360" w:lineRule="auto"/>
        <w:rPr>
          <w:sz w:val="28"/>
          <w:szCs w:val="28"/>
        </w:rPr>
      </w:pPr>
      <w:r>
        <w:rPr>
          <w:rFonts w:hint="eastAsia"/>
          <w:sz w:val="28"/>
          <w:szCs w:val="28"/>
        </w:rPr>
        <w:t xml:space="preserve">15、技术要求响应及偏离表、商务要求响应及偏离表</w:t>
      </w:r>
      <w:r/>
    </w:p>
    <w:p>
      <w:pPr>
        <w:ind w:firstLine="480"/>
        <w:jc w:val="left"/>
        <w:spacing w:line="500" w:lineRule="exact"/>
        <w:rPr>
          <w:sz w:val="24"/>
          <w:szCs w:val="24"/>
        </w:rPr>
      </w:pPr>
      <w:r>
        <w:rPr>
          <w:rFonts w:hint="eastAsia"/>
          <w:sz w:val="24"/>
          <w:szCs w:val="24"/>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15.2 投标人可在投标文件中提供认为需要的其他技术文件或说明。</w:t>
      </w:r>
      <w:r/>
    </w:p>
    <w:p>
      <w:pPr>
        <w:pStyle w:val="849"/>
        <w:ind w:firstLine="562"/>
        <w:jc w:val="left"/>
        <w:spacing w:before="0" w:after="0" w:line="360" w:lineRule="auto"/>
        <w:rPr>
          <w:sz w:val="28"/>
          <w:szCs w:val="28"/>
        </w:rPr>
      </w:pPr>
      <w:r>
        <w:rPr>
          <w:rFonts w:hint="eastAsia"/>
          <w:sz w:val="28"/>
          <w:szCs w:val="28"/>
        </w:rPr>
        <w:t xml:space="preserve">16、服务承诺、培训计划、人员安排及其他</w:t>
      </w:r>
      <w:r/>
    </w:p>
    <w:p>
      <w:pPr>
        <w:ind w:firstLine="480"/>
        <w:jc w:val="left"/>
        <w:spacing w:line="500" w:lineRule="exact"/>
        <w:rPr>
          <w:sz w:val="24"/>
          <w:szCs w:val="24"/>
        </w:rPr>
      </w:pPr>
      <w:r>
        <w:rPr>
          <w:rFonts w:hint="eastAsia"/>
          <w:sz w:val="24"/>
          <w:szCs w:val="24"/>
        </w:rPr>
        <w:t xml:space="preserve">16.1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16.2 投标人应根据招标文件要求提供培训计划、人员安排等。</w:t>
      </w:r>
      <w:r/>
    </w:p>
    <w:p>
      <w:pPr>
        <w:ind w:firstLine="480"/>
        <w:jc w:val="left"/>
        <w:spacing w:line="500" w:lineRule="exact"/>
        <w:rPr>
          <w:sz w:val="24"/>
          <w:szCs w:val="24"/>
        </w:rPr>
      </w:pPr>
      <w:r>
        <w:rPr>
          <w:rFonts w:hint="eastAsia"/>
          <w:sz w:val="24"/>
          <w:szCs w:val="24"/>
        </w:rPr>
        <w:t xml:space="preserve">16.3 投标人应根据招标文件要求提供所投标的的主要组成部分、功能设计、实现思路及关键技术等。</w:t>
      </w:r>
      <w:r/>
    </w:p>
    <w:p>
      <w:pPr>
        <w:pStyle w:val="849"/>
        <w:ind w:firstLine="562"/>
        <w:jc w:val="left"/>
        <w:spacing w:before="0" w:after="0" w:line="360" w:lineRule="auto"/>
        <w:rPr>
          <w:sz w:val="28"/>
          <w:szCs w:val="28"/>
        </w:rPr>
      </w:pPr>
      <w:r>
        <w:rPr>
          <w:rFonts w:hint="eastAsia"/>
          <w:sz w:val="28"/>
          <w:szCs w:val="28"/>
        </w:rPr>
        <w:t xml:space="preserve">17、投标函和开标一览表</w:t>
      </w:r>
      <w:r/>
    </w:p>
    <w:p>
      <w:pPr>
        <w:ind w:firstLine="480"/>
        <w:jc w:val="left"/>
        <w:spacing w:line="500" w:lineRule="exact"/>
        <w:rPr>
          <w:sz w:val="24"/>
          <w:szCs w:val="24"/>
        </w:rPr>
      </w:pPr>
      <w:r>
        <w:rPr>
          <w:rFonts w:hint="eastAsia"/>
          <w:sz w:val="24"/>
          <w:szCs w:val="24"/>
        </w:rPr>
        <w:t xml:space="preserve">17.1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17.2 对于采用货币报价的项目，开标一览表中的投标总报价应与投标分项报价表中的投标总报价一致，如不一致，不作无效投标处理，但评标时以开标一览表中价格为准。</w:t>
      </w:r>
      <w:r/>
    </w:p>
    <w:p>
      <w:pPr>
        <w:pStyle w:val="849"/>
        <w:ind w:firstLine="562"/>
        <w:jc w:val="left"/>
        <w:spacing w:before="0" w:after="0" w:line="360" w:lineRule="auto"/>
        <w:rPr>
          <w:sz w:val="28"/>
          <w:szCs w:val="28"/>
        </w:rPr>
      </w:pPr>
      <w:r>
        <w:rPr>
          <w:rFonts w:hint="eastAsia"/>
          <w:sz w:val="28"/>
          <w:szCs w:val="28"/>
        </w:rPr>
        <w:t xml:space="preserve">18、投标有效期</w:t>
      </w:r>
      <w:r/>
    </w:p>
    <w:p>
      <w:pPr>
        <w:ind w:firstLine="480"/>
        <w:jc w:val="left"/>
        <w:spacing w:line="500" w:lineRule="exact"/>
        <w:rPr>
          <w:sz w:val="24"/>
          <w:szCs w:val="24"/>
        </w:rPr>
      </w:pPr>
      <w:r>
        <w:rPr>
          <w:rFonts w:hint="eastAsia"/>
          <w:sz w:val="24"/>
          <w:szCs w:val="24"/>
        </w:rPr>
        <w:t xml:space="preserve">18.1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8"/>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9"/>
        <w:ind w:firstLine="562"/>
        <w:jc w:val="left"/>
        <w:spacing w:before="0" w:after="0" w:line="360" w:lineRule="auto"/>
        <w:rPr>
          <w:sz w:val="28"/>
          <w:szCs w:val="28"/>
        </w:rPr>
      </w:pPr>
      <w:r>
        <w:rPr>
          <w:rFonts w:hint="eastAsia"/>
          <w:sz w:val="28"/>
          <w:szCs w:val="28"/>
        </w:rPr>
        <w:t xml:space="preserve">19、电子投标文件的递交</w:t>
      </w:r>
      <w:r/>
    </w:p>
    <w:p>
      <w:pPr>
        <w:ind w:firstLine="480"/>
        <w:jc w:val="left"/>
        <w:spacing w:line="500" w:lineRule="exact"/>
        <w:rPr>
          <w:sz w:val="24"/>
          <w:szCs w:val="24"/>
        </w:rPr>
      </w:pPr>
      <w:r>
        <w:rPr>
          <w:rFonts w:hint="eastAsia"/>
          <w:sz w:val="24"/>
          <w:szCs w:val="24"/>
        </w:rPr>
        <w:t xml:space="preserve">19.1 投标人应当按照《操作手册》规定，在投标截止时间前制作并递交（上传）电子投标文件。</w:t>
      </w:r>
      <w:r/>
    </w:p>
    <w:p>
      <w:pPr>
        <w:pStyle w:val="849"/>
        <w:ind w:firstLine="562"/>
        <w:jc w:val="left"/>
        <w:spacing w:before="0" w:after="0" w:line="360" w:lineRule="auto"/>
        <w:rPr>
          <w:sz w:val="28"/>
          <w:szCs w:val="28"/>
        </w:rPr>
      </w:pPr>
      <w:r>
        <w:rPr>
          <w:rFonts w:hint="eastAsia"/>
          <w:sz w:val="28"/>
          <w:szCs w:val="28"/>
        </w:rPr>
        <w:t xml:space="preserve">20、投标截止时间</w:t>
      </w:r>
      <w:r/>
    </w:p>
    <w:p>
      <w:pPr>
        <w:ind w:firstLine="480"/>
        <w:jc w:val="left"/>
        <w:spacing w:line="500" w:lineRule="exact"/>
        <w:rPr>
          <w:sz w:val="24"/>
          <w:szCs w:val="24"/>
        </w:rPr>
      </w:pPr>
      <w:r>
        <w:rPr>
          <w:rFonts w:hint="eastAsia"/>
          <w:sz w:val="24"/>
          <w:szCs w:val="24"/>
        </w:rPr>
        <w:t xml:space="preserve">20.1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20.2 采购人和交易中心可以按照规定，通过修改招标文件酌情延长投标截止时间，在此情况下，投标人的所有权利和义务以及投标人受制的截止时间均应以延长后新的截止时间为准。</w:t>
      </w:r>
      <w:r/>
    </w:p>
    <w:p>
      <w:pPr>
        <w:pStyle w:val="849"/>
        <w:ind w:firstLine="562"/>
        <w:jc w:val="left"/>
        <w:spacing w:before="0" w:after="0" w:line="360" w:lineRule="auto"/>
        <w:rPr>
          <w:sz w:val="28"/>
          <w:szCs w:val="28"/>
        </w:rPr>
      </w:pPr>
      <w:r>
        <w:rPr>
          <w:rFonts w:hint="eastAsia"/>
          <w:sz w:val="28"/>
          <w:szCs w:val="28"/>
        </w:rPr>
        <w:t xml:space="preserve">21、投标文件的拒收</w:t>
      </w:r>
      <w:r/>
    </w:p>
    <w:p>
      <w:pPr>
        <w:ind w:firstLine="480"/>
        <w:jc w:val="left"/>
        <w:spacing w:line="500" w:lineRule="exact"/>
        <w:rPr>
          <w:sz w:val="24"/>
          <w:szCs w:val="24"/>
        </w:rPr>
      </w:pPr>
      <w:r>
        <w:rPr>
          <w:rFonts w:hint="eastAsia"/>
          <w:sz w:val="24"/>
          <w:szCs w:val="24"/>
        </w:rPr>
        <w:t xml:space="preserve">21.1 交易中心拒绝接收在招标文件规定的投标截止时间后递交（上传）的任何投标文件。</w:t>
      </w:r>
      <w:r/>
    </w:p>
    <w:p>
      <w:pPr>
        <w:pStyle w:val="849"/>
        <w:ind w:firstLine="562"/>
        <w:jc w:val="left"/>
        <w:spacing w:before="0" w:after="0" w:line="360" w:lineRule="auto"/>
        <w:rPr>
          <w:sz w:val="28"/>
          <w:szCs w:val="28"/>
        </w:rPr>
      </w:pPr>
      <w:r>
        <w:rPr>
          <w:rFonts w:hint="eastAsia"/>
          <w:sz w:val="28"/>
          <w:szCs w:val="28"/>
        </w:rPr>
        <w:t xml:space="preserve">22、投标文件的撤回和修改</w:t>
      </w:r>
      <w:r/>
    </w:p>
    <w:p>
      <w:pPr>
        <w:ind w:firstLine="480"/>
        <w:jc w:val="left"/>
        <w:spacing w:line="500" w:lineRule="exact"/>
        <w:rPr>
          <w:sz w:val="24"/>
          <w:szCs w:val="24"/>
        </w:rPr>
      </w:pPr>
      <w:r>
        <w:rPr>
          <w:rFonts w:hint="eastAsia"/>
          <w:sz w:val="24"/>
          <w:szCs w:val="24"/>
        </w:rPr>
        <w:t xml:space="preserve">22.1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22.2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22.3 在投标截止时间至招标文件规定的投标有效期满之间的这段时间内，投标人不得撤回其投标。</w:t>
      </w:r>
      <w:r/>
    </w:p>
    <w:p>
      <w:pPr>
        <w:pStyle w:val="848"/>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9"/>
        <w:ind w:firstLine="562"/>
        <w:jc w:val="left"/>
        <w:spacing w:before="0" w:after="0" w:line="360" w:lineRule="auto"/>
        <w:rPr>
          <w:sz w:val="28"/>
          <w:szCs w:val="28"/>
        </w:rPr>
      </w:pPr>
      <w:r>
        <w:rPr>
          <w:rFonts w:hint="eastAsia"/>
          <w:sz w:val="28"/>
          <w:szCs w:val="28"/>
        </w:rPr>
        <w:t xml:space="preserve">23、开标</w:t>
      </w:r>
      <w:r/>
    </w:p>
    <w:p>
      <w:pPr>
        <w:ind w:firstLine="480"/>
        <w:jc w:val="left"/>
        <w:spacing w:line="500" w:lineRule="exact"/>
        <w:rPr>
          <w:sz w:val="24"/>
          <w:szCs w:val="24"/>
        </w:rPr>
      </w:pPr>
      <w:r>
        <w:rPr>
          <w:rFonts w:hint="eastAsia"/>
          <w:sz w:val="24"/>
          <w:szCs w:val="24"/>
        </w:rPr>
        <w:t xml:space="preserve">23.1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23.2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23.3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23.4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23.5 投标人未参加开标的，视同认可开标结果。</w:t>
      </w:r>
      <w:r/>
    </w:p>
    <w:p>
      <w:pPr>
        <w:ind w:firstLine="480"/>
        <w:jc w:val="left"/>
        <w:spacing w:line="500" w:lineRule="exact"/>
        <w:rPr>
          <w:sz w:val="24"/>
          <w:szCs w:val="24"/>
        </w:rPr>
      </w:pPr>
      <w:r>
        <w:rPr>
          <w:rFonts w:hint="eastAsia"/>
          <w:sz w:val="24"/>
          <w:szCs w:val="24"/>
        </w:rPr>
        <w:t xml:space="preserve">23.6 投标人在开标、评标全过程中应保持通讯畅通，及时登录“苏采云”系统查阅、答复相关信息，并安排专人与交易中心及评委会联系。</w:t>
      </w:r>
      <w:r/>
    </w:p>
    <w:p>
      <w:pPr>
        <w:pStyle w:val="849"/>
        <w:ind w:firstLine="562"/>
        <w:jc w:val="left"/>
        <w:spacing w:before="0" w:after="0" w:line="360" w:lineRule="auto"/>
        <w:rPr>
          <w:sz w:val="28"/>
          <w:szCs w:val="28"/>
        </w:rPr>
      </w:pPr>
      <w:r>
        <w:rPr>
          <w:rFonts w:hint="eastAsia"/>
          <w:sz w:val="28"/>
          <w:szCs w:val="28"/>
        </w:rPr>
        <w:t xml:space="preserve">24、评标委员会</w:t>
      </w:r>
      <w:r/>
    </w:p>
    <w:p>
      <w:pPr>
        <w:ind w:firstLine="480"/>
        <w:jc w:val="left"/>
        <w:spacing w:line="500" w:lineRule="exact"/>
        <w:rPr>
          <w:sz w:val="24"/>
          <w:szCs w:val="24"/>
        </w:rPr>
      </w:pPr>
      <w:r>
        <w:rPr>
          <w:rFonts w:hint="eastAsia"/>
          <w:sz w:val="24"/>
          <w:szCs w:val="24"/>
        </w:rPr>
        <w:t xml:space="preserve">24.1 开标后，交易中心将组织评委会进行评标。</w:t>
      </w:r>
      <w:r/>
    </w:p>
    <w:p>
      <w:pPr>
        <w:ind w:firstLine="480"/>
        <w:jc w:val="left"/>
        <w:spacing w:line="500" w:lineRule="exact"/>
        <w:rPr>
          <w:sz w:val="24"/>
          <w:szCs w:val="24"/>
        </w:rPr>
      </w:pPr>
      <w:r>
        <w:rPr>
          <w:rFonts w:hint="eastAsia"/>
          <w:sz w:val="24"/>
          <w:szCs w:val="24"/>
        </w:rPr>
        <w:t xml:space="preserve">24.2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24.3 评委会按照采购文件规定的评审程序、评审方法和评审标准进行独立评审并确定中标候选人。</w:t>
      </w:r>
      <w:r/>
    </w:p>
    <w:p>
      <w:pPr>
        <w:pStyle w:val="849"/>
        <w:ind w:firstLine="562"/>
        <w:jc w:val="left"/>
        <w:spacing w:before="0" w:after="0" w:line="360" w:lineRule="auto"/>
        <w:rPr>
          <w:sz w:val="28"/>
          <w:szCs w:val="28"/>
        </w:rPr>
      </w:pPr>
      <w:r>
        <w:rPr>
          <w:rFonts w:hint="eastAsia"/>
          <w:sz w:val="28"/>
          <w:szCs w:val="28"/>
        </w:rPr>
        <w:t xml:space="preserve">25、评标过程的保密与公正</w:t>
      </w:r>
      <w:r/>
    </w:p>
    <w:p>
      <w:pPr>
        <w:ind w:firstLine="480"/>
        <w:jc w:val="left"/>
        <w:spacing w:line="500" w:lineRule="exact"/>
        <w:rPr>
          <w:sz w:val="24"/>
          <w:szCs w:val="24"/>
        </w:rPr>
      </w:pPr>
      <w:r>
        <w:rPr>
          <w:rFonts w:hint="eastAsia"/>
          <w:sz w:val="24"/>
          <w:szCs w:val="24"/>
        </w:rPr>
        <w:t xml:space="preserve">25.1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25.2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25.3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25.4 采用综合评分法的项目，未中标的投标人可于中标结果公告期限届满之日起通过“苏采云”系统查看自己的评审得分及排序情况。</w:t>
      </w:r>
      <w:r/>
    </w:p>
    <w:p>
      <w:pPr>
        <w:pStyle w:val="849"/>
        <w:ind w:firstLine="562"/>
        <w:jc w:val="left"/>
        <w:spacing w:before="0" w:after="0" w:line="360" w:lineRule="auto"/>
        <w:rPr>
          <w:sz w:val="28"/>
          <w:szCs w:val="28"/>
        </w:rPr>
      </w:pPr>
      <w:r>
        <w:rPr>
          <w:rFonts w:hint="eastAsia"/>
          <w:sz w:val="28"/>
          <w:szCs w:val="28"/>
        </w:rPr>
        <w:t xml:space="preserve">26、投标文件的澄清</w:t>
      </w:r>
      <w:r/>
    </w:p>
    <w:p>
      <w:pPr>
        <w:ind w:firstLine="480"/>
        <w:jc w:val="left"/>
        <w:spacing w:line="500" w:lineRule="exact"/>
        <w:rPr>
          <w:sz w:val="24"/>
          <w:szCs w:val="24"/>
        </w:rPr>
      </w:pPr>
      <w:r>
        <w:rPr>
          <w:rFonts w:hint="eastAsia"/>
          <w:sz w:val="24"/>
          <w:szCs w:val="24"/>
        </w:rPr>
        <w:t xml:space="preserve">26.1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26.3 接到评委会澄清、说明或者补正要求的投标人如未按要求响应，其风险由投标人自行承担。</w:t>
      </w:r>
      <w:r/>
    </w:p>
    <w:p>
      <w:pPr>
        <w:pStyle w:val="849"/>
        <w:ind w:firstLine="562"/>
        <w:jc w:val="left"/>
        <w:spacing w:before="0" w:after="0" w:line="360" w:lineRule="auto"/>
        <w:rPr>
          <w:sz w:val="28"/>
          <w:szCs w:val="28"/>
        </w:rPr>
      </w:pPr>
      <w:r>
        <w:rPr>
          <w:rFonts w:hint="eastAsia"/>
          <w:sz w:val="28"/>
          <w:szCs w:val="28"/>
        </w:rPr>
        <w:t xml:space="preserve">27、对投标文件的审查</w:t>
      </w:r>
      <w:r/>
    </w:p>
    <w:p>
      <w:pPr>
        <w:ind w:firstLine="480"/>
        <w:jc w:val="left"/>
        <w:spacing w:line="360" w:lineRule="auto"/>
        <w:rPr>
          <w:sz w:val="24"/>
          <w:szCs w:val="24"/>
        </w:rPr>
      </w:pPr>
      <w:r>
        <w:rPr>
          <w:rFonts w:hint="eastAsia"/>
          <w:sz w:val="24"/>
          <w:szCs w:val="24"/>
        </w:rPr>
        <w:t xml:space="preserve">27.1 投标文件审查分为资格审查和符合性审查。</w:t>
      </w:r>
      <w:r/>
    </w:p>
    <w:p>
      <w:pPr>
        <w:pStyle w:val="876"/>
        <w:ind w:firstLine="480"/>
        <w:spacing w:before="0" w:beforeAutospacing="0" w:after="0" w:afterAutospacing="0" w:line="360" w:lineRule="auto"/>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.1.1 资格审查：采购人依据法律法规和招标文件的规定，对投标文件中的资格证明文件进行审查。资格审查的结论，采购人以书面形式向评委会进行反馈。</w:t>
      </w:r>
      <w:r/>
    </w:p>
    <w:p>
      <w:pPr>
        <w:pStyle w:val="876"/>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876"/>
        <w:ind w:firstLine="480"/>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876"/>
        <w:ind w:firstLine="480"/>
        <w:jc w:val="both"/>
        <w:spacing w:before="0" w:beforeAutospacing="0" w:after="0" w:afterAutospacing="0" w:line="499" w:lineRule="atLeast"/>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876"/>
        <w:ind w:firstLine="482"/>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.1.3</w:t>
      </w:r>
      <w:r>
        <w:rPr>
          <w:rFonts w:hint="eastAsia" w:ascii="宋体" w:hAnsi="宋体" w:cs="宋体"/>
          <w:color w:val="000000"/>
          <w:szCs w:val="24"/>
        </w:rPr>
        <w:t xml:space="preserve">政府采购异常低价审查：</w:t>
      </w:r>
      <w:r/>
    </w:p>
    <w:p>
      <w:pPr>
        <w:pStyle w:val="876"/>
        <w:ind w:firstLine="482"/>
        <w:jc w:val="both"/>
        <w:spacing w:before="0" w:beforeAutospacing="0" w:after="0" w:afterAutospacing="0" w:line="499" w:lineRule="atLeast"/>
      </w:pPr>
      <w:r>
        <w:rPr>
          <w:rFonts w:hint="eastAsia" w:ascii="宋体" w:hAnsi="宋体" w:cs="宋体"/>
          <w:color w:val="000000"/>
          <w:szCs w:val="24"/>
        </w:rPr>
        <w:t xml:space="preserve">（一）评审过程中出现下列情形之一的，评委会应当启动异常低价投标（响应）审查程序：</w:t>
      </w:r>
      <w:r/>
    </w:p>
    <w:p>
      <w:pPr>
        <w:pStyle w:val="876"/>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1.投标(响应)报价低于全部通过符合性审查供应商投标(响应)报价平均值</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0%的，即投标(响应)报价&lt;全部通过符合性审查供应商投标(响应)报价平均值×</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0%；</w:t>
      </w:r>
      <w:r/>
    </w:p>
    <w:p>
      <w:pPr>
        <w:pStyle w:val="876"/>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2.投标(响应)报价低于通过符合性审查的次低报价供应商投标(响应)报价</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0%的，即投标(响应)报价&lt;通过符合性审查的次低报价供应商投标(响应)报价×</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0%；</w:t>
      </w:r>
      <w:r/>
    </w:p>
    <w:p>
      <w:pPr>
        <w:pStyle w:val="876"/>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3.投标(响应)报价低于采购项目最高限价</w:t>
      </w:r>
      <w:r>
        <w:rPr>
          <w:rFonts w:hint="eastAsia" w:ascii="宋体" w:hAnsi="宋体" w:cs="宋体"/>
          <w:color w:val="000000"/>
          <w:szCs w:val="24"/>
          <w:highlight w:val="none"/>
          <w:lang w:val="en-US" w:eastAsia="zh-CN"/>
        </w:rPr>
        <w:t xml:space="preserve">60</w:t>
      </w:r>
      <w:r>
        <w:rPr>
          <w:rFonts w:hint="eastAsia" w:ascii="宋体" w:hAnsi="宋体" w:cs="宋体"/>
          <w:color w:val="000000"/>
          <w:szCs w:val="24"/>
          <w:highlight w:val="none"/>
        </w:rPr>
        <w:t xml:space="preserve">%的，即投标(响应)报价&lt;采购项目最高限价×</w:t>
      </w:r>
      <w:r>
        <w:rPr>
          <w:rFonts w:hint="eastAsia" w:ascii="宋体" w:hAnsi="宋体" w:cs="宋体"/>
          <w:color w:val="000000"/>
          <w:szCs w:val="24"/>
          <w:highlight w:val="none"/>
          <w:lang w:val="en-US" w:eastAsia="zh-CN"/>
        </w:rPr>
        <w:t xml:space="preserve">60</w:t>
      </w:r>
      <w:r>
        <w:rPr>
          <w:rFonts w:hint="eastAsia" w:ascii="宋体" w:hAnsi="宋体" w:cs="宋体"/>
          <w:color w:val="000000"/>
          <w:szCs w:val="24"/>
          <w:highlight w:val="none"/>
        </w:rPr>
        <w:t xml:space="preserve">%；</w:t>
      </w:r>
      <w:r/>
    </w:p>
    <w:p>
      <w:pPr>
        <w:pStyle w:val="876"/>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highlight w:val="none"/>
        </w:rPr>
        <w:t xml:space="preserve">4.评委会基于专业判断，认为供应商报价过低，有可能影响产品质量或者不</w:t>
      </w:r>
      <w:r>
        <w:rPr>
          <w:rFonts w:hint="eastAsia" w:ascii="宋体" w:hAnsi="宋体" w:cs="宋体"/>
          <w:color w:val="000000"/>
          <w:szCs w:val="24"/>
        </w:rPr>
        <w:t xml:space="preserve">能诚信履约的其他情形。</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p>
    <w:p>
      <w:pPr>
        <w:pStyle w:val="876"/>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7</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27.2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27.3如果投标文件实质上没有响应招标文件的要求，评委会将予以拒绝，投标人不得通过修改或撤销不符合要求的偏离而使其投标成为实质性响应的投标。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27.4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27.5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27.6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49"/>
        <w:ind w:firstLine="562"/>
        <w:jc w:val="left"/>
        <w:spacing w:before="0" w:after="0" w:line="360" w:lineRule="auto"/>
        <w:rPr>
          <w:sz w:val="28"/>
          <w:szCs w:val="28"/>
        </w:rPr>
      </w:pPr>
      <w:r>
        <w:rPr>
          <w:rFonts w:hint="eastAsia"/>
          <w:sz w:val="28"/>
          <w:szCs w:val="28"/>
        </w:rPr>
        <w:t xml:space="preserve">28、无效投标条款和废标条款</w:t>
      </w:r>
      <w:r/>
    </w:p>
    <w:p>
      <w:pPr>
        <w:ind w:firstLine="480"/>
        <w:jc w:val="left"/>
        <w:spacing w:line="500" w:lineRule="exact"/>
        <w:rPr>
          <w:sz w:val="24"/>
          <w:szCs w:val="24"/>
        </w:rPr>
      </w:pPr>
      <w:r>
        <w:rPr>
          <w:rFonts w:hint="eastAsia"/>
          <w:sz w:val="24"/>
          <w:szCs w:val="24"/>
        </w:rPr>
        <w:t xml:space="preserve">28.1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28.2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28.3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28.4 出现投标截止时间结束后参加投标的供应商或者在评标期间对招标文件做出实质响应的供应商不足三家情况的，按照政府采购有关规定执行。</w:t>
      </w:r>
      <w:r/>
    </w:p>
    <w:p>
      <w:pPr>
        <w:pStyle w:val="848"/>
        <w:spacing w:before="0" w:after="0" w:line="360" w:lineRule="auto"/>
        <w:rPr>
          <w:rFonts w:ascii="黑体" w:hAnsi="黑体" w:eastAsia="黑体"/>
          <w:b w:val="0"/>
        </w:rPr>
      </w:pPr>
      <w:r>
        <w:rPr>
          <w:rFonts w:hint="eastAsia" w:ascii="黑体" w:hAnsi="黑体" w:eastAsia="黑体"/>
          <w:b w:val="0"/>
        </w:rPr>
        <w:t xml:space="preserve">六、定标</w:t>
      </w:r>
      <w:r/>
    </w:p>
    <w:p>
      <w:pPr>
        <w:pStyle w:val="849"/>
        <w:ind w:firstLine="562"/>
        <w:jc w:val="left"/>
        <w:spacing w:before="0" w:after="0" w:line="360" w:lineRule="auto"/>
        <w:rPr>
          <w:sz w:val="28"/>
          <w:szCs w:val="28"/>
        </w:rPr>
      </w:pPr>
      <w:r>
        <w:rPr>
          <w:rFonts w:hint="eastAsia"/>
          <w:sz w:val="28"/>
          <w:szCs w:val="28"/>
        </w:rPr>
        <w:t xml:space="preserve">29、确定中标单位</w:t>
      </w:r>
      <w:r/>
    </w:p>
    <w:p>
      <w:pPr>
        <w:ind w:firstLine="480"/>
        <w:jc w:val="left"/>
        <w:spacing w:line="500" w:lineRule="exact"/>
        <w:rPr>
          <w:sz w:val="24"/>
          <w:szCs w:val="24"/>
        </w:rPr>
      </w:pPr>
      <w:r>
        <w:rPr>
          <w:rFonts w:hint="eastAsia"/>
          <w:sz w:val="24"/>
          <w:szCs w:val="24"/>
        </w:rPr>
        <w:t xml:space="preserve">29.1 中标候选人的选取原则和数量详见招标文件第五章规定。 </w:t>
      </w:r>
      <w:r/>
    </w:p>
    <w:p>
      <w:pPr>
        <w:ind w:firstLine="480"/>
        <w:jc w:val="left"/>
        <w:spacing w:line="500" w:lineRule="exact"/>
        <w:rPr>
          <w:sz w:val="24"/>
          <w:szCs w:val="24"/>
        </w:rPr>
      </w:pPr>
      <w:r>
        <w:rPr>
          <w:rFonts w:hint="eastAsia"/>
          <w:sz w:val="24"/>
          <w:szCs w:val="24"/>
        </w:rPr>
        <w:t xml:space="preserve">29.2 采购人应根据评委会推荐的中标候选人确定中标人。</w:t>
      </w:r>
      <w:r/>
    </w:p>
    <w:p>
      <w:pPr>
        <w:ind w:firstLine="480"/>
        <w:jc w:val="left"/>
        <w:spacing w:line="500" w:lineRule="exact"/>
        <w:rPr>
          <w:sz w:val="24"/>
          <w:szCs w:val="24"/>
        </w:rPr>
      </w:pPr>
      <w:r>
        <w:rPr>
          <w:rFonts w:hint="eastAsia"/>
          <w:sz w:val="24"/>
          <w:szCs w:val="24"/>
        </w:rPr>
        <w:t xml:space="preserve">29.3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29.4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49"/>
        <w:ind w:firstLine="562"/>
        <w:jc w:val="left"/>
        <w:spacing w:before="0" w:after="0" w:line="360" w:lineRule="auto"/>
        <w:rPr>
          <w:sz w:val="28"/>
          <w:szCs w:val="28"/>
        </w:rPr>
      </w:pPr>
      <w:r>
        <w:rPr>
          <w:rFonts w:hint="eastAsia"/>
          <w:sz w:val="28"/>
          <w:szCs w:val="28"/>
        </w:rPr>
        <w:t xml:space="preserve">30、中标通知书</w:t>
      </w:r>
      <w:r/>
    </w:p>
    <w:p>
      <w:pPr>
        <w:ind w:firstLine="480"/>
        <w:jc w:val="left"/>
        <w:spacing w:line="500" w:lineRule="exact"/>
        <w:rPr>
          <w:sz w:val="24"/>
          <w:szCs w:val="24"/>
        </w:rPr>
      </w:pPr>
      <w:r>
        <w:rPr>
          <w:rFonts w:hint="eastAsia"/>
          <w:sz w:val="24"/>
          <w:szCs w:val="24"/>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30.2 中标通知书将作为政府采购合同的一个组成部分。对采购人和中标人均具有法律效力。中标通知书发出后，采购人改变中标结果的，或者中标人放弃中标项目的，应当依法承担法律责任。</w:t>
      </w:r>
      <w:r/>
    </w:p>
    <w:p>
      <w:pPr>
        <w:pStyle w:val="848"/>
        <w:spacing w:before="0" w:after="0" w:line="360" w:lineRule="auto"/>
        <w:rPr>
          <w:rFonts w:ascii="黑体" w:hAnsi="黑体" w:eastAsia="黑体"/>
          <w:b w:val="0"/>
        </w:rPr>
      </w:pPr>
      <w:r>
        <w:rPr>
          <w:rFonts w:hint="eastAsia" w:ascii="黑体" w:hAnsi="黑体" w:eastAsia="黑体"/>
          <w:b w:val="0"/>
        </w:rPr>
        <w:t xml:space="preserve">七、授予合同</w:t>
      </w:r>
      <w:r/>
    </w:p>
    <w:p>
      <w:pPr>
        <w:pStyle w:val="849"/>
        <w:ind w:firstLine="562"/>
        <w:jc w:val="left"/>
        <w:spacing w:before="0" w:after="0" w:line="360" w:lineRule="auto"/>
        <w:rPr>
          <w:sz w:val="28"/>
          <w:szCs w:val="28"/>
        </w:rPr>
      </w:pPr>
      <w:r>
        <w:rPr>
          <w:rFonts w:hint="eastAsia"/>
          <w:sz w:val="28"/>
          <w:szCs w:val="28"/>
        </w:rPr>
        <w:t xml:space="preserve">31、履约保证金</w:t>
      </w:r>
      <w:r/>
    </w:p>
    <w:p>
      <w:pPr>
        <w:ind w:firstLine="480"/>
        <w:jc w:val="left"/>
        <w:spacing w:line="500" w:lineRule="exact"/>
        <w:rPr>
          <w:sz w:val="24"/>
          <w:szCs w:val="24"/>
        </w:rPr>
      </w:pPr>
      <w:r>
        <w:rPr>
          <w:rFonts w:hint="eastAsia"/>
          <w:sz w:val="24"/>
          <w:szCs w:val="24"/>
        </w:rPr>
        <w:t xml:space="preserve">31.1 本项目履约保证金要求详见招标文件第四章 采购需求。</w:t>
      </w:r>
      <w:r/>
    </w:p>
    <w:p>
      <w:pPr>
        <w:pStyle w:val="849"/>
        <w:ind w:firstLine="562"/>
        <w:jc w:val="left"/>
        <w:spacing w:before="0" w:after="0" w:line="360" w:lineRule="auto"/>
        <w:rPr>
          <w:sz w:val="28"/>
          <w:szCs w:val="28"/>
        </w:rPr>
      </w:pPr>
      <w:r>
        <w:rPr>
          <w:rFonts w:hint="eastAsia"/>
          <w:sz w:val="28"/>
          <w:szCs w:val="28"/>
        </w:rPr>
        <w:t xml:space="preserve">32、签订合同</w:t>
      </w:r>
      <w:r/>
    </w:p>
    <w:p>
      <w:pPr>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32.2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32.3 签订合同后，中标人不得将合同标的转包。未经采购人同意，中标人也不得采用分包的形式履行合同，否则采购人有权终止合同。转包或分包造成采购人损失的，中标人应承担相应赔偿责任。</w:t>
      </w:r>
      <w:r/>
    </w:p>
    <w:p>
      <w:pPr>
        <w:pStyle w:val="849"/>
        <w:ind w:firstLine="562"/>
        <w:jc w:val="left"/>
        <w:spacing w:before="0" w:after="0" w:line="360" w:lineRule="auto"/>
        <w:rPr>
          <w:sz w:val="28"/>
          <w:szCs w:val="28"/>
        </w:rPr>
      </w:pPr>
      <w:r>
        <w:rPr>
          <w:rFonts w:hint="eastAsia"/>
          <w:sz w:val="28"/>
          <w:szCs w:val="28"/>
        </w:rPr>
        <w:t xml:space="preserve">33、合同标的的追加</w:t>
      </w:r>
      <w:r/>
    </w:p>
    <w:p>
      <w:pPr>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9"/>
        <w:ind w:firstLine="562"/>
        <w:jc w:val="left"/>
        <w:spacing w:before="0" w:after="0" w:line="360" w:lineRule="auto"/>
        <w:rPr>
          <w:sz w:val="28"/>
          <w:szCs w:val="28"/>
        </w:rPr>
      </w:pPr>
      <w:r>
        <w:rPr>
          <w:rFonts w:hint="eastAsia"/>
          <w:sz w:val="28"/>
          <w:szCs w:val="28"/>
        </w:rPr>
        <w:t xml:space="preserve">34、政府采购履约资金扶持政策</w:t>
      </w:r>
      <w:r/>
    </w:p>
    <w:p>
      <w:pPr>
        <w:ind w:firstLine="480"/>
        <w:jc w:val="left"/>
        <w:spacing w:line="500" w:lineRule="exact"/>
        <w:rPr>
          <w:sz w:val="24"/>
          <w:szCs w:val="24"/>
        </w:rPr>
      </w:pPr>
      <w:r>
        <w:rPr>
          <w:rFonts w:hint="eastAsia"/>
          <w:sz w:val="24"/>
          <w:szCs w:val="24"/>
        </w:rPr>
        <w:t xml:space="preserve">34.1 中标人可凭政府采购合同办理融资贷款，详情请见江苏政府采购网“政采贷”专栏。</w:t>
      </w:r>
      <w:r/>
    </w:p>
    <w:p>
      <w:pPr>
        <w:pStyle w:val="848"/>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9"/>
        <w:ind w:firstLine="562"/>
        <w:jc w:val="left"/>
        <w:spacing w:before="0" w:after="0" w:line="360" w:lineRule="auto"/>
        <w:rPr>
          <w:sz w:val="28"/>
          <w:szCs w:val="28"/>
        </w:rPr>
      </w:pPr>
      <w:r>
        <w:rPr>
          <w:rFonts w:hint="eastAsia"/>
          <w:sz w:val="28"/>
          <w:szCs w:val="28"/>
        </w:rPr>
        <w:t xml:space="preserve">35、询问</w:t>
      </w:r>
      <w:r/>
    </w:p>
    <w:p>
      <w:pPr>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49"/>
        <w:ind w:firstLine="562"/>
        <w:jc w:val="left"/>
        <w:spacing w:before="0" w:after="0" w:line="360" w:lineRule="auto"/>
        <w:rPr>
          <w:sz w:val="28"/>
          <w:szCs w:val="28"/>
        </w:rPr>
      </w:pPr>
      <w:r>
        <w:rPr>
          <w:rFonts w:hint="eastAsia"/>
          <w:sz w:val="28"/>
          <w:szCs w:val="28"/>
        </w:rPr>
        <w:t xml:space="preserve">36、质疑提出</w:t>
      </w:r>
      <w:r/>
    </w:p>
    <w:p>
      <w:pPr>
        <w:ind w:firstLine="480"/>
        <w:jc w:val="left"/>
        <w:spacing w:line="500" w:lineRule="exact"/>
        <w:rPr>
          <w:sz w:val="24"/>
          <w:szCs w:val="24"/>
        </w:rPr>
      </w:pPr>
      <w:r>
        <w:rPr>
          <w:rFonts w:hint="eastAsia"/>
          <w:sz w:val="24"/>
          <w:szCs w:val="24"/>
        </w:rPr>
        <w:t xml:space="preserve">36.1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9"/>
        <w:ind w:firstLine="562"/>
        <w:jc w:val="left"/>
        <w:spacing w:before="0" w:after="0" w:line="360" w:lineRule="auto"/>
        <w:rPr>
          <w:sz w:val="24"/>
          <w:szCs w:val="24"/>
        </w:rPr>
      </w:pPr>
      <w:r>
        <w:rPr>
          <w:rFonts w:hint="eastAsia"/>
          <w:sz w:val="28"/>
          <w:szCs w:val="28"/>
        </w:rPr>
        <w:t xml:space="preserve">37、质疑函的受理和答复</w:t>
      </w:r>
      <w:r/>
    </w:p>
    <w:p>
      <w:pPr>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37.4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37.6 因质疑供应商所留联系方式无效，或者无故不接收，导致质疑答复结果无法送达的，视为质疑供应商主动放弃知晓质疑答复结果的权利。</w:t>
      </w:r>
      <w:r/>
    </w:p>
    <w:p>
      <w:pPr>
        <w:pStyle w:val="848"/>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9"/>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sz w:val="24"/>
          <w:szCs w:val="24"/>
          <w:highlight w:val="none"/>
        </w:rPr>
      </w:pPr>
      <w:r>
        <w:rPr>
          <w:rFonts w:hint="eastAsia"/>
          <w:sz w:val="24"/>
          <w:szCs w:val="24"/>
          <w:highlight w:val="none"/>
        </w:rPr>
        <w:t xml:space="preserve">38.2 投标人提供的货物全部由小型企业、微型企业、残疾人福利性单位、监狱企业制造的，对其报价给予</w:t>
      </w:r>
      <w:r>
        <w:rPr>
          <w:rFonts w:hint="eastAsia"/>
          <w:b/>
          <w:bCs/>
          <w:sz w:val="24"/>
          <w:szCs w:val="24"/>
          <w:highlight w:val="none"/>
        </w:rPr>
        <w:t xml:space="preserve">10%</w:t>
      </w:r>
      <w:r>
        <w:rPr>
          <w:rFonts w:hint="eastAsia"/>
          <w:sz w:val="24"/>
          <w:szCs w:val="24"/>
          <w:highlight w:val="none"/>
        </w:rPr>
        <w:t xml:space="preserve">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38.4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p>
    <w:p>
      <w:pPr>
        <w:pStyle w:val="849"/>
        <w:ind w:firstLine="562"/>
        <w:jc w:val="left"/>
        <w:spacing w:before="0" w:after="0" w:line="360" w:lineRule="auto"/>
        <w:rPr>
          <w:rFonts w:hint="eastAsia" w:eastAsia="宋体" w:cs="Times New Roman"/>
          <w:sz w:val="28"/>
          <w:szCs w:val="28"/>
        </w:rPr>
      </w:pPr>
      <w:r>
        <w:rPr>
          <w:rFonts w:hint="eastAsia" w:eastAsia="宋体" w:cs="Times New Roman"/>
          <w:sz w:val="28"/>
          <w:szCs w:val="28"/>
        </w:rPr>
        <w:t xml:space="preserve">39、采购本国产品的支持政策</w:t>
      </w:r>
      <w:r/>
    </w:p>
    <w:p>
      <w:pPr>
        <w:ind w:firstLine="480"/>
        <w:spacing w:line="500" w:lineRule="exact"/>
        <w:rPr>
          <w:rFonts w:hint="eastAsia"/>
          <w:b w:val="0"/>
          <w:bCs w:val="0"/>
          <w:sz w:val="24"/>
          <w:szCs w:val="24"/>
          <w:highlight w:val="none"/>
        </w:rPr>
      </w:pPr>
      <w:r>
        <w:rPr>
          <w:rFonts w:hint="eastAsia"/>
          <w:b w:val="0"/>
          <w:bCs w:val="0"/>
          <w:sz w:val="24"/>
          <w:szCs w:val="24"/>
          <w:highlight w:val="none"/>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39.3 供应商需按照招标文件的要求提供《关于符合本国产品标准的声明函》（以下简称《声明函》），如不提供将不享受本国产品价格评审优惠。</w:t>
      </w:r>
      <w:r/>
    </w:p>
    <w:p>
      <w:pPr>
        <w:ind w:firstLine="480"/>
        <w:spacing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49"/>
        <w:ind w:firstLine="480"/>
        <w:spacing w:before="0" w:after="0" w:line="360" w:lineRule="auto"/>
        <w:rPr>
          <w:sz w:val="28"/>
          <w:szCs w:val="28"/>
        </w:rPr>
      </w:pPr>
      <w:r>
        <w:rPr>
          <w:rFonts w:hint="eastAsia" w:ascii="宋体" w:hAnsi="宋体" w:eastAsia="宋体" w:cs="宋体"/>
          <w:b w:val="0"/>
          <w:bCs w:val="0"/>
          <w:sz w:val="24"/>
          <w:szCs w:val="24"/>
          <w:highlight w:val="none"/>
          <w:lang w:val="en-US" w:eastAsia="zh-CN" w:bidi="ar-SA"/>
        </w:rPr>
        <w:t xml:space="preserve">39.5政府采购中的本国产品标准及其他未尽事宜详见《国务院办公厅关于在政府采购中实施本国产品标准及相关政策的通知》（国办发〔2025〕34号）。</w:t>
      </w:r>
      <w:r>
        <w:rPr>
          <w:rFonts w:hint="eastAsia"/>
          <w:sz w:val="28"/>
          <w:szCs w:val="28"/>
        </w:rPr>
        <w:t xml:space="preserve">40、支持绿色发展</w:t>
      </w:r>
      <w:r/>
    </w:p>
    <w:p>
      <w:pPr>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49"/>
        <w:ind w:firstLine="562"/>
        <w:jc w:val="left"/>
        <w:spacing w:before="0" w:after="0" w:line="360" w:lineRule="auto"/>
        <w:rPr>
          <w:sz w:val="28"/>
          <w:szCs w:val="28"/>
        </w:rPr>
      </w:pPr>
      <w:r>
        <w:rPr>
          <w:rFonts w:hint="eastAsia"/>
          <w:sz w:val="28"/>
          <w:szCs w:val="28"/>
        </w:rPr>
        <w:t xml:space="preserve">41、政府采购需求标准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7"/>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860"/>
        <w:jc w:val="center"/>
        <w:spacing w:after="0"/>
        <w:rPr>
          <w:rFonts w:ascii="宋体" w:hAnsi="宋体" w:cs="宋体"/>
          <w:b/>
          <w:bCs/>
          <w:spacing w:val="-20"/>
          <w:sz w:val="48"/>
          <w:szCs w:val="48"/>
        </w:rPr>
      </w:pPr>
      <w:r/>
      <w:bookmarkStart w:id="3" w:name="_Toc3995"/>
      <w:r/>
      <w:r/>
    </w:p>
    <w:p>
      <w:pPr>
        <w:pStyle w:val="860"/>
        <w:jc w:val="center"/>
        <w:spacing w:after="0"/>
        <w:rPr>
          <w:rFonts w:ascii="宋体" w:hAnsi="宋体" w:cs="宋体"/>
          <w:b/>
          <w:bCs/>
          <w:spacing w:val="-20"/>
          <w:sz w:val="48"/>
          <w:szCs w:val="48"/>
        </w:rPr>
      </w:pPr>
      <w:r>
        <w:rPr>
          <w:rFonts w:ascii="宋体" w:hAnsi="宋体" w:cs="宋体"/>
          <w:b/>
          <w:bCs/>
          <w:spacing w:val="-20"/>
          <w:sz w:val="48"/>
          <w:szCs w:val="48"/>
        </w:rPr>
      </w:r>
      <w:r/>
    </w:p>
    <w:p>
      <w:pPr>
        <w:pStyle w:val="860"/>
        <w:jc w:val="center"/>
        <w:spacing w:after="0"/>
        <w:rPr>
          <w:rFonts w:ascii="宋体" w:hAnsi="宋体" w:cs="宋体"/>
          <w:b/>
          <w:bCs/>
          <w:spacing w:val="-20"/>
          <w:sz w:val="48"/>
          <w:szCs w:val="48"/>
        </w:rPr>
      </w:pPr>
      <w:r>
        <w:rPr>
          <w:rFonts w:ascii="宋体" w:hAnsi="宋体" w:cs="宋体"/>
          <w:b/>
          <w:bCs/>
          <w:spacing w:val="-20"/>
          <w:sz w:val="48"/>
          <w:szCs w:val="48"/>
        </w:rPr>
      </w:r>
      <w:r/>
    </w:p>
    <w:p>
      <w:pPr>
        <w:pStyle w:val="860"/>
        <w:jc w:val="center"/>
        <w:spacing w:after="0"/>
        <w:rPr>
          <w:rFonts w:ascii="宋体" w:hAnsi="宋体" w:cs="宋体"/>
          <w:b/>
          <w:bCs/>
          <w:spacing w:val="-20"/>
          <w:sz w:val="48"/>
          <w:szCs w:val="48"/>
        </w:rPr>
      </w:pPr>
      <w:r>
        <w:rPr>
          <w:rFonts w:ascii="宋体" w:hAnsi="宋体" w:cs="宋体"/>
          <w:b/>
          <w:bCs/>
          <w:spacing w:val="-20"/>
          <w:sz w:val="48"/>
          <w:szCs w:val="48"/>
        </w:rPr>
      </w:r>
      <w:r/>
    </w:p>
    <w:p>
      <w:pPr>
        <w:pStyle w:val="860"/>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p>
    <w:p>
      <w:pPr>
        <w:pStyle w:val="848"/>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szCs w:val="21"/>
        </w:rPr>
      </w:pPr>
      <w:r>
        <w:rPr>
          <w:rFonts w:hint="eastAsia" w:ascii="宋体" w:hAnsi="宋体"/>
          <w:szCs w:val="21"/>
        </w:rPr>
        <w:t xml:space="preserve">乙方2（全称）：（联合体成员供应商或其他合同主体）（如有）</w:t>
      </w:r>
      <w:r/>
    </w:p>
    <w:p>
      <w:pPr>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p>
    <w:p>
      <w:pPr>
        <w:spacing w:line="400" w:lineRule="exact"/>
        <w:rPr>
          <w:rFonts w:ascii="宋体" w:hAnsi="宋体"/>
        </w:rPr>
      </w:pPr>
      <w:r>
        <w:rPr>
          <w:rFonts w:ascii="宋体" w:hAnsi="宋体"/>
        </w:rPr>
      </w:r>
      <w:r/>
    </w:p>
    <w:p>
      <w:pPr>
        <w:pStyle w:val="862"/>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22"/>
        <w:jc w:val="left"/>
        <w:spacing w:line="400" w:lineRule="exact"/>
        <w:rPr>
          <w:rFonts w:ascii="宋体" w:hAnsi="宋体"/>
          <w:b/>
          <w:szCs w:val="21"/>
        </w:rPr>
      </w:pPr>
      <w:r>
        <w:rPr>
          <w:rFonts w:hint="eastAsia" w:ascii="宋体" w:hAnsi="宋体"/>
          <w:b/>
          <w:szCs w:val="21"/>
        </w:rPr>
        <w:t xml:space="preserve">项目信息</w:t>
      </w:r>
      <w:r/>
    </w:p>
    <w:p>
      <w:pPr>
        <w:ind w:firstLine="420"/>
        <w:jc w:val="left"/>
        <w:spacing w:line="500" w:lineRule="exact"/>
        <w:rPr>
          <w:rFonts w:ascii="宋体" w:hAnsi="宋体"/>
          <w:szCs w:val="21"/>
        </w:rPr>
      </w:pPr>
      <w:r>
        <w:rPr>
          <w:rFonts w:hint="eastAsia" w:ascii="宋体" w:hAnsi="宋体"/>
          <w:szCs w:val="21"/>
        </w:rPr>
        <w:t xml:space="preserve">（1）采购项目名称：</w:t>
      </w:r>
      <w:r/>
    </w:p>
    <w:p>
      <w:pPr>
        <w:pStyle w:val="862"/>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862"/>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p>
    <w:p>
      <w:pPr>
        <w:ind w:firstLine="945"/>
        <w:jc w:val="left"/>
        <w:spacing w:line="400" w:lineRule="exact"/>
        <w:rPr>
          <w:rFonts w:ascii="宋体" w:hAnsi="宋体" w:cs="宋体"/>
          <w:szCs w:val="21"/>
        </w:rPr>
      </w:pPr>
      <w:r>
        <w:rPr>
          <w:rFonts w:hint="eastAsia" w:ascii="宋体" w:hAnsi="宋体" w:cs="宋体"/>
          <w:szCs w:val="21"/>
        </w:rPr>
        <w:t xml:space="preserve">标的名称：</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rPr>
      </w:pPr>
      <w:r>
        <w:rPr>
          <w:rFonts w:hint="eastAsia" w:ascii="宋体" w:hAnsi="宋体" w:cs="宋体"/>
        </w:rPr>
        <w:t xml:space="preserve">关键部件：    品牌：    型号：</w:t>
      </w:r>
      <w:r/>
    </w:p>
    <w:p>
      <w:p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85"/>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85"/>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885"/>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88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8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85"/>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885"/>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85"/>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85"/>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    品牌：    规格型号：</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2"/>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分包金额（如有）小写：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886"/>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2"/>
        </w:numPr>
        <w:ind w:firstLine="422"/>
        <w:jc w:val="left"/>
        <w:spacing w:line="400" w:lineRule="exact"/>
        <w:rPr>
          <w:rFonts w:ascii="宋体" w:hAnsi="宋体"/>
          <w:b/>
          <w:szCs w:val="21"/>
          <w:u w:val="single"/>
        </w:rPr>
      </w:pPr>
      <w:r>
        <w:rPr>
          <w:rFonts w:hint="eastAsia" w:ascii="宋体" w:hAnsi="宋体"/>
          <w:b/>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885"/>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85"/>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cs="宋体"/>
        </w:rPr>
      </w:pPr>
      <w:r>
        <w:rPr>
          <w:rFonts w:hint="eastAsia" w:ascii="宋体" w:hAnsi="宋体" w:cs="宋体"/>
          <w:bCs/>
          <w:szCs w:val="21"/>
        </w:rPr>
        <w:t xml:space="preserve">履约担保期限：</w:t>
      </w:r>
      <w:r/>
    </w:p>
    <w:p>
      <w:pPr>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p>
    <w:p>
      <w:pPr>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2"/>
        </w:numPr>
        <w:ind w:firstLine="422"/>
        <w:jc w:val="left"/>
        <w:spacing w:line="400" w:lineRule="exact"/>
        <w:rPr>
          <w:rFonts w:ascii="宋体" w:hAnsi="宋体"/>
          <w:b/>
          <w:szCs w:val="21"/>
        </w:rPr>
      </w:pPr>
      <w:r>
        <w:rPr>
          <w:rFonts w:hint="eastAsia" w:ascii="宋体" w:hAnsi="宋体"/>
          <w:b/>
          <w:szCs w:val="21"/>
        </w:rPr>
        <w:t xml:space="preserve">合同验收</w:t>
      </w:r>
      <w:r/>
    </w:p>
    <w:p>
      <w:pPr>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ascii="宋体" w:hAnsi="宋体"/>
          <w:bCs/>
          <w:szCs w:val="21"/>
        </w:rPr>
      </w:pPr>
      <w:r>
        <w:rPr>
          <w:rFonts w:hint="eastAsia" w:ascii="宋体" w:hAnsi="宋体"/>
          <w:bCs/>
          <w:szCs w:val="21"/>
        </w:rPr>
        <w:t xml:space="preserve">验收主体：</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jc w:val="left"/>
        <w:spacing w:line="400" w:lineRule="exact"/>
        <w:rPr>
          <w:rFonts w:ascii="宋体" w:hAnsi="宋体"/>
          <w:bCs/>
          <w:szCs w:val="21"/>
        </w:rPr>
      </w:pPr>
      <w:r>
        <w:rPr>
          <w:rFonts w:hint="eastAsia" w:ascii="宋体" w:hAnsi="宋体"/>
          <w:bCs/>
          <w:szCs w:val="21"/>
        </w:rPr>
        <w:t xml:space="preserve">（3）履约验收方式：</w:t>
      </w:r>
      <w:r/>
    </w:p>
    <w:p>
      <w:pPr>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ascii="宋体" w:hAnsi="宋体"/>
          <w:bCs/>
          <w:szCs w:val="21"/>
        </w:rPr>
      </w:pPr>
      <w:r>
        <w:rPr>
          <w:rFonts w:hint="eastAsia" w:ascii="宋体" w:hAnsi="宋体"/>
          <w:bCs/>
          <w:szCs w:val="21"/>
        </w:rPr>
        <w:t xml:space="preserve">（4）履约验收程序：</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szCs w:val="21"/>
          <w:u w:val="single"/>
        </w:rPr>
      </w:pPr>
      <w:r>
        <w:rPr>
          <w:rFonts w:hint="eastAsia" w:ascii="宋体" w:hAnsi="宋体"/>
          <w:bCs/>
          <w:szCs w:val="21"/>
        </w:rPr>
        <w:t xml:space="preserve">（6）履约验收标准：</w:t>
      </w:r>
      <w:r/>
    </w:p>
    <w:p>
      <w:pPr>
        <w:pStyle w:val="88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numPr>
          <w:ilvl w:val="0"/>
          <w:numId w:val="2"/>
        </w:numPr>
        <w:ind w:firstLine="422"/>
        <w:jc w:val="left"/>
        <w:spacing w:line="400" w:lineRule="exact"/>
        <w:rPr>
          <w:rFonts w:ascii="宋体" w:hAnsi="宋体"/>
          <w:b/>
          <w:szCs w:val="21"/>
        </w:rPr>
      </w:pPr>
      <w:r>
        <w:rPr>
          <w:rFonts w:hint="eastAsia" w:ascii="宋体" w:hAnsi="宋体"/>
          <w:b/>
          <w:szCs w:val="21"/>
        </w:rPr>
        <w:t xml:space="preserve">组成合同的文件</w:t>
      </w:r>
      <w:r/>
    </w:p>
    <w:p>
      <w:pPr>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ascii="宋体" w:hAnsi="宋体"/>
          <w:szCs w:val="21"/>
        </w:rPr>
      </w:pPr>
      <w:r>
        <w:rPr>
          <w:rFonts w:hint="eastAsia" w:ascii="宋体" w:hAnsi="宋体"/>
          <w:szCs w:val="21"/>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（4）中标（成交）通知书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pStyle w:val="88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2"/>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        生效。</w:t>
      </w:r>
      <w:r/>
    </w:p>
    <w:p>
      <w:pPr>
        <w:numPr>
          <w:ilvl w:val="0"/>
          <w:numId w:val="2"/>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pPr>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p>
      <w:pPr>
        <w:pStyle w:val="886"/>
      </w:pPr>
      <w:r/>
      <w:r/>
    </w:p>
    <w:tbl>
      <w:tblPr>
        <w:tblStyle w:val="67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jc w:val="cente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jc w:val="cente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住所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8398" w:type="dxa"/>
            <w:vAlign w:val="center"/>
            <w:textDirection w:val="lrTb"/>
            <w:noWrap w:val="false"/>
          </w:tcPr>
          <w:p>
            <w:pPr>
              <w:pStyle w:val="86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48"/>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60"/>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860"/>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8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64"/>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4"/>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60"/>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8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8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8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8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8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60"/>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8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8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8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85"/>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48"/>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677"/>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85"/>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847"/>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360" w:lineRule="auto"/>
        <w:rPr>
          <w:rFonts w:ascii="宋体" w:hAnsi="宋体"/>
          <w:sz w:val="24"/>
          <w:szCs w:val="24"/>
        </w:rPr>
      </w:pPr>
      <w:r>
        <w:rPr>
          <w:rFonts w:hint="eastAsia" w:cs="宋体"/>
          <w:b w:val="0"/>
          <w:bCs/>
          <w:color w:val="000000"/>
          <w:sz w:val="24"/>
          <w:szCs w:val="24"/>
          <w:highlight w:val="none"/>
          <w:shd w:val="clear" w:color="auto" w:fill="ffffff"/>
        </w:rPr>
        <w:t xml:space="preserve">根据《关于印发中小企业划型标准规定的通知》（工信部联企业〔</w:t>
      </w:r>
      <w:r>
        <w:rPr>
          <w:b w:val="0"/>
          <w:bCs/>
          <w:color w:val="000000"/>
          <w:sz w:val="24"/>
          <w:szCs w:val="24"/>
          <w:highlight w:val="none"/>
          <w:shd w:val="clear" w:color="auto" w:fill="ffffff"/>
        </w:rPr>
        <w:t xml:space="preserve">2011</w:t>
      </w:r>
      <w:r>
        <w:rPr>
          <w:rFonts w:hint="eastAsia" w:cs="宋体"/>
          <w:b w:val="0"/>
          <w:bCs/>
          <w:color w:val="000000"/>
          <w:sz w:val="24"/>
          <w:szCs w:val="24"/>
          <w:highlight w:val="none"/>
          <w:shd w:val="clear" w:color="auto" w:fill="ffffff"/>
        </w:rPr>
        <w:t xml:space="preserve">〕</w:t>
      </w:r>
      <w:r>
        <w:rPr>
          <w:b w:val="0"/>
          <w:bCs/>
          <w:color w:val="000000"/>
          <w:sz w:val="24"/>
          <w:szCs w:val="24"/>
          <w:highlight w:val="none"/>
          <w:shd w:val="clear" w:color="auto" w:fill="ffffff"/>
        </w:rPr>
        <w:t xml:space="preserve">300</w:t>
      </w:r>
      <w:r>
        <w:rPr>
          <w:rFonts w:hint="eastAsia" w:cs="宋体"/>
          <w:b w:val="0"/>
          <w:bCs/>
          <w:color w:val="000000"/>
          <w:sz w:val="24"/>
          <w:szCs w:val="24"/>
          <w:highlight w:val="none"/>
          <w:shd w:val="clear" w:color="auto" w:fill="ffffff"/>
        </w:rPr>
        <w:t xml:space="preserve">号）规定：</w:t>
      </w:r>
      <w:r>
        <w:rPr>
          <w:rFonts w:hint="eastAsia"/>
          <w:b w:val="0"/>
          <w:bCs/>
          <w:sz w:val="24"/>
        </w:rPr>
        <w:t xml:space="preserve">工业行业划型标准：从业人员1000人以下或营业收入40000万</w:t>
      </w:r>
      <w:r>
        <w:rPr>
          <w:rFonts w:hint="eastAsia"/>
          <w:sz w:val="24"/>
        </w:rPr>
        <w:t xml:space="preserve">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u w:val="single"/>
        </w:rPr>
        <w:t xml:space="preserve">斜体且有下划线部分</w:t>
      </w:r>
      <w:r>
        <w:rPr>
          <w:rFonts w:hint="eastAsia"/>
          <w:b/>
          <w:color w:val="000000"/>
          <w:sz w:val="24"/>
          <w:szCs w:val="24"/>
        </w:rPr>
        <w:t xml:space="preserve">为</w:t>
      </w:r>
      <w:r>
        <w:rPr>
          <w:rFonts w:hint="eastAsia"/>
          <w:b/>
          <w:sz w:val="24"/>
          <w:szCs w:val="24"/>
        </w:rPr>
        <w:t xml:space="preserve">实质性要求和条件</w:t>
      </w:r>
      <w:r>
        <w:rPr>
          <w:rFonts w:hint="eastAsia"/>
          <w:sz w:val="24"/>
          <w:szCs w:val="24"/>
        </w:rPr>
        <w:t xml:space="preserve">，由采购人根据实际情况设置，投标人须逐条明确作出满足实质性要求和条件的响应，否则将按无效响应处理。</w:t>
      </w:r>
      <w:r/>
    </w:p>
    <w:p>
      <w:pPr>
        <w:pStyle w:val="883"/>
        <w:ind w:firstLine="468"/>
        <w:rPr>
          <w:rFonts w:hint="eastAsia" w:ascii="Calibri" w:hAnsi="Calibri" w:eastAsia="宋体"/>
          <w:b w:val="0"/>
          <w:bCs w:val="0"/>
          <w:sz w:val="24"/>
          <w:szCs w:val="24"/>
          <w:highlight w:val="none"/>
          <w:lang w:eastAsia="zh-CN"/>
        </w:rPr>
      </w:pPr>
      <w:r>
        <w:rPr>
          <w:rFonts w:hint="eastAsia" w:ascii="Calibri" w:hAnsi="Calibri" w:eastAsia="宋体"/>
          <w:b w:val="0"/>
          <w:bCs w:val="0"/>
          <w:sz w:val="24"/>
          <w:szCs w:val="24"/>
          <w:highlight w:val="none"/>
          <w:lang w:eastAsia="zh-CN"/>
        </w:rPr>
        <w:t xml:space="preserve">3.特别提醒：政府采购中实施本国产品标准及相关政策</w:t>
      </w:r>
      <w:r/>
    </w:p>
    <w:p>
      <w:pPr>
        <w:pStyle w:val="883"/>
        <w:ind w:firstLine="468"/>
        <w:rPr>
          <w:rFonts w:hint="eastAsia" w:ascii="Calibri" w:hAnsi="Calibri" w:eastAsia="宋体"/>
          <w:b w:val="0"/>
          <w:bCs w:val="0"/>
          <w:sz w:val="24"/>
          <w:szCs w:val="24"/>
          <w:highlight w:val="none"/>
          <w:lang w:eastAsia="zh-CN"/>
        </w:rPr>
      </w:pPr>
      <w:r>
        <w:rPr>
          <w:rFonts w:hint="eastAsia" w:ascii="Calibri" w:hAnsi="Calibri" w:eastAsia="宋体"/>
          <w:b w:val="0"/>
          <w:bCs w:val="0"/>
          <w:sz w:val="24"/>
          <w:szCs w:val="24"/>
          <w:highlight w:val="none"/>
          <w:lang w:eastAsia="zh-CN"/>
        </w:rPr>
        <w:t xml:space="preserve">3.1本项目对采购本国产品给予政策支持，具体内容见招标文件“第二章 九、政府采购政策功能”。</w:t>
      </w:r>
      <w:r/>
    </w:p>
    <w:p>
      <w:pPr>
        <w:pStyle w:val="883"/>
        <w:ind w:firstLine="468"/>
        <w:rPr>
          <w:rFonts w:hint="eastAsia" w:ascii="Calibri" w:hAnsi="Calibri" w:eastAsia="宋体"/>
          <w:b w:val="0"/>
          <w:bCs w:val="0"/>
          <w:sz w:val="24"/>
          <w:szCs w:val="24"/>
          <w:highlight w:val="none"/>
          <w:lang w:eastAsia="zh-CN"/>
        </w:rPr>
      </w:pPr>
      <w:r>
        <w:rPr>
          <w:rFonts w:hint="eastAsia" w:ascii="Calibri" w:hAnsi="Calibri" w:eastAsia="宋体"/>
          <w:b w:val="0"/>
          <w:bCs w:val="0"/>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3"/>
        <w:ind w:firstLine="468"/>
        <w:rPr>
          <w:rFonts w:hint="eastAsia" w:ascii="Calibri" w:hAnsi="Calibri" w:eastAsia="宋体"/>
          <w:b w:val="0"/>
          <w:bCs w:val="0"/>
          <w:sz w:val="24"/>
          <w:szCs w:val="24"/>
          <w:highlight w:val="none"/>
          <w:lang w:eastAsia="zh-CN"/>
        </w:rPr>
      </w:pPr>
      <w:r>
        <w:rPr>
          <w:rFonts w:hint="eastAsia" w:ascii="Calibri" w:hAnsi="Calibri" w:eastAsia="宋体"/>
          <w:b w:val="0"/>
          <w:bCs w:val="0"/>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hint="eastAsia"/>
          <w:sz w:val="24"/>
          <w:szCs w:val="24"/>
        </w:rPr>
      </w:pPr>
      <w:r>
        <w:rPr>
          <w:rFonts w:hint="eastAsia"/>
          <w:sz w:val="24"/>
          <w:szCs w:val="24"/>
        </w:rPr>
        <w:t xml:space="preserve">4.本项目核心产品为：</w:t>
      </w:r>
      <w:r>
        <w:rPr>
          <w:rFonts w:hint="eastAsia"/>
          <w:sz w:val="24"/>
          <w:szCs w:val="24"/>
          <w:u w:val="single"/>
        </w:rPr>
        <w:t xml:space="preserve">视频会议终端</w:t>
      </w:r>
      <w:r>
        <w:rPr>
          <w:rFonts w:hint="eastAsia"/>
          <w:sz w:val="24"/>
          <w:szCs w:val="24"/>
        </w:rPr>
        <w:t xml:space="preserve">。</w:t>
      </w:r>
      <w:r/>
    </w:p>
    <w:p>
      <w:pPr>
        <w:jc w:val="left"/>
        <w:rPr>
          <w:rFonts w:ascii="MS Mincho"/>
          <w:color w:val="000000"/>
          <w:szCs w:val="24"/>
        </w:rPr>
      </w:pPr>
      <w:r>
        <w:rPr>
          <w:rFonts w:ascii="MS Mincho"/>
          <w:color w:val="000000"/>
          <w:szCs w:val="24"/>
        </w:rPr>
      </w:r>
      <w:r/>
    </w:p>
    <w:p>
      <w:pPr>
        <w:ind w:firstLine="480"/>
        <w:jc w:val="left"/>
        <w:spacing w:line="500" w:lineRule="exact"/>
        <w:rPr>
          <w:rFonts w:hint="eastAsia" w:eastAsia="宋体" w:cs="Times New Roman"/>
          <w:sz w:val="24"/>
          <w:szCs w:val="24"/>
        </w:rPr>
      </w:pPr>
      <w:r>
        <w:rPr>
          <w:rFonts w:hint="eastAsia" w:eastAsia="宋体" w:cs="Times New Roman"/>
          <w:sz w:val="24"/>
          <w:szCs w:val="24"/>
        </w:rPr>
      </w:r>
      <w:r/>
    </w:p>
    <w:p>
      <w:pPr>
        <w:ind w:firstLine="480"/>
        <w:jc w:val="left"/>
        <w:spacing w:line="500" w:lineRule="exact"/>
        <w:rPr>
          <w:rFonts w:hint="eastAsia" w:eastAsia="宋体" w:cs="Times New Roman"/>
          <w:sz w:val="24"/>
          <w:szCs w:val="24"/>
        </w:rPr>
      </w:pPr>
      <w:r>
        <w:rPr>
          <w:rFonts w:hint="eastAsia" w:eastAsia="宋体" w:cs="Times New Roman"/>
          <w:sz w:val="24"/>
          <w:szCs w:val="24"/>
        </w:rPr>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b/>
                <w:sz w:val="24"/>
                <w:szCs w:val="24"/>
              </w:rPr>
            </w:pPr>
            <w:r>
              <w:rPr>
                <w:b/>
                <w:sz w:val="24"/>
                <w:szCs w:val="24"/>
              </w:rPr>
              <w:t xml:space="preserve">序号</w:t>
            </w:r>
            <w:r/>
          </w:p>
        </w:tc>
        <w:tc>
          <w:tcPr>
            <w:tcW w:w="7689" w:type="dxa"/>
            <w:vAlign w:val="top"/>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top"/>
            <w:textDirection w:val="lrTb"/>
            <w:noWrap w:val="false"/>
          </w:tcPr>
          <w:p>
            <w:pPr>
              <w:jc w:val="center"/>
              <w:spacing w:line="500" w:lineRule="exact"/>
              <w:rPr>
                <w:sz w:val="24"/>
                <w:szCs w:val="24"/>
              </w:rPr>
            </w:pPr>
            <w:r>
              <w:rPr>
                <w:rFonts w:hint="eastAsia"/>
                <w:sz w:val="24"/>
                <w:szCs w:val="24"/>
              </w:rPr>
              <w:t xml:space="preserve">1</w:t>
            </w:r>
            <w:r/>
          </w:p>
        </w:tc>
        <w:tc>
          <w:tcPr>
            <w:tcW w:w="7689" w:type="dxa"/>
            <w:vAlign w:val="top"/>
            <w:textDirection w:val="lrTb"/>
            <w:noWrap w:val="false"/>
          </w:tcPr>
          <w:p>
            <w:pPr>
              <w:jc w:val="left"/>
              <w:spacing w:line="500" w:lineRule="exact"/>
              <w:rPr>
                <w:sz w:val="24"/>
                <w:szCs w:val="24"/>
              </w:rPr>
            </w:pPr>
            <w:r>
              <w:rPr>
                <w:rFonts w:hint="eastAsia" w:ascii="宋体" w:hAnsi="宋体"/>
                <w:i/>
                <w:iCs/>
                <w:sz w:val="24"/>
                <w:szCs w:val="24"/>
                <w:highlight w:val="none"/>
                <w:u w:val="single"/>
              </w:rPr>
              <w:t xml:space="preserve">1.交货期：合同签订后7天内完成安装调试，达到预期效果。</w:t>
            </w:r>
            <w:r/>
          </w:p>
        </w:tc>
      </w:tr>
      <w:tr>
        <w:trPr>
          <w:jc w:val="center"/>
        </w:trPr>
        <w:tc>
          <w:tcPr>
            <w:tcW w:w="816" w:type="dxa"/>
            <w:vAlign w:val="top"/>
            <w:textDirection w:val="lrTb"/>
            <w:noWrap w:val="false"/>
          </w:tcPr>
          <w:p>
            <w:pPr>
              <w:jc w:val="center"/>
              <w:spacing w:line="500" w:lineRule="exact"/>
              <w:rPr>
                <w:sz w:val="24"/>
                <w:szCs w:val="24"/>
              </w:rPr>
            </w:pPr>
            <w:r>
              <w:rPr>
                <w:rFonts w:hint="eastAsia"/>
                <w:sz w:val="24"/>
                <w:szCs w:val="24"/>
              </w:rPr>
              <w:t xml:space="preserve">2</w:t>
            </w:r>
            <w:r/>
          </w:p>
        </w:tc>
        <w:tc>
          <w:tcPr>
            <w:tcW w:w="7689" w:type="dxa"/>
            <w:vAlign w:val="top"/>
            <w:textDirection w:val="lrTb"/>
            <w:noWrap w:val="false"/>
          </w:tcPr>
          <w:p>
            <w:pPr>
              <w:jc w:val="left"/>
              <w:spacing w:line="500" w:lineRule="exact"/>
              <w:rPr>
                <w:sz w:val="24"/>
                <w:szCs w:val="24"/>
              </w:rPr>
            </w:pPr>
            <w:r>
              <w:rPr>
                <w:rFonts w:hint="eastAsia" w:ascii="宋体" w:hAnsi="宋体"/>
                <w:i/>
                <w:iCs/>
                <w:sz w:val="24"/>
                <w:szCs w:val="24"/>
                <w:u w:val="single"/>
              </w:rPr>
              <w:t xml:space="preserve">1、付款方式</w:t>
            </w:r>
            <w:r>
              <w:rPr>
                <w:rFonts w:hint="eastAsia" w:ascii="宋体" w:hAnsi="宋体"/>
                <w:i/>
                <w:iCs/>
                <w:sz w:val="24"/>
                <w:szCs w:val="24"/>
                <w:u w:val="single"/>
                <w:lang w:eastAsia="zh-CN"/>
              </w:rPr>
              <w:t xml:space="preserve">：</w:t>
            </w:r>
            <w:r>
              <w:rPr>
                <w:rFonts w:hint="eastAsia" w:ascii="宋体" w:hAnsi="宋体" w:eastAsia="宋体" w:cs="Times New Roman"/>
                <w:i/>
                <w:iCs/>
                <w:color w:val="000000"/>
                <w:sz w:val="24"/>
                <w:szCs w:val="24"/>
                <w:u w:val="single"/>
                <w:lang w:val="en-US" w:eastAsia="zh-CN"/>
              </w:rPr>
              <w:t xml:space="preserve">合同签订生效后，采购人支付合同总价的70%，</w:t>
            </w:r>
            <w:r>
              <w:rPr>
                <w:rFonts w:hint="eastAsia" w:ascii="宋体" w:hAnsi="宋体" w:eastAsia="宋体" w:cs="Times New Roman"/>
                <w:i/>
                <w:iCs/>
                <w:color w:val="000000"/>
                <w:sz w:val="24"/>
                <w:szCs w:val="24"/>
                <w:u w:val="single"/>
              </w:rPr>
              <w:t xml:space="preserve">设备到货、安装调试完毕</w:t>
            </w:r>
            <w:r>
              <w:rPr>
                <w:rFonts w:hint="eastAsia" w:ascii="宋体" w:hAnsi="宋体" w:eastAsia="宋体" w:cs="Times New Roman"/>
                <w:i/>
                <w:iCs/>
                <w:color w:val="000000"/>
                <w:sz w:val="24"/>
                <w:szCs w:val="24"/>
                <w:u w:val="single"/>
                <w:lang w:val="en-US" w:eastAsia="zh-CN"/>
              </w:rPr>
              <w:t xml:space="preserve">并通过验收后，采购人支付至合同总价的100%。</w:t>
            </w:r>
            <w:r/>
          </w:p>
        </w:tc>
      </w:tr>
    </w:tbl>
    <w:p>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0"/>
        <w:jc w:val="left"/>
        <w:spacing w:line="360" w:lineRule="auto"/>
        <w:widowControl/>
        <w:rPr>
          <w:rFonts w:ascii="宋体" w:hAnsi="宋体"/>
          <w:color w:val="000000"/>
          <w:sz w:val="24"/>
          <w:szCs w:val="24"/>
        </w:rPr>
      </w:pPr>
      <w:r>
        <w:rPr>
          <w:rFonts w:ascii="宋体" w:hAnsi="宋体" w:cs="宋体"/>
          <w:sz w:val="24"/>
          <w:szCs w:val="24"/>
          <w:lang w:bidi="ar"/>
        </w:rPr>
        <w:t xml:space="preserve">本项目为会议室智能视频会议系统升级建设，采购1台专业分体式视频会议终端、1台86英寸4K智能会议触控一体机，配套完成设备安装调试、系统联调、兼容性适配、现场培训及售后保障工作。整体系统需满足常态化远程视频会议、高清画面传输、远程双流共享、本地智能触控书写、无线投屏、会议录播等功能，设备兼容主流政企视频会议平台，运行稳定、操作简易，适配日常办公、远程会商、培训会议等场景使用，完全满足单位标准化会议建设需求。</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jc w:val="center"/>
        </w:trPr>
        <w:tc>
          <w:tcPr>
            <w:tcW w:w="896"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p>
        </w:tc>
        <w:tc>
          <w:tcPr>
            <w:tcW w:w="2817"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p>
        </w:tc>
        <w:tc>
          <w:tcPr>
            <w:tcW w:w="1621" w:type="dxa"/>
            <w:vAlign w:val="center"/>
            <w:textDirection w:val="lrTb"/>
            <w:noWrap w:val="false"/>
          </w:tcPr>
          <w:p>
            <w:pPr>
              <w:jc w:val="center"/>
              <w:spacing w:line="360" w:lineRule="auto"/>
              <w:widowControl/>
              <w:rPr>
                <w:rFonts w:ascii="宋体" w:hAnsi="Times New Roman"/>
                <w:sz w:val="24"/>
                <w:szCs w:val="24"/>
              </w:rPr>
            </w:pPr>
            <w:r>
              <w:rPr>
                <w:rFonts w:hint="eastAsia" w:ascii="Times New Roman" w:hAnsi="Times New Roman"/>
                <w:sz w:val="24"/>
                <w:szCs w:val="24"/>
              </w:rPr>
              <w:t xml:space="preserve">数量</w:t>
            </w:r>
            <w:r/>
          </w:p>
        </w:tc>
        <w:tc>
          <w:tcPr>
            <w:tcW w:w="1725" w:type="dxa"/>
            <w:vAlign w:val="center"/>
            <w:textDirection w:val="lrTb"/>
            <w:noWrap w:val="false"/>
          </w:tcPr>
          <w:p>
            <w:pPr>
              <w:jc w:val="center"/>
              <w:spacing w:line="360" w:lineRule="auto"/>
              <w:widowControl/>
              <w:rPr>
                <w:rFonts w:ascii="Times New Roman" w:hAnsi="Times New Roman"/>
                <w:sz w:val="24"/>
                <w:szCs w:val="24"/>
              </w:rPr>
            </w:pPr>
            <w:r>
              <w:rPr>
                <w:rFonts w:hint="eastAsia" w:ascii="Times New Roman" w:hAnsi="Times New Roman"/>
                <w:sz w:val="24"/>
                <w:szCs w:val="24"/>
              </w:rPr>
              <w:t xml:space="preserve">单位</w:t>
            </w:r>
            <w:r/>
          </w:p>
        </w:tc>
        <w:tc>
          <w:tcPr>
            <w:tcW w:w="1446" w:type="dxa"/>
            <w:vAlign w:val="top"/>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中小企业划分标准所属行业</w:t>
            </w:r>
            <w:r/>
          </w:p>
        </w:tc>
      </w:tr>
      <w:tr>
        <w:trPr>
          <w:jc w:val="center"/>
        </w:trPr>
        <w:tc>
          <w:tcPr>
            <w:tcW w:w="896" w:type="dxa"/>
            <w:vAlign w:val="center"/>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1</w:t>
            </w:r>
            <w:r/>
          </w:p>
        </w:tc>
        <w:tc>
          <w:tcPr>
            <w:tcW w:w="2817" w:type="dxa"/>
            <w:vAlign w:val="center"/>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视频会议终端</w:t>
            </w:r>
            <w:r/>
          </w:p>
        </w:tc>
        <w:tc>
          <w:tcPr>
            <w:tcW w:w="1621" w:type="dxa"/>
            <w:vAlign w:val="center"/>
            <w:textDirection w:val="lrTb"/>
            <w:noWrap w:val="false"/>
          </w:tcPr>
          <w:p>
            <w:pPr>
              <w:jc w:val="center"/>
              <w:spacing w:line="360" w:lineRule="auto"/>
              <w:widowControl/>
              <w:rPr>
                <w:rFonts w:hint="eastAsia" w:ascii="宋体" w:hAnsi="宋体" w:cs="Helvetica"/>
                <w:sz w:val="24"/>
                <w:szCs w:val="24"/>
              </w:rPr>
            </w:pPr>
            <w:r>
              <w:rPr>
                <w:rFonts w:hint="eastAsia" w:ascii="宋体" w:hAnsi="宋体" w:cs="Helvetica"/>
                <w:sz w:val="24"/>
                <w:szCs w:val="24"/>
              </w:rPr>
              <w:t xml:space="preserve">1</w:t>
            </w:r>
            <w:r/>
          </w:p>
        </w:tc>
        <w:tc>
          <w:tcPr>
            <w:tcW w:w="1725" w:type="dxa"/>
            <w:vAlign w:val="center"/>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台</w:t>
            </w:r>
            <w:r/>
          </w:p>
        </w:tc>
        <w:tc>
          <w:tcPr>
            <w:tcW w:w="1446" w:type="dxa"/>
            <w:vAlign w:val="center"/>
            <w:textDirection w:val="lrTb"/>
            <w:noWrap w:val="false"/>
          </w:tcPr>
          <w:p>
            <w:pPr>
              <w:jc w:val="center"/>
              <w:spacing w:line="360" w:lineRule="auto"/>
              <w:widowControl/>
              <w:rPr>
                <w:rFonts w:hint="eastAsia" w:ascii="宋体" w:hAnsi="宋体" w:eastAsia="宋体" w:cs="Helvetica"/>
                <w:sz w:val="24"/>
                <w:szCs w:val="24"/>
                <w:lang w:eastAsia="zh-CN"/>
              </w:rPr>
            </w:pPr>
            <w:r>
              <w:rPr>
                <w:rFonts w:hint="eastAsia" w:ascii="宋体" w:hAnsi="宋体" w:eastAsia="宋体" w:cs="Helvetica"/>
                <w:sz w:val="24"/>
                <w:szCs w:val="24"/>
                <w:lang w:val="en-US" w:eastAsia="zh-CN"/>
              </w:rPr>
              <w:t xml:space="preserve">工业</w:t>
            </w:r>
            <w:r/>
          </w:p>
        </w:tc>
      </w:tr>
      <w:tr>
        <w:trPr>
          <w:jc w:val="center"/>
        </w:trPr>
        <w:tc>
          <w:tcPr>
            <w:tcW w:w="896" w:type="dxa"/>
            <w:vAlign w:val="center"/>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2</w:t>
            </w:r>
            <w:r/>
          </w:p>
        </w:tc>
        <w:tc>
          <w:tcPr>
            <w:tcW w:w="2817" w:type="dxa"/>
            <w:vAlign w:val="center"/>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4K智能会议触控一体机</w:t>
            </w:r>
            <w:r/>
          </w:p>
        </w:tc>
        <w:tc>
          <w:tcPr>
            <w:tcW w:w="1621" w:type="dxa"/>
            <w:vAlign w:val="center"/>
            <w:textDirection w:val="lrTb"/>
            <w:noWrap w:val="false"/>
          </w:tcPr>
          <w:p>
            <w:pPr>
              <w:jc w:val="center"/>
              <w:spacing w:line="360" w:lineRule="auto"/>
              <w:widowControl/>
              <w:rPr>
                <w:rFonts w:hint="eastAsia" w:ascii="宋体" w:hAnsi="宋体" w:cs="Helvetica"/>
                <w:sz w:val="24"/>
                <w:szCs w:val="24"/>
              </w:rPr>
            </w:pPr>
            <w:r>
              <w:rPr>
                <w:rFonts w:hint="eastAsia" w:ascii="宋体" w:hAnsi="宋体" w:cs="Helvetica"/>
                <w:sz w:val="24"/>
                <w:szCs w:val="24"/>
              </w:rPr>
              <w:t xml:space="preserve">1</w:t>
            </w:r>
            <w:r/>
          </w:p>
        </w:tc>
        <w:tc>
          <w:tcPr>
            <w:tcW w:w="1725" w:type="dxa"/>
            <w:vAlign w:val="center"/>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台</w:t>
            </w:r>
            <w:r/>
          </w:p>
        </w:tc>
        <w:tc>
          <w:tcPr>
            <w:tcW w:w="1446" w:type="dxa"/>
            <w:vAlign w:val="center"/>
            <w:textDirection w:val="lrTb"/>
            <w:noWrap w:val="false"/>
          </w:tcPr>
          <w:p>
            <w:pPr>
              <w:jc w:val="center"/>
              <w:spacing w:line="360" w:lineRule="auto"/>
              <w:widowControl/>
              <w:rPr>
                <w:rFonts w:hint="eastAsia" w:ascii="宋体" w:hAnsi="宋体" w:eastAsia="宋体" w:cs="Helvetica"/>
                <w:sz w:val="24"/>
                <w:szCs w:val="24"/>
                <w:lang w:eastAsia="zh-CN"/>
              </w:rPr>
            </w:pPr>
            <w:r>
              <w:rPr>
                <w:rFonts w:hint="eastAsia" w:ascii="宋体" w:hAnsi="宋体" w:eastAsia="宋体" w:cs="Helvetica"/>
                <w:sz w:val="24"/>
                <w:szCs w:val="24"/>
                <w:lang w:val="en-US" w:eastAsia="zh-CN"/>
              </w:rPr>
              <w:t xml:space="preserve">工业</w:t>
            </w:r>
            <w:r/>
          </w:p>
        </w:tc>
      </w:tr>
    </w:tbl>
    <w:p>
      <w:pPr>
        <w:ind w:firstLine="562"/>
        <w:jc w:val="left"/>
        <w:spacing w:line="360" w:lineRule="auto"/>
        <w:rPr>
          <w:rFonts w:ascii="Times New Roman" w:hAnsi="Times New Roman"/>
          <w:b/>
          <w:sz w:val="28"/>
          <w:szCs w:val="28"/>
        </w:rPr>
      </w:pPr>
      <w:r/>
      <w:bookmarkStart w:id="9" w:name="_Toc139966432"/>
      <w:r/>
      <w:bookmarkStart w:id="10" w:name="_Toc139967216"/>
      <w:r>
        <w:rPr>
          <w:rFonts w:hint="eastAsia" w:ascii="Times New Roman" w:hAnsi="Times New Roman"/>
          <w:b/>
          <w:sz w:val="28"/>
          <w:szCs w:val="28"/>
        </w:rPr>
        <w:t xml:space="preserve">三、货物（标的）技术参数及功能指标</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jc w:val="center"/>
        </w:trPr>
        <w:tc>
          <w:tcPr>
            <w:tcW w:w="823" w:type="dxa"/>
            <w:vAlign w:val="center"/>
            <w:textDirection w:val="lrTb"/>
            <w:noWrap w:val="false"/>
          </w:tcPr>
          <w:p>
            <w:pPr>
              <w:jc w:val="center"/>
              <w:spacing w:line="360" w:lineRule="auto"/>
              <w:widowControl/>
              <w:rPr>
                <w:rFonts w:ascii="宋体" w:hAnsi="宋体" w:cs="Helvetica"/>
                <w:sz w:val="22"/>
                <w:szCs w:val="22"/>
              </w:rPr>
            </w:pPr>
            <w:r>
              <w:rPr>
                <w:rFonts w:hint="eastAsia" w:ascii="宋体" w:hAnsi="宋体" w:cs="Helvetica"/>
                <w:sz w:val="22"/>
                <w:szCs w:val="22"/>
              </w:rPr>
              <w:t xml:space="preserve">序号</w:t>
            </w:r>
            <w:r/>
          </w:p>
        </w:tc>
        <w:tc>
          <w:tcPr>
            <w:tcW w:w="1939" w:type="dxa"/>
            <w:vAlign w:val="center"/>
            <w:textDirection w:val="lrTb"/>
            <w:noWrap w:val="false"/>
          </w:tcPr>
          <w:p>
            <w:pPr>
              <w:jc w:val="center"/>
              <w:spacing w:line="360" w:lineRule="auto"/>
              <w:widowControl/>
              <w:rPr>
                <w:rFonts w:ascii="宋体" w:hAnsi="宋体" w:cs="Helvetica"/>
                <w:sz w:val="22"/>
                <w:szCs w:val="22"/>
              </w:rPr>
            </w:pPr>
            <w:r>
              <w:rPr>
                <w:rFonts w:hint="eastAsia" w:ascii="宋体" w:hAnsi="宋体" w:cs="Helvetica"/>
                <w:sz w:val="22"/>
                <w:szCs w:val="22"/>
              </w:rPr>
              <w:t xml:space="preserve">货物（标的）名称</w:t>
            </w:r>
            <w:r/>
          </w:p>
        </w:tc>
        <w:tc>
          <w:tcPr>
            <w:tcW w:w="5743" w:type="dxa"/>
            <w:vAlign w:val="center"/>
            <w:textDirection w:val="lrTb"/>
            <w:noWrap w:val="false"/>
          </w:tcPr>
          <w:p>
            <w:pPr>
              <w:jc w:val="center"/>
              <w:spacing w:line="360" w:lineRule="auto"/>
              <w:widowControl/>
              <w:rPr>
                <w:rFonts w:ascii="宋体" w:hAnsi="宋体" w:cs="Helvetica"/>
                <w:sz w:val="22"/>
                <w:szCs w:val="22"/>
              </w:rPr>
            </w:pPr>
            <w:r>
              <w:rPr>
                <w:rFonts w:hint="eastAsia" w:ascii="宋体" w:hAnsi="宋体" w:cs="Helvetica"/>
                <w:sz w:val="22"/>
                <w:szCs w:val="22"/>
              </w:rPr>
              <w:t xml:space="preserve">技术参数及功能指标</w:t>
            </w:r>
            <w:r/>
          </w:p>
        </w:tc>
      </w:tr>
      <w:tr>
        <w:trPr>
          <w:jc w:val="center"/>
        </w:trPr>
        <w:tc>
          <w:tcPr>
            <w:tcW w:w="823" w:type="dxa"/>
            <w:vAlign w:val="center"/>
            <w:textDirection w:val="lrTb"/>
            <w:noWrap w:val="false"/>
          </w:tcPr>
          <w:p>
            <w:pPr>
              <w:jc w:val="center"/>
              <w:spacing w:line="360" w:lineRule="auto"/>
              <w:widowControl/>
              <w:rPr>
                <w:rFonts w:ascii="宋体" w:hAnsi="宋体" w:cs="Helvetica"/>
                <w:sz w:val="22"/>
                <w:szCs w:val="22"/>
              </w:rPr>
            </w:pPr>
            <w:r>
              <w:rPr>
                <w:rFonts w:hint="eastAsia" w:ascii="宋体" w:hAnsi="宋体" w:cs="Helvetica"/>
                <w:sz w:val="22"/>
                <w:szCs w:val="22"/>
              </w:rPr>
              <w:t xml:space="preserve">1</w:t>
            </w:r>
            <w:r/>
          </w:p>
        </w:tc>
        <w:tc>
          <w:tcPr>
            <w:tcW w:w="1939" w:type="dxa"/>
            <w:vAlign w:val="center"/>
            <w:textDirection w:val="lrTb"/>
            <w:noWrap w:val="false"/>
          </w:tcPr>
          <w:p>
            <w:pPr>
              <w:jc w:val="center"/>
              <w:spacing w:line="360" w:lineRule="auto"/>
              <w:widowControl/>
              <w:rPr>
                <w:rFonts w:ascii="宋体" w:hAnsi="宋体" w:cs="Helvetica"/>
                <w:sz w:val="22"/>
                <w:szCs w:val="22"/>
              </w:rPr>
            </w:pPr>
            <w:r>
              <w:rPr>
                <w:rFonts w:hint="eastAsia" w:ascii="宋体" w:hAnsi="宋体" w:cs="Helvetica"/>
                <w:sz w:val="22"/>
                <w:szCs w:val="22"/>
              </w:rPr>
              <w:t xml:space="preserve">视频会议终端</w:t>
            </w:r>
            <w:r/>
          </w:p>
        </w:tc>
        <w:tc>
          <w:tcPr>
            <w:tcW w:w="5743" w:type="dxa"/>
            <w:vAlign w:val="top"/>
            <w:textDirection w:val="lrTb"/>
            <w:noWrap w:val="false"/>
          </w:tcPr>
          <w:p>
            <w:pPr>
              <w:numPr>
                <w:ilvl w:val="0"/>
                <w:numId w:val="0"/>
              </w:numPr>
              <w:rPr>
                <w:rFonts w:hint="eastAsia"/>
                <w:sz w:val="22"/>
                <w:szCs w:val="22"/>
              </w:rPr>
            </w:pPr>
            <w:r>
              <w:rPr>
                <w:rFonts w:hint="eastAsia"/>
                <w:sz w:val="22"/>
                <w:szCs w:val="22"/>
                <w:lang w:val="en-US" w:eastAsia="zh-CN"/>
              </w:rPr>
              <w:t xml:space="preserve">1、</w:t>
            </w:r>
            <w:r>
              <w:rPr>
                <w:rFonts w:hint="eastAsia"/>
                <w:sz w:val="22"/>
                <w:szCs w:val="22"/>
              </w:rPr>
              <w:t xml:space="preserve">采用嵌入式操作系统，非Windows系统；非PC架构，非工控机架构，摄像头及主机分体式结构。</w:t>
            </w:r>
            <w:r/>
          </w:p>
          <w:p>
            <w:pPr>
              <w:numPr>
                <w:ilvl w:val="0"/>
                <w:numId w:val="0"/>
              </w:numPr>
              <w:rPr>
                <w:rFonts w:hint="eastAsia"/>
                <w:sz w:val="22"/>
                <w:szCs w:val="22"/>
              </w:rPr>
            </w:pPr>
            <w:r>
              <w:rPr>
                <w:rFonts w:hint="eastAsia"/>
                <w:sz w:val="22"/>
                <w:szCs w:val="22"/>
                <w:lang w:val="en-US" w:eastAsia="zh-CN"/>
              </w:rPr>
              <w:t xml:space="preserve">2、</w:t>
            </w:r>
            <w:r>
              <w:rPr>
                <w:rFonts w:hint="eastAsia"/>
                <w:sz w:val="22"/>
                <w:szCs w:val="22"/>
              </w:rPr>
              <w:t xml:space="preserve">多媒体框架协议：支持多种线路类型，支持H.323/SIP协议标准，支持IP接入速率128Kbps-6Mbps。</w:t>
            </w:r>
            <w:r/>
          </w:p>
          <w:p>
            <w:pPr>
              <w:numPr>
                <w:ilvl w:val="0"/>
                <w:numId w:val="0"/>
              </w:numPr>
              <w:rPr>
                <w:rFonts w:hint="eastAsia"/>
                <w:sz w:val="22"/>
                <w:szCs w:val="22"/>
              </w:rPr>
            </w:pPr>
            <w:r>
              <w:rPr>
                <w:rFonts w:hint="eastAsia"/>
                <w:sz w:val="22"/>
                <w:szCs w:val="22"/>
                <w:lang w:val="en-US" w:eastAsia="zh-CN"/>
              </w:rPr>
              <w:t xml:space="preserve">3、</w:t>
            </w:r>
            <w:r>
              <w:rPr>
                <w:rFonts w:hint="eastAsia"/>
                <w:sz w:val="22"/>
                <w:szCs w:val="22"/>
              </w:rPr>
              <w:t xml:space="preserve">视频编解码协议：支持H.263、H.264、H.264 HighProfile、H.264 SVC视频图像编码协议，图像格式支持1080p、720p、4CIF</w:t>
            </w:r>
            <w:r>
              <w:rPr>
                <w:rFonts w:hint="eastAsia"/>
                <w:sz w:val="22"/>
                <w:szCs w:val="22"/>
                <w:lang w:eastAsia="zh-CN"/>
              </w:rPr>
              <w:t xml:space="preserve">、</w:t>
            </w:r>
            <w:r>
              <w:rPr>
                <w:rFonts w:hint="eastAsia"/>
                <w:sz w:val="22"/>
                <w:szCs w:val="22"/>
              </w:rPr>
              <w:t xml:space="preserve">CIF，本次要求配置对称1080P 60帧编解码能力。</w:t>
            </w:r>
            <w:r/>
          </w:p>
          <w:p>
            <w:pPr>
              <w:numPr>
                <w:ilvl w:val="0"/>
                <w:numId w:val="0"/>
              </w:numPr>
              <w:rPr>
                <w:rFonts w:hint="eastAsia" w:eastAsia="宋体"/>
                <w:sz w:val="22"/>
                <w:szCs w:val="22"/>
                <w:lang w:eastAsia="zh-CN"/>
              </w:rPr>
            </w:pPr>
            <w:r>
              <w:rPr>
                <w:rFonts w:hint="eastAsia"/>
                <w:sz w:val="22"/>
                <w:szCs w:val="22"/>
                <w:lang w:val="en-US" w:eastAsia="zh-CN"/>
              </w:rPr>
              <w:t xml:space="preserve">4、</w:t>
            </w:r>
            <w:r>
              <w:rPr>
                <w:rFonts w:hint="eastAsia"/>
                <w:sz w:val="22"/>
                <w:szCs w:val="22"/>
              </w:rPr>
              <w:t xml:space="preserve">双流性能：支持标准H.239协议的双流收发，主流视频图像和辅流PC桌面数据输入输出都能达到1080P分辨率</w:t>
            </w:r>
            <w:r>
              <w:rPr>
                <w:rFonts w:hint="eastAsia"/>
                <w:sz w:val="22"/>
                <w:szCs w:val="22"/>
                <w:lang w:eastAsia="zh-CN"/>
              </w:rPr>
              <w:t xml:space="preserve">。</w:t>
            </w:r>
            <w:r/>
          </w:p>
          <w:p>
            <w:pPr>
              <w:numPr>
                <w:ilvl w:val="0"/>
                <w:numId w:val="0"/>
              </w:numPr>
              <w:rPr>
                <w:rFonts w:hint="eastAsia"/>
                <w:b/>
                <w:bCs/>
                <w:sz w:val="22"/>
                <w:szCs w:val="22"/>
              </w:rPr>
            </w:pPr>
            <w:r>
              <w:rPr>
                <w:sz w:val="22"/>
                <w:szCs w:val="22"/>
              </w:rPr>
              <w:t xml:space="preserve">▲</w:t>
            </w:r>
            <w:r>
              <w:rPr>
                <w:rFonts w:hint="eastAsia"/>
                <w:sz w:val="22"/>
                <w:szCs w:val="22"/>
                <w:lang w:val="en-US" w:eastAsia="zh-CN"/>
              </w:rPr>
              <w:t xml:space="preserve">5、</w:t>
            </w:r>
            <w:r>
              <w:rPr>
                <w:rFonts w:hint="eastAsia"/>
                <w:sz w:val="22"/>
                <w:szCs w:val="22"/>
              </w:rPr>
              <w:t xml:space="preserve">网络适应性：所投设备支持丢包恢复功能，在IP网络发生20%丢包时仍能够进行流畅的音视频沟通，图像无马赛克、停顿</w:t>
            </w:r>
            <w:r>
              <w:rPr>
                <w:rFonts w:hint="eastAsia"/>
                <w:sz w:val="22"/>
                <w:szCs w:val="22"/>
                <w:lang w:eastAsia="zh-CN"/>
              </w:rPr>
              <w:t xml:space="preserve">；</w:t>
            </w:r>
            <w:r>
              <w:rPr>
                <w:rFonts w:hint="eastAsia"/>
                <w:sz w:val="22"/>
                <w:szCs w:val="22"/>
              </w:rPr>
              <w:t xml:space="preserve">在IP网络发生70%丢包时仍能保持音频通讯畅通。</w:t>
            </w:r>
            <w:r>
              <w:rPr>
                <w:rFonts w:hint="eastAsia"/>
                <w:b/>
                <w:bCs/>
                <w:sz w:val="22"/>
                <w:szCs w:val="22"/>
                <w:lang w:eastAsia="zh-CN"/>
              </w:rPr>
              <w:t xml:space="preserve">（</w:t>
            </w:r>
            <w:r>
              <w:rPr>
                <w:rFonts w:hint="eastAsia" w:ascii="宋体" w:hAnsi="宋体" w:eastAsia="宋体" w:cs="宋体"/>
                <w:b/>
                <w:bCs/>
                <w:i w:val="0"/>
                <w:iCs w:val="0"/>
                <w:color w:val="000000"/>
                <w:sz w:val="22"/>
                <w:szCs w:val="22"/>
                <w:highlight w:val="none"/>
                <w:u w:val="none"/>
                <w:lang w:val="en-US" w:eastAsia="zh-CN"/>
              </w:rPr>
              <w:t xml:space="preserve">提供国家认可的第三方检测机构出具的检测报告电子件或复印件或扫描件并加盖投标人公章</w:t>
            </w:r>
            <w:r>
              <w:rPr>
                <w:rFonts w:hint="eastAsia"/>
                <w:b/>
                <w:bCs/>
                <w:sz w:val="22"/>
                <w:szCs w:val="22"/>
                <w:lang w:val="zh-CN"/>
              </w:rPr>
              <w:t xml:space="preserve">）</w:t>
            </w:r>
            <w:r/>
          </w:p>
          <w:p>
            <w:pPr>
              <w:numPr>
                <w:ilvl w:val="0"/>
                <w:numId w:val="0"/>
              </w:numPr>
              <w:rPr>
                <w:rFonts w:hint="eastAsia"/>
                <w:sz w:val="22"/>
                <w:szCs w:val="22"/>
              </w:rPr>
            </w:pPr>
            <w:r>
              <w:rPr>
                <w:rFonts w:hint="eastAsia"/>
                <w:sz w:val="22"/>
                <w:szCs w:val="22"/>
                <w:lang w:val="en-US" w:eastAsia="zh-CN"/>
              </w:rPr>
              <w:t xml:space="preserve">6、</w:t>
            </w:r>
            <w:r>
              <w:rPr>
                <w:rFonts w:hint="eastAsia"/>
                <w:sz w:val="22"/>
                <w:szCs w:val="22"/>
              </w:rPr>
              <w:t xml:space="preserve">维护功能：支持网络诊断功能。支持诊断两个节点之间的连通性、Qos、NAT、实际可用带宽、H323、SIP等功能，诊断后自动输出诊断报告。</w:t>
            </w:r>
            <w:r/>
          </w:p>
          <w:p>
            <w:pPr>
              <w:numPr>
                <w:ilvl w:val="0"/>
                <w:numId w:val="0"/>
              </w:numPr>
              <w:rPr>
                <w:rFonts w:hint="eastAsia"/>
                <w:sz w:val="22"/>
                <w:szCs w:val="22"/>
              </w:rPr>
            </w:pPr>
            <w:r>
              <w:rPr>
                <w:sz w:val="22"/>
                <w:szCs w:val="22"/>
              </w:rPr>
              <w:t xml:space="preserve">▲</w:t>
            </w:r>
            <w:r>
              <w:rPr>
                <w:rFonts w:hint="eastAsia"/>
                <w:sz w:val="22"/>
                <w:szCs w:val="22"/>
                <w:lang w:val="en-US" w:eastAsia="zh-CN"/>
              </w:rPr>
              <w:t xml:space="preserve">7、</w:t>
            </w:r>
            <w:r>
              <w:rPr>
                <w:rFonts w:hint="eastAsia"/>
                <w:sz w:val="22"/>
                <w:szCs w:val="22"/>
              </w:rPr>
              <w:t xml:space="preserve">终端最少具有四路高清输入接口和三路高清输出接口，且输入接口具备HDCI和3G-SDI接口，可同时支持在三个显示屏上分别显示近端、远端及双流画面；至少3路音频输入能力和3路音频输出能力。</w:t>
            </w:r>
            <w:r>
              <w:rPr>
                <w:rFonts w:hint="eastAsia"/>
                <w:b/>
                <w:bCs/>
                <w:sz w:val="22"/>
                <w:szCs w:val="22"/>
                <w:lang w:eastAsia="zh-CN"/>
              </w:rPr>
              <w:t xml:space="preserve">（</w:t>
            </w:r>
            <w:r>
              <w:rPr>
                <w:rFonts w:hint="eastAsia"/>
                <w:b/>
                <w:bCs/>
                <w:sz w:val="22"/>
                <w:szCs w:val="22"/>
              </w:rPr>
              <w:t xml:space="preserve">提供产品背板接口说明图</w:t>
            </w:r>
            <w:r>
              <w:rPr>
                <w:rFonts w:hint="eastAsia" w:ascii="宋体" w:hAnsi="宋体" w:eastAsia="宋体" w:cs="宋体"/>
                <w:b/>
                <w:bCs/>
                <w:i w:val="0"/>
                <w:iCs w:val="0"/>
                <w:color w:val="000000"/>
                <w:sz w:val="22"/>
                <w:szCs w:val="22"/>
                <w:highlight w:val="none"/>
                <w:u w:val="none"/>
                <w:lang w:val="en-US" w:eastAsia="zh-CN"/>
              </w:rPr>
              <w:t xml:space="preserve">并加盖投标人公章）</w:t>
            </w:r>
            <w:r/>
          </w:p>
          <w:p>
            <w:pPr>
              <w:numPr>
                <w:ilvl w:val="0"/>
                <w:numId w:val="0"/>
              </w:numPr>
              <w:rPr>
                <w:rFonts w:hint="eastAsia"/>
                <w:sz w:val="22"/>
                <w:szCs w:val="22"/>
              </w:rPr>
            </w:pPr>
            <w:r>
              <w:rPr>
                <w:rFonts w:hint="eastAsia"/>
                <w:sz w:val="22"/>
                <w:szCs w:val="22"/>
                <w:lang w:val="en-US" w:eastAsia="zh-CN"/>
              </w:rPr>
              <w:t xml:space="preserve">8、</w:t>
            </w:r>
            <w:r>
              <w:rPr>
                <w:rFonts w:hint="eastAsia"/>
                <w:sz w:val="22"/>
                <w:szCs w:val="22"/>
              </w:rPr>
              <w:t xml:space="preserve">系统功能及特性：提供基于WEB的系统管理功能。可通过电脑终端、中央控制系统进行控制。</w:t>
            </w:r>
            <w:r/>
          </w:p>
          <w:p>
            <w:pPr>
              <w:numPr>
                <w:ilvl w:val="0"/>
                <w:numId w:val="0"/>
              </w:numPr>
              <w:rPr>
                <w:rFonts w:hint="eastAsia"/>
                <w:sz w:val="22"/>
                <w:szCs w:val="22"/>
              </w:rPr>
            </w:pPr>
            <w:r>
              <w:rPr>
                <w:sz w:val="22"/>
                <w:szCs w:val="22"/>
              </w:rPr>
              <w:t xml:space="preserve">▲</w:t>
            </w:r>
            <w:r>
              <w:rPr>
                <w:rFonts w:hint="eastAsia"/>
                <w:sz w:val="22"/>
                <w:szCs w:val="22"/>
                <w:lang w:val="en-US" w:eastAsia="zh-CN"/>
              </w:rPr>
              <w:t xml:space="preserve">9、</w:t>
            </w:r>
            <w:r>
              <w:rPr>
                <w:rFonts w:hint="eastAsia"/>
                <w:sz w:val="22"/>
                <w:szCs w:val="22"/>
              </w:rPr>
              <w:t xml:space="preserve">终端支持双流内容批注功能。</w:t>
            </w:r>
            <w:r>
              <w:rPr>
                <w:rFonts w:hint="eastAsia"/>
                <w:b/>
                <w:bCs/>
                <w:sz w:val="22"/>
                <w:szCs w:val="22"/>
                <w:lang w:eastAsia="zh-CN"/>
              </w:rPr>
              <w:t xml:space="preserve">（</w:t>
            </w:r>
            <w:r>
              <w:rPr>
                <w:rFonts w:hint="eastAsia" w:ascii="宋体" w:hAnsi="宋体" w:eastAsia="宋体" w:cs="宋体"/>
                <w:b/>
                <w:bCs/>
                <w:i w:val="0"/>
                <w:iCs w:val="0"/>
                <w:color w:val="000000"/>
                <w:sz w:val="22"/>
                <w:szCs w:val="22"/>
                <w:highlight w:val="none"/>
                <w:u w:val="none"/>
                <w:lang w:val="en-US" w:eastAsia="zh-CN"/>
              </w:rPr>
              <w:t xml:space="preserve">提供国家认可的第三方检测机构出具的检测报告电子件或复印件或扫描件并加盖投标人公章）</w:t>
            </w:r>
            <w:r/>
          </w:p>
          <w:p>
            <w:pPr>
              <w:numPr>
                <w:ilvl w:val="0"/>
                <w:numId w:val="0"/>
              </w:numPr>
              <w:rPr>
                <w:rFonts w:hint="eastAsia"/>
                <w:sz w:val="22"/>
                <w:szCs w:val="22"/>
              </w:rPr>
            </w:pPr>
            <w:r>
              <w:rPr>
                <w:rFonts w:hint="eastAsia"/>
                <w:sz w:val="22"/>
                <w:szCs w:val="22"/>
                <w:lang w:val="en-US" w:eastAsia="zh-CN"/>
              </w:rPr>
              <w:t xml:space="preserve">10、</w:t>
            </w:r>
            <w:r>
              <w:rPr>
                <w:rFonts w:hint="eastAsia"/>
                <w:sz w:val="22"/>
                <w:szCs w:val="22"/>
              </w:rPr>
              <w:t xml:space="preserve">终端具备镜头预置位预览功能，可以方便直观的了解预置位所对应的方位。</w:t>
            </w:r>
            <w:r/>
          </w:p>
          <w:p>
            <w:pPr>
              <w:numPr>
                <w:ilvl w:val="0"/>
                <w:numId w:val="0"/>
              </w:numPr>
              <w:rPr>
                <w:rFonts w:hint="eastAsia"/>
                <w:sz w:val="22"/>
                <w:szCs w:val="22"/>
                <w:highlight w:val="none"/>
              </w:rPr>
            </w:pPr>
            <w:r>
              <w:rPr>
                <w:sz w:val="22"/>
                <w:szCs w:val="22"/>
                <w:highlight w:val="none"/>
              </w:rPr>
              <w:t xml:space="preserve">▲</w:t>
            </w:r>
            <w:r>
              <w:rPr>
                <w:rFonts w:hint="eastAsia"/>
                <w:sz w:val="22"/>
                <w:szCs w:val="22"/>
                <w:highlight w:val="none"/>
                <w:lang w:val="en-US" w:eastAsia="zh-CN"/>
              </w:rPr>
              <w:t xml:space="preserve">11、投标人承诺提供原厂质保。</w:t>
            </w:r>
            <w:r>
              <w:rPr>
                <w:rFonts w:hint="eastAsia"/>
                <w:b/>
                <w:bCs/>
                <w:sz w:val="22"/>
                <w:szCs w:val="22"/>
                <w:highlight w:val="none"/>
                <w:lang w:val="en-US" w:eastAsia="zh-CN"/>
              </w:rPr>
              <w:t xml:space="preserve">（投标文件中提供承诺函（格式自拟）并加盖投标人公章）</w:t>
            </w:r>
            <w:r/>
          </w:p>
          <w:p>
            <w:pPr>
              <w:numPr>
                <w:ilvl w:val="0"/>
                <w:numId w:val="0"/>
              </w:numPr>
              <w:rPr>
                <w:rFonts w:hint="eastAsia"/>
                <w:sz w:val="22"/>
                <w:szCs w:val="22"/>
              </w:rPr>
            </w:pPr>
            <w:r>
              <w:rPr>
                <w:rFonts w:hint="eastAsia"/>
                <w:sz w:val="22"/>
                <w:szCs w:val="22"/>
                <w:lang w:val="en-US" w:eastAsia="zh-CN"/>
              </w:rPr>
              <w:t xml:space="preserve">12、</w:t>
            </w:r>
            <w:r>
              <w:rPr>
                <w:rFonts w:hint="eastAsia"/>
                <w:sz w:val="22"/>
                <w:szCs w:val="22"/>
              </w:rPr>
              <w:t xml:space="preserve">终端附带摄像机需求：</w:t>
            </w:r>
            <w:r/>
          </w:p>
          <w:p>
            <w:pPr>
              <w:rPr>
                <w:rFonts w:hint="eastAsia"/>
                <w:sz w:val="22"/>
                <w:szCs w:val="22"/>
              </w:rPr>
            </w:pPr>
            <w:r>
              <w:rPr>
                <w:rFonts w:hint="eastAsia"/>
                <w:sz w:val="22"/>
                <w:szCs w:val="22"/>
                <w:lang w:val="en-US" w:eastAsia="zh-CN"/>
              </w:rPr>
              <w:t xml:space="preserve">1</w:t>
            </w:r>
            <w:r>
              <w:rPr>
                <w:rFonts w:hint="eastAsia"/>
                <w:sz w:val="22"/>
                <w:szCs w:val="22"/>
              </w:rPr>
              <w:t xml:space="preserve">）镜头规格及像素：采用1/3英寸、2百万有效像素的HD CMOS图像传感器，支持最高1080P 60fps高清晰视频，配备自动聚焦镜头和≥12倍光学变焦；</w:t>
            </w:r>
            <w:r/>
          </w:p>
          <w:p>
            <w:pPr>
              <w:rPr>
                <w:rFonts w:hint="eastAsia"/>
                <w:sz w:val="22"/>
                <w:szCs w:val="22"/>
              </w:rPr>
            </w:pPr>
            <w:r>
              <w:rPr>
                <w:rFonts w:hint="eastAsia"/>
                <w:sz w:val="22"/>
                <w:szCs w:val="22"/>
                <w:lang w:val="en-US" w:eastAsia="zh-CN"/>
              </w:rPr>
              <w:t xml:space="preserve">2</w:t>
            </w:r>
            <w:r>
              <w:rPr>
                <w:rFonts w:hint="eastAsia"/>
                <w:sz w:val="22"/>
                <w:szCs w:val="22"/>
              </w:rPr>
              <w:t xml:space="preserve">）支持遥控器远程控制，实现对摄像机进行变焦和上下左右调整控制。</w:t>
            </w:r>
            <w:r/>
          </w:p>
          <w:p>
            <w:pPr>
              <w:rPr>
                <w:rFonts w:ascii="宋体" w:hAnsi="宋体" w:cs="Helvetica"/>
                <w:sz w:val="22"/>
                <w:szCs w:val="22"/>
              </w:rPr>
            </w:pPr>
            <w:r>
              <w:rPr>
                <w:rFonts w:hint="eastAsia"/>
                <w:sz w:val="22"/>
                <w:szCs w:val="22"/>
                <w:lang w:val="en-US" w:eastAsia="zh-CN"/>
              </w:rPr>
              <w:t xml:space="preserve">3</w:t>
            </w:r>
            <w:r>
              <w:rPr>
                <w:rFonts w:hint="eastAsia"/>
                <w:sz w:val="22"/>
                <w:szCs w:val="22"/>
              </w:rPr>
              <w:t xml:space="preserve">）自动调节：支持自动白平衡、自动曝光、自动聚焦等功能。</w:t>
            </w:r>
            <w:r/>
          </w:p>
        </w:tc>
      </w:tr>
      <w:tr>
        <w:trPr>
          <w:jc w:val="center"/>
        </w:trPr>
        <w:tc>
          <w:tcPr>
            <w:tcW w:w="823" w:type="dxa"/>
            <w:vAlign w:val="center"/>
            <w:textDirection w:val="lrTb"/>
            <w:noWrap w:val="false"/>
          </w:tcPr>
          <w:p>
            <w:pPr>
              <w:jc w:val="center"/>
              <w:spacing w:line="360" w:lineRule="auto"/>
              <w:widowControl/>
              <w:rPr>
                <w:rFonts w:ascii="宋体" w:hAnsi="宋体" w:cs="Helvetica"/>
                <w:sz w:val="22"/>
                <w:szCs w:val="22"/>
              </w:rPr>
            </w:pPr>
            <w:r>
              <w:rPr>
                <w:rFonts w:hint="eastAsia" w:ascii="宋体" w:hAnsi="宋体" w:cs="Helvetica"/>
                <w:sz w:val="22"/>
                <w:szCs w:val="22"/>
              </w:rPr>
              <w:t xml:space="preserve">2</w:t>
            </w:r>
            <w:r/>
          </w:p>
        </w:tc>
        <w:tc>
          <w:tcPr>
            <w:tcW w:w="1939" w:type="dxa"/>
            <w:vAlign w:val="center"/>
            <w:textDirection w:val="lrTb"/>
            <w:noWrap w:val="false"/>
          </w:tcPr>
          <w:p>
            <w:pPr>
              <w:jc w:val="center"/>
              <w:spacing w:line="360" w:lineRule="auto"/>
              <w:widowControl/>
              <w:rPr>
                <w:rFonts w:ascii="宋体" w:hAnsi="宋体" w:cs="Helvetica"/>
                <w:sz w:val="22"/>
                <w:szCs w:val="22"/>
              </w:rPr>
            </w:pPr>
            <w:r>
              <w:rPr>
                <w:rFonts w:hint="eastAsia" w:ascii="宋体" w:hAnsi="宋体" w:cs="Helvetica"/>
                <w:sz w:val="22"/>
                <w:szCs w:val="22"/>
              </w:rPr>
              <w:t xml:space="preserve">4K智能会议触控一体机</w:t>
            </w:r>
            <w:r/>
          </w:p>
        </w:tc>
        <w:tc>
          <w:tcPr>
            <w:tcW w:w="5743" w:type="dxa"/>
            <w:vAlign w:val="top"/>
            <w:textDirection w:val="lrTb"/>
            <w:noWrap w:val="false"/>
          </w:tcPr>
          <w:p>
            <w:pPr>
              <w:numPr>
                <w:ilvl w:val="0"/>
                <w:numId w:val="0"/>
              </w:numPr>
              <w:rPr>
                <w:rFonts w:hint="eastAsia"/>
                <w:sz w:val="22"/>
                <w:szCs w:val="22"/>
              </w:rPr>
            </w:pPr>
            <w:r>
              <w:rPr>
                <w:rFonts w:hint="eastAsia"/>
                <w:sz w:val="22"/>
                <w:szCs w:val="22"/>
                <w:lang w:val="en-US" w:eastAsia="zh-CN"/>
              </w:rPr>
              <w:t xml:space="preserve">1、</w:t>
            </w:r>
            <w:r>
              <w:rPr>
                <w:rFonts w:hint="eastAsia"/>
                <w:sz w:val="22"/>
                <w:szCs w:val="22"/>
              </w:rPr>
              <w:t xml:space="preserve">采用一体化设计，外部无任何可见内部功能模块连接线。整机采用全金属外壳设计，边角有考虑安全做弧形设计表面无尖锐边缘或凸起。整机背板采用金属材质，有效屏蔽内部电路器件辐射;防潮耐盐雾蚀锈</w:t>
            </w:r>
            <w:r/>
          </w:p>
          <w:p>
            <w:pPr>
              <w:numPr>
                <w:ilvl w:val="0"/>
                <w:numId w:val="0"/>
              </w:numPr>
              <w:rPr>
                <w:rFonts w:hint="eastAsia"/>
                <w:sz w:val="22"/>
                <w:szCs w:val="22"/>
              </w:rPr>
            </w:pPr>
            <w:r>
              <w:rPr>
                <w:rFonts w:hint="eastAsia"/>
                <w:sz w:val="22"/>
                <w:szCs w:val="22"/>
                <w:lang w:val="en-US" w:eastAsia="zh-CN"/>
              </w:rPr>
              <w:t xml:space="preserve">2、</w:t>
            </w:r>
            <w:r>
              <w:rPr>
                <w:rFonts w:hint="eastAsia"/>
                <w:sz w:val="22"/>
                <w:szCs w:val="22"/>
              </w:rPr>
              <w:t xml:space="preserve">整机屏幕采用UHD超高清A规液晶屏，背光形式为D-LED，显示尺寸≥86英寸，显示比例为16:9</w:t>
            </w:r>
            <w:r>
              <w:rPr>
                <w:rFonts w:hint="eastAsia"/>
                <w:sz w:val="22"/>
                <w:szCs w:val="22"/>
                <w:lang w:eastAsia="zh-CN"/>
              </w:rPr>
              <w:t xml:space="preserve">，</w:t>
            </w:r>
            <w:r>
              <w:rPr>
                <w:rFonts w:hint="eastAsia"/>
                <w:sz w:val="22"/>
                <w:szCs w:val="22"/>
              </w:rPr>
              <w:t xml:space="preserve">水平可视视角≥178°，垂直可视视角≥178°，物理解析度</w:t>
            </w:r>
            <w:r>
              <w:rPr>
                <w:rFonts w:hint="eastAsia"/>
                <w:sz w:val="22"/>
                <w:szCs w:val="22"/>
                <w:lang w:eastAsia="zh-CN"/>
              </w:rPr>
              <w:t xml:space="preserve">：</w:t>
            </w:r>
            <w:r>
              <w:rPr>
                <w:rFonts w:hint="eastAsia"/>
                <w:sz w:val="22"/>
                <w:szCs w:val="22"/>
              </w:rPr>
              <w:t xml:space="preserve">高清3840*2160P</w:t>
            </w:r>
            <w:r>
              <w:rPr>
                <w:rFonts w:hint="eastAsia"/>
                <w:sz w:val="22"/>
                <w:szCs w:val="22"/>
                <w:lang w:eastAsia="zh-CN"/>
              </w:rPr>
              <w:t xml:space="preserve">（</w:t>
            </w:r>
            <w:r>
              <w:rPr>
                <w:rFonts w:hint="eastAsia"/>
                <w:sz w:val="22"/>
                <w:szCs w:val="22"/>
              </w:rPr>
              <w:t xml:space="preserve">屏幕图像分辨率为3840*2160P，全高清4K系统图标显示</w:t>
            </w:r>
            <w:r>
              <w:rPr>
                <w:rFonts w:hint="eastAsia"/>
                <w:sz w:val="22"/>
                <w:szCs w:val="22"/>
                <w:lang w:eastAsia="zh-CN"/>
              </w:rPr>
              <w:t xml:space="preserve">）</w:t>
            </w:r>
            <w:r>
              <w:rPr>
                <w:rFonts w:hint="eastAsia"/>
                <w:sz w:val="22"/>
                <w:szCs w:val="22"/>
              </w:rPr>
              <w:t xml:space="preserve">，色彩1.07G</w:t>
            </w:r>
            <w:r>
              <w:rPr>
                <w:rFonts w:hint="eastAsia"/>
                <w:sz w:val="22"/>
                <w:szCs w:val="22"/>
                <w:lang w:eastAsia="zh-CN"/>
              </w:rPr>
              <w:t xml:space="preserve">（</w:t>
            </w:r>
            <w:r>
              <w:rPr>
                <w:rFonts w:hint="eastAsia"/>
                <w:sz w:val="22"/>
                <w:szCs w:val="22"/>
              </w:rPr>
              <w:t xml:space="preserve">8bits+FRC</w:t>
            </w:r>
            <w:r>
              <w:rPr>
                <w:rFonts w:hint="eastAsia"/>
                <w:sz w:val="22"/>
                <w:szCs w:val="22"/>
                <w:lang w:eastAsia="zh-CN"/>
              </w:rPr>
              <w:t xml:space="preserve">）</w:t>
            </w:r>
            <w:r>
              <w:rPr>
                <w:rFonts w:hint="eastAsia"/>
                <w:sz w:val="22"/>
                <w:szCs w:val="22"/>
              </w:rPr>
              <w:t xml:space="preserve">，动态对比度500000:1，屏幕寿命≥50000 小时</w:t>
            </w:r>
            <w:r/>
          </w:p>
          <w:p>
            <w:pPr>
              <w:numPr>
                <w:ilvl w:val="0"/>
                <w:numId w:val="0"/>
              </w:numPr>
              <w:rPr>
                <w:rFonts w:hint="eastAsia"/>
                <w:sz w:val="22"/>
                <w:szCs w:val="22"/>
              </w:rPr>
            </w:pPr>
            <w:r>
              <w:rPr>
                <w:rFonts w:hint="eastAsia"/>
                <w:sz w:val="22"/>
                <w:szCs w:val="22"/>
                <w:lang w:val="en-US" w:eastAsia="zh-CN"/>
              </w:rPr>
              <w:t xml:space="preserve">2、</w:t>
            </w:r>
            <w:r>
              <w:rPr>
                <w:rFonts w:hint="eastAsia"/>
                <w:sz w:val="22"/>
                <w:szCs w:val="22"/>
              </w:rPr>
              <w:t xml:space="preserve">屏幕亮度≥500cd/m²，内置光线传感器自动调节屏幕亮度。</w:t>
            </w:r>
            <w:r/>
          </w:p>
          <w:p>
            <w:pPr>
              <w:numPr>
                <w:ilvl w:val="0"/>
                <w:numId w:val="0"/>
              </w:numPr>
              <w:rPr>
                <w:rFonts w:hint="eastAsia" w:eastAsia="宋体"/>
                <w:sz w:val="22"/>
                <w:szCs w:val="22"/>
                <w:lang w:eastAsia="zh-CN"/>
              </w:rPr>
            </w:pPr>
            <w:r>
              <w:rPr>
                <w:rFonts w:hint="eastAsia"/>
                <w:sz w:val="22"/>
                <w:szCs w:val="22"/>
              </w:rPr>
              <w:t xml:space="preserve">▲</w:t>
            </w:r>
            <w:r>
              <w:rPr>
                <w:rFonts w:hint="eastAsia"/>
                <w:sz w:val="22"/>
                <w:szCs w:val="22"/>
                <w:lang w:val="en-US" w:eastAsia="zh-CN"/>
              </w:rPr>
              <w:t xml:space="preserve">3</w:t>
            </w:r>
            <w:r>
              <w:rPr>
                <w:rFonts w:hint="eastAsia"/>
                <w:sz w:val="22"/>
                <w:szCs w:val="22"/>
                <w:lang w:eastAsia="zh-CN"/>
              </w:rPr>
              <w:t xml:space="preserve">、</w:t>
            </w:r>
            <w:r>
              <w:rPr>
                <w:rFonts w:hint="eastAsia"/>
                <w:sz w:val="22"/>
                <w:szCs w:val="22"/>
              </w:rPr>
              <w:t xml:space="preserve">色域覆盖率≥98%NTSC高色域，表面玻璃采用AG防眩光钢化玻璃；整机具备防强光干扰性能。</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p>
          <w:p>
            <w:pPr>
              <w:numPr>
                <w:ilvl w:val="0"/>
                <w:numId w:val="0"/>
              </w:numPr>
              <w:rPr>
                <w:rFonts w:hint="eastAsia"/>
                <w:sz w:val="22"/>
                <w:szCs w:val="22"/>
              </w:rPr>
            </w:pPr>
            <w:r>
              <w:rPr>
                <w:rFonts w:hint="eastAsia"/>
                <w:sz w:val="22"/>
                <w:szCs w:val="22"/>
                <w:lang w:val="en-US" w:eastAsia="zh-CN"/>
              </w:rPr>
              <w:t xml:space="preserve">4、</w:t>
            </w:r>
            <w:r>
              <w:rPr>
                <w:rFonts w:hint="eastAsia"/>
                <w:sz w:val="22"/>
                <w:szCs w:val="22"/>
              </w:rPr>
              <w:t xml:space="preserve">整机采用零贴合工艺，使屏幕表面的钢化玻璃和显示屏之间间隙≤1mm</w:t>
            </w:r>
            <w:r>
              <w:rPr>
                <w:rFonts w:hint="eastAsia"/>
                <w:sz w:val="22"/>
                <w:szCs w:val="22"/>
                <w:lang w:eastAsia="zh-CN"/>
              </w:rPr>
              <w:t xml:space="preserve">，</w:t>
            </w:r>
            <w:r>
              <w:rPr>
                <w:rFonts w:hint="eastAsia"/>
                <w:sz w:val="22"/>
                <w:szCs w:val="22"/>
              </w:rPr>
              <w:t xml:space="preserve">有效避免屏体进入水气或产生雾气，减少漫反射使得显示画面更清晰。</w:t>
            </w:r>
            <w:r/>
          </w:p>
          <w:p>
            <w:pPr>
              <w:numPr>
                <w:ilvl w:val="0"/>
                <w:numId w:val="0"/>
              </w:numPr>
              <w:rPr>
                <w:rFonts w:hint="eastAsia" w:eastAsia="宋体"/>
                <w:sz w:val="22"/>
                <w:szCs w:val="22"/>
                <w:lang w:eastAsia="zh-CN"/>
              </w:rPr>
            </w:pPr>
            <w:r>
              <w:rPr>
                <w:rFonts w:hint="eastAsia"/>
                <w:sz w:val="22"/>
                <w:szCs w:val="22"/>
              </w:rPr>
              <w:t xml:space="preserve">▲</w:t>
            </w:r>
            <w:r>
              <w:rPr>
                <w:rFonts w:hint="eastAsia"/>
                <w:sz w:val="22"/>
                <w:szCs w:val="22"/>
                <w:lang w:val="en-US" w:eastAsia="zh-CN"/>
              </w:rPr>
              <w:t xml:space="preserve">5、</w:t>
            </w:r>
            <w:r>
              <w:rPr>
                <w:rFonts w:hint="eastAsia"/>
                <w:sz w:val="22"/>
                <w:szCs w:val="22"/>
              </w:rPr>
              <w:t xml:space="preserve">支持防蓝光，有害蓝光（415nm-455nm）的光功率占完整蓝光（400-500nm）的光功率低于50%。</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p>
          <w:p>
            <w:pPr>
              <w:numPr>
                <w:ilvl w:val="0"/>
                <w:numId w:val="0"/>
              </w:numPr>
              <w:rPr>
                <w:rFonts w:hint="eastAsia"/>
                <w:sz w:val="22"/>
                <w:szCs w:val="22"/>
              </w:rPr>
            </w:pPr>
            <w:r>
              <w:rPr>
                <w:rFonts w:hint="eastAsia"/>
                <w:sz w:val="22"/>
                <w:szCs w:val="22"/>
              </w:rPr>
              <w:t xml:space="preserve">▲</w:t>
            </w:r>
            <w:r>
              <w:rPr>
                <w:rFonts w:hint="eastAsia"/>
                <w:sz w:val="22"/>
                <w:szCs w:val="22"/>
                <w:lang w:val="en-US" w:eastAsia="zh-CN"/>
              </w:rPr>
              <w:t xml:space="preserve">6、</w:t>
            </w:r>
            <w:r>
              <w:rPr>
                <w:rFonts w:hint="eastAsia"/>
                <w:sz w:val="22"/>
                <w:szCs w:val="22"/>
              </w:rPr>
              <w:t xml:space="preserve">整机平均失效间隔时间MTBF≥50000小时。</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p>
          <w:p>
            <w:pPr>
              <w:numPr>
                <w:ilvl w:val="0"/>
                <w:numId w:val="0"/>
              </w:numPr>
              <w:rPr>
                <w:rFonts w:hint="eastAsia"/>
                <w:sz w:val="22"/>
                <w:szCs w:val="22"/>
              </w:rPr>
            </w:pPr>
            <w:r>
              <w:rPr>
                <w:rFonts w:hint="eastAsia"/>
                <w:sz w:val="22"/>
                <w:szCs w:val="22"/>
                <w:lang w:val="en-US" w:eastAsia="zh-CN"/>
              </w:rPr>
              <w:t xml:space="preserve">7、</w:t>
            </w:r>
            <w:r>
              <w:rPr>
                <w:rFonts w:hint="eastAsia"/>
                <w:sz w:val="22"/>
                <w:szCs w:val="22"/>
              </w:rPr>
              <w:t xml:space="preserve">支持高精度红外触控，遵循标准HID免驱协议</w:t>
            </w:r>
            <w:r>
              <w:rPr>
                <w:rFonts w:hint="eastAsia"/>
                <w:sz w:val="22"/>
                <w:szCs w:val="22"/>
                <w:lang w:eastAsia="zh-CN"/>
              </w:rPr>
              <w:t xml:space="preserve">，</w:t>
            </w:r>
            <w:r>
              <w:rPr>
                <w:rFonts w:hint="eastAsia"/>
                <w:sz w:val="22"/>
                <w:szCs w:val="22"/>
              </w:rPr>
              <w:t xml:space="preserve">Window7/8/10/11系统下自动识别无需额外安装驱动程序</w:t>
            </w:r>
            <w:r>
              <w:rPr>
                <w:rFonts w:hint="eastAsia"/>
                <w:sz w:val="22"/>
                <w:szCs w:val="22"/>
                <w:lang w:eastAsia="zh-CN"/>
              </w:rPr>
              <w:t xml:space="preserve">，</w:t>
            </w:r>
            <w:r>
              <w:rPr>
                <w:rFonts w:hint="eastAsia"/>
                <w:sz w:val="22"/>
                <w:szCs w:val="22"/>
              </w:rPr>
              <w:t xml:space="preserve">触控点数20点，触摸分辨率</w:t>
            </w:r>
            <w:r>
              <w:rPr>
                <w:rFonts w:hint="eastAsia"/>
                <w:sz w:val="22"/>
                <w:szCs w:val="22"/>
                <w:lang w:eastAsia="zh-CN"/>
              </w:rPr>
              <w:t xml:space="preserve">：</w:t>
            </w:r>
            <w:r>
              <w:rPr>
                <w:rFonts w:hint="eastAsia"/>
                <w:sz w:val="22"/>
                <w:szCs w:val="22"/>
              </w:rPr>
              <w:t xml:space="preserve">32768X32768</w:t>
            </w:r>
            <w:r>
              <w:rPr>
                <w:rFonts w:hint="eastAsia"/>
                <w:sz w:val="22"/>
                <w:szCs w:val="22"/>
                <w:lang w:eastAsia="zh-CN"/>
              </w:rPr>
              <w:t xml:space="preserve">；</w:t>
            </w:r>
            <w:r>
              <w:rPr>
                <w:rFonts w:hint="eastAsia"/>
                <w:sz w:val="22"/>
                <w:szCs w:val="22"/>
              </w:rPr>
              <w:t xml:space="preserve">任意通道支持10点</w:t>
            </w:r>
            <w:r>
              <w:rPr>
                <w:rFonts w:hint="eastAsia"/>
                <w:sz w:val="22"/>
                <w:szCs w:val="22"/>
                <w:lang w:eastAsia="zh-CN"/>
              </w:rPr>
              <w:t xml:space="preserve">（</w:t>
            </w:r>
            <w:r>
              <w:rPr>
                <w:rFonts w:hint="eastAsia"/>
                <w:sz w:val="22"/>
                <w:szCs w:val="22"/>
              </w:rPr>
              <w:t xml:space="preserve">含</w:t>
            </w:r>
            <w:r>
              <w:rPr>
                <w:rFonts w:hint="eastAsia"/>
                <w:sz w:val="22"/>
                <w:szCs w:val="22"/>
                <w:lang w:eastAsia="zh-CN"/>
              </w:rPr>
              <w:t xml:space="preserve">）</w:t>
            </w:r>
            <w:r>
              <w:rPr>
                <w:rFonts w:hint="eastAsia"/>
                <w:sz w:val="22"/>
                <w:szCs w:val="22"/>
              </w:rPr>
              <w:t xml:space="preserve">以上同时书写，书写方式</w:t>
            </w:r>
            <w:r>
              <w:rPr>
                <w:rFonts w:hint="eastAsia"/>
                <w:sz w:val="22"/>
                <w:szCs w:val="22"/>
                <w:lang w:eastAsia="zh-CN"/>
              </w:rPr>
              <w:t xml:space="preserve">：</w:t>
            </w:r>
            <w:r>
              <w:rPr>
                <w:rFonts w:hint="eastAsia"/>
                <w:sz w:val="22"/>
                <w:szCs w:val="22"/>
              </w:rPr>
              <w:t xml:space="preserve">手指或书写笔。支持手指、笔或者不透明物体书写、画线、批注，支持2mm的极细笔书写，书写延时不超过25ms；书写精度可达±1mm，书写响应时间≤10s</w:t>
            </w:r>
            <w:r>
              <w:rPr>
                <w:rFonts w:hint="eastAsia"/>
                <w:sz w:val="22"/>
                <w:szCs w:val="22"/>
                <w:lang w:eastAsia="zh-CN"/>
              </w:rPr>
              <w:t xml:space="preserve">；</w:t>
            </w:r>
            <w:r>
              <w:rPr>
                <w:rFonts w:hint="eastAsia"/>
                <w:sz w:val="22"/>
                <w:szCs w:val="22"/>
              </w:rPr>
              <w:t xml:space="preserve">书写高度≤1.5mm。</w:t>
            </w:r>
            <w:r/>
          </w:p>
          <w:p>
            <w:pPr>
              <w:numPr>
                <w:ilvl w:val="0"/>
                <w:numId w:val="0"/>
              </w:numPr>
              <w:rPr>
                <w:rFonts w:hint="eastAsia"/>
                <w:sz w:val="22"/>
                <w:szCs w:val="22"/>
              </w:rPr>
            </w:pPr>
            <w:r>
              <w:rPr>
                <w:rFonts w:hint="eastAsia"/>
                <w:sz w:val="22"/>
                <w:szCs w:val="22"/>
              </w:rPr>
              <w:t xml:space="preserve">▲</w:t>
            </w:r>
            <w:r>
              <w:rPr>
                <w:rFonts w:hint="eastAsia"/>
                <w:sz w:val="22"/>
                <w:szCs w:val="22"/>
                <w:lang w:val="en-US" w:eastAsia="zh-CN"/>
              </w:rPr>
              <w:t xml:space="preserve">8、</w:t>
            </w:r>
            <w:r>
              <w:rPr>
                <w:rFonts w:hint="eastAsia"/>
                <w:sz w:val="22"/>
                <w:szCs w:val="22"/>
              </w:rPr>
              <w:t xml:space="preserve">整机采用节能设计,待机最低功耗小于0.5w，可在不关闭电源的情况下，使用按键一键关闭和开启屏幕背光，实现功耗降低80%。</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b/>
                <w:bCs/>
                <w:sz w:val="22"/>
                <w:szCs w:val="22"/>
              </w:rPr>
              <w:t xml:space="preserve">)</w:t>
            </w:r>
            <w:r/>
          </w:p>
          <w:p>
            <w:pPr>
              <w:numPr>
                <w:ilvl w:val="0"/>
                <w:numId w:val="0"/>
              </w:numPr>
              <w:rPr>
                <w:rFonts w:hint="eastAsia" w:eastAsia="宋体"/>
                <w:sz w:val="22"/>
                <w:szCs w:val="22"/>
                <w:lang w:eastAsia="zh-CN"/>
              </w:rPr>
            </w:pPr>
            <w:r>
              <w:rPr>
                <w:rFonts w:hint="eastAsia"/>
                <w:sz w:val="22"/>
                <w:szCs w:val="22"/>
              </w:rPr>
              <w:t xml:space="preserve">▲</w:t>
            </w:r>
            <w:r>
              <w:rPr>
                <w:rFonts w:hint="eastAsia"/>
                <w:sz w:val="22"/>
                <w:szCs w:val="22"/>
                <w:lang w:val="en-US" w:eastAsia="zh-CN"/>
              </w:rPr>
              <w:t xml:space="preserve">9、</w:t>
            </w:r>
            <w:r>
              <w:rPr>
                <w:rFonts w:hint="eastAsia"/>
                <w:sz w:val="22"/>
                <w:szCs w:val="22"/>
              </w:rPr>
              <w:t xml:space="preserve">整机内置嵌入式安卓系统，版本不低于安卓</w:t>
            </w:r>
            <w:r>
              <w:rPr>
                <w:rFonts w:hint="eastAsia"/>
                <w:sz w:val="22"/>
                <w:szCs w:val="22"/>
                <w:lang w:val="en-US" w:eastAsia="zh-CN"/>
              </w:rPr>
              <w:t xml:space="preserve">12</w:t>
            </w:r>
            <w:r>
              <w:rPr>
                <w:rFonts w:hint="eastAsia"/>
                <w:sz w:val="22"/>
                <w:szCs w:val="22"/>
              </w:rPr>
              <w:t xml:space="preserve">.0，内置安卓模块内存不低于</w:t>
            </w:r>
            <w:r>
              <w:rPr>
                <w:rFonts w:hint="eastAsia"/>
                <w:sz w:val="22"/>
                <w:szCs w:val="22"/>
                <w:lang w:val="en-US" w:eastAsia="zh-CN"/>
              </w:rPr>
              <w:t xml:space="preserve">4</w:t>
            </w:r>
            <w:r>
              <w:rPr>
                <w:rFonts w:hint="eastAsia"/>
                <w:sz w:val="22"/>
                <w:szCs w:val="22"/>
              </w:rPr>
              <w:t xml:space="preserve">GB，存储不低于128GB。</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p>
          <w:p>
            <w:pPr>
              <w:numPr>
                <w:ilvl w:val="0"/>
                <w:numId w:val="0"/>
              </w:numPr>
              <w:rPr>
                <w:rFonts w:hint="eastAsia"/>
                <w:sz w:val="22"/>
                <w:szCs w:val="22"/>
              </w:rPr>
            </w:pPr>
            <w:r>
              <w:rPr>
                <w:rFonts w:hint="eastAsia"/>
                <w:sz w:val="22"/>
                <w:szCs w:val="22"/>
                <w:lang w:val="en-US" w:eastAsia="zh-CN"/>
              </w:rPr>
              <w:t xml:space="preserve">10、</w:t>
            </w:r>
            <w:r>
              <w:rPr>
                <w:rFonts w:hint="eastAsia"/>
                <w:sz w:val="22"/>
                <w:szCs w:val="22"/>
              </w:rPr>
              <w:t xml:space="preserve">整机内置可插拔式OPS电脑模块，按压式插入整机，无任何裸露，OPS模块配置不低</w:t>
            </w:r>
            <w:r>
              <w:rPr>
                <w:rFonts w:hint="eastAsia"/>
                <w:sz w:val="22"/>
                <w:szCs w:val="22"/>
                <w:lang w:val="en-US" w:eastAsia="zh-CN"/>
              </w:rPr>
              <w:t xml:space="preserve">12核处理器</w:t>
            </w:r>
            <w:r>
              <w:rPr>
                <w:rFonts w:hint="eastAsia"/>
                <w:sz w:val="22"/>
                <w:szCs w:val="22"/>
              </w:rPr>
              <w:t xml:space="preserve">，内存≥8G，存储≥256G。</w:t>
            </w:r>
            <w:r/>
          </w:p>
          <w:p>
            <w:pPr>
              <w:numPr>
                <w:ilvl w:val="0"/>
                <w:numId w:val="0"/>
              </w:numPr>
              <w:rPr>
                <w:rFonts w:hint="eastAsia"/>
                <w:sz w:val="22"/>
                <w:szCs w:val="22"/>
              </w:rPr>
            </w:pPr>
            <w:r>
              <w:rPr>
                <w:rFonts w:hint="eastAsia"/>
                <w:sz w:val="22"/>
                <w:szCs w:val="22"/>
              </w:rPr>
              <w:t xml:space="preserve">▲</w:t>
            </w:r>
            <w:r>
              <w:rPr>
                <w:rFonts w:hint="eastAsia"/>
                <w:sz w:val="22"/>
                <w:szCs w:val="22"/>
                <w:lang w:val="en-US" w:eastAsia="zh-CN"/>
              </w:rPr>
              <w:t xml:space="preserve">11、</w:t>
            </w:r>
            <w:r>
              <w:rPr>
                <w:rFonts w:hint="eastAsia"/>
                <w:sz w:val="22"/>
                <w:szCs w:val="22"/>
              </w:rPr>
              <w:t xml:space="preserve">整机内置</w:t>
            </w:r>
            <w:r>
              <w:rPr>
                <w:rFonts w:hint="eastAsia"/>
                <w:sz w:val="22"/>
                <w:szCs w:val="22"/>
                <w:lang w:val="en-US" w:eastAsia="zh-CN"/>
              </w:rPr>
              <w:t xml:space="preserve">不低于</w:t>
            </w:r>
            <w:r>
              <w:rPr>
                <w:rFonts w:hint="eastAsia"/>
                <w:sz w:val="22"/>
                <w:szCs w:val="22"/>
              </w:rPr>
              <w:t xml:space="preserve">4800W像素4K超高清摄像头，视角≥135°，支持自动对焦、自动曝光、自动白平衡、自动背光补偿、3D降噪，支持WDR抗逆光具备工作指示灯，摄像头运行时，有指示灯提示。</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p>
          <w:p>
            <w:pPr>
              <w:numPr>
                <w:ilvl w:val="0"/>
                <w:numId w:val="0"/>
              </w:numPr>
              <w:rPr>
                <w:rFonts w:hint="eastAsia"/>
                <w:sz w:val="22"/>
                <w:szCs w:val="22"/>
              </w:rPr>
            </w:pPr>
            <w:r>
              <w:rPr>
                <w:rFonts w:hint="eastAsia"/>
                <w:sz w:val="22"/>
                <w:szCs w:val="22"/>
              </w:rPr>
              <w:t xml:space="preserve">▲</w:t>
            </w:r>
            <w:r>
              <w:rPr>
                <w:rFonts w:hint="eastAsia"/>
                <w:sz w:val="22"/>
                <w:szCs w:val="22"/>
                <w:lang w:val="en-US" w:eastAsia="zh-CN"/>
              </w:rPr>
              <w:t xml:space="preserve">12、</w:t>
            </w:r>
            <w:r>
              <w:rPr>
                <w:rFonts w:hint="eastAsia"/>
                <w:sz w:val="22"/>
                <w:szCs w:val="22"/>
              </w:rPr>
              <w:t xml:space="preserve">整机内置</w:t>
            </w:r>
            <w:r>
              <w:rPr>
                <w:rFonts w:hint="eastAsia"/>
                <w:sz w:val="22"/>
                <w:szCs w:val="22"/>
                <w:lang w:val="en-US" w:eastAsia="zh-CN"/>
              </w:rPr>
              <w:t xml:space="preserve">不少于</w:t>
            </w:r>
            <w:r>
              <w:rPr>
                <w:rFonts w:hint="eastAsia"/>
                <w:sz w:val="22"/>
                <w:szCs w:val="22"/>
              </w:rPr>
              <w:t xml:space="preserve">8个麦克风阵列，</w:t>
            </w:r>
            <w:r>
              <w:rPr>
                <w:rFonts w:hint="eastAsia"/>
                <w:sz w:val="22"/>
                <w:szCs w:val="22"/>
                <w:lang w:val="en-US" w:eastAsia="zh-CN"/>
              </w:rPr>
              <w:t xml:space="preserve">不低于</w:t>
            </w:r>
            <w:r>
              <w:rPr>
                <w:rFonts w:hint="eastAsia"/>
                <w:sz w:val="22"/>
                <w:szCs w:val="22"/>
              </w:rPr>
              <w:t xml:space="preserve">10米有效拾音距离，支持波速成形、快速回声消除、环境噪声抑制、人声自动增益补偿功能。</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p>
          <w:p>
            <w:pPr>
              <w:numPr>
                <w:ilvl w:val="0"/>
                <w:numId w:val="0"/>
              </w:numPr>
              <w:rPr>
                <w:rFonts w:hint="eastAsia"/>
                <w:sz w:val="22"/>
                <w:szCs w:val="22"/>
              </w:rPr>
            </w:pPr>
            <w:r>
              <w:rPr>
                <w:rFonts w:hint="eastAsia"/>
                <w:sz w:val="22"/>
                <w:szCs w:val="22"/>
                <w:lang w:val="en-US" w:eastAsia="zh-CN"/>
              </w:rPr>
              <w:t xml:space="preserve">13、</w:t>
            </w:r>
            <w:r>
              <w:rPr>
                <w:rFonts w:hint="eastAsia"/>
                <w:sz w:val="22"/>
                <w:szCs w:val="22"/>
              </w:rPr>
              <w:t xml:space="preserve">内置3个扬声器实体单元，支持2.0声道，总功率大于等于32W。可以对音频进行单独调整;整机扬声器在100%音量下，1米处声压级:90dB，10米处声压级:75dB，扬声器发声方向为前出发声，减少声音传播阻挡/干扰，声场均匀覆盖使用场景</w:t>
            </w:r>
            <w:r/>
          </w:p>
          <w:p>
            <w:pPr>
              <w:numPr>
                <w:ilvl w:val="0"/>
                <w:numId w:val="0"/>
              </w:numPr>
              <w:rPr>
                <w:rFonts w:hint="eastAsia"/>
                <w:sz w:val="22"/>
                <w:szCs w:val="22"/>
              </w:rPr>
            </w:pPr>
            <w:r>
              <w:rPr>
                <w:rFonts w:hint="eastAsia"/>
                <w:sz w:val="22"/>
                <w:szCs w:val="22"/>
                <w:lang w:val="en-US" w:eastAsia="zh-CN"/>
              </w:rPr>
              <w:t xml:space="preserve">14、</w:t>
            </w:r>
            <w:r>
              <w:rPr>
                <w:rFonts w:hint="eastAsia"/>
                <w:sz w:val="22"/>
                <w:szCs w:val="22"/>
              </w:rPr>
              <w:t xml:space="preserve">整机采用可插拔WiFi模块，支持802.11a/b/g/n/ac/ax(WIF16 传输协议)，支持蓝牙,工作距离0-12m;支持双频 2.4GHz/5GHz，机器在连接无线网络的同时也可以发射热点，能够同时访问网络和无线投屏</w:t>
            </w:r>
            <w:r>
              <w:rPr>
                <w:rFonts w:hint="eastAsia"/>
                <w:sz w:val="22"/>
                <w:szCs w:val="22"/>
                <w:lang w:eastAsia="zh-CN"/>
              </w:rPr>
              <w:t xml:space="preserve">；</w:t>
            </w:r>
            <w:r>
              <w:rPr>
                <w:rFonts w:hint="eastAsia"/>
                <w:sz w:val="22"/>
                <w:szCs w:val="22"/>
              </w:rPr>
              <w:t xml:space="preserve">可插拔式设计。</w:t>
            </w:r>
            <w:r/>
          </w:p>
          <w:p>
            <w:pPr>
              <w:numPr>
                <w:ilvl w:val="0"/>
                <w:numId w:val="0"/>
              </w:numPr>
              <w:rPr>
                <w:rFonts w:hint="eastAsia"/>
                <w:sz w:val="22"/>
                <w:szCs w:val="22"/>
              </w:rPr>
            </w:pPr>
            <w:r>
              <w:rPr>
                <w:rFonts w:hint="eastAsia"/>
                <w:sz w:val="22"/>
                <w:szCs w:val="22"/>
              </w:rPr>
              <w:t xml:space="preserve">▲</w:t>
            </w:r>
            <w:r>
              <w:rPr>
                <w:rFonts w:hint="eastAsia"/>
                <w:sz w:val="22"/>
                <w:szCs w:val="22"/>
                <w:lang w:val="en-US" w:eastAsia="zh-CN"/>
              </w:rPr>
              <w:t xml:space="preserve">15、</w:t>
            </w:r>
            <w:r>
              <w:rPr>
                <w:rFonts w:hint="eastAsia"/>
                <w:sz w:val="22"/>
                <w:szCs w:val="22"/>
              </w:rPr>
              <w:t xml:space="preserve">工具栏支持语音便签、文本便签，并可将便签插入白板应用中，同时</w:t>
            </w:r>
            <w:r>
              <w:rPr>
                <w:rFonts w:hint="eastAsia"/>
                <w:sz w:val="22"/>
                <w:szCs w:val="22"/>
                <w:lang w:val="en-US" w:eastAsia="zh-CN"/>
              </w:rPr>
              <w:t xml:space="preserve">二维码分享（</w:t>
            </w:r>
            <w:r>
              <w:rPr>
                <w:rFonts w:hint="eastAsia"/>
                <w:sz w:val="22"/>
                <w:szCs w:val="22"/>
              </w:rPr>
              <w:t xml:space="preserve">支持扫码带走</w:t>
            </w:r>
            <w:r>
              <w:rPr>
                <w:rFonts w:hint="eastAsia"/>
                <w:sz w:val="22"/>
                <w:szCs w:val="22"/>
                <w:lang w:val="en-US" w:eastAsia="zh-CN"/>
              </w:rPr>
              <w:t xml:space="preserve">）</w:t>
            </w:r>
            <w:r>
              <w:rPr>
                <w:rFonts w:hint="eastAsia"/>
                <w:sz w:val="22"/>
                <w:szCs w:val="22"/>
              </w:rPr>
              <w:t xml:space="preserve">。</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p>
          <w:p>
            <w:pPr>
              <w:numPr>
                <w:ilvl w:val="0"/>
                <w:numId w:val="0"/>
              </w:numPr>
              <w:rPr>
                <w:rFonts w:hint="eastAsia"/>
                <w:sz w:val="22"/>
                <w:szCs w:val="22"/>
              </w:rPr>
            </w:pPr>
            <w:r>
              <w:rPr>
                <w:rFonts w:hint="eastAsia"/>
                <w:sz w:val="22"/>
                <w:szCs w:val="22"/>
                <w:lang w:val="en-US" w:eastAsia="zh-CN"/>
              </w:rPr>
              <w:t xml:space="preserve">16、</w:t>
            </w:r>
            <w:r>
              <w:rPr>
                <w:rFonts w:hint="eastAsia"/>
                <w:sz w:val="22"/>
                <w:szCs w:val="22"/>
              </w:rPr>
              <w:t xml:space="preserve">整机采用DC智能调光控制技术，手机拍照/录视频不会出现闪烁。</w:t>
            </w:r>
            <w:r/>
          </w:p>
          <w:p>
            <w:pPr>
              <w:numPr>
                <w:ilvl w:val="0"/>
                <w:numId w:val="0"/>
              </w:numPr>
              <w:rPr>
                <w:rFonts w:hint="eastAsia"/>
                <w:sz w:val="22"/>
                <w:szCs w:val="22"/>
              </w:rPr>
            </w:pPr>
            <w:r>
              <w:rPr>
                <w:rFonts w:hint="eastAsia"/>
                <w:sz w:val="22"/>
                <w:szCs w:val="22"/>
                <w:lang w:val="en-US" w:eastAsia="zh-CN"/>
              </w:rPr>
              <w:t xml:space="preserve">17、</w:t>
            </w:r>
            <w:r>
              <w:rPr>
                <w:rFonts w:hint="eastAsia"/>
                <w:sz w:val="22"/>
                <w:szCs w:val="22"/>
              </w:rPr>
              <w:t xml:space="preserve">整机需标配无线投屏器，支持一键投屏，投屏器为免驱设计，支持MAC，windows系统即插投，投屏器支持传输视频，音频和触摸信号，支持4分屏传输，分屏和独立回传，最长连接距离多达12米。</w:t>
            </w:r>
            <w:r/>
          </w:p>
          <w:p>
            <w:pPr>
              <w:numPr>
                <w:ilvl w:val="0"/>
                <w:numId w:val="0"/>
              </w:numPr>
              <w:rPr>
                <w:rFonts w:ascii="宋体" w:hAnsi="宋体" w:cs="Helvetica"/>
                <w:sz w:val="22"/>
                <w:szCs w:val="22"/>
              </w:rPr>
            </w:pPr>
            <w:r>
              <w:rPr>
                <w:rFonts w:hint="eastAsia"/>
                <w:sz w:val="22"/>
                <w:szCs w:val="22"/>
              </w:rPr>
              <w:t xml:space="preserve">▲</w:t>
            </w:r>
            <w:r>
              <w:rPr>
                <w:rFonts w:hint="eastAsia"/>
                <w:sz w:val="22"/>
                <w:szCs w:val="22"/>
                <w:lang w:val="en-US" w:eastAsia="zh-CN"/>
              </w:rPr>
              <w:t xml:space="preserve">18、</w:t>
            </w:r>
            <w:r>
              <w:rPr>
                <w:rFonts w:hint="eastAsia"/>
                <w:sz w:val="22"/>
                <w:szCs w:val="22"/>
              </w:rPr>
              <w:t xml:space="preserve">支持设备集控功能，设备通过配置后，接入指定组织，实现远程控制定时开关机，桌面控制，应用锁、休眠待机、开关机、系统更新、USB接口权限、推送消息等功能。</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p>
        </w:tc>
      </w:tr>
    </w:tbl>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w:t>
      </w:r>
      <w:r>
        <w:rPr>
          <w:rFonts w:ascii="Times New Roman" w:hAnsi="Times New Roman"/>
          <w:b/>
          <w:sz w:val="28"/>
          <w:szCs w:val="28"/>
        </w:rPr>
        <w:t xml:space="preserve">、供货要求</w:t>
      </w:r>
      <w:r/>
    </w:p>
    <w:p>
      <w:pPr>
        <w:ind w:firstLine="480"/>
        <w:jc w:val="left"/>
        <w:spacing w:line="360" w:lineRule="auto"/>
        <w:rPr>
          <w:rFonts w:ascii="宋体" w:hAnsi="宋体"/>
          <w:sz w:val="24"/>
          <w:szCs w:val="24"/>
          <w:highlight w:val="none"/>
        </w:rPr>
      </w:pPr>
      <w:r>
        <w:rPr>
          <w:rFonts w:hint="eastAsia" w:ascii="宋体" w:hAnsi="宋体"/>
          <w:i/>
          <w:iCs/>
          <w:sz w:val="24"/>
          <w:szCs w:val="24"/>
          <w:highlight w:val="none"/>
          <w:u w:val="single"/>
        </w:rPr>
        <w:t xml:space="preserve">1.交货期：合同签订后7天内完成安装调试，达到预期效果。</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2.交货方式：送货上门并且安装调试</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3.交货地点：</w:t>
      </w:r>
      <w:r>
        <w:rPr>
          <w:rFonts w:hint="eastAsia" w:ascii="宋体" w:hAnsi="宋体"/>
          <w:sz w:val="24"/>
          <w:szCs w:val="24"/>
          <w:highlight w:val="none"/>
          <w:lang w:val="en-US" w:eastAsia="zh-CN"/>
        </w:rPr>
        <w:t xml:space="preserve">采购人</w:t>
      </w:r>
      <w:r>
        <w:rPr>
          <w:rFonts w:hint="eastAsia" w:ascii="宋体" w:hAnsi="宋体"/>
          <w:sz w:val="24"/>
          <w:szCs w:val="24"/>
          <w:highlight w:val="none"/>
        </w:rPr>
        <w:t xml:space="preserve">指定位置。</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color w:val="000000"/>
          <w:sz w:val="24"/>
        </w:rPr>
        <w:t xml:space="preserve">4.中标人提供的货物（含配件）应是全新的、未使用过的原装合格正品，并保证所提供货物的开箱合格率为100%，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五</w:t>
      </w:r>
      <w:r>
        <w:rPr>
          <w:rFonts w:ascii="Times New Roman" w:hAnsi="Times New Roman"/>
          <w:b/>
          <w:sz w:val="28"/>
          <w:szCs w:val="28"/>
        </w:rPr>
        <w:t xml:space="preserve">、安装调试要求</w:t>
      </w:r>
      <w:r/>
    </w:p>
    <w:p>
      <w:pPr>
        <w:ind w:firstLine="480"/>
        <w:jc w:val="left"/>
        <w:spacing w:line="360" w:lineRule="auto"/>
        <w:widowControl/>
        <w:rPr>
          <w:rFonts w:ascii="宋体" w:hAnsi="宋体" w:cs="宋体"/>
          <w:sz w:val="24"/>
          <w:szCs w:val="24"/>
          <w:lang w:bidi="ar"/>
        </w:rPr>
      </w:pPr>
      <w:r>
        <w:rPr>
          <w:rFonts w:ascii="宋体" w:hAnsi="宋体" w:cs="宋体"/>
          <w:sz w:val="24"/>
          <w:szCs w:val="24"/>
          <w:lang w:bidi="ar"/>
        </w:rPr>
        <w:t xml:space="preserve">中标</w:t>
      </w:r>
      <w:r>
        <w:rPr>
          <w:rFonts w:hint="eastAsia" w:ascii="宋体" w:hAnsi="宋体" w:cs="宋体"/>
          <w:sz w:val="24"/>
          <w:szCs w:val="24"/>
          <w:lang w:val="en-US" w:eastAsia="zh-CN" w:bidi="ar"/>
        </w:rPr>
        <w:t xml:space="preserve">人</w:t>
      </w:r>
      <w:r>
        <w:rPr>
          <w:rFonts w:ascii="宋体" w:hAnsi="宋体" w:cs="宋体"/>
          <w:sz w:val="24"/>
          <w:szCs w:val="24"/>
          <w:lang w:bidi="ar"/>
        </w:rPr>
        <w:t xml:space="preserve">负责本项目全套设备的落地安装、线材布设、线路隐藏规整、设备固定调试工作，所有布线整齐美观、牢固安全，符合室内弱电施工规范。需完成整套设备软硬件联调、设备互通适配、音视频同步调试、双流功能适配、无线投屏调试、网络适配优化，保障视频会议终端与会议一体机无缝联动，音视频传输同步无延迟、无卡顿、无回声杂音，完全兼容单位现有办公设备及政务视频会议平台。</w:t>
      </w:r>
      <w:r/>
    </w:p>
    <w:p>
      <w:pPr>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、国家或行业相关规范标准</w:t>
      </w:r>
      <w:r/>
    </w:p>
    <w:p>
      <w:pPr>
        <w:ind w:firstLine="480"/>
        <w:jc w:val="left"/>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电子会议系统工程设计规范</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GB 50799-2012</w:t>
      </w:r>
      <w:r>
        <w:rPr>
          <w:rFonts w:hint="eastAsia" w:ascii="宋体" w:hAnsi="宋体" w:eastAsia="宋体" w:cs="宋体"/>
          <w:sz w:val="24"/>
          <w:szCs w:val="24"/>
          <w:lang w:val="en-US" w:eastAsia="zh-CN"/>
        </w:rPr>
        <w:t xml:space="preserve">）</w:t>
      </w:r>
      <w:r/>
    </w:p>
    <w:p>
      <w:pPr>
        <w:ind w:firstLine="480"/>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w:t>
      </w:r>
      <w:r>
        <w:rPr>
          <w:rFonts w:ascii="宋体" w:hAnsi="宋体" w:eastAsia="宋体" w:cs="宋体"/>
          <w:sz w:val="24"/>
          <w:szCs w:val="24"/>
        </w:rPr>
        <w:t xml:space="preserve">音视频/信息处理设备 安全要求</w:t>
      </w:r>
      <w:r>
        <w:rPr>
          <w:rFonts w:hint="eastAsia" w:ascii="宋体" w:hAnsi="宋体" w:eastAsia="宋体" w:cs="宋体"/>
          <w:sz w:val="24"/>
          <w:szCs w:val="24"/>
          <w:lang w:val="en-US" w:eastAsia="zh-CN" w:bidi="ar"/>
        </w:rPr>
        <w:t xml:space="preserve">》（</w:t>
      </w:r>
      <w:r>
        <w:rPr>
          <w:rFonts w:ascii="宋体" w:hAnsi="宋体" w:eastAsia="宋体" w:cs="宋体"/>
          <w:sz w:val="24"/>
          <w:szCs w:val="24"/>
        </w:rPr>
        <w:t xml:space="preserve">GB 4943.1-2022</w:t>
      </w:r>
      <w:r>
        <w:rPr>
          <w:rFonts w:hint="eastAsia" w:ascii="宋体" w:hAnsi="宋体" w:eastAsia="宋体" w:cs="宋体"/>
          <w:sz w:val="24"/>
          <w:szCs w:val="24"/>
          <w:lang w:val="en-US" w:eastAsia="zh-CN" w:bidi="ar"/>
        </w:rPr>
        <w:t xml:space="preserve">）</w:t>
      </w:r>
      <w:r/>
    </w:p>
    <w:p>
      <w:pPr>
        <w:ind w:firstLine="480"/>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w:t>
      </w:r>
      <w:r>
        <w:rPr>
          <w:rFonts w:ascii="宋体" w:hAnsi="宋体" w:eastAsia="宋体" w:cs="宋体"/>
          <w:sz w:val="24"/>
          <w:szCs w:val="24"/>
        </w:rPr>
        <w:t xml:space="preserve">电磁兼容(EMC) 第1部分：通用标准</w:t>
      </w:r>
      <w:r>
        <w:rPr>
          <w:rFonts w:hint="eastAsia" w:ascii="宋体" w:hAnsi="宋体" w:eastAsia="宋体" w:cs="宋体"/>
          <w:sz w:val="24"/>
          <w:szCs w:val="24"/>
          <w:lang w:val="en-US" w:eastAsia="zh-CN" w:bidi="ar"/>
        </w:rPr>
        <w:t xml:space="preserve">》（</w:t>
      </w:r>
      <w:r>
        <w:rPr>
          <w:rFonts w:ascii="宋体" w:hAnsi="宋体" w:eastAsia="宋体" w:cs="宋体"/>
          <w:sz w:val="24"/>
          <w:szCs w:val="24"/>
        </w:rPr>
        <w:t xml:space="preserve">GB/T 9254.1-2021</w:t>
      </w:r>
      <w:r>
        <w:rPr>
          <w:rFonts w:hint="eastAsia" w:ascii="宋体" w:hAnsi="宋体" w:eastAsia="宋体" w:cs="宋体"/>
          <w:sz w:val="24"/>
          <w:szCs w:val="24"/>
          <w:lang w:val="en-US" w:eastAsia="zh-CN" w:bidi="ar"/>
        </w:rPr>
        <w:t xml:space="preserve">）</w:t>
      </w:r>
      <w:r/>
    </w:p>
    <w:p>
      <w:pPr>
        <w:ind w:firstLine="480"/>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w:t>
      </w:r>
      <w:r>
        <w:rPr>
          <w:rFonts w:ascii="宋体" w:hAnsi="宋体" w:eastAsia="宋体" w:cs="宋体"/>
          <w:sz w:val="24"/>
          <w:szCs w:val="24"/>
        </w:rPr>
        <w:t xml:space="preserve">IPv4/IPv6 视频会议系统技术要求</w:t>
      </w:r>
      <w:r>
        <w:rPr>
          <w:rFonts w:hint="eastAsia" w:ascii="宋体" w:hAnsi="宋体" w:eastAsia="宋体" w:cs="宋体"/>
          <w:sz w:val="24"/>
          <w:szCs w:val="24"/>
          <w:lang w:val="en-US" w:eastAsia="zh-CN" w:bidi="ar"/>
        </w:rPr>
        <w:t xml:space="preserve">》（</w:t>
      </w:r>
      <w:r>
        <w:rPr>
          <w:rFonts w:ascii="宋体" w:hAnsi="宋体" w:eastAsia="宋体" w:cs="宋体"/>
          <w:sz w:val="24"/>
          <w:szCs w:val="24"/>
        </w:rPr>
        <w:t xml:space="preserve">GB/T 44595-2024</w:t>
      </w:r>
      <w:r>
        <w:rPr>
          <w:rFonts w:hint="eastAsia" w:ascii="宋体" w:hAnsi="宋体" w:eastAsia="宋体" w:cs="宋体"/>
          <w:sz w:val="24"/>
          <w:szCs w:val="24"/>
          <w:lang w:val="en-US" w:eastAsia="zh-CN" w:bidi="ar"/>
        </w:rPr>
        <w:t xml:space="preserve">）</w:t>
      </w:r>
      <w:r/>
    </w:p>
    <w:p>
      <w:pPr>
        <w:ind w:firstLine="480"/>
        <w:jc w:val="left"/>
        <w:spacing w:line="360" w:lineRule="auto"/>
        <w:widowControl/>
        <w:rPr>
          <w:rFonts w:hint="eastAsia" w:ascii="宋体" w:hAnsi="宋体" w:eastAsia="宋体" w:cs="宋体"/>
          <w:sz w:val="24"/>
          <w:szCs w:val="24"/>
          <w:lang w:bidi="ar"/>
        </w:rPr>
      </w:pPr>
      <w:r>
        <w:rPr>
          <w:rFonts w:hint="eastAsia" w:ascii="宋体" w:hAnsi="宋体"/>
          <w:sz w:val="24"/>
          <w:szCs w:val="24"/>
        </w:rPr>
        <w:t xml:space="preserve">上述标准为一般性要求，项目实施期间如有最新要求，按最新标准执行。</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七</w:t>
      </w:r>
      <w:r>
        <w:rPr>
          <w:rFonts w:hint="eastAsia" w:ascii="Times New Roman" w:hAnsi="Times New Roman"/>
          <w:b/>
          <w:sz w:val="28"/>
          <w:szCs w:val="28"/>
        </w:rPr>
        <w:t xml:space="preserve">、履约验收要求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1.验收主体</w:t>
      </w:r>
      <w:r/>
    </w:p>
    <w:p>
      <w:pPr>
        <w:ind w:firstLine="480"/>
        <w:jc w:val="left"/>
        <w:spacing w:line="360" w:lineRule="auto"/>
        <w:rPr>
          <w:rFonts w:hint="eastAsia" w:ascii="宋体" w:hAnsi="宋体"/>
          <w:sz w:val="24"/>
          <w:szCs w:val="24"/>
        </w:rPr>
      </w:pPr>
      <w:r>
        <w:rPr>
          <w:rFonts w:hint="eastAsia" w:ascii="宋体" w:hAnsi="宋体"/>
          <w:sz w:val="24"/>
          <w:szCs w:val="24"/>
          <w:lang w:val="en-US" w:eastAsia="zh-CN"/>
        </w:rPr>
        <w:t xml:space="preserve">采购人</w:t>
      </w:r>
      <w:r>
        <w:rPr>
          <w:rFonts w:hint="eastAsia" w:ascii="宋体" w:hAnsi="宋体"/>
          <w:sz w:val="24"/>
          <w:szCs w:val="24"/>
        </w:rPr>
        <w:t xml:space="preserve">组建验收小组牵头验收，</w:t>
      </w:r>
      <w:r>
        <w:rPr>
          <w:rFonts w:hint="eastAsia" w:ascii="宋体" w:hAnsi="宋体"/>
          <w:sz w:val="24"/>
          <w:szCs w:val="24"/>
          <w:lang w:val="en-US" w:eastAsia="zh-CN"/>
        </w:rPr>
        <w:t xml:space="preserve">中标人</w:t>
      </w:r>
      <w:r>
        <w:rPr>
          <w:rFonts w:hint="eastAsia" w:ascii="宋体" w:hAnsi="宋体"/>
          <w:sz w:val="24"/>
          <w:szCs w:val="24"/>
        </w:rPr>
        <w:t xml:space="preserve">到场配合整改。</w:t>
      </w:r>
      <w:r/>
    </w:p>
    <w:p>
      <w:pPr>
        <w:ind w:firstLine="480"/>
        <w:jc w:val="left"/>
        <w:spacing w:line="360" w:lineRule="auto"/>
        <w:rPr>
          <w:rFonts w:hint="eastAsia" w:ascii="宋体" w:hAnsi="宋体"/>
          <w:sz w:val="24"/>
          <w:szCs w:val="24"/>
        </w:rPr>
      </w:pPr>
      <w:r>
        <w:rPr>
          <w:rFonts w:hint="eastAsia" w:ascii="宋体" w:hAnsi="宋体"/>
          <w:sz w:val="24"/>
          <w:szCs w:val="24"/>
        </w:rPr>
        <w:t xml:space="preserve">2.验收时限</w:t>
      </w:r>
      <w:r/>
    </w:p>
    <w:p>
      <w:pPr>
        <w:ind w:firstLine="480"/>
        <w:jc w:val="left"/>
        <w:spacing w:line="360" w:lineRule="auto"/>
        <w:rPr>
          <w:rFonts w:hint="eastAsia" w:ascii="宋体" w:hAnsi="宋体"/>
          <w:sz w:val="24"/>
          <w:szCs w:val="24"/>
        </w:rPr>
      </w:pPr>
      <w:r>
        <w:rPr>
          <w:rFonts w:hint="eastAsia" w:ascii="宋体" w:hAnsi="宋体"/>
          <w:sz w:val="24"/>
          <w:szCs w:val="24"/>
          <w:lang w:val="en-US" w:eastAsia="zh-CN"/>
        </w:rPr>
        <w:t xml:space="preserve">中标人</w:t>
      </w:r>
      <w:r>
        <w:rPr>
          <w:rFonts w:hint="eastAsia" w:ascii="宋体" w:hAnsi="宋体"/>
          <w:sz w:val="24"/>
          <w:szCs w:val="24"/>
        </w:rPr>
        <w:t xml:space="preserve">完工自检并提交验收申请，</w:t>
      </w:r>
      <w:r>
        <w:rPr>
          <w:rFonts w:hint="eastAsia" w:ascii="宋体" w:hAnsi="宋体"/>
          <w:sz w:val="24"/>
          <w:szCs w:val="24"/>
          <w:lang w:val="en-US" w:eastAsia="zh-CN"/>
        </w:rPr>
        <w:t xml:space="preserve">采购人</w:t>
      </w:r>
      <w:r>
        <w:rPr>
          <w:rFonts w:hint="eastAsia" w:ascii="宋体" w:hAnsi="宋体"/>
          <w:sz w:val="24"/>
          <w:szCs w:val="24"/>
        </w:rPr>
        <w:t xml:space="preserve">5个工作日内</w:t>
      </w:r>
      <w:r>
        <w:rPr>
          <w:rFonts w:hint="eastAsia" w:ascii="宋体" w:hAnsi="宋体"/>
          <w:sz w:val="24"/>
          <w:szCs w:val="24"/>
          <w:lang w:val="en-US" w:eastAsia="zh-CN"/>
        </w:rPr>
        <w:t xml:space="preserve">进行</w:t>
      </w:r>
      <w:r>
        <w:rPr>
          <w:rFonts w:hint="eastAsia" w:ascii="宋体" w:hAnsi="宋体"/>
          <w:sz w:val="24"/>
          <w:szCs w:val="24"/>
        </w:rPr>
        <w:t xml:space="preserve">现场验收；</w:t>
      </w:r>
      <w:r>
        <w:rPr>
          <w:rFonts w:hint="eastAsia" w:ascii="宋体" w:hAnsi="宋体"/>
          <w:sz w:val="24"/>
          <w:szCs w:val="24"/>
          <w:lang w:val="en-US" w:eastAsia="zh-CN"/>
        </w:rPr>
        <w:t xml:space="preserve">若</w:t>
      </w:r>
      <w:r>
        <w:rPr>
          <w:rFonts w:hint="eastAsia" w:ascii="宋体" w:hAnsi="宋体"/>
          <w:sz w:val="24"/>
          <w:szCs w:val="24"/>
        </w:rPr>
        <w:t xml:space="preserve">不合格</w:t>
      </w:r>
      <w:r>
        <w:rPr>
          <w:rFonts w:hint="eastAsia" w:ascii="宋体" w:hAnsi="宋体"/>
          <w:sz w:val="24"/>
          <w:szCs w:val="24"/>
          <w:lang w:eastAsia="zh-CN"/>
        </w:rPr>
        <w:t xml:space="preserve">，</w:t>
      </w:r>
      <w:r>
        <w:rPr>
          <w:rFonts w:hint="eastAsia" w:ascii="宋体" w:hAnsi="宋体"/>
          <w:sz w:val="24"/>
          <w:szCs w:val="24"/>
          <w:lang w:val="en-US" w:eastAsia="zh-CN"/>
        </w:rPr>
        <w:t xml:space="preserve">中标人</w:t>
      </w:r>
      <w:r>
        <w:rPr>
          <w:rFonts w:hint="eastAsia" w:ascii="宋体" w:hAnsi="宋体"/>
          <w:sz w:val="24"/>
          <w:szCs w:val="24"/>
        </w:rPr>
        <w:t xml:space="preserve">7日内</w:t>
      </w:r>
      <w:r>
        <w:rPr>
          <w:rFonts w:hint="eastAsia" w:ascii="宋体" w:hAnsi="宋体"/>
          <w:sz w:val="24"/>
          <w:szCs w:val="24"/>
          <w:lang w:val="en-US" w:eastAsia="zh-CN"/>
        </w:rPr>
        <w:t xml:space="preserve">完成</w:t>
      </w:r>
      <w:r>
        <w:rPr>
          <w:rFonts w:hint="eastAsia" w:ascii="宋体" w:hAnsi="宋体"/>
          <w:sz w:val="24"/>
          <w:szCs w:val="24"/>
        </w:rPr>
        <w:t xml:space="preserve">整改，</w:t>
      </w:r>
      <w:r>
        <w:rPr>
          <w:rFonts w:hint="eastAsia" w:ascii="宋体" w:hAnsi="宋体"/>
          <w:sz w:val="24"/>
          <w:szCs w:val="24"/>
          <w:lang w:val="en-US" w:eastAsia="zh-CN"/>
        </w:rPr>
        <w:t xml:space="preserve">采购人于</w:t>
      </w:r>
      <w:r>
        <w:rPr>
          <w:rFonts w:hint="eastAsia" w:ascii="宋体" w:hAnsi="宋体"/>
          <w:sz w:val="24"/>
          <w:szCs w:val="24"/>
        </w:rPr>
        <w:t xml:space="preserve">3日内</w:t>
      </w:r>
      <w:r>
        <w:rPr>
          <w:rFonts w:hint="eastAsia" w:ascii="宋体" w:hAnsi="宋体"/>
          <w:sz w:val="24"/>
          <w:szCs w:val="24"/>
          <w:lang w:val="en-US" w:eastAsia="zh-CN"/>
        </w:rPr>
        <w:t xml:space="preserve">进行</w:t>
      </w:r>
      <w:r>
        <w:rPr>
          <w:rFonts w:hint="eastAsia" w:ascii="宋体" w:hAnsi="宋体"/>
          <w:sz w:val="24"/>
          <w:szCs w:val="24"/>
        </w:rPr>
        <w:t xml:space="preserve">复验。</w:t>
      </w:r>
      <w:r/>
    </w:p>
    <w:p>
      <w:pPr>
        <w:ind w:firstLine="480"/>
        <w:jc w:val="left"/>
        <w:spacing w:line="360" w:lineRule="auto"/>
        <w:rPr>
          <w:rFonts w:hint="eastAsia" w:ascii="宋体" w:hAnsi="宋体"/>
          <w:sz w:val="24"/>
          <w:szCs w:val="24"/>
        </w:rPr>
      </w:pPr>
      <w:r>
        <w:rPr>
          <w:rFonts w:hint="eastAsia" w:ascii="宋体" w:hAnsi="宋体"/>
          <w:sz w:val="24"/>
          <w:szCs w:val="24"/>
        </w:rPr>
        <w:t xml:space="preserve">3.验收方式</w:t>
      </w:r>
      <w:r/>
    </w:p>
    <w:p>
      <w:pPr>
        <w:ind w:firstLine="480"/>
        <w:jc w:val="left"/>
        <w:spacing w:line="360" w:lineRule="auto"/>
        <w:rPr>
          <w:rFonts w:hint="eastAsia" w:ascii="宋体" w:hAnsi="宋体"/>
          <w:sz w:val="24"/>
          <w:szCs w:val="24"/>
        </w:rPr>
      </w:pPr>
      <w:r>
        <w:rPr>
          <w:rFonts w:hint="eastAsia" w:ascii="宋体" w:hAnsi="宋体"/>
          <w:sz w:val="24"/>
          <w:szCs w:val="24"/>
          <w:lang w:val="en-US" w:eastAsia="zh-CN"/>
        </w:rPr>
        <w:t xml:space="preserve">验收小组对</w:t>
      </w:r>
      <w:r>
        <w:rPr>
          <w:rFonts w:hint="eastAsia" w:ascii="宋体" w:hAnsi="宋体"/>
          <w:sz w:val="24"/>
          <w:szCs w:val="24"/>
        </w:rPr>
        <w:t xml:space="preserve">资料</w:t>
      </w:r>
      <w:r>
        <w:rPr>
          <w:rFonts w:hint="eastAsia" w:ascii="宋体" w:hAnsi="宋体"/>
          <w:sz w:val="24"/>
          <w:szCs w:val="24"/>
          <w:lang w:val="en-US" w:eastAsia="zh-CN"/>
        </w:rPr>
        <w:t xml:space="preserve">进行</w:t>
      </w:r>
      <w:r>
        <w:rPr>
          <w:rFonts w:hint="eastAsia" w:ascii="宋体" w:hAnsi="宋体"/>
          <w:sz w:val="24"/>
          <w:szCs w:val="24"/>
        </w:rPr>
        <w:t xml:space="preserve">书面核查</w:t>
      </w:r>
      <w:r>
        <w:rPr>
          <w:rFonts w:hint="eastAsia" w:ascii="宋体" w:hAnsi="宋体"/>
          <w:sz w:val="24"/>
          <w:szCs w:val="24"/>
          <w:lang w:eastAsia="zh-CN"/>
        </w:rPr>
        <w:t xml:space="preserve">，</w:t>
      </w:r>
      <w:r>
        <w:rPr>
          <w:rFonts w:hint="eastAsia" w:ascii="宋体" w:hAnsi="宋体"/>
          <w:sz w:val="24"/>
          <w:szCs w:val="24"/>
          <w:lang w:val="en-US" w:eastAsia="zh-CN"/>
        </w:rPr>
        <w:t xml:space="preserve">并</w:t>
      </w:r>
      <w:r>
        <w:rPr>
          <w:rFonts w:hint="eastAsia" w:ascii="宋体" w:hAnsi="宋体"/>
          <w:sz w:val="24"/>
          <w:szCs w:val="24"/>
        </w:rPr>
        <w:t xml:space="preserve">现场通电实测联调。</w:t>
      </w:r>
      <w:r/>
    </w:p>
    <w:p>
      <w:pPr>
        <w:ind w:firstLine="480"/>
        <w:jc w:val="left"/>
        <w:spacing w:line="360" w:lineRule="auto"/>
        <w:rPr>
          <w:rFonts w:hint="eastAsia" w:ascii="宋体" w:hAnsi="宋体"/>
          <w:sz w:val="24"/>
          <w:szCs w:val="24"/>
        </w:rPr>
      </w:pPr>
      <w:r>
        <w:rPr>
          <w:rFonts w:hint="eastAsia" w:ascii="宋体" w:hAnsi="宋体"/>
          <w:sz w:val="24"/>
          <w:szCs w:val="24"/>
        </w:rPr>
        <w:t xml:space="preserve">4.验收程序</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1）中标人</w:t>
      </w:r>
      <w:r>
        <w:rPr>
          <w:rFonts w:hint="eastAsia" w:ascii="宋体" w:hAnsi="宋体"/>
          <w:sz w:val="24"/>
          <w:szCs w:val="24"/>
        </w:rPr>
        <w:t xml:space="preserve">报验并报送全套资料；</w:t>
      </w:r>
      <w:r>
        <w:rPr>
          <w:rFonts w:hint="eastAsia" w:ascii="宋体" w:hAnsi="宋体"/>
          <w:sz w:val="24"/>
          <w:szCs w:val="24"/>
          <w:lang w:eastAsia="zh-CN"/>
        </w:rPr>
        <w:t xml:space="preserve">（</w:t>
      </w:r>
      <w:r>
        <w:rPr>
          <w:rFonts w:hint="eastAsia" w:ascii="宋体" w:hAnsi="宋体"/>
          <w:sz w:val="24"/>
          <w:szCs w:val="24"/>
          <w:lang w:val="en-US" w:eastAsia="zh-CN"/>
        </w:rPr>
        <w:t xml:space="preserve">2）采购人</w:t>
      </w:r>
      <w:r>
        <w:rPr>
          <w:rFonts w:hint="eastAsia" w:ascii="宋体" w:hAnsi="宋体"/>
          <w:sz w:val="24"/>
          <w:szCs w:val="24"/>
        </w:rPr>
        <w:t xml:space="preserve">审</w:t>
      </w:r>
      <w:r>
        <w:rPr>
          <w:rFonts w:hint="eastAsia" w:ascii="宋体" w:hAnsi="宋体"/>
          <w:sz w:val="24"/>
          <w:szCs w:val="24"/>
          <w:lang w:val="en-US" w:eastAsia="zh-CN"/>
        </w:rPr>
        <w:t xml:space="preserve">查</w:t>
      </w:r>
      <w:r>
        <w:rPr>
          <w:rFonts w:hint="eastAsia" w:ascii="宋体" w:hAnsi="宋体"/>
          <w:sz w:val="24"/>
          <w:szCs w:val="24"/>
        </w:rPr>
        <w:t xml:space="preserve">资料，资料不全暂缓验收；</w:t>
      </w: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rPr>
        <w:t xml:space="preserve">现场清点、装机、功能测试；</w:t>
      </w: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rPr>
        <w:t xml:space="preserve">出具验收意见，合格签字归档，不合格限期整改复验。</w:t>
      </w:r>
      <w:r/>
    </w:p>
    <w:p>
      <w:pPr>
        <w:ind w:firstLine="480"/>
        <w:jc w:val="left"/>
        <w:spacing w:line="360" w:lineRule="auto"/>
        <w:rPr>
          <w:rFonts w:hint="eastAsia" w:ascii="宋体" w:hAnsi="宋体"/>
          <w:sz w:val="24"/>
          <w:szCs w:val="24"/>
        </w:rPr>
      </w:pPr>
      <w:r>
        <w:rPr>
          <w:rFonts w:hint="eastAsia" w:ascii="宋体" w:hAnsi="宋体"/>
          <w:sz w:val="24"/>
          <w:szCs w:val="24"/>
        </w:rPr>
        <w:t xml:space="preserve">5.验收内容</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w:t>
      </w:r>
      <w:r>
        <w:rPr>
          <w:rFonts w:hint="eastAsia" w:ascii="宋体" w:hAnsi="宋体"/>
          <w:sz w:val="24"/>
          <w:szCs w:val="24"/>
        </w:rPr>
        <w:t xml:space="preserve">资料：合同、送货单、合格证、设备序列号；</w:t>
      </w: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rPr>
        <w:t xml:space="preserve">货品：终端、</w:t>
      </w:r>
      <w:r>
        <w:rPr>
          <w:rFonts w:hint="eastAsia" w:ascii="宋体" w:hAnsi="宋体"/>
          <w:sz w:val="24"/>
          <w:szCs w:val="24"/>
          <w:lang w:val="en-US" w:eastAsia="zh-CN"/>
        </w:rPr>
        <w:t xml:space="preserve">一体机</w:t>
      </w:r>
      <w:r>
        <w:rPr>
          <w:rFonts w:hint="eastAsia" w:ascii="宋体" w:hAnsi="宋体"/>
          <w:sz w:val="24"/>
          <w:szCs w:val="24"/>
        </w:rPr>
        <w:t xml:space="preserve">、摄像头、麦</w:t>
      </w:r>
      <w:r>
        <w:rPr>
          <w:rFonts w:hint="eastAsia" w:ascii="宋体" w:hAnsi="宋体"/>
          <w:sz w:val="24"/>
          <w:szCs w:val="24"/>
          <w:lang w:val="en-US" w:eastAsia="zh-CN"/>
        </w:rPr>
        <w:t xml:space="preserve">等</w:t>
      </w:r>
      <w:r>
        <w:rPr>
          <w:rFonts w:hint="eastAsia" w:ascii="宋体" w:hAnsi="宋体"/>
          <w:sz w:val="24"/>
          <w:szCs w:val="24"/>
        </w:rPr>
        <w:t xml:space="preserve">配件型号、数量与合同一致；</w:t>
      </w: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rPr>
        <w:t xml:space="preserve">安装调试：设备安装到位，单机、点对点、多方会议音视频联调。</w:t>
      </w:r>
      <w:r/>
    </w:p>
    <w:p>
      <w:pPr>
        <w:ind w:firstLine="480"/>
        <w:jc w:val="left"/>
        <w:spacing w:line="360" w:lineRule="auto"/>
        <w:rPr>
          <w:rFonts w:hint="eastAsia" w:ascii="宋体" w:hAnsi="宋体"/>
          <w:sz w:val="24"/>
          <w:szCs w:val="24"/>
        </w:rPr>
      </w:pPr>
      <w:r>
        <w:rPr>
          <w:rFonts w:hint="eastAsia" w:ascii="宋体" w:hAnsi="宋体"/>
          <w:sz w:val="24"/>
          <w:szCs w:val="24"/>
        </w:rPr>
        <w:t xml:space="preserve">6.验收标准</w:t>
      </w:r>
      <w:r/>
    </w:p>
    <w:p>
      <w:pPr>
        <w:ind w:firstLine="480"/>
        <w:jc w:val="left"/>
        <w:spacing w:line="360" w:lineRule="auto"/>
        <w:rPr>
          <w:rFonts w:hint="eastAsia" w:ascii="宋体" w:hAnsi="宋体"/>
          <w:sz w:val="24"/>
          <w:szCs w:val="24"/>
        </w:rPr>
      </w:pPr>
      <w:r>
        <w:rPr>
          <w:rFonts w:hint="eastAsia" w:ascii="宋体" w:hAnsi="宋体"/>
          <w:sz w:val="24"/>
          <w:szCs w:val="24"/>
        </w:rPr>
        <w:t xml:space="preserve">以合同、</w:t>
      </w:r>
      <w:r>
        <w:rPr>
          <w:rFonts w:hint="eastAsia" w:ascii="宋体" w:hAnsi="宋体"/>
          <w:sz w:val="24"/>
          <w:szCs w:val="24"/>
          <w:lang w:val="en-US" w:eastAsia="zh-CN"/>
        </w:rPr>
        <w:t xml:space="preserve">招标文件、</w:t>
      </w:r>
      <w:r>
        <w:rPr>
          <w:rFonts w:hint="eastAsia" w:ascii="宋体" w:hAnsi="宋体"/>
          <w:sz w:val="24"/>
          <w:szCs w:val="24"/>
        </w:rPr>
        <w:t xml:space="preserve">投标文件为依据：资料齐全；设备无破损、不更换低配机型；开机正常，图像清晰、拾音正常，会议互通无卡顿、音画同步，所有标配功能达标即为合格。</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八</w:t>
      </w:r>
      <w:r>
        <w:rPr>
          <w:rFonts w:hint="eastAsia" w:ascii="Times New Roman" w:hAnsi="Times New Roman"/>
          <w:b/>
          <w:sz w:val="28"/>
          <w:szCs w:val="28"/>
        </w:rPr>
        <w:t xml:space="preserve">、培训要求</w:t>
      </w:r>
      <w:r/>
    </w:p>
    <w:p>
      <w:pPr>
        <w:ind w:firstLine="480"/>
        <w:jc w:val="left"/>
        <w:spacing w:line="360" w:lineRule="auto"/>
        <w:widowControl/>
        <w:rPr>
          <w:rFonts w:ascii="宋体" w:hAnsi="宋体" w:cs="宋体"/>
          <w:sz w:val="24"/>
          <w:szCs w:val="24"/>
          <w:lang w:bidi="ar"/>
        </w:rPr>
      </w:pPr>
      <w:r>
        <w:rPr>
          <w:rFonts w:ascii="宋体" w:hAnsi="宋体" w:cs="宋体"/>
          <w:sz w:val="24"/>
          <w:szCs w:val="24"/>
          <w:lang w:bidi="ar"/>
        </w:rPr>
        <w:t xml:space="preserve">设备调试验收期间，中标</w:t>
      </w:r>
      <w:r>
        <w:rPr>
          <w:rFonts w:hint="eastAsia" w:ascii="宋体" w:hAnsi="宋体" w:cs="宋体"/>
          <w:sz w:val="24"/>
          <w:szCs w:val="24"/>
          <w:lang w:val="en-US" w:eastAsia="zh-CN" w:bidi="ar"/>
        </w:rPr>
        <w:t xml:space="preserve">人</w:t>
      </w:r>
      <w:r>
        <w:rPr>
          <w:rFonts w:ascii="宋体" w:hAnsi="宋体" w:cs="宋体"/>
          <w:sz w:val="24"/>
          <w:szCs w:val="24"/>
          <w:lang w:bidi="ar"/>
        </w:rPr>
        <w:t xml:space="preserve">需安排专业技术人员提供现场一对一实操培训，针对管理人员、使用人员讲解设备开关机、会议入会、音视频调试、双流共享、白板书写、投屏操作、日常简单故障排查及设备维护等全流程操作，确保相关人员熟练掌握设备使用方法，培训完成后形成书面培训记录存档。</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九</w:t>
      </w:r>
      <w:r>
        <w:rPr>
          <w:rFonts w:hint="eastAsia" w:ascii="Times New Roman" w:hAnsi="Times New Roman"/>
          <w:b/>
          <w:sz w:val="28"/>
          <w:szCs w:val="28"/>
        </w:rPr>
        <w:t xml:space="preserve">、售后服务要求</w:t>
      </w:r>
      <w:r/>
    </w:p>
    <w:p>
      <w:pPr>
        <w:ind w:firstLine="480"/>
        <w:jc w:val="left"/>
        <w:spacing w:line="360" w:lineRule="auto"/>
        <w:rPr>
          <w:rFonts w:hint="eastAsia" w:ascii="宋体" w:hAnsi="宋体" w:eastAsia="宋体" w:cs="宋体"/>
          <w:sz w:val="24"/>
          <w:szCs w:val="24"/>
          <w:highlight w:val="none"/>
          <w:lang w:bidi="ar"/>
        </w:rPr>
      </w:pPr>
      <w:r>
        <w:rPr>
          <w:rFonts w:hint="eastAsia" w:ascii="Times New Roman" w:hAnsi="Times New Roman"/>
          <w:sz w:val="24"/>
          <w:szCs w:val="24"/>
          <w:highlight w:val="none"/>
        </w:rPr>
        <w:t xml:space="preserve">质保期：</w:t>
      </w:r>
      <w:r>
        <w:rPr>
          <w:rFonts w:hint="eastAsia" w:ascii="Times New Roman" w:hAnsi="Times New Roman"/>
          <w:sz w:val="24"/>
          <w:szCs w:val="24"/>
          <w:highlight w:val="none"/>
          <w:lang w:val="en-US" w:eastAsia="zh-CN"/>
        </w:rPr>
        <w:t xml:space="preserve">自</w:t>
      </w:r>
      <w:r>
        <w:rPr>
          <w:rFonts w:ascii="宋体" w:hAnsi="宋体" w:cs="宋体"/>
          <w:sz w:val="24"/>
          <w:szCs w:val="24"/>
          <w:highlight w:val="none"/>
          <w:lang w:bidi="ar"/>
        </w:rPr>
        <w:t xml:space="preserve">验收合格之日起</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年。</w:t>
      </w:r>
      <w:r/>
    </w:p>
    <w:p>
      <w:pPr>
        <w:ind w:firstLine="480"/>
        <w:jc w:val="left"/>
        <w:spacing w:line="360" w:lineRule="auto"/>
        <w:widowControl/>
        <w:rPr>
          <w:rFonts w:ascii="宋体" w:hAnsi="宋体" w:cs="宋体"/>
          <w:sz w:val="24"/>
          <w:szCs w:val="24"/>
          <w:lang w:bidi="ar"/>
        </w:rPr>
      </w:pPr>
      <w:r>
        <w:rPr>
          <w:rFonts w:hint="eastAsia" w:ascii="Times New Roman" w:hAnsi="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widowControl/>
        <w:rPr>
          <w:rFonts w:ascii="宋体" w:hAnsi="宋体" w:cs="宋体"/>
          <w:sz w:val="24"/>
          <w:szCs w:val="24"/>
          <w:lang w:bidi="ar"/>
        </w:rPr>
      </w:pPr>
      <w:r>
        <w:rPr>
          <w:rFonts w:ascii="宋体" w:hAnsi="宋体" w:cs="宋体"/>
          <w:sz w:val="24"/>
          <w:szCs w:val="24"/>
          <w:lang w:bidi="ar"/>
        </w:rPr>
        <w:t xml:space="preserve">故障响应服务：提供7×24小时全天候技术咨询与故障支撑服务，接到设备故障报修后，2小时内响应对接，24小时内到达现场完成故障排查与修复，保障会议室会议系统正常运转。</w:t>
      </w:r>
      <w:r/>
    </w:p>
    <w:p>
      <w:pPr>
        <w:ind w:firstLine="480"/>
        <w:jc w:val="left"/>
        <w:spacing w:line="360" w:lineRule="auto"/>
        <w:widowControl/>
        <w:rPr>
          <w:rFonts w:ascii="宋体" w:hAnsi="宋体" w:cs="宋体"/>
          <w:sz w:val="24"/>
          <w:szCs w:val="24"/>
          <w:lang w:bidi="ar"/>
        </w:rPr>
      </w:pPr>
      <w:r>
        <w:rPr>
          <w:rFonts w:ascii="宋体" w:hAnsi="宋体" w:cs="宋体"/>
          <w:sz w:val="24"/>
          <w:szCs w:val="24"/>
          <w:lang w:bidi="ar"/>
        </w:rPr>
        <w:t xml:space="preserve">长期技术服务：质保期满后，提供成本价维修服务，提供系统常规升级、功能优化、技术咨询服务，持续保障设备适配各类会议场景使用。</w:t>
      </w:r>
      <w:r/>
    </w:p>
    <w:p>
      <w:pPr>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九、投标报价要求</w:t>
      </w:r>
      <w:r/>
    </w:p>
    <w:p>
      <w:pPr>
        <w:pStyle w:val="858"/>
        <w:ind w:firstLine="480"/>
        <w:rPr>
          <w:rFonts w:hint="eastAsia"/>
          <w:highlight w:val="yellow"/>
        </w:rPr>
      </w:pPr>
      <w:r>
        <w:rPr>
          <w:rFonts w:hint="eastAsia" w:ascii="宋体" w:hAnsi="宋体" w:eastAsia="宋体" w:cs="Times New Roman"/>
          <w:color w:val="000000"/>
          <w:sz w:val="24"/>
          <w:szCs w:val="24"/>
        </w:rPr>
        <w:t xml:space="preserve">投标报价须包含但不限于全部设备、</w:t>
      </w:r>
      <w:r>
        <w:rPr>
          <w:rFonts w:hint="eastAsia" w:ascii="宋体" w:hAnsi="宋体" w:eastAsia="宋体" w:cs="Times New Roman"/>
          <w:color w:val="000000"/>
          <w:sz w:val="24"/>
          <w:szCs w:val="24"/>
          <w:lang w:val="en-US" w:eastAsia="zh-CN"/>
        </w:rPr>
        <w:t xml:space="preserve">辅材</w:t>
      </w:r>
      <w:r>
        <w:rPr>
          <w:rFonts w:hint="eastAsia" w:ascii="宋体" w:hAnsi="宋体" w:eastAsia="宋体" w:cs="Times New Roman"/>
          <w:color w:val="000000"/>
          <w:sz w:val="24"/>
          <w:szCs w:val="24"/>
        </w:rPr>
        <w:t xml:space="preserve">、包装费、运杂费（运抵现场）、卸货费、现场保管费、运输保险费、成品保护费、安装费、调试费、产品使用培训费、售后服务、</w:t>
      </w:r>
      <w:r>
        <w:rPr>
          <w:rFonts w:hint="eastAsia" w:ascii="宋体" w:hAnsi="宋体" w:eastAsia="宋体" w:cs="Times New Roman"/>
          <w:color w:val="000000"/>
          <w:sz w:val="24"/>
          <w:szCs w:val="24"/>
          <w:lang w:val="en-US" w:eastAsia="zh-CN"/>
        </w:rPr>
        <w:t xml:space="preserve">质保、</w:t>
      </w:r>
      <w:r>
        <w:rPr>
          <w:rFonts w:hint="eastAsia" w:ascii="宋体" w:hAnsi="宋体" w:eastAsia="宋体" w:cs="Times New Roman"/>
          <w:color w:val="000000"/>
          <w:sz w:val="24"/>
          <w:szCs w:val="24"/>
        </w:rPr>
        <w:t xml:space="preserve">有关部门验收费用、各项有关规费和政策性规定费用及投标人确认为需要的其它费用等，直至交付至采购人使用时所需要的各种费用。</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十、付款方式与履约保证金</w:t>
      </w:r>
      <w:r/>
    </w:p>
    <w:p>
      <w:pPr>
        <w:ind w:firstLine="480"/>
        <w:jc w:val="left"/>
        <w:spacing w:line="360" w:lineRule="auto"/>
        <w:rPr>
          <w:rFonts w:hint="eastAsia" w:ascii="宋体" w:hAnsi="宋体" w:eastAsia="宋体" w:cs="Times New Roman"/>
          <w:color w:val="000000"/>
          <w:sz w:val="24"/>
          <w:szCs w:val="24"/>
          <w:lang w:val="en-US" w:eastAsia="zh-CN"/>
        </w:rPr>
      </w:pPr>
      <w:r>
        <w:rPr>
          <w:rFonts w:hint="eastAsia" w:ascii="宋体" w:hAnsi="宋体"/>
          <w:i/>
          <w:iCs/>
          <w:sz w:val="24"/>
          <w:szCs w:val="24"/>
          <w:u w:val="single"/>
        </w:rPr>
        <w:t xml:space="preserve">1、付款方式</w:t>
      </w:r>
      <w:r>
        <w:rPr>
          <w:rFonts w:hint="eastAsia" w:ascii="宋体" w:hAnsi="宋体"/>
          <w:i/>
          <w:iCs/>
          <w:sz w:val="24"/>
          <w:szCs w:val="24"/>
          <w:u w:val="single"/>
          <w:lang w:eastAsia="zh-CN"/>
        </w:rPr>
        <w:t xml:space="preserve">：</w:t>
      </w:r>
      <w:r>
        <w:rPr>
          <w:rFonts w:hint="eastAsia" w:ascii="宋体" w:hAnsi="宋体" w:eastAsia="宋体" w:cs="Times New Roman"/>
          <w:i/>
          <w:iCs/>
          <w:color w:val="000000"/>
          <w:sz w:val="24"/>
          <w:szCs w:val="24"/>
          <w:u w:val="single"/>
          <w:lang w:val="en-US" w:eastAsia="zh-CN"/>
        </w:rPr>
        <w:t xml:space="preserve">合同签订生效后，采购人支付合同总价的70%，</w:t>
      </w:r>
      <w:r>
        <w:rPr>
          <w:rFonts w:hint="eastAsia" w:ascii="宋体" w:hAnsi="宋体" w:eastAsia="宋体" w:cs="Times New Roman"/>
          <w:i/>
          <w:iCs/>
          <w:color w:val="000000"/>
          <w:sz w:val="24"/>
          <w:szCs w:val="24"/>
          <w:u w:val="single"/>
        </w:rPr>
        <w:t xml:space="preserve">设备到货、安装调试完毕</w:t>
      </w:r>
      <w:r>
        <w:rPr>
          <w:rFonts w:hint="eastAsia" w:ascii="宋体" w:hAnsi="宋体" w:eastAsia="宋体" w:cs="Times New Roman"/>
          <w:i/>
          <w:iCs/>
          <w:color w:val="000000"/>
          <w:sz w:val="24"/>
          <w:szCs w:val="24"/>
          <w:u w:val="single"/>
          <w:lang w:val="en-US" w:eastAsia="zh-CN"/>
        </w:rPr>
        <w:t xml:space="preserve">并通过验收后，采购人支付至合同总价的100%。</w:t>
      </w:r>
      <w:r/>
    </w:p>
    <w:p>
      <w:pPr>
        <w:ind w:firstLine="480"/>
        <w:jc w:val="left"/>
        <w:spacing w:line="360" w:lineRule="auto"/>
        <w:rPr>
          <w:rFonts w:ascii="宋体" w:hAnsi="宋体"/>
          <w:sz w:val="24"/>
          <w:szCs w:val="24"/>
        </w:rPr>
      </w:pPr>
      <w:r>
        <w:rPr>
          <w:rFonts w:hint="eastAsia" w:ascii="宋体" w:hAnsi="宋体"/>
          <w:sz w:val="24"/>
          <w:szCs w:val="24"/>
        </w:rPr>
        <w:t xml:space="preserve">2、履约保证金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十一、其他</w:t>
      </w:r>
      <w:bookmarkEnd w:id="9"/>
      <w:r/>
      <w:bookmarkEnd w:id="10"/>
      <w:r/>
      <w:r/>
    </w:p>
    <w:p>
      <w:pPr>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p>
    <w:p>
      <w:pPr>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p>
    <w:p>
      <w:pPr>
        <w:ind w:firstLine="480"/>
        <w:jc w:val="left"/>
        <w:spacing w:line="360" w:lineRule="auto"/>
        <w:rPr>
          <w:rFonts w:hint="eastAsia"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sz w:val="24"/>
          <w:szCs w:val="24"/>
        </w:rPr>
      </w:pPr>
      <w:r>
        <w:rPr>
          <w:rFonts w:hint="eastAsia" w:ascii="宋体" w:hAnsi="宋体"/>
          <w:sz w:val="24"/>
          <w:szCs w:val="24"/>
        </w:rPr>
        <w:br w:type="page" w:clear="all"/>
      </w:r>
      <w:r/>
    </w:p>
    <w:p>
      <w:pPr>
        <w:pStyle w:val="847"/>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none"/>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w:t>
      </w:r>
      <w:r>
        <w:rPr>
          <w:rFonts w:hint="eastAsia"/>
          <w:sz w:val="24"/>
          <w:szCs w:val="24"/>
          <w:highlight w:val="none"/>
          <w:lang w:val="en-US" w:eastAsia="zh-CN"/>
        </w:rPr>
        <w:t xml:space="preserve">1</w:t>
      </w:r>
      <w:r>
        <w:rPr>
          <w:rFonts w:hint="eastAsia"/>
          <w:sz w:val="24"/>
          <w:szCs w:val="24"/>
          <w:highlight w:val="none"/>
        </w:rPr>
        <w:t xml:space="preserve">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numPr>
          <w:ilvl w:val="0"/>
          <w:numId w:val="7"/>
        </w:numPr>
        <w:ind w:firstLine="480"/>
        <w:jc w:val="left"/>
        <w:spacing w:line="500" w:lineRule="exact"/>
        <w:rPr>
          <w:sz w:val="24"/>
          <w:szCs w:val="24"/>
        </w:rPr>
      </w:pPr>
      <w:r>
        <w:rPr>
          <w:rFonts w:hint="eastAsia"/>
          <w:sz w:val="24"/>
          <w:szCs w:val="24"/>
        </w:rPr>
        <w:t xml:space="preserve">价格分（30分）</w:t>
      </w:r>
      <w:r/>
    </w:p>
    <w:p>
      <w:pPr>
        <w:ind w:firstLine="72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63</w:t>
      </w:r>
      <w:r>
        <w:rPr>
          <w:rFonts w:hint="eastAsia"/>
          <w:sz w:val="24"/>
          <w:szCs w:val="24"/>
        </w:rPr>
        <w:t xml:space="preserve">分）</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4"/>
        <w:gridCol w:w="6591"/>
      </w:tblGrid>
      <w:tr>
        <w:trPr>
          <w:jc w:val="center"/>
          <w:trHeight w:val="621"/>
        </w:trPr>
        <w:tc>
          <w:tcPr>
            <w:tcW w:w="191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59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914" w:type="dxa"/>
            <w:vAlign w:val="center"/>
            <w:textDirection w:val="lrTb"/>
            <w:noWrap w:val="false"/>
          </w:tcPr>
          <w:p>
            <w:pPr>
              <w:jc w:val="center"/>
              <w:spacing w:line="276" w:lineRule="auto"/>
              <w:rPr>
                <w:rFonts w:hint="eastAsia"/>
                <w:sz w:val="22"/>
                <w:szCs w:val="22"/>
                <w:lang w:val="en-US" w:eastAsia="zh-CN"/>
              </w:rPr>
            </w:pPr>
            <w:r>
              <w:rPr>
                <w:rFonts w:hint="eastAsia"/>
                <w:sz w:val="22"/>
                <w:szCs w:val="22"/>
                <w:lang w:val="en-US" w:eastAsia="zh-CN"/>
              </w:rPr>
              <w:t xml:space="preserve">技术参数</w:t>
            </w:r>
            <w:r/>
          </w:p>
          <w:p>
            <w:pPr>
              <w:jc w:val="center"/>
              <w:spacing w:line="276" w:lineRule="auto"/>
              <w:rPr>
                <w:rFonts w:hint="eastAsia"/>
              </w:rPr>
            </w:pPr>
            <w:r>
              <w:rPr>
                <w:rFonts w:hint="eastAsia"/>
                <w:sz w:val="22"/>
                <w:szCs w:val="22"/>
              </w:rPr>
              <w:t xml:space="preserve">（</w:t>
            </w:r>
            <w:r>
              <w:rPr>
                <w:rFonts w:hint="eastAsia"/>
                <w:sz w:val="22"/>
                <w:szCs w:val="22"/>
                <w:lang w:val="en-US" w:eastAsia="zh-CN"/>
              </w:rPr>
              <w:t xml:space="preserve">39</w:t>
            </w:r>
            <w:r>
              <w:rPr>
                <w:rFonts w:hint="eastAsia"/>
                <w:sz w:val="22"/>
                <w:szCs w:val="22"/>
              </w:rPr>
              <w:t xml:space="preserve">分）</w:t>
            </w:r>
            <w:r/>
          </w:p>
        </w:tc>
        <w:tc>
          <w:tcPr>
            <w:tcW w:w="6591" w:type="dxa"/>
            <w:vAlign w:val="center"/>
            <w:textDirection w:val="lrTb"/>
            <w:noWrap w:val="false"/>
          </w:tcPr>
          <w:p>
            <w:pPr>
              <w:jc w:val="left"/>
              <w:keepLines w:val="0"/>
              <w:keepNext w:val="0"/>
              <w:pageBreakBefore w:val="0"/>
              <w:spacing w:line="288" w:lineRule="auto"/>
              <w:widowControl w:val="off"/>
              <w:rPr>
                <w:rFonts w:hint="eastAsia" w:eastAsia="宋体" w:cs="Times New Roman"/>
                <w:sz w:val="22"/>
                <w:szCs w:val="22"/>
              </w:rPr>
            </w:pPr>
            <w:r>
              <w:rPr>
                <w:rFonts w:hint="eastAsia" w:ascii="宋体" w:hAnsi="宋体" w:eastAsia="宋体" w:cs="宋体"/>
                <w:sz w:val="22"/>
                <w:szCs w:val="22"/>
              </w:rPr>
              <w:t xml:space="preserve">技术参数指标评审基准分</w:t>
            </w:r>
            <w:r>
              <w:rPr>
                <w:rFonts w:hint="eastAsia" w:ascii="宋体" w:hAnsi="宋体" w:eastAsia="宋体" w:cs="宋体"/>
                <w:sz w:val="22"/>
                <w:szCs w:val="22"/>
                <w:lang w:val="en-US" w:eastAsia="zh-CN"/>
              </w:rPr>
              <w:t xml:space="preserve">39</w:t>
            </w:r>
            <w:r>
              <w:rPr>
                <w:rFonts w:hint="eastAsia" w:ascii="宋体" w:hAnsi="宋体" w:eastAsia="宋体" w:cs="宋体"/>
                <w:sz w:val="22"/>
                <w:szCs w:val="22"/>
              </w:rPr>
              <w:t xml:space="preserve">分，标注“▲”的指标，每有一项负偏离的扣</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分，扣完为止。</w:t>
            </w:r>
            <w:r/>
          </w:p>
          <w:p>
            <w:pPr>
              <w:pStyle w:val="858"/>
              <w:ind w:left="0" w:firstLine="0"/>
              <w:keepLines w:val="0"/>
              <w:keepNext w:val="0"/>
              <w:pageBreakBefore w:val="0"/>
              <w:spacing w:line="288" w:lineRule="auto"/>
              <w:widowControl w:val="off"/>
              <w:rPr>
                <w:sz w:val="22"/>
                <w:szCs w:val="22"/>
              </w:rPr>
            </w:pPr>
            <w:r>
              <w:rPr>
                <w:rFonts w:hint="eastAsia" w:ascii="Calibri" w:hAnsi="Calibri" w:eastAsia="宋体" w:cs="Times New Roman"/>
                <w:b/>
                <w:bCs/>
                <w:sz w:val="22"/>
                <w:szCs w:val="22"/>
                <w:lang w:val="en-US" w:eastAsia="zh-CN" w:bidi="ar-SA"/>
              </w:rPr>
              <w:t xml:space="preserve">注：</w:t>
            </w:r>
            <w:r>
              <w:rPr>
                <w:rFonts w:hint="eastAsia" w:ascii="Calibri" w:hAnsi="Calibri" w:eastAsia="宋体" w:cs="Times New Roman"/>
                <w:b/>
                <w:bCs/>
                <w:sz w:val="22"/>
                <w:szCs w:val="22"/>
                <w:lang w:val="zh-CN" w:eastAsia="zh-CN" w:bidi="ar-SA"/>
              </w:rPr>
              <w:t xml:space="preserve">投标文件中详细填写技术要求响应及偏离表，逐条响应。要求提供证明材料的未提供证明材料或提供的证明材料与</w:t>
            </w:r>
            <w:r>
              <w:rPr>
                <w:rFonts w:hint="eastAsia" w:ascii="Calibri" w:hAnsi="Calibri" w:eastAsia="宋体" w:cs="Times New Roman"/>
                <w:b/>
                <w:bCs/>
                <w:sz w:val="22"/>
                <w:szCs w:val="22"/>
                <w:lang w:val="en-US" w:eastAsia="zh-CN" w:bidi="ar-SA"/>
              </w:rPr>
              <w:t xml:space="preserve">招标文件</w:t>
            </w:r>
            <w:r>
              <w:rPr>
                <w:rFonts w:hint="eastAsia" w:ascii="Calibri" w:hAnsi="Calibri" w:eastAsia="宋体" w:cs="Times New Roman"/>
                <w:b/>
                <w:bCs/>
                <w:sz w:val="22"/>
                <w:szCs w:val="22"/>
                <w:lang w:val="zh-CN" w:eastAsia="zh-CN" w:bidi="ar-SA"/>
              </w:rPr>
              <w:t xml:space="preserve">要求不符合的，视为负偏离。投标人可在文件中做明显标识，便于评审。</w:t>
            </w:r>
            <w:r>
              <w:rPr>
                <w:rFonts w:hint="eastAsia" w:ascii="Calibri" w:hAnsi="Calibri" w:eastAsia="宋体" w:cs="Times New Roman"/>
                <w:b/>
                <w:bCs/>
                <w:sz w:val="22"/>
                <w:szCs w:val="22"/>
                <w:lang w:val="en-US" w:eastAsia="zh-CN" w:bidi="ar-SA"/>
              </w:rPr>
              <w:t xml:space="preserve">证明材料中功能相近但名称、表述不完全一致的，由评委现场统一认定后给予得分。</w:t>
            </w:r>
            <w:r/>
          </w:p>
        </w:tc>
      </w:tr>
      <w:tr>
        <w:trPr>
          <w:jc w:val="center"/>
          <w:trHeight w:val="621"/>
        </w:trPr>
        <w:tc>
          <w:tcPr>
            <w:tcW w:w="1914" w:type="dxa"/>
            <w:vAlign w:val="center"/>
            <w:textDirection w:val="lrTb"/>
            <w:noWrap w:val="false"/>
          </w:tcPr>
          <w:p>
            <w:pPr>
              <w:jc w:val="center"/>
              <w:spacing w:line="400" w:lineRule="exact"/>
              <w:rPr>
                <w:rFonts w:hint="eastAsia" w:ascii="Times New Roman" w:hAnsi="Times New Roman" w:eastAsia="宋体" w:cs="宋体"/>
                <w:color w:val="000000"/>
                <w:sz w:val="22"/>
              </w:rPr>
            </w:pPr>
            <w:r>
              <w:rPr>
                <w:rFonts w:hint="eastAsia" w:ascii="Times New Roman" w:hAnsi="Times New Roman" w:eastAsia="宋体" w:cs="宋体"/>
                <w:color w:val="000000"/>
                <w:sz w:val="22"/>
              </w:rPr>
              <w:t xml:space="preserve">实施方案</w:t>
            </w:r>
            <w:r/>
          </w:p>
          <w:p>
            <w:pPr>
              <w:jc w:val="center"/>
              <w:spacing w:line="400" w:lineRule="exact"/>
              <w:rPr>
                <w:rFonts w:hint="eastAsia" w:ascii="Times New Roman" w:hAnsi="Times New Roman" w:eastAsia="宋体" w:cs="宋体"/>
                <w:color w:val="000000"/>
                <w:sz w:val="22"/>
              </w:rPr>
            </w:pPr>
            <w:r>
              <w:rPr>
                <w:rFonts w:hint="eastAsia" w:ascii="Times New Roman" w:hAnsi="Times New Roman" w:eastAsia="宋体" w:cs="宋体"/>
                <w:color w:val="000000"/>
                <w:sz w:val="22"/>
              </w:rPr>
              <w:t xml:space="preserve">（</w:t>
            </w:r>
            <w:r>
              <w:rPr>
                <w:rFonts w:hint="eastAsia" w:ascii="Times New Roman" w:hAnsi="Times New Roman" w:eastAsia="宋体" w:cs="宋体"/>
                <w:color w:val="000000"/>
                <w:sz w:val="22"/>
                <w:lang w:val="en-US" w:eastAsia="zh-CN"/>
              </w:rPr>
              <w:t xml:space="preserve">6</w:t>
            </w:r>
            <w:r>
              <w:rPr>
                <w:rFonts w:hint="eastAsia" w:ascii="Times New Roman" w:hAnsi="Times New Roman" w:eastAsia="宋体" w:cs="宋体"/>
                <w:color w:val="000000"/>
                <w:sz w:val="22"/>
              </w:rPr>
              <w:t xml:space="preserve">分）</w:t>
            </w:r>
            <w:r/>
          </w:p>
        </w:tc>
        <w:tc>
          <w:tcPr>
            <w:tcW w:w="6591"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投标文件中提供项目实施方案，方案包含但不限于组织架构、进度计划、质量保证措施等内容：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方案包含上述全部内容，组织架构清晰、进度计划内容详细、质量保证措施可操作性强的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6</w:t>
            </w:r>
            <w:r>
              <w:rPr>
                <w:rFonts w:hint="eastAsia" w:ascii="宋体" w:hAnsi="宋体" w:cs="宋体"/>
                <w:b/>
                <w:bCs/>
                <w:color w:val="000000"/>
                <w:sz w:val="22"/>
              </w:rPr>
              <w:t xml:space="preserve">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方案包含上述全部内容，组织架构比较清晰、进度计划内容较详细、质量保证措施可操作性较强的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4</w:t>
            </w:r>
            <w:r>
              <w:rPr>
                <w:rFonts w:hint="eastAsia" w:ascii="宋体" w:hAnsi="宋体" w:cs="宋体"/>
                <w:b/>
                <w:bCs/>
                <w:color w:val="000000"/>
                <w:sz w:val="22"/>
              </w:rPr>
              <w:t xml:space="preserve">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方案内容有缺项，内容合理性一般、措施简单粗糙、可操作性不强的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2</w:t>
            </w:r>
            <w:r>
              <w:rPr>
                <w:rFonts w:hint="eastAsia" w:ascii="宋体" w:hAnsi="宋体" w:cs="宋体"/>
                <w:b/>
                <w:bCs/>
                <w:color w:val="000000"/>
                <w:sz w:val="22"/>
              </w:rPr>
              <w:t xml:space="preserve">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rPr>
            </w:pPr>
            <w:r>
              <w:rPr>
                <w:rFonts w:hint="eastAsia" w:ascii="宋体" w:hAnsi="宋体" w:cs="宋体"/>
                <w:b/>
                <w:bCs/>
                <w:color w:val="000000"/>
                <w:sz w:val="22"/>
              </w:rPr>
              <w:t xml:space="preserve">该项未见阐述不得分。</w:t>
            </w:r>
            <w:r/>
          </w:p>
        </w:tc>
      </w:tr>
      <w:tr>
        <w:trPr>
          <w:jc w:val="center"/>
          <w:trHeight w:val="621"/>
        </w:trPr>
        <w:tc>
          <w:tcPr>
            <w:tcW w:w="1914" w:type="dxa"/>
            <w:vAlign w:val="center"/>
            <w:textDirection w:val="lrTb"/>
            <w:noWrap w:val="false"/>
          </w:tcPr>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供货方案</w:t>
            </w:r>
            <w:r/>
          </w:p>
          <w:p>
            <w:pPr>
              <w:jc w:val="center"/>
              <w:spacing w:line="276" w:lineRule="auto"/>
              <w:rPr>
                <w:rFonts w:hint="eastAsia"/>
              </w:rPr>
            </w:pPr>
            <w:r>
              <w:rPr>
                <w:rFonts w:hint="eastAsia" w:ascii="Times New Roman" w:hAnsi="Times New Roman" w:cs="宋体"/>
                <w:color w:val="000000"/>
                <w:sz w:val="22"/>
              </w:rPr>
              <w:t xml:space="preserve">（</w:t>
            </w:r>
            <w:r>
              <w:rPr>
                <w:rFonts w:hint="eastAsia" w:ascii="Times New Roman" w:hAnsi="Times New Roman" w:cs="宋体"/>
                <w:color w:val="000000"/>
                <w:sz w:val="22"/>
                <w:lang w:val="en-US" w:eastAsia="zh-CN"/>
              </w:rPr>
              <w:t xml:space="preserve">6</w:t>
            </w:r>
            <w:r>
              <w:rPr>
                <w:rFonts w:hint="eastAsia" w:ascii="Times New Roman" w:hAnsi="Times New Roman" w:cs="宋体"/>
                <w:color w:val="000000"/>
                <w:sz w:val="22"/>
              </w:rPr>
              <w:t xml:space="preserve">分）</w:t>
            </w:r>
            <w:r/>
          </w:p>
        </w:tc>
        <w:tc>
          <w:tcPr>
            <w:tcW w:w="6591"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投标文件中提供供货方案，方案包含但不限于供应措施、供应组织方案、成品保护措施等内容：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方案全面科学合理，供货措施切实可行，有完善的组织方案，成品保护措施得当，能够保质保量完成任务的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6</w:t>
            </w:r>
            <w:r>
              <w:rPr>
                <w:rFonts w:hint="eastAsia" w:ascii="宋体" w:hAnsi="宋体" w:cs="宋体"/>
                <w:b/>
                <w:bCs/>
                <w:color w:val="000000"/>
                <w:sz w:val="22"/>
              </w:rPr>
              <w:t xml:space="preserve">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方案较全面科学合理，供货措施较可行，有供应组织方案，保成品护措施较得当，较能够保质保量完成任务的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4</w:t>
            </w:r>
            <w:r>
              <w:rPr>
                <w:rFonts w:hint="eastAsia" w:ascii="宋体" w:hAnsi="宋体" w:cs="宋体"/>
                <w:b/>
                <w:bCs/>
                <w:color w:val="000000"/>
                <w:sz w:val="22"/>
              </w:rPr>
              <w:t xml:space="preserve">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方案科学合理性一般，供货措施可行性一般，组织方案简单的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2</w:t>
            </w:r>
            <w:r>
              <w:rPr>
                <w:rFonts w:hint="eastAsia" w:ascii="宋体" w:hAnsi="宋体" w:cs="宋体"/>
                <w:b/>
                <w:bCs/>
                <w:color w:val="000000"/>
                <w:sz w:val="22"/>
              </w:rPr>
              <w:t xml:space="preserve">分</w:t>
            </w:r>
            <w:r>
              <w:rPr>
                <w:rFonts w:hint="eastAsia" w:ascii="宋体" w:hAnsi="宋体" w:cs="宋体"/>
                <w:color w:val="000000"/>
                <w:sz w:val="22"/>
              </w:rPr>
              <w:t xml:space="preserve">；</w:t>
            </w:r>
            <w:r/>
          </w:p>
          <w:p>
            <w:pPr>
              <w:pStyle w:val="887"/>
              <w:rPr>
                <w:rFonts w:hint="eastAsia" w:ascii="宋体" w:hAnsi="宋体" w:eastAsia="宋体" w:cs="宋体"/>
                <w:bCs/>
                <w:color w:val="000000"/>
                <w:sz w:val="22"/>
                <w:szCs w:val="22"/>
                <w:lang w:val="en-US" w:eastAsia="zh-CN" w:bidi="ar-SA"/>
              </w:rPr>
            </w:pPr>
            <w:r>
              <w:rPr>
                <w:rFonts w:ascii="宋体" w:hAnsi="宋体" w:cs="宋体"/>
                <w:b/>
                <w:bCs/>
                <w:color w:val="000000"/>
                <w:sz w:val="22"/>
                <w:szCs w:val="22"/>
              </w:rPr>
              <w:t xml:space="preserve">该项未见阐述不得分。</w:t>
            </w:r>
            <w:r/>
          </w:p>
        </w:tc>
      </w:tr>
      <w:tr>
        <w:trPr>
          <w:jc w:val="center"/>
          <w:trHeight w:val="621"/>
        </w:trPr>
        <w:tc>
          <w:tcPr>
            <w:tcW w:w="1914" w:type="dxa"/>
            <w:vAlign w:val="center"/>
            <w:textDirection w:val="lrTb"/>
            <w:noWrap w:val="false"/>
          </w:tcPr>
          <w:p>
            <w:pPr>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培训方案</w:t>
            </w:r>
            <w:r/>
          </w:p>
          <w:p>
            <w:pPr>
              <w:jc w:val="center"/>
              <w:spacing w:line="276" w:lineRule="auto"/>
              <w:rPr>
                <w:rFonts w:hint="eastAsia" w:ascii="Times New Roman" w:hAnsi="Times New Roman" w:cs="宋体"/>
                <w:color w:val="000000"/>
                <w:sz w:val="22"/>
              </w:rPr>
            </w:pPr>
            <w:r>
              <w:rPr>
                <w:rFonts w:hint="eastAsia" w:ascii="Times New Roman" w:hAnsi="Times New Roman" w:cs="宋体"/>
                <w:color w:val="000000"/>
                <w:sz w:val="22"/>
              </w:rPr>
              <w:t xml:space="preserve">（</w:t>
            </w:r>
            <w:r>
              <w:rPr>
                <w:rFonts w:hint="eastAsia" w:ascii="Times New Roman" w:hAnsi="Times New Roman" w:cs="宋体"/>
                <w:color w:val="000000"/>
                <w:sz w:val="22"/>
                <w:lang w:val="en-US" w:eastAsia="zh-CN"/>
              </w:rPr>
              <w:t xml:space="preserve">6</w:t>
            </w:r>
            <w:r>
              <w:rPr>
                <w:rFonts w:hint="eastAsia" w:ascii="Times New Roman" w:hAnsi="Times New Roman" w:cs="宋体"/>
                <w:color w:val="000000"/>
                <w:sz w:val="22"/>
              </w:rPr>
              <w:t xml:space="preserve">分）</w:t>
            </w:r>
            <w:r/>
          </w:p>
        </w:tc>
        <w:tc>
          <w:tcPr>
            <w:tcW w:w="6591"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投标文件中提供培训方案，方案包含但不限于培训目的、培训方式、培训课程、培训保障等内容：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方案内容详尽完善，培训目的明确、培训课程安排合理、培训方式切实可行的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6</w:t>
            </w:r>
            <w:r>
              <w:rPr>
                <w:rFonts w:hint="eastAsia" w:ascii="宋体" w:hAnsi="宋体" w:cs="宋体"/>
                <w:b/>
                <w:bCs/>
                <w:color w:val="000000"/>
                <w:sz w:val="22"/>
              </w:rPr>
              <w:t xml:space="preserve">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方案内容比较完善，培训目的比较明确、培训课程安排比较合理、培训方式可行性较强的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4</w:t>
            </w:r>
            <w:r>
              <w:rPr>
                <w:rFonts w:hint="eastAsia" w:ascii="宋体" w:hAnsi="宋体" w:cs="宋体"/>
                <w:b/>
                <w:bCs/>
                <w:color w:val="000000"/>
                <w:sz w:val="22"/>
              </w:rPr>
              <w:t xml:space="preserve">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方案内容简单，培训目的模糊、培训课程安排合理性一般、培训方式可行性一般的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2</w:t>
            </w:r>
            <w:r>
              <w:rPr>
                <w:rFonts w:hint="eastAsia" w:ascii="宋体" w:hAnsi="宋体" w:cs="宋体"/>
                <w:b/>
                <w:bCs/>
                <w:color w:val="000000"/>
                <w:sz w:val="22"/>
              </w:rPr>
              <w:t xml:space="preserve">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lang w:val="en-US" w:eastAsia="zh-CN" w:bidi="ar-SA"/>
              </w:rPr>
            </w:pPr>
            <w:r>
              <w:rPr>
                <w:rFonts w:hint="eastAsia" w:ascii="宋体" w:hAnsi="宋体" w:cs="宋体"/>
                <w:b/>
                <w:bCs/>
                <w:color w:val="000000"/>
                <w:sz w:val="22"/>
              </w:rPr>
              <w:t xml:space="preserve">该项未见阐述不得分。</w:t>
            </w:r>
            <w:r/>
          </w:p>
        </w:tc>
      </w:tr>
      <w:tr>
        <w:trPr>
          <w:jc w:val="center"/>
          <w:trHeight w:val="621"/>
        </w:trPr>
        <w:tc>
          <w:tcPr>
            <w:tcW w:w="1914" w:type="dxa"/>
            <w:vAlign w:val="center"/>
            <w:textDirection w:val="lrTb"/>
            <w:noWrap w:val="false"/>
          </w:tcPr>
          <w:p>
            <w:pPr>
              <w:jc w:val="center"/>
              <w:spacing w:line="400" w:lineRule="exact"/>
              <w:rPr>
                <w:rFonts w:hint="eastAsia" w:ascii="Times New Roman" w:hAnsi="Times New Roman" w:eastAsia="宋体" w:cs="宋体"/>
                <w:color w:val="000000"/>
                <w:sz w:val="22"/>
                <w:lang w:val="en-US" w:eastAsia="zh-CN"/>
              </w:rPr>
            </w:pPr>
            <w:r>
              <w:rPr>
                <w:rFonts w:hint="eastAsia" w:ascii="Times New Roman" w:hAnsi="Times New Roman" w:eastAsia="宋体" w:cs="宋体"/>
                <w:color w:val="000000"/>
                <w:sz w:val="22"/>
              </w:rPr>
              <w:t xml:space="preserve">售后服务</w:t>
            </w:r>
            <w:r>
              <w:rPr>
                <w:rFonts w:hint="eastAsia" w:ascii="Times New Roman" w:hAnsi="Times New Roman" w:eastAsia="宋体" w:cs="宋体"/>
                <w:color w:val="000000"/>
                <w:sz w:val="22"/>
                <w:lang w:val="en-US" w:eastAsia="zh-CN"/>
              </w:rPr>
              <w:t xml:space="preserve">方案</w:t>
            </w:r>
            <w:r/>
          </w:p>
          <w:p>
            <w:pPr>
              <w:jc w:val="center"/>
              <w:spacing w:line="400" w:lineRule="exact"/>
              <w:rPr>
                <w:rFonts w:hint="eastAsia" w:ascii="Times New Roman" w:hAnsi="Times New Roman" w:eastAsia="宋体" w:cs="宋体"/>
                <w:color w:val="000000"/>
                <w:sz w:val="22"/>
              </w:rPr>
            </w:pPr>
            <w:r>
              <w:rPr>
                <w:rFonts w:hint="eastAsia" w:ascii="Times New Roman" w:hAnsi="Times New Roman" w:eastAsia="宋体" w:cs="宋体"/>
                <w:color w:val="000000"/>
                <w:sz w:val="22"/>
              </w:rPr>
              <w:t xml:space="preserve">（</w:t>
            </w:r>
            <w:r>
              <w:rPr>
                <w:rFonts w:hint="eastAsia" w:ascii="Times New Roman" w:hAnsi="Times New Roman" w:eastAsia="宋体" w:cs="宋体"/>
                <w:color w:val="000000"/>
                <w:sz w:val="22"/>
                <w:lang w:val="en-US" w:eastAsia="zh-CN"/>
              </w:rPr>
              <w:t xml:space="preserve">6</w:t>
            </w:r>
            <w:r>
              <w:rPr>
                <w:rFonts w:hint="eastAsia" w:ascii="Times New Roman" w:hAnsi="Times New Roman" w:eastAsia="宋体" w:cs="宋体"/>
                <w:color w:val="000000"/>
                <w:sz w:val="22"/>
              </w:rPr>
              <w:t xml:space="preserve">分）</w:t>
            </w:r>
            <w:r/>
          </w:p>
        </w:tc>
        <w:tc>
          <w:tcPr>
            <w:tcW w:w="6591"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投标文件中提供售后服务方案，方案包含但不限于售后服务响应机制、售后服务体系、售后服务内容、应急保障等内容：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方案内容全面完整，售后服务响应机制明确、售后服务体系健全、服务内容详尽、应急保障方案科学可行的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6</w:t>
            </w:r>
            <w:r>
              <w:rPr>
                <w:rFonts w:hint="eastAsia" w:ascii="宋体" w:hAnsi="宋体" w:cs="宋体"/>
                <w:b/>
                <w:bCs/>
                <w:color w:val="000000"/>
                <w:sz w:val="22"/>
              </w:rPr>
              <w:t xml:space="preserve">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方案内容比较完整，售后服务响应机制较明确、售后服务体系较健全、服务内容较详尽、应急保障方案较可行的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4</w:t>
            </w:r>
            <w:r>
              <w:rPr>
                <w:rFonts w:hint="eastAsia" w:ascii="宋体" w:hAnsi="宋体" w:cs="宋体"/>
                <w:b/>
                <w:bCs/>
                <w:color w:val="000000"/>
                <w:sz w:val="22"/>
              </w:rPr>
              <w:t xml:space="preserve">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方案内容简单，售后服务响应机制模糊、服务内容粗略、应急保障方案可行性一般的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2</w:t>
            </w:r>
            <w:r>
              <w:rPr>
                <w:rFonts w:hint="eastAsia" w:ascii="宋体" w:hAnsi="宋体" w:cs="宋体"/>
                <w:b/>
                <w:bCs/>
                <w:color w:val="000000"/>
                <w:sz w:val="22"/>
              </w:rPr>
              <w:t xml:space="preserve">分</w:t>
            </w:r>
            <w:r>
              <w:rPr>
                <w:rFonts w:hint="eastAsia" w:ascii="宋体" w:hAnsi="宋体" w:cs="宋体"/>
                <w:color w:val="000000"/>
                <w:sz w:val="22"/>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lang w:val="en-US" w:eastAsia="zh-CN"/>
              </w:rPr>
            </w:pPr>
            <w:r>
              <w:rPr>
                <w:rFonts w:hint="eastAsia" w:ascii="宋体" w:hAnsi="宋体" w:cs="宋体"/>
                <w:b/>
                <w:bCs/>
                <w:color w:val="000000"/>
                <w:sz w:val="22"/>
              </w:rPr>
              <w:t xml:space="preserve">该项未见阐述不得分。</w:t>
            </w:r>
            <w:r/>
          </w:p>
        </w:tc>
      </w:tr>
    </w:tbl>
    <w:p>
      <w:pPr>
        <w:spacing w:line="360" w:lineRule="auto"/>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1.本项目评标标准中的技术分</w:t>
      </w:r>
      <w:r>
        <w:rPr>
          <w:rFonts w:hint="eastAsia" w:ascii="宋体" w:hAnsi="宋体" w:cs="Calibri"/>
          <w:b/>
          <w:color w:val="000000"/>
          <w:sz w:val="24"/>
          <w:szCs w:val="24"/>
          <w:highlight w:val="none"/>
          <w:lang w:val="en-US" w:eastAsia="zh-CN"/>
        </w:rPr>
        <w:t xml:space="preserve">中实施方案、供货方案、培训方案、售后服务方案</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lang w:val="en-US" w:eastAsia="zh-CN"/>
        </w:rPr>
        <w:t xml:space="preserve">共24</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2.编制要求：</w:t>
      </w:r>
      <w:r/>
    </w:p>
    <w:p>
      <w:pPr>
        <w:ind w:firstLine="480"/>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2.1方案内容、文字、各类型图表、框图均不得出现供应商名称、相关人员姓名和其他可识别供应商身份的字符、徽标、人员名称、</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jc w:val="left"/>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color w:val="000000"/>
          <w:sz w:val="24"/>
          <w:szCs w:val="24"/>
          <w:highlight w:val="none"/>
        </w:rPr>
      </w:pPr>
      <w:r>
        <w:rPr>
          <w:rFonts w:hint="eastAsia" w:ascii="宋体" w:hAnsi="宋体" w:cs="Calibri"/>
          <w:b/>
          <w:color w:val="000000"/>
          <w:sz w:val="24"/>
          <w:szCs w:val="24"/>
          <w:highlight w:val="none"/>
        </w:rPr>
        <w:t xml:space="preserve">2.3供应商需按照上述要求编制方案，未按要求编制的本项不得分。</w:t>
      </w:r>
      <w:r/>
    </w:p>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7</w:t>
      </w:r>
      <w:r>
        <w:rPr>
          <w:rFonts w:hint="eastAsia"/>
          <w:sz w:val="24"/>
          <w:szCs w:val="24"/>
        </w:rPr>
        <w:t xml:space="preserve">分）</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8"/>
        <w:gridCol w:w="6567"/>
      </w:tblGrid>
      <w:tr>
        <w:trPr>
          <w:jc w:val="center"/>
          <w:trHeight w:val="621"/>
        </w:trPr>
        <w:tc>
          <w:tcPr>
            <w:tcW w:w="193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56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938" w:type="dxa"/>
            <w:vAlign w:val="center"/>
            <w:textDirection w:val="lrTb"/>
            <w:noWrap w:val="false"/>
          </w:tcPr>
          <w:p>
            <w:pPr>
              <w:jc w:val="center"/>
              <w:spacing w:line="400" w:lineRule="exact"/>
              <w:rPr>
                <w:rFonts w:ascii="Times New Roman" w:hAnsi="Times New Roman" w:eastAsia="宋体" w:cs="宋体"/>
                <w:color w:val="000000"/>
                <w:sz w:val="22"/>
                <w:lang w:val="en-US" w:eastAsia="zh-CN"/>
              </w:rPr>
            </w:pPr>
            <w:r>
              <w:rPr>
                <w:rFonts w:hint="eastAsia" w:ascii="Times New Roman" w:hAnsi="Times New Roman" w:eastAsia="宋体" w:cs="宋体"/>
                <w:color w:val="000000"/>
                <w:sz w:val="22"/>
                <w:lang w:val="en-US" w:eastAsia="zh-CN"/>
              </w:rPr>
              <w:t xml:space="preserve">项目实施保障</w:t>
            </w:r>
            <w:r/>
          </w:p>
          <w:p>
            <w:pPr>
              <w:jc w:val="center"/>
              <w:spacing w:line="400" w:lineRule="exact"/>
              <w:rPr>
                <w:rFonts w:hint="eastAsia" w:ascii="Times New Roman" w:hAnsi="Times New Roman" w:eastAsia="宋体" w:cs="宋体"/>
                <w:color w:val="000000"/>
                <w:sz w:val="22"/>
              </w:rPr>
            </w:pPr>
            <w:r>
              <w:rPr>
                <w:rFonts w:hint="eastAsia" w:ascii="Times New Roman" w:hAnsi="Times New Roman" w:eastAsia="宋体" w:cs="宋体"/>
                <w:color w:val="000000"/>
                <w:sz w:val="22"/>
              </w:rPr>
              <w:t xml:space="preserve">（</w:t>
            </w:r>
            <w:r>
              <w:rPr>
                <w:rFonts w:hint="eastAsia" w:ascii="Times New Roman" w:hAnsi="Times New Roman" w:eastAsia="宋体" w:cs="宋体"/>
                <w:color w:val="000000"/>
                <w:sz w:val="22"/>
                <w:lang w:val="en-US" w:eastAsia="zh-CN"/>
              </w:rPr>
              <w:t xml:space="preserve">2</w:t>
            </w:r>
            <w:r>
              <w:rPr>
                <w:rFonts w:hint="eastAsia" w:ascii="Times New Roman" w:hAnsi="Times New Roman" w:eastAsia="宋体" w:cs="宋体"/>
                <w:color w:val="000000"/>
                <w:sz w:val="22"/>
              </w:rPr>
              <w:t xml:space="preserve">分）</w:t>
            </w:r>
            <w:r/>
          </w:p>
        </w:tc>
        <w:tc>
          <w:tcPr>
            <w:tcW w:w="6567" w:type="dxa"/>
            <w:vAlign w:val="center"/>
            <w:textDirection w:val="lrTb"/>
            <w:noWrap w:val="false"/>
          </w:tcPr>
          <w:p>
            <w:pPr>
              <w:jc w:val="left"/>
              <w:spacing w:line="400" w:lineRule="exact"/>
              <w:rPr>
                <w:rFonts w:hint="eastAsia" w:ascii="Times New Roman" w:hAnsi="Times New Roman" w:eastAsia="宋体" w:cs="宋体"/>
                <w:color w:val="000000"/>
                <w:sz w:val="22"/>
                <w:lang w:val="en-US" w:eastAsia="zh-CN"/>
              </w:rPr>
            </w:pPr>
            <w:r>
              <w:rPr>
                <w:rFonts w:hint="eastAsia" w:ascii="Times New Roman" w:hAnsi="Times New Roman" w:eastAsia="宋体" w:cs="宋体"/>
                <w:color w:val="000000"/>
                <w:sz w:val="22"/>
                <w:lang w:val="en-US" w:eastAsia="zh-CN"/>
              </w:rPr>
              <w:t xml:space="preserve">投标人具有质量管理体系认证证书的得2分。</w:t>
            </w:r>
            <w:r/>
          </w:p>
          <w:p>
            <w:pPr>
              <w:jc w:val="left"/>
              <w:spacing w:line="400" w:lineRule="exact"/>
              <w:rPr>
                <w:rFonts w:hint="eastAsia" w:ascii="Times New Roman" w:hAnsi="Times New Roman" w:eastAsia="宋体" w:cs="宋体"/>
                <w:color w:val="000000"/>
                <w:sz w:val="22"/>
                <w:lang w:val="en-US" w:eastAsia="zh-CN"/>
              </w:rPr>
            </w:pPr>
            <w:r>
              <w:rPr>
                <w:rFonts w:hint="eastAsia" w:ascii="宋体" w:hAnsi="宋体" w:eastAsia="宋体" w:cs="宋体"/>
                <w:b/>
                <w:bCs/>
                <w:color w:val="000000"/>
                <w:sz w:val="22"/>
                <w:szCs w:val="22"/>
                <w:lang w:val="en-US" w:eastAsia="zh-CN"/>
              </w:rPr>
              <w:t xml:space="preserve">注：投标文件中提供有效期内证书电子件或扫描件或复印件并加盖投标人公章，否则不得分</w:t>
            </w:r>
            <w:r>
              <w:rPr>
                <w:rFonts w:hint="eastAsia" w:ascii="宋体" w:hAnsi="宋体" w:eastAsia="宋体" w:cs="宋体"/>
                <w:b/>
                <w:bCs/>
                <w:color w:val="000000"/>
                <w:sz w:val="22"/>
                <w:szCs w:val="22"/>
              </w:rPr>
              <w:t xml:space="preserve">。</w:t>
            </w:r>
            <w:r/>
          </w:p>
        </w:tc>
      </w:tr>
      <w:tr>
        <w:trPr>
          <w:jc w:val="center"/>
          <w:trHeight w:val="621"/>
        </w:trPr>
        <w:tc>
          <w:tcPr>
            <w:tcW w:w="1938" w:type="dxa"/>
            <w:vAlign w:val="center"/>
            <w:textDirection w:val="lrTb"/>
            <w:noWrap w:val="false"/>
          </w:tcPr>
          <w:p>
            <w:pPr>
              <w:jc w:val="center"/>
              <w:spacing w:line="400" w:lineRule="exact"/>
              <w:rPr>
                <w:rFonts w:hint="eastAsia" w:ascii="Times New Roman" w:hAnsi="Times New Roman" w:eastAsia="宋体" w:cs="宋体"/>
                <w:color w:val="000000"/>
                <w:sz w:val="22"/>
                <w:lang w:val="en-US" w:eastAsia="zh-CN"/>
              </w:rPr>
            </w:pPr>
            <w:r/>
            <w:bookmarkStart w:id="26" w:name="_GoBack"/>
            <w:r>
              <w:rPr>
                <w:rFonts w:hint="eastAsia" w:ascii="Times New Roman" w:hAnsi="Times New Roman" w:eastAsia="宋体" w:cs="宋体"/>
                <w:color w:val="000000"/>
                <w:sz w:val="22"/>
                <w:lang w:val="en-US" w:eastAsia="zh-CN"/>
              </w:rPr>
              <w:t xml:space="preserve">业绩</w:t>
            </w:r>
            <w:r/>
          </w:p>
          <w:p>
            <w:pPr>
              <w:jc w:val="center"/>
              <w:spacing w:line="400" w:lineRule="exact"/>
              <w:rPr>
                <w:rFonts w:hint="eastAsia" w:ascii="Times New Roman" w:hAnsi="Times New Roman" w:eastAsia="宋体" w:cs="宋体"/>
                <w:color w:val="000000"/>
                <w:sz w:val="22"/>
                <w:lang w:val="en-US" w:eastAsia="zh-CN"/>
              </w:rPr>
            </w:pPr>
            <w:r>
              <w:rPr>
                <w:rFonts w:hint="eastAsia" w:ascii="Times New Roman" w:hAnsi="Times New Roman" w:eastAsia="宋体" w:cs="宋体"/>
                <w:color w:val="000000"/>
                <w:sz w:val="22"/>
                <w:lang w:val="en-US" w:eastAsia="zh-CN"/>
              </w:rPr>
              <w:t xml:space="preserve">（5分）</w:t>
            </w:r>
            <w:r/>
          </w:p>
        </w:tc>
        <w:tc>
          <w:tcPr>
            <w:tcW w:w="6567" w:type="dxa"/>
            <w:vAlign w:val="center"/>
            <w:textDirection w:val="lrTb"/>
            <w:noWrap w:val="false"/>
          </w:tcPr>
          <w:p>
            <w:pPr>
              <w:jc w:val="left"/>
              <w:spacing w:line="276" w:lineRule="auto"/>
              <w:rPr>
                <w:rFonts w:hint="eastAsia" w:ascii="宋体" w:hAnsi="宋体" w:eastAsia="宋体" w:cs="宋体"/>
                <w:b w:val="0"/>
                <w:bCs w:val="0"/>
                <w:color w:val="000000"/>
                <w:sz w:val="22"/>
                <w:szCs w:val="22"/>
                <w:highlight w:val="none"/>
              </w:rPr>
            </w:pPr>
            <w:r>
              <w:rPr>
                <w:rFonts w:hint="eastAsia"/>
                <w:sz w:val="22"/>
                <w:szCs w:val="22"/>
                <w:lang w:val="en-US" w:eastAsia="zh-CN"/>
              </w:rPr>
              <w:t xml:space="preserve">投标人自</w:t>
            </w:r>
            <w:r>
              <w:rPr>
                <w:rFonts w:hint="eastAsia"/>
                <w:sz w:val="22"/>
                <w:szCs w:val="22"/>
              </w:rPr>
              <w:t xml:space="preserve">2023年1月1日</w:t>
            </w:r>
            <w:r>
              <w:rPr>
                <w:rFonts w:hint="eastAsia"/>
                <w:sz w:val="22"/>
                <w:szCs w:val="22"/>
                <w:lang w:eastAsia="zh-CN"/>
              </w:rPr>
              <w:t xml:space="preserve">（</w:t>
            </w:r>
            <w:r>
              <w:rPr>
                <w:rFonts w:hint="eastAsia"/>
                <w:sz w:val="22"/>
                <w:szCs w:val="22"/>
                <w:lang w:val="en-US" w:eastAsia="zh-CN"/>
              </w:rPr>
              <w:t xml:space="preserve">含）</w:t>
            </w:r>
            <w:r>
              <w:rPr>
                <w:rFonts w:hint="eastAsia"/>
                <w:sz w:val="22"/>
                <w:szCs w:val="22"/>
              </w:rPr>
              <w:t xml:space="preserve">以来（以合同签订时间为准），</w:t>
            </w:r>
            <w:r>
              <w:rPr>
                <w:rFonts w:hint="eastAsia" w:ascii="宋体" w:hAnsi="宋体" w:eastAsia="宋体" w:cs="宋体"/>
                <w:b w:val="0"/>
                <w:bCs w:val="0"/>
                <w:color w:val="000000"/>
                <w:sz w:val="22"/>
                <w:szCs w:val="22"/>
                <w:highlight w:val="none"/>
              </w:rPr>
              <w:t xml:space="preserve">承担过类似项目业绩</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视频会议设备或会议室音视频设备</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的，每提供一个得</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rPr>
              <w:t xml:space="preserve">分，本项最高得</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rPr>
              <w:t xml:space="preserve">分。</w:t>
            </w:r>
            <w:r/>
          </w:p>
          <w:p>
            <w:pPr>
              <w:jc w:val="left"/>
              <w:spacing w:line="276" w:lineRule="auto"/>
              <w:rPr>
                <w:sz w:val="22"/>
                <w:szCs w:val="22"/>
              </w:rPr>
            </w:pPr>
            <w:r>
              <w:rPr>
                <w:rFonts w:hint="eastAsia" w:ascii="宋体" w:hAnsi="宋体" w:eastAsia="宋体" w:cs="宋体"/>
                <w:b/>
                <w:bCs/>
                <w:color w:val="000000"/>
                <w:sz w:val="22"/>
                <w:szCs w:val="22"/>
                <w:highlight w:val="none"/>
              </w:rPr>
              <w:t xml:space="preserve">注：投标文件中提供合同电子件或扫描件或复印件并加盖投标人公章，否则不得分；时间、内容以合同为准；合同须体现采购标的、时间，未提供或提供不满足要求的不得分；合同中货物名称与本项目不一致的，由评标委员会统一认定。</w:t>
            </w:r>
            <w:bookmarkEnd w:id="26"/>
            <w:r/>
            <w:r/>
          </w:p>
        </w:tc>
      </w:tr>
    </w:tbl>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47"/>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lang w:val="en-US" w:eastAsia="zh-CN"/>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lang w:val="en-US" w:eastAsia="zh-CN"/>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883"/>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77"/>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hint="eastAsia" w:ascii="Times New Roman" w:hAnsi="Times New Roman"/>
                <w:b/>
                <w:color w:val="000000"/>
                <w:szCs w:val="24"/>
                <w:highlight w:val="none"/>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67"/>
        </w:trPr>
        <w:tc>
          <w:tcPr>
            <w:gridSpan w:val="13"/>
            <w:tcW w:w="9299" w:type="dxa"/>
            <w:vAlign w:val="center"/>
            <w:textDirection w:val="lrTb"/>
            <w:noWrap/>
          </w:tcPr>
          <w:p>
            <w:pPr>
              <w:spacing w:line="360" w:lineRule="auto"/>
              <w:widowControl/>
              <w:rPr>
                <w:rFonts w:hint="eastAsia" w:ascii="宋体" w:hAnsi="宋体"/>
                <w:b/>
                <w:bCs/>
                <w:sz w:val="24"/>
                <w:szCs w:val="32"/>
                <w:highlight w:val="none"/>
              </w:rPr>
            </w:pPr>
            <w:r>
              <w:rPr>
                <w:rFonts w:hint="eastAsia" w:ascii="宋体" w:hAnsi="宋体"/>
                <w:b/>
                <w:bCs/>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p>
    <w:p>
      <w:pPr>
        <w:ind w:firstLine="482"/>
        <w:spacing w:line="500" w:lineRule="exact"/>
        <w:rPr>
          <w:rFonts w:ascii="Times New Roman" w:hAnsi="宋体"/>
          <w:b/>
          <w:bCs/>
          <w:color w:val="000000"/>
          <w:sz w:val="24"/>
          <w:szCs w:val="32"/>
          <w:highlight w:val="none"/>
        </w:rPr>
      </w:pPr>
      <w:r>
        <w:rPr>
          <w:rFonts w:hint="eastAsia" w:ascii="Times New Roman" w:hAnsi="宋体"/>
          <w:b/>
          <w:bCs/>
          <w:color w:val="000000"/>
          <w:sz w:val="24"/>
          <w:szCs w:val="32"/>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pPr>
        <w:jc w:val="left"/>
        <w:keepLines/>
        <w:keepNext/>
        <w:spacing w:before="360" w:after="200" w:line="360" w:lineRule="auto"/>
        <w:rPr>
          <w:rFonts w:hint="eastAsia" w:ascii="Arial" w:hAnsi="Arial" w:cs="Arial"/>
          <w:b/>
          <w:bCs/>
          <w:i/>
          <w:iCs/>
          <w:sz w:val="36"/>
          <w:highlight w:val="none"/>
          <w:u w:val="single"/>
        </w:rPr>
        <w:outlineLvl w:val="1"/>
      </w:pPr>
      <w:r>
        <w:rPr>
          <w:rFonts w:hint="eastAsia" w:ascii="Arial" w:hAnsi="Arial" w:cs="Arial"/>
          <w:b/>
          <w:bCs/>
          <w:i/>
          <w:iCs/>
          <w:sz w:val="36"/>
          <w:highlight w:val="none"/>
          <w:u w:val="single"/>
        </w:rPr>
        <w:t xml:space="preserve">十</w:t>
      </w:r>
      <w:r>
        <w:rPr>
          <w:rFonts w:hint="eastAsia" w:ascii="Arial" w:hAnsi="Arial" w:cs="Arial"/>
          <w:b/>
          <w:bCs/>
          <w:i/>
          <w:iCs/>
          <w:sz w:val="36"/>
          <w:highlight w:val="none"/>
          <w:u w:val="single"/>
          <w:lang w:val="en-US" w:eastAsia="zh-CN"/>
        </w:rPr>
        <w:t xml:space="preserve">四</w:t>
      </w:r>
      <w:r>
        <w:rPr>
          <w:rFonts w:hint="eastAsia" w:ascii="Arial" w:hAnsi="Arial" w:cs="Arial"/>
          <w:b/>
          <w:bCs/>
          <w:i/>
          <w:iCs/>
          <w:sz w:val="36"/>
          <w:highlight w:val="none"/>
          <w:u w:val="single"/>
        </w:rPr>
        <w:t xml:space="preserve">、关于符合本国产品标准的声明函（分包号：**）</w:t>
      </w:r>
      <w:r/>
    </w:p>
    <w:p>
      <w:pPr>
        <w:pStyle w:val="876"/>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76"/>
        <w:ind w:firstLine="420"/>
        <w:spacing w:before="0" w:beforeAutospacing="0" w:after="0" w:afterAutospacing="0" w:line="360" w:lineRule="auto"/>
        <w:rPr>
          <w:rFonts w:hint="eastAsia" w:ascii="宋体" w:hAnsi="宋体" w:cs="宋体"/>
          <w:szCs w:val="24"/>
          <w:highlight w:val="none"/>
        </w:rPr>
      </w:pPr>
      <w:r>
        <w:rPr>
          <w:rFonts w:hint="eastAsia" w:ascii="宋体" w:hAnsi="宋体" w:cs="宋体"/>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6"/>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638175</wp:posOffset>
                </wp:positionV>
                <wp:extent cx="565785" cy="13081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text;margin-left:-0.7pt;mso-position-horizontal:absolute;mso-position-vertical-relative:text;margin-top:5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1921510</wp:posOffset>
                </wp:positionH>
                <wp:positionV relativeFrom="paragraph">
                  <wp:posOffset>720090</wp:posOffset>
                </wp:positionV>
                <wp:extent cx="876300" cy="12001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151.3pt;mso-position-horizontal:absolute;mso-position-vertical-relative:text;margin-top:56.7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shd w:val="clear" w:color="auto" w:fill="ffffff"/>
        </w:rPr>
        <w:t xml:space="preserve">1.</w:t>
      </w:r>
      <w:r>
        <w:rPr>
          <w:rStyle w:val="880"/>
          <w:rFonts w:hint="eastAsia" w:ascii="宋体" w:hAnsi="宋体" w:cs="宋体"/>
          <w:i w:val="0"/>
          <w:szCs w:val="24"/>
          <w:highlight w:val="none"/>
          <w:u w:val="single"/>
          <w:shd w:val="clear" w:color="auto" w:fill="ffffff"/>
        </w:rPr>
        <w:t xml:space="preserve">（产品名称1）</w:t>
      </w:r>
      <w:r>
        <w:rPr>
          <w:rStyle w:val="880"/>
          <w:rFonts w:hint="eastAsia" w:ascii="宋体" w:hAnsi="宋体" w:cs="宋体"/>
          <w:i w:val="0"/>
          <w:szCs w:val="24"/>
          <w:highlight w:val="none"/>
          <w:shd w:val="clear" w:color="auto" w:fill="ffffff"/>
          <w:vertAlign w:val="superscript"/>
        </w:rPr>
        <w:t xml:space="preserve">1</w:t>
      </w:r>
      <w:r>
        <w:rPr>
          <w:rFonts w:hint="eastAsia" w:ascii="宋体" w:hAnsi="宋体" w:cs="宋体"/>
          <w:szCs w:val="24"/>
          <w:highlight w:val="none"/>
          <w:shd w:val="clear" w:color="auto" w:fill="ffffff"/>
        </w:rPr>
        <w:t xml:space="preserve">，生产厂为</w:t>
      </w:r>
      <w:r>
        <w:rPr>
          <w:rStyle w:val="880"/>
          <w:rFonts w:hint="eastAsia" w:ascii="宋体" w:hAnsi="宋体" w:cs="宋体"/>
          <w:i w:val="0"/>
          <w:szCs w:val="24"/>
          <w:highlight w:val="none"/>
          <w:u w:val="single"/>
          <w:shd w:val="clear" w:color="auto" w:fill="ffffff"/>
        </w:rPr>
        <w:t xml:space="preserve">（厂名）</w:t>
      </w:r>
      <w:r>
        <w:rPr>
          <w:rStyle w:val="880"/>
          <w:rFonts w:hint="eastAsia" w:ascii="宋体" w:hAnsi="宋体" w:cs="宋体"/>
          <w:i w:val="0"/>
          <w:szCs w:val="24"/>
          <w:highlight w:val="none"/>
          <w:shd w:val="clear" w:color="auto" w:fill="ffffff"/>
          <w:vertAlign w:val="superscript"/>
        </w:rPr>
        <w:t xml:space="preserve">2</w:t>
      </w:r>
      <w:r>
        <w:rPr>
          <w:rFonts w:hint="eastAsia" w:ascii="宋体" w:hAnsi="宋体" w:cs="宋体"/>
          <w:szCs w:val="24"/>
          <w:highlight w:val="none"/>
          <w:shd w:val="clear" w:color="auto" w:fill="ffffff"/>
        </w:rPr>
        <w:t xml:space="preserve">，厂址为</w:t>
      </w:r>
      <w:r>
        <w:rPr>
          <w:rStyle w:val="880"/>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Fonts w:hint="eastAsia" w:ascii="宋体" w:hAnsi="宋体" w:cs="宋体"/>
          <w:szCs w:val="24"/>
          <w:highlight w:val="none"/>
          <w:u w:val="single"/>
          <w:shd w:val="clear" w:color="auto" w:fill="ffffff"/>
        </w:rPr>
        <w:t xml:space="preserve"> </w:t>
      </w:r>
      <w:r>
        <w:rPr>
          <w:rStyle w:val="880"/>
          <w:rFonts w:hint="eastAsia" w:ascii="宋体" w:hAnsi="宋体" w:cs="宋体"/>
          <w:i w:val="0"/>
          <w:szCs w:val="24"/>
          <w:highlight w:val="none"/>
          <w:u w:val="single"/>
          <w:shd w:val="clear" w:color="auto" w:fill="ffffff"/>
        </w:rPr>
        <w:t xml:space="preserve">（产品名称1） </w:t>
      </w:r>
      <w:r>
        <w:rPr>
          <w:rFonts w:hint="eastAsia" w:ascii="宋体" w:hAnsi="宋体" w:cs="宋体"/>
          <w:szCs w:val="24"/>
          <w:highlight w:val="none"/>
          <w:shd w:val="clear" w:color="auto" w:fill="ffffff"/>
        </w:rPr>
        <w:t xml:space="preserve">的中国境内生产的组件成本占比≥</w:t>
      </w:r>
      <w:r>
        <w:rPr>
          <w:rStyle w:val="880"/>
          <w:rFonts w:hint="eastAsia" w:ascii="宋体" w:hAnsi="宋体" w:cs="宋体"/>
          <w:i w:val="0"/>
          <w:szCs w:val="24"/>
          <w:highlight w:val="none"/>
          <w:u w:val="single"/>
          <w:shd w:val="clear" w:color="auto" w:fill="ffffff"/>
        </w:rPr>
        <w:t xml:space="preserve">（规定比例）</w:t>
      </w:r>
      <w:r>
        <w:rPr>
          <w:rStyle w:val="880"/>
          <w:rFonts w:hint="eastAsia" w:ascii="宋体" w:hAnsi="宋体" w:cs="宋体"/>
          <w:i w:val="0"/>
          <w:szCs w:val="24"/>
          <w:highlight w:val="none"/>
          <w:shd w:val="clear" w:color="auto" w:fill="ffffff"/>
          <w:vertAlign w:val="superscript"/>
        </w:rPr>
        <w:t xml:space="preserve">3</w:t>
      </w:r>
      <w:r>
        <w:rPr>
          <w:rFonts w:hint="eastAsia" w:ascii="宋体" w:hAnsi="宋体" w:cs="宋体"/>
          <w:szCs w:val="24"/>
          <w:highlight w:val="none"/>
          <w:shd w:val="clear" w:color="auto" w:fill="ffffff"/>
        </w:rPr>
        <w:t xml:space="preserve">。</w:t>
      </w:r>
      <w:r>
        <w:rPr>
          <w:rStyle w:val="880"/>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80"/>
          <w:rFonts w:hint="eastAsia" w:ascii="宋体" w:hAnsi="宋体" w:cs="宋体"/>
          <w:i w:val="0"/>
          <w:szCs w:val="24"/>
          <w:highlight w:val="none"/>
          <w:u w:val="single"/>
          <w:shd w:val="clear" w:color="auto" w:fill="ffffff"/>
        </w:rPr>
        <w:t xml:space="preserve">（关键组件）</w:t>
      </w:r>
      <w:r>
        <w:rPr>
          <w:rStyle w:val="880"/>
          <w:rFonts w:hint="eastAsia" w:ascii="宋体" w:hAnsi="宋体" w:cs="宋体"/>
          <w:i w:val="0"/>
          <w:szCs w:val="24"/>
          <w:highlight w:val="none"/>
          <w:shd w:val="clear" w:color="auto" w:fill="ffffff"/>
          <w:vertAlign w:val="superscript"/>
        </w:rPr>
        <w:t xml:space="preserve">4</w:t>
      </w:r>
      <w:r>
        <w:rPr>
          <w:rFonts w:hint="eastAsia" w:ascii="宋体" w:hAnsi="宋体" w:cs="宋体"/>
          <w:szCs w:val="24"/>
          <w:highlight w:val="none"/>
          <w:shd w:val="clear" w:color="auto" w:fill="ffffff"/>
        </w:rPr>
        <w:t xml:space="preserve">在中国境内生产。</w:t>
      </w:r>
      <w:r>
        <w:rPr>
          <w:rStyle w:val="880"/>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80"/>
          <w:rFonts w:hint="eastAsia" w:ascii="宋体" w:hAnsi="宋体" w:cs="宋体"/>
          <w:i w:val="0"/>
          <w:szCs w:val="24"/>
          <w:highlight w:val="none"/>
          <w:u w:val="single"/>
          <w:shd w:val="clear" w:color="auto" w:fill="ffffff"/>
        </w:rPr>
        <w:t xml:space="preserve">（关键工序）</w:t>
      </w:r>
      <w:r>
        <w:rPr>
          <w:rStyle w:val="880"/>
          <w:rFonts w:hint="eastAsia" w:ascii="宋体" w:hAnsi="宋体" w:cs="宋体"/>
          <w:i w:val="0"/>
          <w:szCs w:val="24"/>
          <w:highlight w:val="none"/>
          <w:shd w:val="clear" w:color="auto" w:fill="ffffff"/>
          <w:vertAlign w:val="superscript"/>
        </w:rPr>
        <w:t xml:space="preserve">5</w:t>
      </w:r>
      <w:r>
        <w:rPr>
          <w:rFonts w:hint="eastAsia" w:ascii="宋体" w:hAnsi="宋体" w:cs="宋体"/>
          <w:szCs w:val="24"/>
          <w:highlight w:val="none"/>
          <w:shd w:val="clear" w:color="auto" w:fill="ffffff"/>
        </w:rPr>
        <w:t xml:space="preserve">在中国境内完成。</w:t>
      </w:r>
      <w:r/>
    </w:p>
    <w:p>
      <w:pPr>
        <w:pStyle w:val="876"/>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4445</wp:posOffset>
                </wp:positionH>
                <wp:positionV relativeFrom="paragraph">
                  <wp:posOffset>686435</wp:posOffset>
                </wp:positionV>
                <wp:extent cx="424815" cy="11239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0.3pt;mso-position-horizontal:absolute;mso-position-vertical-relative:text;margin-top:54.0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shd w:val="clear" w:color="auto" w:fill="ffffff"/>
        </w:rPr>
        <w:t xml:space="preserve">2.</w:t>
      </w:r>
      <w:r>
        <w:rPr>
          <w:rStyle w:val="880"/>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，生产厂为</w:t>
      </w:r>
      <w:r>
        <w:rPr>
          <w:rStyle w:val="880"/>
          <w:rFonts w:hint="eastAsia" w:ascii="宋体" w:hAnsi="宋体" w:cs="宋体"/>
          <w:i w:val="0"/>
          <w:szCs w:val="24"/>
          <w:highlight w:val="none"/>
          <w:u w:val="single"/>
          <w:shd w:val="clear" w:color="auto" w:fill="ffffff"/>
        </w:rPr>
        <w:t xml:space="preserve">（厂名）</w:t>
      </w:r>
      <w:r>
        <w:rPr>
          <w:rFonts w:hint="eastAsia" w:ascii="宋体" w:hAnsi="宋体" w:cs="宋体"/>
          <w:szCs w:val="24"/>
          <w:highlight w:val="none"/>
          <w:shd w:val="clear" w:color="auto" w:fill="ffffff"/>
        </w:rPr>
        <w:t xml:space="preserve">，厂址为</w:t>
      </w:r>
      <w:r>
        <w:rPr>
          <w:rStyle w:val="880"/>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Style w:val="880"/>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的中国境内生产的组件成本占比≥</w:t>
      </w:r>
      <w:r>
        <w:rPr>
          <w:rStyle w:val="880"/>
          <w:rFonts w:hint="eastAsia" w:ascii="宋体" w:hAnsi="宋体" w:cs="宋体"/>
          <w:i w:val="0"/>
          <w:szCs w:val="24"/>
          <w:highlight w:val="none"/>
          <w:u w:val="single"/>
          <w:shd w:val="clear" w:color="auto" w:fill="ffffff"/>
        </w:rPr>
        <w:t xml:space="preserve">（规定比例）</w:t>
      </w:r>
      <w:r>
        <w:rPr>
          <w:rFonts w:hint="eastAsia" w:ascii="宋体" w:hAnsi="宋体" w:cs="宋体"/>
          <w:szCs w:val="24"/>
          <w:highlight w:val="none"/>
          <w:shd w:val="clear" w:color="auto" w:fill="ffffff"/>
        </w:rPr>
        <w:t xml:space="preserve">。</w:t>
      </w:r>
      <w:r>
        <w:rPr>
          <w:rStyle w:val="880"/>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w:t>
      </w:r>
      <w:r>
        <w:rPr>
          <w:rStyle w:val="880"/>
          <w:rFonts w:hint="eastAsia" w:ascii="宋体" w:hAnsi="宋体" w:cs="宋体"/>
          <w:i w:val="0"/>
          <w:szCs w:val="24"/>
          <w:highlight w:val="none"/>
          <w:u w:val="single"/>
          <w:shd w:val="clear" w:color="auto" w:fill="ffffff"/>
        </w:rPr>
        <w:t xml:space="preserve">（关键组件）</w:t>
      </w:r>
      <w:r>
        <w:rPr>
          <w:rFonts w:hint="eastAsia" w:ascii="宋体" w:hAnsi="宋体" w:cs="宋体"/>
          <w:szCs w:val="24"/>
          <w:highlight w:val="none"/>
          <w:shd w:val="clear" w:color="auto" w:fill="ffffff"/>
        </w:rPr>
        <w:t xml:space="preserve">在中国境内生产。</w:t>
      </w:r>
      <w:r>
        <w:rPr>
          <w:rStyle w:val="880"/>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80"/>
          <w:rFonts w:hint="eastAsia" w:ascii="宋体" w:hAnsi="宋体" w:cs="宋体"/>
          <w:i w:val="0"/>
          <w:szCs w:val="24"/>
          <w:highlight w:val="none"/>
          <w:u w:val="single"/>
          <w:shd w:val="clear" w:color="auto" w:fill="ffffff"/>
        </w:rPr>
        <w:t xml:space="preserve">（关键工序）</w:t>
      </w:r>
      <w:r>
        <w:rPr>
          <w:rFonts w:hint="eastAsia" w:ascii="宋体" w:hAnsi="宋体" w:cs="宋体"/>
          <w:szCs w:val="24"/>
          <w:highlight w:val="none"/>
          <w:shd w:val="clear" w:color="auto" w:fill="ffffff"/>
        </w:rPr>
        <w:t xml:space="preserve">在中国境内完成。</w:t>
      </w:r>
      <w:r/>
    </w:p>
    <w:p>
      <w:pPr>
        <w:pStyle w:val="876"/>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w:t>
      </w:r>
      <w:r/>
    </w:p>
    <w:p>
      <w:pPr>
        <w:pStyle w:val="876"/>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本公司（单位）对上述声明内容的真实性负责。如有虚假，愿承担相应法律责任。</w:t>
      </w:r>
      <w:r/>
    </w:p>
    <w:p>
      <w:pPr>
        <w:pStyle w:val="876"/>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r>
      <w:r/>
    </w:p>
    <w:p>
      <w:pPr>
        <w:pStyle w:val="876"/>
        <w:ind w:right="480" w:firstLine="37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公司（单位）名称（盖章）：　        </w:t>
      </w:r>
      <w:r/>
    </w:p>
    <w:p>
      <w:pPr>
        <w:pStyle w:val="876"/>
        <w:jc w:val="center"/>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                                日期：　   年　  月　  日         </w:t>
      </w:r>
      <w:r/>
    </w:p>
    <w:p>
      <w:pPr>
        <w:pStyle w:val="876"/>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__________________</w:t>
      </w:r>
      <w:r/>
    </w:p>
    <w:p>
      <w:pPr>
        <w:pStyle w:val="876"/>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1.产品如有型号，请在“产品名称”栏一并填写。</w:t>
      </w:r>
      <w:r/>
    </w:p>
    <w:p>
      <w:pPr>
        <w:pStyle w:val="876"/>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2.生产厂名与厂址应与生产厂营业执照载明的相关信息保持一致。</w:t>
      </w:r>
      <w:r/>
    </w:p>
    <w:p>
      <w:pPr>
        <w:pStyle w:val="876"/>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3.该产品的中国境内生产的组件成本占比相关要求实施前，“规定比例”栏可不填，下同。</w:t>
      </w:r>
      <w:r/>
    </w:p>
    <w:p>
      <w:pPr>
        <w:pStyle w:val="876"/>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4.该产品的关键组件要求实施前，“关键组件”栏可不填，下同。</w:t>
      </w:r>
      <w:r/>
    </w:p>
    <w:p>
      <w:pPr>
        <w:pStyle w:val="876"/>
        <w:spacing w:before="30" w:beforeAutospacing="0" w:after="30" w:afterAutospacing="0" w:line="360" w:lineRule="auto"/>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6.用斜线划除的地方无需填写。</w:t>
      </w:r>
      <w:r/>
    </w:p>
    <w:p>
      <w:pPr>
        <w:pStyle w:val="876"/>
        <w:spacing w:before="30" w:beforeAutospacing="0" w:after="3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7.请供应商如实填写，如填写有误，将承担一切不利后果。</w:t>
      </w:r>
      <w:r/>
    </w:p>
    <w:p>
      <w:pPr>
        <w:pStyle w:val="876"/>
        <w:spacing w:before="30" w:beforeAutospacing="0" w:after="3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8.供应商提供虚假《声明函》、虚假证明文件谋取中标的，依照《中华人民共和国政府采购法》等法律法规规定追究相应责任。</w:t>
      </w:r>
      <w:r/>
    </w:p>
    <w:p>
      <w:pPr>
        <w:pStyle w:val="876"/>
        <w:spacing w:before="30" w:beforeAutospacing="0" w:after="3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9.中标人的《声明函》或有关证明文件随中标结果公开，接受社会监督。</w:t>
      </w:r>
      <w:r/>
    </w:p>
    <w:p>
      <w:pPr>
        <w:rPr>
          <w:rFonts w:hint="eastAsia" w:ascii="宋体" w:hAnsi="宋体" w:cs="宋体"/>
          <w:sz w:val="24"/>
          <w:szCs w:val="24"/>
          <w:highlight w:val="none"/>
        </w:rPr>
      </w:pPr>
      <w:r>
        <w:rPr>
          <w:rFonts w:hint="eastAsia" w:ascii="宋体" w:hAnsi="宋体" w:cs="宋体"/>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w:t>
      </w:r>
      <w:r>
        <w:rPr>
          <w:rFonts w:hint="eastAsia" w:ascii="Arial" w:hAnsi="Arial" w:cs="Arial"/>
          <w:i/>
          <w:iCs/>
          <w:sz w:val="36"/>
          <w:highlight w:val="none"/>
          <w:u w:val="single"/>
          <w:lang w:val="en-US" w:eastAsia="zh-CN"/>
        </w:rPr>
        <w:t xml:space="preserve">五</w:t>
      </w:r>
      <w:r>
        <w:rPr>
          <w:rFonts w:hint="eastAsia" w:ascii="Arial" w:hAnsi="Arial" w:cs="Arial"/>
          <w:i/>
          <w:iCs/>
          <w:sz w:val="36"/>
          <w:highlight w:val="none"/>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4" w:name="_Hlt26580838"/>
            <w:r/>
            <w:bookmarkEnd w:id="14"/>
            <w:r/>
            <w:bookmarkStart w:id="15" w:name="_Hlt26671372"/>
            <w:r/>
            <w:bookmarkEnd w:id="15"/>
            <w:r/>
            <w:bookmarkStart w:id="16" w:name="_Hlt26955064"/>
            <w:r/>
            <w:bookmarkEnd w:id="16"/>
            <w:r/>
            <w:bookmarkStart w:id="17" w:name="_Hlt26782999"/>
            <w:r/>
            <w:bookmarkEnd w:id="17"/>
            <w:r/>
            <w:bookmarkStart w:id="18" w:name="_Hlt24879081"/>
            <w:r/>
            <w:bookmarkEnd w:id="18"/>
            <w:r/>
            <w:bookmarkStart w:id="19" w:name="_Hlt26955056"/>
            <w:r/>
            <w:bookmarkEnd w:id="19"/>
            <w:r/>
            <w:bookmarkStart w:id="20" w:name="_Hlt26671343"/>
            <w:r/>
            <w:bookmarkEnd w:id="20"/>
            <w:r/>
            <w:bookmarkStart w:id="21" w:name="_Hlt26609391"/>
            <w:r/>
            <w:bookmarkEnd w:id="21"/>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2" w:name="_Hlt26671374"/>
      <w:r/>
      <w:bookmarkEnd w:id="22"/>
      <w:r/>
      <w:bookmarkStart w:id="23" w:name="_Hlt26609389"/>
      <w:r/>
      <w:bookmarkEnd w:id="23"/>
      <w:r/>
      <w:bookmarkStart w:id="24" w:name="_Hlt26955066"/>
      <w:r/>
      <w:bookmarkEnd w:id="24"/>
      <w:r/>
      <w:bookmarkStart w:id="25" w:name="_格式2__法定代表人授权书"/>
      <w:r/>
      <w:bookmarkEnd w:id="25"/>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p>
    <w:tbl>
      <w:tblPr>
        <w:tblStyle w:val="67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元</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p>
        </w:tc>
        <w:tc>
          <w:tcPr>
            <w:tcW w:w="5703"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spacing w:line="500" w:lineRule="exact"/>
        <w:rPr>
          <w:rFonts w:ascii="宋体" w:hAnsi="宋体"/>
          <w:color w:val="000000"/>
          <w:sz w:val="24"/>
          <w:szCs w:val="24"/>
        </w:rPr>
      </w:pPr>
      <w:r>
        <w:rPr>
          <w:rFonts w:ascii="宋体" w:hAnsi="宋体"/>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MS Mincho">
    <w:panose1 w:val="02020603050405090304"/>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pPr>
      <w:rPr>
        <w:rFonts w:ascii="Times New Roman" w:hAnsi="Times New Roman" w:cs="Times New Roman"/>
      </w:rPr>
    </w:lvl>
    <w:lvl w:ilvl="1">
      <w:start w:val="1"/>
      <w:numFmt w:val="decimal"/>
      <w:isLgl w:val="false"/>
      <w:suff w:val="tab"/>
      <w:lvlText w:val="%1.%2."/>
      <w:lvlJc w:val="left"/>
      <w:pPr>
        <w:ind w:left="575" w:hanging="575"/>
      </w:pPr>
      <w:rPr>
        <w:rFonts w:ascii="Times New Roman" w:hAnsi="Times New Roman" w:cs="Times New Roman"/>
      </w:rPr>
    </w:lvl>
    <w:lvl w:ilvl="2">
      <w:start w:val="1"/>
      <w:numFmt w:val="decimal"/>
      <w:isLgl w:val="false"/>
      <w:suff w:val="tab"/>
      <w:lvlText w:val="%1.%2.%3."/>
      <w:lvlJc w:val="left"/>
      <w:pPr>
        <w:ind w:left="720" w:hanging="720"/>
      </w:pPr>
      <w:rPr>
        <w:rFonts w:ascii="Times New Roman" w:hAnsi="Times New Roman" w:cs="Times New Roman"/>
      </w:rPr>
    </w:lvl>
    <w:lvl w:ilvl="3">
      <w:start w:val="1"/>
      <w:numFmt w:val="decimal"/>
      <w:pStyle w:val="850"/>
      <w:isLgl w:val="false"/>
      <w:suff w:val="tab"/>
      <w:lvlText w:val="%1.%2.%3.%4."/>
      <w:lvlJc w:val="left"/>
      <w:pPr>
        <w:ind w:left="864" w:hanging="864"/>
      </w:pPr>
      <w:rPr>
        <w:rFonts w:ascii="Times New Roman" w:hAnsi="Times New Roman" w:cs="Times New Roman"/>
      </w:rPr>
    </w:lvl>
    <w:lvl w:ilvl="4">
      <w:start w:val="1"/>
      <w:numFmt w:val="decimal"/>
      <w:isLgl w:val="false"/>
      <w:suff w:val="tab"/>
      <w:lvlText w:val="%1.%2.%3.%4.%5."/>
      <w:lvlJc w:val="left"/>
      <w:pPr>
        <w:ind w:left="1008" w:hanging="1008"/>
      </w:pPr>
      <w:rPr>
        <w:rFonts w:ascii="Times New Roman" w:hAnsi="Times New Roman" w:cs="Times New Roman"/>
      </w:rPr>
    </w:lvl>
    <w:lvl w:ilvl="5">
      <w:start w:val="1"/>
      <w:numFmt w:val="decimal"/>
      <w:isLgl w:val="false"/>
      <w:suff w:val="tab"/>
      <w:lvlText w:val="%1.%2.%3.%4.%5.%6."/>
      <w:lvlJc w:val="left"/>
      <w:pPr>
        <w:ind w:left="1151" w:hanging="1151"/>
      </w:pPr>
      <w:rPr>
        <w:rFonts w:ascii="Times New Roman" w:hAnsi="Times New Roman" w:cs="Times New Roman"/>
      </w:rPr>
    </w:lvl>
    <w:lvl w:ilvl="6">
      <w:start w:val="1"/>
      <w:numFmt w:val="decimal"/>
      <w:isLgl w:val="false"/>
      <w:suff w:val="tab"/>
      <w:lvlText w:val="%1.%2.%3.%4.%5.%6.%7."/>
      <w:lvlJc w:val="left"/>
      <w:pPr>
        <w:ind w:left="1296" w:hanging="1296"/>
      </w:pPr>
      <w:rPr>
        <w:rFonts w:ascii="Times New Roman" w:hAnsi="Times New Roman" w:cs="Times New Roman"/>
      </w:rPr>
    </w:lvl>
    <w:lvl w:ilvl="7">
      <w:start w:val="1"/>
      <w:numFmt w:val="decimal"/>
      <w:isLgl w:val="false"/>
      <w:suff w:val="tab"/>
      <w:lvlText w:val="%1.%2.%3.%4.%5.%6.%7.%8."/>
      <w:lvlJc w:val="left"/>
      <w:pPr>
        <w:ind w:left="1440" w:hanging="1440"/>
      </w:pPr>
      <w:rPr>
        <w:rFonts w:ascii="Times New Roman" w:hAnsi="Times New Roman" w:cs="Times New Roman"/>
      </w:rPr>
    </w:lvl>
    <w:lvl w:ilvl="8">
      <w:start w:val="1"/>
      <w:numFmt w:val="decimal"/>
      <w:isLgl w:val="false"/>
      <w:suff w:val="tab"/>
      <w:lvlText w:val="%1.%2.%3.%4.%5.%6.%7.%8.%9."/>
      <w:lvlJc w:val="left"/>
      <w:pPr>
        <w:ind w:left="1583" w:hanging="1583"/>
      </w:pPr>
      <w:rPr>
        <w:rFonts w:ascii="Times New Roman" w:hAnsi="Times New Roman" w:cs="Times New Roman"/>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link w:val="882"/>
    <w:uiPriority w:val="0"/>
    <w:qFormat/>
    <w:pPr>
      <w:jc w:val="both"/>
      <w:widowControl w:val="off"/>
    </w:pPr>
    <w:rPr>
      <w:rFonts w:hint="default" w:ascii="Calibri" w:hAnsi="Calibri" w:eastAsia="宋体" w:cs="Times New Roman"/>
      <w:sz w:val="21"/>
      <w:szCs w:val="22"/>
      <w:lang w:val="en-US" w:eastAsia="zh-CN" w:bidi="ar-SA"/>
    </w:rPr>
  </w:style>
  <w:style w:type="paragraph" w:styleId="667">
    <w:name w:val="Heading 1"/>
    <w:basedOn w:val="666"/>
    <w:next w:val="666"/>
    <w:link w:val="699"/>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00"/>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01"/>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02"/>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03"/>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04"/>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06"/>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07"/>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Caption"/>
    <w:basedOn w:val="666"/>
    <w:next w:val="666"/>
    <w:uiPriority w:val="35"/>
    <w:semiHidden/>
    <w:unhideWhenUsed/>
    <w:qFormat/>
    <w:pPr>
      <w:spacing w:line="276" w:lineRule="auto"/>
    </w:pPr>
    <w:rPr>
      <w:b/>
      <w:bCs/>
      <w:color w:val="4f81bd" w:themeColor="accent1"/>
      <w:sz w:val="18"/>
      <w:szCs w:val="18"/>
    </w:rPr>
  </w:style>
  <w:style w:type="paragraph" w:styleId="680">
    <w:name w:val="toc 5"/>
    <w:basedOn w:val="666"/>
    <w:next w:val="666"/>
    <w:uiPriority w:val="39"/>
    <w:unhideWhenUsed/>
    <w:qFormat/>
    <w:pPr>
      <w:ind w:left="1134" w:right="0" w:firstLine="0"/>
      <w:spacing w:after="57"/>
    </w:pPr>
  </w:style>
  <w:style w:type="paragraph" w:styleId="681">
    <w:name w:val="toc 3"/>
    <w:basedOn w:val="666"/>
    <w:next w:val="666"/>
    <w:uiPriority w:val="39"/>
    <w:unhideWhenUsed/>
    <w:pPr>
      <w:ind w:left="567" w:right="0" w:firstLine="0"/>
      <w:spacing w:after="57"/>
    </w:pPr>
  </w:style>
  <w:style w:type="paragraph" w:styleId="682">
    <w:name w:val="toc 8"/>
    <w:basedOn w:val="666"/>
    <w:next w:val="666"/>
    <w:uiPriority w:val="39"/>
    <w:unhideWhenUsed/>
    <w:qFormat/>
    <w:pPr>
      <w:ind w:left="1984" w:right="0" w:firstLine="0"/>
      <w:spacing w:after="57"/>
    </w:pPr>
  </w:style>
  <w:style w:type="paragraph" w:styleId="683">
    <w:name w:val="endnote text"/>
    <w:basedOn w:val="666"/>
    <w:link w:val="845"/>
    <w:uiPriority w:val="99"/>
    <w:semiHidden/>
    <w:unhideWhenUsed/>
    <w:qFormat/>
    <w:pPr>
      <w:spacing w:after="0" w:line="240" w:lineRule="auto"/>
    </w:pPr>
    <w:rPr>
      <w:sz w:val="20"/>
    </w:rPr>
  </w:style>
  <w:style w:type="paragraph" w:styleId="684">
    <w:name w:val="Footer"/>
    <w:basedOn w:val="666"/>
    <w:link w:val="718"/>
    <w:uiPriority w:val="99"/>
    <w:unhideWhenUsed/>
    <w:qFormat/>
    <w:pPr>
      <w:spacing w:after="0" w:line="240" w:lineRule="auto"/>
      <w:tabs>
        <w:tab w:val="center" w:pos="7143" w:leader="none"/>
        <w:tab w:val="right" w:pos="14287" w:leader="none"/>
      </w:tabs>
    </w:pPr>
  </w:style>
  <w:style w:type="paragraph" w:styleId="685">
    <w:name w:val="Header"/>
    <w:basedOn w:val="666"/>
    <w:link w:val="716"/>
    <w:uiPriority w:val="99"/>
    <w:unhideWhenUsed/>
    <w:qFormat/>
    <w:pPr>
      <w:spacing w:after="0" w:line="240" w:lineRule="auto"/>
      <w:tabs>
        <w:tab w:val="center" w:pos="7143" w:leader="none"/>
        <w:tab w:val="right" w:pos="14287" w:leader="none"/>
      </w:tabs>
    </w:pPr>
  </w:style>
  <w:style w:type="paragraph" w:styleId="686">
    <w:name w:val="toc 1"/>
    <w:basedOn w:val="666"/>
    <w:next w:val="666"/>
    <w:uiPriority w:val="39"/>
    <w:unhideWhenUsed/>
    <w:qFormat/>
    <w:pPr>
      <w:ind w:left="0" w:right="0" w:firstLine="0"/>
      <w:spacing w:after="57"/>
    </w:pPr>
  </w:style>
  <w:style w:type="paragraph" w:styleId="687">
    <w:name w:val="toc 4"/>
    <w:basedOn w:val="666"/>
    <w:next w:val="666"/>
    <w:uiPriority w:val="39"/>
    <w:unhideWhenUsed/>
    <w:qFormat/>
    <w:pPr>
      <w:ind w:left="850" w:right="0" w:firstLine="0"/>
      <w:spacing w:after="57"/>
    </w:pPr>
  </w:style>
  <w:style w:type="paragraph" w:styleId="688">
    <w:name w:val="Subtitle"/>
    <w:basedOn w:val="666"/>
    <w:next w:val="666"/>
    <w:link w:val="711"/>
    <w:uiPriority w:val="11"/>
    <w:qFormat/>
    <w:pPr>
      <w:spacing w:before="200" w:after="200"/>
    </w:pPr>
    <w:rPr>
      <w:sz w:val="24"/>
      <w:szCs w:val="24"/>
    </w:rPr>
  </w:style>
  <w:style w:type="paragraph" w:styleId="689">
    <w:name w:val="footnote text"/>
    <w:basedOn w:val="666"/>
    <w:link w:val="844"/>
    <w:uiPriority w:val="99"/>
    <w:semiHidden/>
    <w:unhideWhenUsed/>
    <w:qFormat/>
    <w:pPr>
      <w:spacing w:after="40" w:line="240" w:lineRule="auto"/>
    </w:pPr>
    <w:rPr>
      <w:sz w:val="18"/>
    </w:rPr>
  </w:style>
  <w:style w:type="paragraph" w:styleId="690">
    <w:name w:val="toc 6"/>
    <w:basedOn w:val="666"/>
    <w:next w:val="666"/>
    <w:uiPriority w:val="39"/>
    <w:unhideWhenUsed/>
    <w:qFormat/>
    <w:pPr>
      <w:ind w:left="1417" w:right="0" w:firstLine="0"/>
      <w:spacing w:after="57"/>
    </w:pPr>
  </w:style>
  <w:style w:type="paragraph" w:styleId="691">
    <w:name w:val="table of figures"/>
    <w:basedOn w:val="666"/>
    <w:next w:val="666"/>
    <w:uiPriority w:val="99"/>
    <w:unhideWhenUsed/>
    <w:qFormat/>
    <w:pPr>
      <w:spacing w:after="0" w:afterAutospacing="0"/>
    </w:pPr>
  </w:style>
  <w:style w:type="paragraph" w:styleId="692">
    <w:name w:val="toc 2"/>
    <w:basedOn w:val="666"/>
    <w:next w:val="666"/>
    <w:uiPriority w:val="39"/>
    <w:unhideWhenUsed/>
    <w:pPr>
      <w:ind w:left="283" w:right="0" w:firstLine="0"/>
      <w:spacing w:after="57"/>
    </w:pPr>
  </w:style>
  <w:style w:type="paragraph" w:styleId="693">
    <w:name w:val="toc 9"/>
    <w:basedOn w:val="666"/>
    <w:next w:val="666"/>
    <w:uiPriority w:val="39"/>
    <w:unhideWhenUsed/>
    <w:qFormat/>
    <w:pPr>
      <w:ind w:left="2268" w:right="0" w:firstLine="0"/>
      <w:spacing w:after="57"/>
    </w:pPr>
  </w:style>
  <w:style w:type="paragraph" w:styleId="694">
    <w:name w:val="Title"/>
    <w:basedOn w:val="666"/>
    <w:next w:val="666"/>
    <w:link w:val="710"/>
    <w:uiPriority w:val="10"/>
    <w:qFormat/>
    <w:pPr>
      <w:contextualSpacing/>
      <w:spacing w:before="300" w:after="200"/>
    </w:pPr>
    <w:rPr>
      <w:sz w:val="48"/>
      <w:szCs w:val="48"/>
    </w:rPr>
  </w:style>
  <w:style w:type="table" w:styleId="6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qFormat/>
    <w:rPr>
      <w:vertAlign w:val="superscript"/>
    </w:rPr>
  </w:style>
  <w:style w:type="character" w:styleId="697">
    <w:name w:val="Hyperlink"/>
    <w:uiPriority w:val="99"/>
    <w:unhideWhenUsed/>
    <w:qFormat/>
    <w:rPr>
      <w:color w:val="0000ff" w:themeColor="hyperlink"/>
      <w:u w:val="single"/>
    </w:rPr>
  </w:style>
  <w:style w:type="character" w:styleId="698">
    <w:name w:val="footnote reference"/>
    <w:uiPriority w:val="99"/>
    <w:unhideWhenUsed/>
    <w:qFormat/>
    <w:rPr>
      <w:vertAlign w:val="superscript"/>
    </w:rPr>
  </w:style>
  <w:style w:type="character" w:styleId="699" w:customStyle="1">
    <w:name w:val="Heading 1 Char"/>
    <w:link w:val="667"/>
    <w:uiPriority w:val="9"/>
    <w:qFormat/>
    <w:rPr>
      <w:rFonts w:ascii="Arial" w:hAnsi="Arial" w:eastAsia="Arial" w:cs="Arial"/>
      <w:sz w:val="40"/>
      <w:szCs w:val="40"/>
    </w:rPr>
  </w:style>
  <w:style w:type="character" w:styleId="700" w:customStyle="1">
    <w:name w:val="Heading 2 Char"/>
    <w:link w:val="668"/>
    <w:uiPriority w:val="9"/>
    <w:qFormat/>
    <w:rPr>
      <w:rFonts w:ascii="Arial" w:hAnsi="Arial" w:eastAsia="Arial" w:cs="Arial"/>
      <w:sz w:val="34"/>
    </w:rPr>
  </w:style>
  <w:style w:type="character" w:styleId="701" w:customStyle="1">
    <w:name w:val="Heading 3 Char"/>
    <w:link w:val="669"/>
    <w:uiPriority w:val="9"/>
    <w:rPr>
      <w:rFonts w:ascii="Arial" w:hAnsi="Arial" w:eastAsia="Arial" w:cs="Arial"/>
      <w:sz w:val="30"/>
      <w:szCs w:val="30"/>
    </w:rPr>
  </w:style>
  <w:style w:type="character" w:styleId="702" w:customStyle="1">
    <w:name w:val="Heading 4 Char"/>
    <w:link w:val="670"/>
    <w:uiPriority w:val="9"/>
    <w:qFormat/>
    <w:rPr>
      <w:rFonts w:ascii="Arial" w:hAnsi="Arial" w:eastAsia="Arial" w:cs="Arial"/>
      <w:b/>
      <w:bCs/>
      <w:sz w:val="26"/>
      <w:szCs w:val="26"/>
    </w:rPr>
  </w:style>
  <w:style w:type="character" w:styleId="703" w:customStyle="1">
    <w:name w:val="Heading 5 Char"/>
    <w:link w:val="671"/>
    <w:uiPriority w:val="9"/>
    <w:qFormat/>
    <w:rPr>
      <w:rFonts w:ascii="Arial" w:hAnsi="Arial" w:eastAsia="Arial" w:cs="Arial"/>
      <w:b/>
      <w:bCs/>
      <w:sz w:val="24"/>
      <w:szCs w:val="24"/>
    </w:rPr>
  </w:style>
  <w:style w:type="character" w:styleId="704" w:customStyle="1">
    <w:name w:val="Heading 6 Char"/>
    <w:link w:val="672"/>
    <w:uiPriority w:val="9"/>
    <w:qFormat/>
    <w:rPr>
      <w:rFonts w:ascii="Arial" w:hAnsi="Arial" w:eastAsia="Arial" w:cs="Arial"/>
      <w:b/>
      <w:bCs/>
      <w:sz w:val="22"/>
      <w:szCs w:val="22"/>
    </w:rPr>
  </w:style>
  <w:style w:type="character" w:styleId="705" w:customStyle="1">
    <w:name w:val="Heading 7 Char"/>
    <w:link w:val="673"/>
    <w:uiPriority w:val="9"/>
    <w:qFormat/>
    <w:rPr>
      <w:rFonts w:ascii="Arial" w:hAnsi="Arial" w:eastAsia="Arial" w:cs="Arial"/>
      <w:b/>
      <w:bCs/>
      <w:i/>
      <w:iCs/>
      <w:sz w:val="22"/>
      <w:szCs w:val="22"/>
    </w:rPr>
  </w:style>
  <w:style w:type="character" w:styleId="706" w:customStyle="1">
    <w:name w:val="Heading 8 Char"/>
    <w:link w:val="674"/>
    <w:uiPriority w:val="9"/>
    <w:qFormat/>
    <w:rPr>
      <w:rFonts w:ascii="Arial" w:hAnsi="Arial" w:eastAsia="Arial" w:cs="Arial"/>
      <w:i/>
      <w:iCs/>
      <w:sz w:val="22"/>
      <w:szCs w:val="22"/>
    </w:rPr>
  </w:style>
  <w:style w:type="character" w:styleId="707" w:customStyle="1">
    <w:name w:val="Heading 9 Char"/>
    <w:link w:val="675"/>
    <w:uiPriority w:val="9"/>
    <w:qFormat/>
    <w:rPr>
      <w:rFonts w:ascii="Arial" w:hAnsi="Arial" w:eastAsia="Arial" w:cs="Arial"/>
      <w:i/>
      <w:iCs/>
      <w:sz w:val="21"/>
      <w:szCs w:val="21"/>
    </w:rPr>
  </w:style>
  <w:style w:type="paragraph" w:styleId="708">
    <w:name w:val="List Paragraph"/>
    <w:basedOn w:val="666"/>
    <w:uiPriority w:val="34"/>
    <w:qFormat/>
    <w:pPr>
      <w:contextualSpacing/>
      <w:ind w:left="720"/>
    </w:pPr>
  </w:style>
  <w:style w:type="paragraph" w:styleId="709">
    <w:name w:val="No Spacing"/>
    <w:uiPriority w:val="1"/>
    <w:qFormat/>
    <w:pPr>
      <w:spacing w:before="0" w:after="0" w:line="240" w:lineRule="auto"/>
    </w:pPr>
    <w:rPr>
      <w:rFonts w:hint="default" w:ascii="Times New Roman" w:hAnsi="Times New Roman" w:eastAsia="宋体" w:cs="Times New Roman"/>
    </w:rPr>
  </w:style>
  <w:style w:type="character" w:styleId="710" w:customStyle="1">
    <w:name w:val="Title Char"/>
    <w:link w:val="694"/>
    <w:uiPriority w:val="10"/>
    <w:qFormat/>
    <w:rPr>
      <w:sz w:val="48"/>
      <w:szCs w:val="48"/>
    </w:rPr>
  </w:style>
  <w:style w:type="character" w:styleId="711" w:customStyle="1">
    <w:name w:val="Subtitle Char"/>
    <w:link w:val="688"/>
    <w:uiPriority w:val="11"/>
    <w:qFormat/>
    <w:rPr>
      <w:sz w:val="24"/>
      <w:szCs w:val="24"/>
    </w:rPr>
  </w:style>
  <w:style w:type="paragraph" w:styleId="712">
    <w:name w:val="Quote"/>
    <w:basedOn w:val="666"/>
    <w:next w:val="666"/>
    <w:link w:val="713"/>
    <w:uiPriority w:val="29"/>
    <w:qFormat/>
    <w:pPr>
      <w:ind w:left="720" w:right="720"/>
    </w:pPr>
    <w:rPr>
      <w:i/>
    </w:rPr>
  </w:style>
  <w:style w:type="character" w:styleId="713" w:customStyle="1">
    <w:name w:val="Quote Char"/>
    <w:link w:val="712"/>
    <w:uiPriority w:val="29"/>
    <w:qFormat/>
    <w:rPr>
      <w:i/>
    </w:rPr>
  </w:style>
  <w:style w:type="paragraph" w:styleId="714">
    <w:name w:val="Intense Quote"/>
    <w:basedOn w:val="666"/>
    <w:next w:val="6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Intense Quote Char"/>
    <w:link w:val="714"/>
    <w:uiPriority w:val="30"/>
    <w:qFormat/>
    <w:rPr>
      <w:i/>
    </w:rPr>
  </w:style>
  <w:style w:type="character" w:styleId="716" w:customStyle="1">
    <w:name w:val="Header Char"/>
    <w:link w:val="685"/>
    <w:uiPriority w:val="99"/>
    <w:qFormat/>
  </w:style>
  <w:style w:type="character" w:styleId="717" w:customStyle="1">
    <w:name w:val="Footer Char"/>
    <w:link w:val="684"/>
    <w:uiPriority w:val="99"/>
    <w:qFormat/>
  </w:style>
  <w:style w:type="character" w:styleId="718" w:customStyle="1">
    <w:name w:val="Caption Char"/>
    <w:link w:val="684"/>
    <w:uiPriority w:val="99"/>
    <w:qFormat/>
  </w:style>
  <w:style w:type="table" w:styleId="7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4" w:customStyle="1">
    <w:name w:val="Footnote Text Char"/>
    <w:link w:val="689"/>
    <w:uiPriority w:val="99"/>
    <w:rPr>
      <w:sz w:val="18"/>
    </w:rPr>
  </w:style>
  <w:style w:type="character" w:styleId="845" w:customStyle="1">
    <w:name w:val="Endnote Text Char"/>
    <w:link w:val="683"/>
    <w:uiPriority w:val="99"/>
    <w:rPr>
      <w:sz w:val="20"/>
    </w:rPr>
  </w:style>
  <w:style w:type="paragraph" w:styleId="846" w:customStyle="1">
    <w:name w:val="TOC Heading"/>
    <w:uiPriority w:val="39"/>
    <w:unhideWhenUsed/>
    <w:rPr>
      <w:rFonts w:hint="default" w:ascii="Times New Roman" w:hAnsi="Times New Roman" w:eastAsia="宋体" w:cs="Times New Roman"/>
    </w:rPr>
  </w:style>
  <w:style w:type="paragraph" w:styleId="847" w:customStyle="1">
    <w:name w:val="标题 11"/>
    <w:basedOn w:val="666"/>
    <w:next w:val="666"/>
    <w:link w:val="853"/>
    <w:uiPriority w:val="9"/>
    <w:qFormat/>
    <w:pPr>
      <w:keepLines/>
      <w:keepNext/>
      <w:spacing w:before="340" w:after="330" w:line="578" w:lineRule="auto"/>
      <w:outlineLvl w:val="0"/>
    </w:pPr>
    <w:rPr>
      <w:b/>
      <w:bCs/>
      <w:sz w:val="44"/>
      <w:szCs w:val="44"/>
    </w:rPr>
  </w:style>
  <w:style w:type="paragraph" w:styleId="848" w:customStyle="1">
    <w:name w:val="标题 21"/>
    <w:basedOn w:val="666"/>
    <w:next w:val="666"/>
    <w:link w:val="854"/>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9" w:customStyle="1">
    <w:name w:val="标题 31"/>
    <w:basedOn w:val="666"/>
    <w:next w:val="666"/>
    <w:link w:val="855"/>
    <w:uiPriority w:val="9"/>
    <w:qFormat/>
    <w:pPr>
      <w:keepLines/>
      <w:keepNext/>
      <w:spacing w:before="260" w:after="260" w:line="416" w:lineRule="auto"/>
      <w:outlineLvl w:val="2"/>
    </w:pPr>
    <w:rPr>
      <w:b/>
      <w:bCs/>
      <w:sz w:val="32"/>
      <w:szCs w:val="32"/>
    </w:rPr>
  </w:style>
  <w:style w:type="paragraph" w:styleId="850" w:customStyle="1">
    <w:name w:val="标题 41"/>
    <w:basedOn w:val="666"/>
    <w:next w:val="666"/>
    <w:uiPriority w:val="0"/>
    <w:qFormat/>
    <w:pPr>
      <w:numPr>
        <w:ilvl w:val="3"/>
        <w:numId w:val="1"/>
      </w:numPr>
      <w:ind w:left="864" w:hanging="864"/>
      <w:jc w:val="left"/>
      <w:keepLines/>
      <w:keepNext/>
      <w:spacing w:line="360" w:lineRule="auto"/>
      <w:widowControl/>
      <w:outlineLvl w:val="3"/>
    </w:pPr>
    <w:rPr>
      <w:rFonts w:ascii="宋体" w:hAnsi="宋体" w:eastAsia="宋体" w:cs="宋体"/>
      <w:b/>
      <w:bCs/>
      <w:color w:val="000000"/>
      <w:sz w:val="21"/>
      <w:szCs w:val="24"/>
      <w:lang w:bidi="ar"/>
    </w:rPr>
  </w:style>
  <w:style w:type="character" w:styleId="851" w:customStyle="1">
    <w:name w:val="默认段落字体1"/>
    <w:link w:val="666"/>
    <w:uiPriority w:val="1"/>
    <w:unhideWhenUsed/>
    <w:qFormat/>
  </w:style>
  <w:style w:type="table" w:styleId="852" w:customStyle="1">
    <w:name w:val="普通表格1"/>
    <w:uiPriority w:val="99"/>
    <w:unhideWhenUsed/>
    <w:qFormat/>
    <w:tblPr/>
  </w:style>
  <w:style w:type="character" w:styleId="853" w:customStyle="1">
    <w:name w:val="标题 1 Char"/>
    <w:basedOn w:val="851"/>
    <w:link w:val="847"/>
    <w:uiPriority w:val="9"/>
    <w:qFormat/>
    <w:rPr>
      <w:b/>
      <w:bCs/>
      <w:sz w:val="44"/>
      <w:szCs w:val="44"/>
    </w:rPr>
  </w:style>
  <w:style w:type="character" w:styleId="854" w:customStyle="1">
    <w:name w:val="标题 2 Char"/>
    <w:basedOn w:val="851"/>
    <w:link w:val="848"/>
    <w:uiPriority w:val="9"/>
    <w:qFormat/>
    <w:rPr>
      <w:rFonts w:ascii="Cambria" w:hAnsi="Cambria" w:eastAsia="宋体" w:cs="Times New Roman"/>
      <w:b/>
      <w:bCs/>
      <w:sz w:val="32"/>
      <w:szCs w:val="32"/>
    </w:rPr>
  </w:style>
  <w:style w:type="character" w:styleId="855" w:customStyle="1">
    <w:name w:val="标题 3 Char"/>
    <w:basedOn w:val="851"/>
    <w:link w:val="849"/>
    <w:uiPriority w:val="9"/>
    <w:qFormat/>
    <w:rPr>
      <w:b/>
      <w:bCs/>
      <w:sz w:val="32"/>
      <w:szCs w:val="32"/>
    </w:rPr>
  </w:style>
  <w:style w:type="paragraph" w:styleId="856" w:customStyle="1">
    <w:name w:val="文档结构图1"/>
    <w:basedOn w:val="666"/>
    <w:link w:val="857"/>
    <w:uiPriority w:val="99"/>
    <w:unhideWhenUsed/>
    <w:qFormat/>
    <w:rPr>
      <w:rFonts w:ascii="宋体" w:eastAsia="宋体"/>
      <w:sz w:val="18"/>
      <w:szCs w:val="18"/>
    </w:rPr>
  </w:style>
  <w:style w:type="character" w:styleId="857" w:customStyle="1">
    <w:name w:val="文档结构图 Char"/>
    <w:basedOn w:val="851"/>
    <w:link w:val="856"/>
    <w:uiPriority w:val="99"/>
    <w:semiHidden/>
    <w:qFormat/>
    <w:rPr>
      <w:rFonts w:ascii="宋体" w:eastAsia="宋体"/>
      <w:sz w:val="18"/>
      <w:szCs w:val="18"/>
    </w:rPr>
  </w:style>
  <w:style w:type="paragraph" w:styleId="858" w:customStyle="1">
    <w:name w:val="批注文字1"/>
    <w:basedOn w:val="666"/>
    <w:link w:val="859"/>
    <w:uiPriority w:val="0"/>
    <w:qFormat/>
    <w:pPr>
      <w:ind w:firstLine="922"/>
      <w:jc w:val="left"/>
      <w:spacing w:line="360" w:lineRule="auto"/>
    </w:pPr>
    <w:rPr>
      <w:rFonts w:ascii="Times New Roman" w:hAnsi="Times New Roman" w:eastAsia="宋体" w:cs="Times New Roman"/>
      <w:szCs w:val="24"/>
    </w:rPr>
  </w:style>
  <w:style w:type="character" w:styleId="859" w:customStyle="1">
    <w:name w:val="批注文字 Char"/>
    <w:basedOn w:val="851"/>
    <w:link w:val="858"/>
    <w:uiPriority w:val="0"/>
    <w:qFormat/>
    <w:rPr>
      <w:rFonts w:ascii="Times New Roman" w:hAnsi="Times New Roman" w:eastAsia="宋体" w:cs="Times New Roman"/>
      <w:szCs w:val="24"/>
    </w:rPr>
  </w:style>
  <w:style w:type="paragraph" w:styleId="860" w:customStyle="1">
    <w:name w:val="正文文本1"/>
    <w:basedOn w:val="666"/>
    <w:next w:val="666"/>
    <w:link w:val="861"/>
    <w:uiPriority w:val="0"/>
    <w:unhideWhenUsed/>
    <w:qFormat/>
    <w:pPr>
      <w:spacing w:after="120"/>
    </w:pPr>
    <w:rPr>
      <w:rFonts w:ascii="Calibri" w:hAnsi="Calibri" w:eastAsia="宋体" w:cs="Times New Roman"/>
    </w:rPr>
  </w:style>
  <w:style w:type="character" w:styleId="861" w:customStyle="1">
    <w:name w:val="正文文本 Char"/>
    <w:basedOn w:val="851"/>
    <w:link w:val="860"/>
    <w:uiPriority w:val="0"/>
    <w:qFormat/>
    <w:rPr>
      <w:rFonts w:ascii="Calibri" w:hAnsi="Calibri" w:eastAsia="宋体" w:cs="Times New Roman"/>
    </w:rPr>
  </w:style>
  <w:style w:type="paragraph" w:styleId="862" w:customStyle="1">
    <w:name w:val="正文文本缩进1"/>
    <w:basedOn w:val="666"/>
    <w:link w:val="863"/>
    <w:uiPriority w:val="0"/>
    <w:qFormat/>
    <w:pPr>
      <w:ind w:left="420"/>
      <w:spacing w:after="120"/>
    </w:pPr>
    <w:rPr>
      <w:rFonts w:ascii="Times New Roman" w:hAnsi="Times New Roman" w:eastAsia="宋体" w:cs="Times New Roman"/>
      <w:szCs w:val="24"/>
    </w:rPr>
  </w:style>
  <w:style w:type="character" w:styleId="863" w:customStyle="1">
    <w:name w:val="正文文本缩进 Char"/>
    <w:basedOn w:val="851"/>
    <w:link w:val="862"/>
    <w:uiPriority w:val="0"/>
    <w:qFormat/>
    <w:rPr>
      <w:rFonts w:ascii="Times New Roman" w:hAnsi="Times New Roman" w:eastAsia="宋体" w:cs="Times New Roman"/>
      <w:szCs w:val="24"/>
    </w:rPr>
  </w:style>
  <w:style w:type="paragraph" w:styleId="864" w:customStyle="1">
    <w:name w:val="纯文本1"/>
    <w:basedOn w:val="666"/>
    <w:link w:val="865"/>
    <w:uiPriority w:val="0"/>
    <w:qFormat/>
    <w:rPr>
      <w:rFonts w:ascii="宋体" w:hAnsi="Courier New" w:eastAsia="宋体" w:cs="Courier New"/>
      <w:szCs w:val="21"/>
    </w:rPr>
  </w:style>
  <w:style w:type="character" w:styleId="865" w:customStyle="1">
    <w:name w:val="纯文本 Char"/>
    <w:basedOn w:val="851"/>
    <w:link w:val="864"/>
    <w:uiPriority w:val="0"/>
    <w:qFormat/>
    <w:rPr>
      <w:rFonts w:ascii="宋体" w:hAnsi="Courier New" w:eastAsia="宋体" w:cs="Courier New"/>
      <w:szCs w:val="21"/>
    </w:rPr>
  </w:style>
  <w:style w:type="paragraph" w:styleId="866" w:customStyle="1">
    <w:name w:val="日期1"/>
    <w:basedOn w:val="666"/>
    <w:next w:val="666"/>
    <w:link w:val="867"/>
    <w:uiPriority w:val="99"/>
    <w:unhideWhenUsed/>
    <w:qFormat/>
    <w:pPr>
      <w:ind w:left="100"/>
    </w:pPr>
  </w:style>
  <w:style w:type="character" w:styleId="867" w:customStyle="1">
    <w:name w:val="日期 Char"/>
    <w:basedOn w:val="851"/>
    <w:link w:val="866"/>
    <w:uiPriority w:val="99"/>
    <w:semiHidden/>
    <w:qFormat/>
  </w:style>
  <w:style w:type="paragraph" w:styleId="868" w:customStyle="1">
    <w:name w:val="批注框文本1"/>
    <w:basedOn w:val="666"/>
    <w:link w:val="869"/>
    <w:uiPriority w:val="99"/>
    <w:unhideWhenUsed/>
    <w:qFormat/>
    <w:rPr>
      <w:sz w:val="18"/>
      <w:szCs w:val="18"/>
    </w:rPr>
  </w:style>
  <w:style w:type="character" w:styleId="869" w:customStyle="1">
    <w:name w:val="批注框文本 Char"/>
    <w:basedOn w:val="851"/>
    <w:link w:val="868"/>
    <w:uiPriority w:val="99"/>
    <w:semiHidden/>
    <w:qFormat/>
    <w:rPr>
      <w:sz w:val="18"/>
      <w:szCs w:val="18"/>
    </w:rPr>
  </w:style>
  <w:style w:type="paragraph" w:styleId="870" w:customStyle="1">
    <w:name w:val="页脚1"/>
    <w:basedOn w:val="666"/>
    <w:link w:val="871"/>
    <w:uiPriority w:val="99"/>
    <w:unhideWhenUsed/>
    <w:qFormat/>
    <w:pPr>
      <w:jc w:val="left"/>
      <w:tabs>
        <w:tab w:val="center" w:pos="4153" w:leader="none"/>
        <w:tab w:val="right" w:pos="8306" w:leader="none"/>
      </w:tabs>
    </w:pPr>
    <w:rPr>
      <w:sz w:val="18"/>
      <w:szCs w:val="18"/>
    </w:rPr>
  </w:style>
  <w:style w:type="character" w:styleId="871" w:customStyle="1">
    <w:name w:val="页脚 Char"/>
    <w:basedOn w:val="851"/>
    <w:link w:val="870"/>
    <w:uiPriority w:val="99"/>
    <w:qFormat/>
    <w:rPr>
      <w:sz w:val="18"/>
      <w:szCs w:val="18"/>
    </w:rPr>
  </w:style>
  <w:style w:type="paragraph" w:styleId="872" w:customStyle="1">
    <w:name w:val="页眉1"/>
    <w:basedOn w:val="666"/>
    <w:link w:val="87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3" w:customStyle="1">
    <w:name w:val="页眉 Char"/>
    <w:basedOn w:val="851"/>
    <w:link w:val="872"/>
    <w:uiPriority w:val="99"/>
    <w:semiHidden/>
    <w:qFormat/>
    <w:rPr>
      <w:sz w:val="18"/>
      <w:szCs w:val="18"/>
    </w:rPr>
  </w:style>
  <w:style w:type="paragraph" w:styleId="874" w:customStyle="1">
    <w:name w:val="目录 11"/>
    <w:basedOn w:val="666"/>
    <w:next w:val="666"/>
    <w:uiPriority w:val="39"/>
    <w:unhideWhenUsed/>
    <w:qFormat/>
    <w:pPr>
      <w:jc w:val="center"/>
      <w:tabs>
        <w:tab w:val="right" w:pos="8296" w:leader="dot"/>
      </w:tabs>
    </w:pPr>
    <w:rPr>
      <w:rFonts w:ascii="黑体" w:hAnsi="黑体" w:eastAsia="黑体"/>
      <w:sz w:val="44"/>
      <w:szCs w:val="44"/>
    </w:rPr>
  </w:style>
  <w:style w:type="paragraph" w:styleId="875" w:customStyle="1">
    <w:name w:val="列表1"/>
    <w:basedOn w:val="666"/>
    <w:uiPriority w:val="0"/>
    <w:pPr>
      <w:ind w:left="420" w:hanging="420"/>
      <w:spacing w:line="360" w:lineRule="auto"/>
    </w:pPr>
    <w:rPr>
      <w:rFonts w:eastAsia="仿宋_GB2312"/>
      <w:sz w:val="24"/>
      <w:szCs w:val="20"/>
    </w:rPr>
  </w:style>
  <w:style w:type="paragraph" w:styleId="876" w:customStyle="1">
    <w:name w:val="普通(网站)1"/>
    <w:basedOn w:val="666"/>
    <w:uiPriority w:val="99"/>
    <w:unhideWhenUsed/>
    <w:qFormat/>
    <w:pPr>
      <w:ind w:left="0" w:right="0"/>
      <w:jc w:val="left"/>
      <w:spacing w:before="100" w:beforeAutospacing="1" w:after="100" w:afterAutospacing="1"/>
    </w:pPr>
    <w:rPr>
      <w:sz w:val="24"/>
      <w:lang w:val="en-US" w:eastAsia="zh-CN" w:bidi="ar"/>
    </w:rPr>
  </w:style>
  <w:style w:type="paragraph" w:styleId="877" w:customStyle="1">
    <w:name w:val="正文首行缩进 21"/>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table" w:styleId="878" w:customStyle="1">
    <w:name w:val="网格型1"/>
    <w:basedOn w:val="852"/>
    <w:uiPriority w:val="59"/>
    <w:qFormat/>
    <w:tblPr/>
  </w:style>
  <w:style w:type="character" w:styleId="879" w:customStyle="1">
    <w:name w:val="要点1"/>
    <w:basedOn w:val="851"/>
    <w:link w:val="666"/>
    <w:uiPriority w:val="22"/>
    <w:qFormat/>
    <w:rPr>
      <w:b/>
    </w:rPr>
  </w:style>
  <w:style w:type="character" w:styleId="880" w:customStyle="1">
    <w:name w:val="强调1"/>
    <w:link w:val="666"/>
    <w:uiPriority w:val="0"/>
    <w:qFormat/>
    <w:rPr>
      <w:i/>
    </w:rPr>
  </w:style>
  <w:style w:type="character" w:styleId="881" w:customStyle="1">
    <w:name w:val="超链接1"/>
    <w:link w:val="666"/>
    <w:uiPriority w:val="99"/>
    <w:qFormat/>
    <w:rPr>
      <w:color w:val="0000ff"/>
      <w:u w:val="none"/>
    </w:rPr>
  </w:style>
  <w:style w:type="character" w:styleId="882" w:customStyle="1">
    <w:name w:val="批注引用1"/>
    <w:link w:val="666"/>
    <w:uiPriority w:val="0"/>
    <w:qFormat/>
    <w:rPr>
      <w:sz w:val="21"/>
      <w:szCs w:val="21"/>
    </w:rPr>
  </w:style>
  <w:style w:type="paragraph" w:styleId="883" w:customStyle="1">
    <w:name w:val="正文首行缩进11"/>
    <w:basedOn w:val="884"/>
    <w:uiPriority w:val="0"/>
    <w:qFormat/>
    <w:pPr>
      <w:ind w:firstLine="200"/>
      <w:spacing w:line="360" w:lineRule="auto"/>
    </w:pPr>
    <w:rPr>
      <w:rFonts w:ascii="仿宋_GB2312" w:hAnsi="Times New Roman" w:eastAsia="仿宋_GB2312"/>
      <w:sz w:val="30"/>
      <w:szCs w:val="30"/>
    </w:rPr>
  </w:style>
  <w:style w:type="paragraph" w:styleId="884" w:customStyle="1">
    <w:name w:val="正文文本11"/>
    <w:basedOn w:val="666"/>
    <w:next w:val="666"/>
    <w:uiPriority w:val="0"/>
    <w:qFormat/>
    <w:rPr>
      <w:rFonts w:ascii="楷体_GB2312" w:hAnsi="Arial" w:eastAsia="楷体_GB2312"/>
      <w:sz w:val="28"/>
      <w:szCs w:val="28"/>
      <w:lang w:eastAsia="en-US"/>
    </w:rPr>
  </w:style>
  <w:style w:type="paragraph" w:styleId="8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6" w:customStyle="1">
    <w:name w:val="列出段落1"/>
    <w:basedOn w:val="666"/>
    <w:uiPriority w:val="0"/>
    <w:qFormat/>
    <w:pPr>
      <w:ind w:firstLine="420"/>
    </w:pPr>
    <w:rPr>
      <w:rFonts w:ascii="Times New Roman" w:hAnsi="Times New Roman" w:eastAsia="宋体" w:cs="Times New Roman"/>
      <w:szCs w:val="21"/>
    </w:rPr>
  </w:style>
  <w:style w:type="paragraph" w:styleId="887" w:customStyle="1">
    <w:name w:val="null3"/>
    <w:uiPriority w:val="0"/>
    <w:qFormat/>
    <w:rPr>
      <w:rFonts w:hint="eastAsia" w:ascii="Calibri" w:hAnsi="Calibri" w:eastAsia="宋体" w:cs="Times New Roman"/>
      <w:lang w:val="en-US" w:eastAsia="zh-CN" w:bidi="ar-SA"/>
    </w:rPr>
  </w:style>
  <w:style w:type="paragraph" w:styleId="888" w:customStyle="1">
    <w:name w:val="方案正文"/>
    <w:basedOn w:val="875"/>
    <w:uiPriority w:val="0"/>
    <w:qFormat/>
    <w:pPr>
      <w:ind w:left="0" w:firstLine="480"/>
      <w:spacing w:before="100" w:beforeAutospacing="1" w:after="100" w:afterAutospacing="1"/>
    </w:pPr>
    <w:rPr>
      <w:rFonts w:ascii="宋体" w:hAnsi="宋体" w:eastAsia="宋体" w:cs="Arial"/>
    </w:r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孔庆阳</cp:lastModifiedBy>
  <cp:revision>13</cp:revision>
  <dcterms:created xsi:type="dcterms:W3CDTF">2024-07-15T08:29:00Z</dcterms:created>
  <dcterms:modified xsi:type="dcterms:W3CDTF">2026-08-28T07:32:46Z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eyJoZGlkIjoiYmExMTc3NTNhMjk5NDBkZWZiYTU1Mzc4MTAzMmVkMzciLCJ1c2VySWQiOiI1MjUwMzE0NzIifQ==</vt:lpwstr>
  </property>
  <property fmtid="{D5CDD505-2E9C-101B-9397-08002B2CF9AE}" pid="3" name="KSOProductBuildVer">
    <vt:lpwstr>2052-12.1.0.28043</vt:lpwstr>
  </property>
  <property fmtid="{D5CDD505-2E9C-101B-9397-08002B2CF9AE}" pid="4" name="ICV">
    <vt:lpwstr>F82BA19735CB4808B73E4F330CAEAD50_12</vt:lpwstr>
  </property>
</Properties>
</file>