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项目名称：大跨距举高喷射消防车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项目编号：JSZC-320509-SZJX-G2026-0049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苏州捷信招投标咨询有限公司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二〇二六年八月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第四章招标需求</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大跨距举高喷射消防车（项目编号：JSZC-320509-SZJX-G2026-0049号）公开招标项目的潜在供应商应在江苏省政府采购一体化平台“苏采云”系统自行免费下载获取招标文件，并于</w:t>
      </w:r>
      <w:r>
        <w:rPr>
          <w:rFonts w:ascii="SimSun" w:hAnsi="SimSun" w:eastAsia="SimSun" w:cs="SimSun"/>
          <w:color w:val="1f497d" w:themeColor="text2"/>
          <w:sz w:val="22"/>
        </w:rPr>
        <w:t xml:space="preserve">2026年9月16日13:30 </w:t>
      </w:r>
      <w:r>
        <w:rPr>
          <w:rFonts w:ascii="SimSun" w:hAnsi="SimSun" w:eastAsia="SimSun" w:cs="SimSun"/>
          <w:color w:val="000000"/>
          <w:sz w:val="22"/>
        </w:rPr>
        <w:t xml:space="preserve">（北京时间）前递交投标文件。</w:t>
      </w:r>
      <w:r>
        <w:rPr>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sz w:val="2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1.项目编号：JSZC-320509-SZJX-G2026-0049</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2.项目名称：大跨距举高喷射消防车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3.预算金额：人民币肆佰柒拾万元整（小写：4700000.00元）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6.合同履行期限：自合同签订生效之日起90个工作日内完成全部采购内容的供货、安装、调试并交付正常使用，具体根据招标单位要求；整车质保1年，免费保修期自货物验收合格之日起计算。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7.验收标准：</w:t>
      </w:r>
      <w:r>
        <w:rPr>
          <w:rFonts w:ascii="FangSong" w:hAnsi="FangSong" w:eastAsia="FangSong" w:cs="FangSong"/>
          <w:color w:val="000000"/>
          <w:sz w:val="22"/>
        </w:rPr>
        <w:t xml:space="preserve">根据招标文件提出的要求由招标单位进行验收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符合法律、行政法规规定的其他条件。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2.落实政府采购政策需满足的资格要求：</w:t>
      </w:r>
      <w:r>
        <w:rPr>
          <w:rFonts w:ascii="SimSun" w:hAnsi="SimSun" w:eastAsia="SimSun" w:cs="SimSun"/>
          <w:b/>
          <w:color w:val="000000"/>
          <w:sz w:val="22"/>
        </w:rPr>
        <w:t xml:space="preserve">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3.本项目不接受联合体参与投标，不得转包、分包本项目。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4.本项目的特定资格要求：无。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1.时间：自招标公告发布之日起至2026年8月19日截止。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2.方式：在“苏采云”系统自行免费下载招标文件。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w:t>
      </w:r>
      <w:r>
        <w:rPr>
          <w:rFonts w:ascii="SimSun" w:hAnsi="SimSun" w:eastAsia="SimSun" w:cs="SimSun"/>
          <w:b/>
          <w:color w:val="000000"/>
          <w:sz w:val="21"/>
        </w:rPr>
        <w:t xml:space="preserve"> </w:t>
      </w:r>
      <w:r/>
    </w:p>
    <w:p>
      <w:pPr>
        <w:ind w:left="0" w:right="0" w:firstLine="422"/>
        <w:jc w:val="both"/>
        <w:spacing w:before="0" w:after="0" w:line="85" w:lineRule="atLeast"/>
        <w:rPr>
          <w:color w:val="1f497d" w:themeColor="text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1.投标文件接收截止时间：</w:t>
      </w:r>
      <w:r>
        <w:rPr>
          <w:rFonts w:ascii="SimSun" w:hAnsi="SimSun" w:eastAsia="SimSun" w:cs="SimSun"/>
          <w:b/>
          <w:color w:val="1f497d" w:themeColor="text2"/>
          <w:sz w:val="22"/>
        </w:rPr>
        <w:t xml:space="preserve">2026年9月16日</w:t>
      </w:r>
      <w:r>
        <w:rPr>
          <w:rFonts w:ascii="SimSun" w:hAnsi="SimSun" w:eastAsia="SimSun" w:cs="SimSun"/>
          <w:b/>
          <w:color w:val="1f497d" w:themeColor="text2"/>
          <w:sz w:val="21"/>
        </w:rPr>
        <w:t xml:space="preserve"> </w:t>
      </w:r>
      <w:r>
        <w:rPr>
          <w:rFonts w:ascii="SimSun" w:hAnsi="SimSun" w:eastAsia="SimSun" w:cs="SimSun"/>
          <w:b/>
          <w:color w:val="1f497d" w:themeColor="text2"/>
          <w:sz w:val="22"/>
        </w:rPr>
        <w:t xml:space="preserve">13点30分（北京时间）。</w:t>
      </w:r>
      <w:r>
        <w:rPr>
          <w:color w:val="1f497d" w:themeColor="text2"/>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2.地点：“苏采云”系统（网址：https://jszfcg.jsczt.cn/）。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3.方式：投标文件网上递交，不需要现场参加采购活动，无需提供纸质投标文件。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w:t>
      </w:r>
      <w:r>
        <w:rPr>
          <w:rFonts w:ascii="SimSun" w:hAnsi="SimSun" w:eastAsia="SimSun" w:cs="SimSun"/>
          <w:color w:val="1f497d" w:themeColor="text2"/>
          <w:sz w:val="22"/>
        </w:rPr>
        <w:t xml:space="preserve">2026年9月16日</w:t>
      </w:r>
      <w:r>
        <w:rPr>
          <w:rFonts w:ascii="SimSun" w:hAnsi="SimSun" w:eastAsia="SimSun" w:cs="SimSun"/>
          <w:color w:val="1f497d" w:themeColor="text2"/>
          <w:sz w:val="21"/>
        </w:rPr>
        <w:t xml:space="preserve"> </w:t>
      </w:r>
      <w:r>
        <w:rPr>
          <w:rFonts w:ascii="SimSun" w:hAnsi="SimSun" w:eastAsia="SimSun" w:cs="SimSun"/>
          <w:color w:val="1f497d" w:themeColor="text2"/>
          <w:sz w:val="22"/>
        </w:rPr>
        <w:t xml:space="preserve">13点30分（北</w:t>
      </w:r>
      <w:r>
        <w:rPr>
          <w:rFonts w:ascii="SimSun" w:hAnsi="SimSun" w:eastAsia="SimSun" w:cs="SimSun"/>
          <w:color w:val="000000"/>
          <w:sz w:val="22"/>
        </w:rPr>
        <w:t xml:space="preserve">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2.地点：“苏采云”系统（网址：https://jszfcg.jsczt.cn/）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1.本项目获取招标文件截止日期之后仍可以下载招标文件，但截止日期之后下载的招标文件，视为非有效方式且不作为供应商权益受到损害的证明材料和依据。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2.单位负责人为同一人或存在直接控股、管理关系的不同供应商，不得参加同一合同项下的政府采购活动。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3.为采购项目提供整体设计、规范编制或者项目管理、监理、检测等服务的供应商，不得再参加该采购项目的其他采购活动。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参与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2"/>
        </w:rPr>
        <w:t xml:space="preserve">“苏采云”系统目前仅支持“苏采云”系统下的政务CA证书，江苏省内各地区办理的“苏采云”系统下的政务CA证书全省通用。</w:t>
      </w:r>
      <w:r>
        <w:rPr>
          <w:rFonts w:ascii="SimSun" w:hAnsi="SimSun" w:eastAsia="SimSun" w:cs="SimSun"/>
          <w:color w:val="000000"/>
          <w:sz w:val="22"/>
        </w:rPr>
        <w:t xml:space="preserve">苏州现场办理地址：苏州市高新区邓蔚路105号狮山科技馆一楼服务大厅，咨询电话：0512-65737699。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插入CA证书登录“苏采云”系统后选择具体项目，点击“我要参与”并签章提交《投标供应商确认函》，提交《投标供应商确认函》的日期视同为依法获取招标（采购）文件的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6.电子投标（响应）准备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CA技术咨询电话：400-608-6099；电子签章技术咨询服务电话：15380932027、15371015030、13675197356、 13675197221；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“苏采云”平台技术咨询电话：0512-69820854、0519-86722802、13914088964、18261002950。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7.本次采购的相关信息刊登在中国政府采购网、江苏政府采购网及苏州市政府采购网。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八、本次采购联系方式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称：苏州市吴江区七都镇人民政府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地址：苏州市吴江区七都镇七都大道1688号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联系人：孟凡金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联系方式：0512-63813119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地址：苏州市南园北路118号天和商务大厦6-206</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联系人：张瑾、丁亚萍、汪业超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联系方式：0512-65200361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ind w:lef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rPr>
        <w:t xml:space="preserve">投标人须知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本次政府采购活动采取公开招标（以下简称招标）方式，本招标文件仅适用于招标公告中所述项目。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满足招标公告中供应商资格要求的规定。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满足本招标文件实质性要求和条件。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4.1投标单位应自行承担所有与参加本次投标有关的费用，无论投标过程中的做法和结果如何，招标单位、苏州捷信招投标咨询有限公司（以下简称招标代理机构）在任何情况下均无义务和责任承担这些费用。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4.2因本次项目预算中已包含中标服务费，故本项目中标服务费由中标单位支付。本项目中标服务费为人民币贰万叁仟元整（小写：23000.00元）。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中标服务费账户名：苏州捷信招投标咨询有限公司，账号：543058195260，开户银行：中国银行苏州南园支行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请中标单位将公司开票信息以Word文档格式发送至邮箱：szjiexin2011@163.com。中标供应商凭已缴纳代理服务费的银行回单至代理机构领取成交通知书、合同。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本项目专家评审费用由招标单位支付。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5.1供应商一旦参加本项目采购活动，即被认为接受了本招标文件的规定和约束。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请仔细检查招标文件是否齐全，如有缺漏请立即与招标代理机构联系解决。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在投标文件提交截止时间之前，招标代理机构可以对招标文件进行澄清和修改， 澄清或者修改的内容作为招标文件的组成部分。澄清或者修改的内容可能影响投标文件编制的，招标代理机构将在提交首次投标文件截止时间至少15日前，在“苏州市政府采购网”上发布书面更正公告形式通知所有获取招标文件的潜在投标人， 更正公告内容将作为招标文件的组成部分，并对投标人具有约束力。不足15日的，招标代理机构将顺延提交首次投标文件截止时间。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7.2招标单位可以视采购项目的具体情况，组织投标单位进行现场考察或召开招标前答疑会，但不单独或分别组织只有一个投标单位参加的现场考察和答疑会。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8.1投标单位提交的投标文件以及投标单位与招标代理机构就有关招标的所有来往通知、函件和文件均应使用简体中文。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除技术性能另有规定外，投标文件所使用的度量衡单位，均须采用国家法定计量单位。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9.1投标单位编写的投标文件应包括资格证明文件、符合性证明文件、投标报价明细表、技术要求响应及偏离表、商务要求响应及偏离表、其他证明文件、投标函等部分。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9.1.1资格证明文件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（1）具有独立承担民事责任的能力证明。提供包括法人或者其他组织的营业执照等证明文件。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（2）具有良好的商业信誉和健全的财务会计制度证明，提供最近一期（2025年度）经审计的财务报告，或银行出具的资信证明，或财政部门认可的政府采购专业担保机构出具的投标担保函。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（3）履行合同所必备的设备和专业技术能力的证明材料或承诺。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（5）参加政府采购活动前三年内在经营活动中没有重大违法记录的书面声明函（格式见第六章）。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（6）《中小企业声明函》（格式见第六章）。</w:t>
      </w:r>
      <w:r>
        <w:rPr>
          <w:rFonts w:ascii="SimSun" w:hAnsi="SimSun" w:eastAsia="SimSun" w:cs="SimSun"/>
          <w:b/>
          <w:color w:val="000000"/>
          <w:sz w:val="22"/>
        </w:rPr>
        <w:t xml:space="preserve">未提供，不享受中小企业扶持政策；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（7）《残疾人福利性单位声明函》（格式见第六章）。</w:t>
      </w:r>
      <w:r>
        <w:rPr>
          <w:rFonts w:ascii="SimSun" w:hAnsi="SimSun" w:eastAsia="SimSun" w:cs="SimSun"/>
          <w:b/>
          <w:color w:val="000000"/>
          <w:sz w:val="22"/>
        </w:rPr>
        <w:t xml:space="preserve">未提供，视为非残疾人福利性单位，不视同小微企业，不享受残疾人福利性单位政策；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（8）监狱企业证明文件（格式见第六章），由省级以上监狱管理局、戒毒管理局（含新疆生产建设兵团）出具。</w:t>
      </w:r>
      <w:r>
        <w:rPr>
          <w:rFonts w:ascii="SimSun" w:hAnsi="SimSun" w:eastAsia="SimSun" w:cs="SimSun"/>
          <w:b/>
          <w:color w:val="000000"/>
          <w:sz w:val="22"/>
        </w:rPr>
        <w:t xml:space="preserve">未提供视为非监狱企业，不视同小微企业，不享受监狱企业政策。</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以上（1）—（5）项是资格审查要求必须提供的材料，如为专门面向中小企业的项目还必须提供（6）或（7）或（8）项资料，否则投标无效。本项目非专门面向中小企业采购。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9.1.2符合性证明文件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（2）关于资格文件的声明函（格式见第六章）。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（3）投标单位一般情况表（格式见第六章）。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（4）法定代表人身份证扫描件、授权代理人身份证扫描件（如有授权）、授权委托书（如有授权）（格式见第六章）。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（5）关于本单位与参与本次采购活动的其他供应商的负责人不是同一人，也不存在直接控股、管理关系的响应承诺函（格式自拟）。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（6）关于本单位没有为本采购项目提供整体设计、规范编制，以及项目管理、监理、检测等服务的响应承诺函（格式自拟）。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（7）《技术要求偏离表》《商务要求偏离表》（格式见第六章）。</w:t>
      </w:r>
      <w:r/>
    </w:p>
    <w:p>
      <w:pPr>
        <w:ind w:left="0" w:right="0" w:firstLine="0"/>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（8）《投入本项目人员配备一览表》《质保期满后三年内备品备件、易损件报价表》《售后服务承诺书》、投标（响应）保证承诺书（格式见第六章）</w:t>
      </w:r>
      <w:r/>
    </w:p>
    <w:p>
      <w:pPr>
        <w:ind w:left="0" w:right="0" w:firstLine="422"/>
        <w:spacing w:before="240" w:after="24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以上（1）－（8）为符合性审查必须提供的资料，否则投标无效。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9.1.3开标一览表、投标报价明细表（格式见第六章）。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以上未按要求提供的，视为投标无效。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9.1.4 综合评审文件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（1）评分标准中所涉及针对本项目的各项实施、服务方案、相关制度、证书、业绩、承诺函及其他材料、证明等。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9.1.5价格折扣文件（如有）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（1）非专门面向中小企业的项目如提供</w:t>
      </w:r>
      <w:r>
        <w:rPr>
          <w:rFonts w:ascii="SimSun" w:hAnsi="SimSun" w:eastAsia="SimSun" w:cs="SimSun"/>
          <w:color w:val="000000"/>
          <w:sz w:val="22"/>
          <w:u w:val="single"/>
        </w:rPr>
        <w:t xml:space="preserve">资格证明文件中（6）或（7）或（8）</w:t>
      </w:r>
      <w:r>
        <w:rPr>
          <w:rFonts w:ascii="SimSun" w:hAnsi="SimSun" w:eastAsia="SimSun" w:cs="SimSun"/>
          <w:color w:val="000000"/>
          <w:sz w:val="22"/>
        </w:rPr>
        <w:t xml:space="preserve">项材料，将按照评定成交标准享受价格评审优惠政策。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9.2 投标单位应保证上传的投标（响应）文件完整、清晰可辨认，若因上传资料过小或模糊不清等无法辨认的都视为该资料未提供。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投标单位必须保证全部响应资料的真实性，如有虚假或对招标文件所要求说明的情况故意隐瞒或虚报，视为不实质性响应招标文件，投标无效。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如标书制作工具中格式和内容与“苏州市政府采购网”发布的招标文件不一致，请以“苏州市政府采购网”发布的招标文件为准。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10.证明投标标的符合招标文件规定的文件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10.1投标单位应按照招标文件要求提交证明文件，证明其及投标标的符合招标文件规定。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10.2招标文件对证明文件无明确形式要求的，证明文件可以以文字资料、图纸和数据等形式提交。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11.1投标单位应按照招标文件规定格式填报投标报价明细表。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11.2响应货币。投标文件中的单价和总价无特殊规定的采用人民币报价，以元为单位标注。招标文件中另有规定的按规定执行。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12.技术要求响应及偏离表、商务要求响应及偏离表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12.1投标单位需对招标文件中的技术要求与商务要求逐项作出响应或偏离，并说明原因。如投标人投标文件中某些条款不响应招标文件提出的全部服务内容与要求，须在偏离表中逐条列出，未列出的视同响应。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12.2投标单位可在投标文件中提供认为需要的其他技术文件或说明。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13.服务承诺、培训计划、人员安排及其他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13.1投标单位需根据招标文件要求提供有关售后服务的管理制度，售后服务机构的分布情况，售后服务人员的数量、素质、技术水平及售后服务的反应能力等。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13.2投标单位根据招标文件要求提供培训计划。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13.3投标单位根据招标文件要求提供投标标的的主要组成部分、功能设计、实现思路及关键技术等。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14.1投标单位应按照招标文件中提供的格式完整、正确填写投标函。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15.1投标有效期为招标代理机构规定的提交投标文件截止之日后九十（90）天。投标有效期比规定短的将被视为非实质性响应招标文件而予以拒绝。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招标代理机构于原投标有效期满之前，可向供应商提出延长投标有效期的要求。这种要求与答复均应采用书面形式。投标单位可以拒绝招标代理机构的这一要求而放弃投标，同意延长投标有效期的投标单位既不能要求也不允许修改其投标文件。受投标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17.电子投标文件的编制与递交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17.2电子投标（响应）文件递交：投标人应当按照《操作手册》指引，在投标（响应）文件提交截止时间前完成电子投标（响应）文件的上传，未按要求成功上传的投标（响应）文件视为未递交。</w:t>
      </w:r>
      <w:r>
        <w:rPr>
          <w:rFonts w:ascii="SimSun" w:hAnsi="SimSun" w:eastAsia="SimSun" w:cs="SimSun"/>
          <w:color w:val="000000"/>
          <w:sz w:val="22"/>
        </w:rPr>
        <w:t xml:space="preserve">投标人应充分考虑到网络环境、网络带宽等风险因素，如因投标人自身原因造成的电子投标（响应）文件上传不成功由投标人自行承担全部责任。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17.3投标文件未按照招标文件要求加盖CA电子公章的，投标无效。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17.4联合体投标：如招标（采购）公告中允许联合体投标，联合体投标的投标（响应）文件制作上传操作如下：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第一步：在投标（响应）文件中上传联合体投标协议书。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第二步：在投标（响应）文件中，由联合体中的牵头人制作投标（响应）文件。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17.5如投标（响应）文件制作机器码信息一致，视为不同投标供应商使用同一台电脑编制投标（响应）文件，投标（响应）无效。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 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CA技术咨询服务电话：400-608-6099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电子签章技术咨询服务电话：15380932027、15371015030、13675197356、 13675197221“苏采云”平台技术咨询电话：0512-69820854、0519-86722802、13914088964、18261002950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18.提交投标文件截止时间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18.1投标单位上传电子投标（响应）文件的时间不得迟于招标公告中规定的提交投标（响应）文件截止时间。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投标单位应充分考虑到网络环境、网络带宽等风险因素，如因投标单位自身原因造成的电子投标（响应）文件上传不成功的作无效投标处理。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招标代理机构可以按照规定，通过修改招标文件酌情延长提交投标文件截止日期，在此情况下，供应商的所有权利和义务以及供应商受制的截止日期均应以延长后新的截止日期为准。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五、开标和评标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20.1本项目为不见面开标（开启）项目，开标阶段供应商在【解密环节】必须使用 CA 证书解密电子投标（响应）文件，请供应商确保电脑、系统及其他设备（视频输入输出设备等）无误，且开启直至项目结束，始终保持系统在线状态。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线上参加（观看）开标（开启）会方式：登录“苏采云”系统，点击“开标大厅”，选择对应项目，点击进入不见面开标系统。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开标时，投标人对开标过程和开标记录有疑义，或者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开标时，投标人应当按照《操作手册》规定，在“苏采云”系统规定的时间内对投标文件进行解密。等待开标流程进入“解锁环境”，点击“立即解密”进行标书解密，解锁完成后及时关注开标大厅，等待答疑澄清等提示，</w:t>
      </w:r>
      <w:r>
        <w:rPr>
          <w:rFonts w:ascii="SimSun" w:hAnsi="SimSun" w:eastAsia="SimSun" w:cs="SimSun"/>
          <w:b/>
          <w:color w:val="000000"/>
          <w:sz w:val="22"/>
        </w:rPr>
        <w:t xml:space="preserve">否则导致对投标人不利的后果由供应商自行承担。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开标时，由采购代理机构通过“苏采云”系统在线宣布投标人名称、投标价格和招标文件规定的需要宣布的其他内容。投标人在不见面开标系统中确认投标价格，如投标人未在线参加开标或未在规定时间内确认价格，视同认可开标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投标人在“苏采云”系统规定的时间内未成功解密电子投标文件的，</w:t>
      </w:r>
      <w:r>
        <w:rPr>
          <w:rFonts w:ascii="SimSun" w:hAnsi="SimSun" w:eastAsia="SimSun" w:cs="SimSun"/>
          <w:b/>
          <w:color w:val="000000"/>
          <w:sz w:val="22"/>
        </w:rPr>
        <w:t xml:space="preserve">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 投标人电脑环境最低要求：谷歌浏览器，版本可直接在在网上下载最新版本。如需收听现场语音，需配置放音设备；如视频直播、互动交流使用异常，请刷新网页，如仍无法解决，请联系技术支持。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 在投标文件提交截止时间，递交投标文件的投标人不足三家的，不得开标。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开标在招标文件规定的时间、地点进行，由采购人或采购代理机构主持，邀请投标人参加（观看），评标委员会成员不得参加开标活动。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21.资格审查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21.1开标结束后，采购人应当依法对投标人的资格进行审查，未通过资格审查的投标无效。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信用查询：根据《中华人民共和国政府采购法》及相关法律法规，以及苏州市财政局《关于印发苏州市市级政府采购信用记录查询和使用工作试行办法的通知》（苏财购〔2017〕11号）文件的规定，采购人、采购代理机构对供应商进行信用查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（1）查询时间：投标文件提交截止时间。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（2）查询渠道：通过“信用中国”“信用江苏”及“中国政府采购网” 上的信用信息查询供应商的信用记录。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（5）接受联合体的项目，两个以上的自然人、法人或者其他组织组成一个联合体，以一个投标人的身份共同参加政府采购活动。若联合体成员中有一名成员存在失信信息，则视同联合体存在失信信息。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22.1采购人或采购代理机构负责组织评标工作，评标委员会由采购人代表和评审专家组成，且人员构成符合政府采购有关规定，评标委员会负责具体评标事务，并独立履行职责。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22.2评审专家与参加采购活动的投标人存在下列利害关系之一的，应当回避：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（1）参加采购活动前三年内，与投标人存在劳动关系，或者担任过投标人的董事、监事，或者是投标人的控股股东或实际控制人；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（2）与投标人的法定代表人或者负责人有夫妻、直系血亲、三代以内旁系血亲或者近姻亲关系；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（3）与投标人有其他可能影响政府采购活动公平、公正进行的关系。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评审专家发现本人与参加采购活动的投标人有利害关系的，应当主动提出回避。采购人或者采购代理机构发现评审专家与参加采购活动的投标人有利害关系的，应当要求其回避。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22.4评标委员会成员应当按照客观、公正、审慎的原则，根据采购文件规定的评审程序、评审方法和评审标准进行独立评审。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评标委员会应当对符合资格的投标人的投标文件进行符合性审查，以确定其是否满足招标文件的实质性要求。</w:t>
      </w:r>
      <w:r>
        <w:rPr>
          <w:rFonts w:ascii="SimSun" w:hAnsi="SimSun" w:eastAsia="SimSun" w:cs="SimSun"/>
          <w:b/>
          <w:color w:val="000000"/>
          <w:sz w:val="22"/>
        </w:rPr>
        <w:t xml:space="preserve">未满足本项目实质性要求的认定为无效投标。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23.2投标文件的比较和评价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（1）评标委员会应当按照招标文件中规定的评标方法和标准，对符合性审查合格的投标文件进行商务和技术评估，综合比较与评价。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办法和标准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（3）价格修正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投标文件报价出现前后不一致的，除招标文件另有规定外，按下列规定修正：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修正后的报价按照《中华人民共和国财政部令第87号》第五十一条第二款的规定经投标人确认后产生约束力，投标人不确认的，其投标无效。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根据财政部《关于推动解决政府采购异常低价问题的通知》（财库〔2026〕2号）规定，实施政府采购异常低价审查：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w:t>
      </w:r>
      <w:r>
        <w:rPr>
          <w:rFonts w:ascii="SimSun" w:hAnsi="SimSun" w:eastAsia="SimSun" w:cs="SimSun"/>
          <w:b/>
          <w:color w:val="000000"/>
          <w:sz w:val="22"/>
        </w:rPr>
        <w:t xml:space="preserve">线上澄清。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ascii="SimSun" w:hAnsi="SimSun" w:eastAsia="SimSun" w:cs="SimSun"/>
          <w:b/>
          <w:color w:val="000000"/>
          <w:sz w:val="22"/>
        </w:rPr>
        <w:t xml:space="preserve">未加盖CA电子公章的澄清无效。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（3）接到澄清、说明和更正要求的供应商如未按规定作出澄清、说明和更正，其风险由供应商自行承担。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出现下列情形之一的，应予废标：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废标后，采购人应当将废标理由通知所有投标人。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w:t>
      </w:r>
      <w:r>
        <w:rPr>
          <w:rFonts w:ascii="SimSun" w:hAnsi="SimSun" w:eastAsia="SimSun" w:cs="SimSun"/>
          <w:color w:val="000000"/>
          <w:sz w:val="22"/>
          <w:highlight w:val="white"/>
        </w:rPr>
        <w:t xml:space="preserve">评标委员会根据供应商资格审查及符合性审查情况，按照评标办法和标准对通过资格审查及符合性审查的投标文件进行综合评审。具体评分方法、评分标准详见第五章。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w:t>
      </w:r>
      <w:r>
        <w:rPr>
          <w:rFonts w:ascii="SimSun" w:hAnsi="SimSun" w:eastAsia="SimSun" w:cs="SimSun"/>
          <w:color w:val="000000"/>
          <w:sz w:val="22"/>
          <w:highlight w:val="white"/>
        </w:rPr>
        <w:t xml:space="preserve">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25.4中标通知书发出后，采购人不得违法改变中标结果，中标人无正当理由不得放弃中标。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26.履约保证金</w:t>
      </w:r>
      <w:r>
        <w:rPr>
          <w:rFonts w:ascii="SimSun" w:hAnsi="SimSun" w:eastAsia="SimSun" w:cs="SimSun"/>
          <w:color w:val="000000"/>
          <w:sz w:val="22"/>
        </w:rPr>
        <w:t xml:space="preserve">：详见本招标文件合同文本中的约定。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27.1采购人原则上应当自中标通知书发出之日起15日内（最迟30日内），按照招标文件及投标文件规定与中标人签订政府采购合同。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27.3采购合同履行中，采购人需追加与合同标的相同的服务或货物的，在不改变合同其他条款的前提下，可以与供应商协商签订补充合同，但所有补充合同的采购金额不得超过原合同采购金额的百分之十。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28.1评委会、招标单位和招标代理机构、相关监督人员等与评审工作有关的人员，对评审情况以及在评审过程中获悉的国家秘密、商业秘密负有保密责任。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28.2在评审过程中，投标单位不得以任何行为影响评标过程，否则其投标文件将被作为无效投标文件。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招标代理机构和评委会不向未中标的投标人解释未中标原因，也不公布评标过程中的相关细节。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 质疑及答复遵守《政府采购质疑和投诉办法》（中华人民共和国财政部令第 94 号）规定。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94号）以书面形式向采购人、代理机构提出质疑。采购代理机构应当在收到投标单位书面质疑函后七个工作日内作出答复。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 提出质疑的投标单位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投标供应商确认函》，未提供的视为未依照招标公告要求获取招标文件的供应商，不具备对该政府采购项目提出质疑的法定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供应商应当在法定质疑期内一次性提出针对同一采购程序环节的质疑。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29.5 接收质疑函的方式为书面形式（当场送达或邮寄方式）。供应商质疑函范本格式请参照“苏州市政府采购”网站——“下载中心”——“政府采购供应商质疑函范本”。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质疑联系部门：苏州捷信招投标咨询有限公司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联系电话：0512-65200361   联系人：王慧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通讯地址：苏州南园北路天和商务大厦6-206室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30.未尽事宜：</w:t>
      </w:r>
      <w:r>
        <w:rPr>
          <w:rFonts w:ascii="SimSun" w:hAnsi="SimSun" w:eastAsia="SimSun" w:cs="SimSun"/>
          <w:color w:val="000000"/>
          <w:sz w:val="22"/>
        </w:rPr>
        <w:t xml:space="preserve">按《中华人民共和国政府采购法》及其他有关法律法规的规定执行。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422"/>
        <w:jc w:val="both"/>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第三章合同文本</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1"/>
        <w:gridCol w:w="4989"/>
      </w:tblGrid>
      <w:tr>
        <w:trPr>
          <w:trHeight w:val="67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rPr>
              <w:t xml:space="preserve"> </w:t>
            </w:r>
            <w:r/>
          </w:p>
        </w:tc>
      </w:tr>
      <w:tr>
        <w:trPr>
          <w:trHeight w:val="6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8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依据甲方委托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1"/>
          <w:u w:val="single"/>
        </w:rPr>
        <w:t xml:space="preserve"> </w:t>
      </w:r>
      <w:r>
        <w:rPr>
          <w:rFonts w:ascii="SimSun" w:hAnsi="SimSun" w:eastAsia="SimSun" w:cs="SimSun"/>
          <w:color w:val="000000"/>
          <w:sz w:val="22"/>
        </w:rPr>
        <w:t xml:space="preserve">进行本项目政府采购</w:t>
      </w:r>
      <w:r>
        <w:rPr>
          <w:rFonts w:ascii="SimSun" w:hAnsi="SimSun" w:eastAsia="SimSun" w:cs="SimSun"/>
          <w:color w:val="000000"/>
          <w:sz w:val="22"/>
          <w:u w:val="single"/>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的招标结果，确定乙方为本项目中标单位，现依照招标文件、乙方的投标文件及相关文件的内容，签订本合同书。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1.项目内容</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合计金额大写：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2.以下文件是构成本合同不可分割的部分：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2.1本项目招标文件；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2.3中标供应商投标文件；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2.4中标供应商做出的有关澄清、说明或者补正文件；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2.5确定中标供应商的文件（包括但不限于中标通知书、成交通知书等）；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2.7以上条款对同一内容的约定如有不一致，以顺序在先者为准。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1.合同金额为：</w:t>
      </w:r>
      <w:r>
        <w:rPr>
          <w:rFonts w:ascii="SimSun" w:hAnsi="SimSun" w:eastAsia="SimSun" w:cs="SimSun"/>
          <w:color w:val="000000"/>
          <w:sz w:val="22"/>
          <w:u w:val="single"/>
        </w:rPr>
        <w:t xml:space="preserve">（大写）人民币元，小写：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合同总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三、付款约定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1.甲方根据乙方在本合同中所提供银行开户信息转账支付。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乙方开户名称：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2.合同价款的支付及付款方式：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付款步骤：在政府采购合同签订生效后，由甲方预付合同金额30%货款给乙方（如为代理商中标，甲方支付预付款前，乙方须提供与车辆厂家签订的合同或协议；乙方向甲方提供发票或收据后支付）；待全部货物到达甲方指定地点，经验收合格，并向甲方提供下列单据（A、B、C）后，由甲方向乙方支付合同总金额的30%，验收满一年后甲方向乙方支付合同总金额的30%，余款在验收满两年后一次性付清（具体支付金额以甲方财政支付要求为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2.2付款方式：乙方须提供合格的销售发票（发票需符合税务部门及甲方的要求，否则甲方有权延期付款），以转账等方式支付。</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2.3根据国家现行税法对甲方征收的与本合同有关的税费均由甲方承担；根据国家现行税法对乙方征收的与本合同有关的一切税费均由乙方承担。</w:t>
      </w:r>
      <w:r/>
    </w:p>
    <w:p>
      <w:pPr>
        <w:numPr>
          <w:ilvl w:val="0"/>
          <w:numId w:val="6"/>
        </w:numPr>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四、交付时间、地点、方式：</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1.交付方式：所有合同货物均由乙方装运至甲方指定地点，所有货物的包装费用、运输费用及运输安全均由乙方负责。货物装运后由乙方办理保险，费用已含在合同总价中。</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2.交货期限：自合同签订生效后90个工作日内完成全部采购内容的供货安装调试并交付正常使用，具体根据甲方要求。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3.保修期：要求整车质保1年（招标文件具体技术要求另有说明的除外），免费保修期为自货物交验后计算，产生设备的损坏和故障，由乙方负责免费更换或维修。</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4.交货地点：具体按甲方指定地点。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6.所有货物的外观、包装、运输应按国家规定或部颁标准执行。任何由于乙方包装及保护措施不足或不当以及其他原因造成的损坏或丢失，均由乙方负责修复或补缺。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7.货物交货时，包装须完整无破损，乙方还必须提供以下材料：</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A.货物装箱清单                    B、质量检验合格文件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C.中英文技术资料                  D、使用维修保养中文说明书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E.其他必备材料和工具等        F、保修单等其他必须材料</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8.如因甲方原因货物不能在规定时间内进场，乙方承诺免费提供货物寄存场所一个月，货物寄存于乙方仓库。如超过一个月时间，所产生的仓储费用双方将协商另计。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五、标的物的一般条款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1.完整物权：</w:t>
      </w: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2.质量保证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.1 </w:t>
      </w:r>
      <w:r>
        <w:rPr>
          <w:rFonts w:ascii="SimSun" w:hAnsi="SimSun" w:eastAsia="SimSun" w:cs="SimSun"/>
          <w:color w:val="000000"/>
          <w:sz w:val="22"/>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 </w:t>
      </w:r>
      <w:r>
        <w:rPr>
          <w:rFonts w:ascii="SimSun" w:hAnsi="SimSun" w:eastAsia="SimSun" w:cs="SimSun"/>
          <w:color w:val="000000"/>
          <w:sz w:val="22"/>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 </w:t>
      </w:r>
      <w:r>
        <w:rPr>
          <w:rFonts w:ascii="SimSun" w:hAnsi="SimSun" w:eastAsia="SimSun" w:cs="SimSun"/>
          <w:color w:val="000000"/>
          <w:sz w:val="22"/>
        </w:rPr>
        <w:t xml:space="preserve">除合同特殊条款规定外，合同条款中标的物的质量保证期均自相应批次标的物交货并通过最终验收之日起计算，具体以招标文件中规定的质量保证期为准或以中标单位承诺的高于招标要求的质量保证期为准。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3.包装：</w:t>
      </w: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4.伴随服务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rPr>
          <w:rFonts w:ascii="SimSun" w:hAnsi="SimSun" w:eastAsia="SimSun" w:cs="SimSun"/>
          <w:color w:val="000000"/>
          <w:sz w:val="22"/>
        </w:rPr>
        <w:t xml:space="preserve">乙方除应履行按期按量交付合格标的物的义务之外，还应提供下列服务。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w:t>
      </w:r>
      <w:r>
        <w:rPr>
          <w:rFonts w:ascii="SimSun" w:hAnsi="SimSun" w:eastAsia="SimSun" w:cs="SimSun"/>
          <w:color w:val="000000"/>
          <w:sz w:val="22"/>
        </w:rPr>
        <w:t xml:space="preserve">标的物的现场启动、调试、监督；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w:t>
      </w:r>
      <w:r>
        <w:rPr>
          <w:rFonts w:ascii="SimSun" w:hAnsi="SimSun" w:eastAsia="SimSun" w:cs="SimSun"/>
          <w:color w:val="000000"/>
          <w:sz w:val="22"/>
        </w:rPr>
        <w:t xml:space="preserve">提供标的物组装和一般维修所必须的工具；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w:t>
      </w:r>
      <w:r>
        <w:rPr>
          <w:rFonts w:ascii="SimSun" w:hAnsi="SimSun" w:eastAsia="SimSun" w:cs="SimSun"/>
          <w:color w:val="000000"/>
          <w:sz w:val="22"/>
        </w:rPr>
        <w:t xml:space="preserve">在合同规定的期限内对所提供标的物实行运行监督、维修服务的前提条件是该服务并不能免除乙方在质量保证期内所承担的义务；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w:t>
      </w:r>
      <w:r>
        <w:rPr>
          <w:rFonts w:ascii="SimSun" w:hAnsi="SimSun" w:eastAsia="SimSun" w:cs="SimSun"/>
          <w:color w:val="000000"/>
          <w:sz w:val="22"/>
        </w:rPr>
        <w:t xml:space="preserve">对甲方技术人员的技术指导或培训。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color w:val="000000"/>
          <w:sz w:val="22"/>
        </w:rPr>
        <w:t xml:space="preserve">除合同另有规定之外，伴随服务的费用均已含在合同价款中，甲方不再另行进行支付。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5.标的物的交付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标的物的所有权自标的物交付时转移。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乙方应当按照约定的期限和约定的地点交付标的物。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乙方应当按照约定或者交易习惯向甲方交付提取标的物单证以外的有关单证和资料。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6.对标的物提出异议的时间和办法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.1 </w:t>
      </w:r>
      <w:r>
        <w:rPr>
          <w:rFonts w:ascii="SimSun" w:hAnsi="SimSun" w:eastAsia="SimSun" w:cs="SimSun"/>
          <w:color w:val="000000"/>
          <w:sz w:val="22"/>
        </w:rPr>
        <w:t xml:space="preserve">甲方在验收过程中，应当于双方约定的检验期间内将标的物的数量或质量不符合约定的情形及处理方式以书面形式通知乙方。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.2 </w:t>
      </w:r>
      <w:r>
        <w:rPr>
          <w:rFonts w:ascii="SimSun" w:hAnsi="SimSun" w:eastAsia="SimSun" w:cs="SimSun"/>
          <w:color w:val="000000"/>
          <w:sz w:val="22"/>
        </w:rPr>
        <w:t xml:space="preserve">如甲方在验收期满后既不出具验收合格证明又未提出书面异议的视为乙方所交标的物符合合同规定。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.3 </w:t>
      </w:r>
      <w:r>
        <w:rPr>
          <w:rFonts w:ascii="SimSun" w:hAnsi="SimSun" w:eastAsia="SimSun" w:cs="SimSun"/>
          <w:color w:val="000000"/>
          <w:sz w:val="22"/>
        </w:rPr>
        <w:t xml:space="preserve">乙方应在收到甲方书面异议后2天内（双方在合同特殊条款另有规定的除外）负责处理问题，否则将视为默认甲方提出的异议和处理意见。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六、验收要求：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1.履约验收标准：根据政府采购合同要求、招标文件要求、投标文件、承诺及有关行业规定。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2.履约验收主体：由甲方或委托专家（或第三方机构）组成的验收小组进行验收。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4.验收时间：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4.1政府采购合同约定的履约验收条件达到时，甲方应当在 5 个工作日内启动履约验收工作，并向乙方发出《政府采购履约验收通知单》。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在政府采购合同约定的履行验收条件达成时，乙方可以主动联系甲方启动履约验收工作。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5.其他验收要求按照《江苏省政府采购履约验收管理办法》规定执行。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七、售后服务及其他要求：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1.具体按照招标文件售后服务条款执行。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2.其他要求按照乙方投标文件承诺的条款执行。</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八、税费：</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1.根据国家有关税务法律法规和规定，乙方应缴纳的与本合同有关的所有税费均由乙方承担。</w:t>
      </w:r>
      <w:r/>
    </w:p>
    <w:p>
      <w:pPr>
        <w:ind w:left="0" w:right="0" w:firstLine="0"/>
        <w:spacing w:before="24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2.本合同价格为含税价。乙方提供的所有货物、技术资料、技术服务、进口设备/部件等所有税费，已全部包含在合同价格内，由乙方承担。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九、甲乙双方的权利与义务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1.甲方的权利与义务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1.1根据甲方服务管理要求及乙方的相关承诺，对乙方提供的服务及履行本合同情况实行验收考核。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1.2甲方有义务在适当的范围内公开考核结果。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1.3因突发情况，甲方需调动乙方人员和器材设备时，乙方应服从安排予以配合。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2.乙方的权利与义务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2.1乙方根据国家标准、行业标准和规范要求及标书规定的服务质量标准和有关要求，积极主动保质保量地完成服务工作。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2.2接受并主动配合甲方及行业主管部门的检查。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2.3服务范围之外的突击性、突发性工作，乙方须服从甲方的安排，不得无故拖延。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2.4因乙方管理不善而损坏的硬件、设施应负责及时修复，或照价赔偿。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2.5乙方应做好详细的管理台账，建立管理档案，并按双方约定将管理情况汇总报送甲方。</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2.6乙方加强安全生产工作，确保全年不出安全生产责任事故。如发生安全生产责任事故、工伤事故和交通事故等，由乙方承担一切责任及损失。</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2.7乙方必须自觉接受甲方及其它管理部门的管理、监督和检查，如遇突发事故或重大活动的突击任务，须无条件服从采购单位的安排。</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项目服务期间，如区域范围内有新增企业，乙方需听从甲方意见，负责所有企业的清运工作，后期不增加任何费用。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十、违约责任：</w:t>
      </w:r>
      <w:r>
        <w:rPr>
          <w:rFonts w:ascii="SimSun" w:hAnsi="SimSun" w:eastAsia="SimSun" w:cs="SimSun"/>
          <w:color w:val="000000"/>
          <w:sz w:val="22"/>
        </w:rPr>
        <w:t xml:space="preserve">合同一方不履行合同义务或者履行合同义务不符合约定的，应当承担继续履行、采取补救措施或者赔偿损失等违约责任。相关违约赔偿由甲乙双方协商确定。甲乙双方按照《中华人民共和国民法典》的规定承担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1.2招标文件或合同约定或法律规定的解除合同的情形。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2.政府采购合同继续履行将损害国家利益和社会公共利益，甲方有权变更、中止、终止或解除合同。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3.合同的部分和全部都不得转让，否则甲方有权单方解除合同。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权解除合同的一方，应当在其知道或者应当知道解除事由之日起【一年】内书面通知对方解除合同；另一方如有异议，应当在解除合同通知到达之日起【7】日内提出异议，否则视为无异议，合同自异议期满之次日起即告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1.不可抗力指下列事件：战争、动乱、瘟疫、严重火灾、洪水、地震、风暴或其他自然灾害，以及本合同各方不可预见、不可防止并不能或克服的一切其他因素及事件。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须同时提供由公证机关出具的公证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4.合同各方应根据不可抗力对本合同履行的影响程度，协商确定是否终止本合同，或继续履行本合同。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1.任何一方对其获知的本合同及附件中其他各方的商业秘密和国家秘密等非公开信息负有保密义务。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除此之外，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十四、争议的解决：</w:t>
      </w:r>
      <w:r>
        <w:rPr>
          <w:rFonts w:ascii="SimSun" w:hAnsi="SimSun" w:eastAsia="SimSun" w:cs="SimSun"/>
          <w:color w:val="000000"/>
          <w:sz w:val="22"/>
        </w:rPr>
        <w:t xml:space="preserve">与本合同有关的一切争议，双方应通过友好协商解决。如果经协商不能达成协议，可以向甲方所在地人民法院起诉。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1.甲乙双方签章之日起生效。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2.本合同一式贰份，甲方壹份、乙方壹份。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包括本文件及其附件中的所有部分，招标文件、中标的投标（响应）文件、中标（成交）通知书、中标（成交）人在招标（采购）过程中的澄清和承诺等均为本合同不可缺少的组成部分。本合同履行过程中发生相关修改内容，须符合《中华人民共和国政府采购法》和相关法律法规规定；补充协议作为本合同不可分割的一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2466"/>
      </w:tblGrid>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法定（授权）代表人（签字）：</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6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苏州捷信招投标咨询有限公司受苏州市吴江区七都镇人民政府的委托，就大跨距举高喷射消防车（JSZC-320509-SZJX-G2026-0049）在国内组织公开招标。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一、项目编号</w:t>
      </w:r>
      <w:r>
        <w:rPr>
          <w:rFonts w:ascii="SimSun" w:hAnsi="SimSun" w:eastAsia="SimSun" w:cs="SimSun"/>
          <w:color w:val="000000"/>
          <w:sz w:val="22"/>
        </w:rPr>
        <w:t xml:space="preserve">：JSZC-320509-SZJX-G2026-0049号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二、项目名称</w:t>
      </w:r>
      <w:r>
        <w:rPr>
          <w:rFonts w:ascii="SimSun" w:hAnsi="SimSun" w:eastAsia="SimSun" w:cs="SimSun"/>
          <w:color w:val="000000"/>
          <w:sz w:val="22"/>
        </w:rPr>
        <w:t xml:space="preserve">：大跨距举高喷射消防车</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三、标段划分</w:t>
      </w:r>
      <w:r>
        <w:rPr>
          <w:rFonts w:ascii="SimSun" w:hAnsi="SimSun" w:eastAsia="SimSun" w:cs="SimSun"/>
          <w:color w:val="000000"/>
          <w:sz w:val="22"/>
        </w:rPr>
        <w:t xml:space="preserve">：本项目招标分为一个标段。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color w:val="000000"/>
          <w:sz w:val="22"/>
        </w:rPr>
        <w:t xml:space="preserve">预算金额：人民币肆佰柒拾万元整（小写：4700000.00元）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最高限价：人民币肆佰柒拾万元整（小写：4700000.00元）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w:t>
      </w:r>
      <w:r>
        <w:rPr>
          <w:rFonts w:ascii="SimSun" w:hAnsi="SimSun" w:eastAsia="SimSun" w:cs="SimSun"/>
          <w:color w:val="000000"/>
          <w:sz w:val="22"/>
        </w:rPr>
        <w:t xml:space="preserve">合同履行期限：自合同签订生效之日起</w:t>
      </w:r>
      <w:r>
        <w:rPr>
          <w:rFonts w:ascii="SimSun" w:hAnsi="SimSun" w:eastAsia="SimSun" w:cs="SimSun"/>
          <w:color w:val="000000"/>
          <w:sz w:val="21"/>
        </w:rPr>
        <w:t xml:space="preserve"> </w:t>
      </w:r>
      <w:r>
        <w:rPr>
          <w:rFonts w:ascii="SimSun" w:hAnsi="SimSun" w:eastAsia="SimSun" w:cs="SimSun"/>
          <w:color w:val="000000"/>
          <w:sz w:val="22"/>
        </w:rPr>
        <w:t xml:space="preserve">90个工作日内完成全部采购内容的供货、安装、调试并交付正常使用，具体根据招标单位要求；整车质保1年，免费保修期自货物验收合格之日起计算。</w:t>
      </w:r>
      <w:r/>
    </w:p>
    <w:p>
      <w:pPr>
        <w:ind w:left="0" w:right="0" w:firstLine="42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六、项目招标需求：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1.项目概况：车辆采购，用于区域消防站灭火救援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2.采购清单：</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516"/>
        <w:gridCol w:w="1079"/>
        <w:gridCol w:w="1053"/>
        <w:gridCol w:w="2930"/>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不接受整车进口产品投标</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3.具体技术要求：</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1855"/>
        <w:gridCol w:w="4588"/>
        <w:gridCol w:w="11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基本数据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外廓尺寸：</w:t>
            </w:r>
            <w:r>
              <w:rPr>
                <w:rFonts w:ascii="SimSun" w:hAnsi="SimSun" w:eastAsia="SimSun" w:cs="SimSun"/>
                <w:color w:val="1f497d" w:themeColor="text2"/>
                <w:sz w:val="22"/>
              </w:rPr>
              <w:t xml:space="preserve">车长≤</w:t>
            </w:r>
            <w:r>
              <w:rPr>
                <w:rFonts w:ascii="SimHei" w:hAnsi="SimHei" w:eastAsia="SimHei" w:cs="SimHei"/>
                <w:color w:val="1f497d" w:themeColor="text2"/>
                <w:sz w:val="22"/>
              </w:rPr>
              <w:t xml:space="preserve">16000mm</w:t>
            </w:r>
            <w:r>
              <w:rPr>
                <w:color w:val="1f497d" w:themeColor="text2"/>
              </w:rPr>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支腿横向跨距：</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13000mm</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臂架额定载荷≥</w:t>
            </w:r>
            <w:r>
              <w:rPr>
                <w:rFonts w:ascii="SimHei" w:hAnsi="SimHei" w:eastAsia="SimHei" w:cs="SimHei"/>
                <w:color w:val="000000"/>
                <w:sz w:val="22"/>
              </w:rPr>
              <w:t xml:space="preserve">200kg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最大允许风速≥</w:t>
            </w:r>
            <w:r>
              <w:rPr>
                <w:rFonts w:ascii="SimHei" w:hAnsi="SimHei" w:eastAsia="SimHei" w:cs="SimHei"/>
                <w:color w:val="000000"/>
                <w:sz w:val="22"/>
              </w:rPr>
              <w:t xml:space="preserve">12.5m/s</w:t>
            </w: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级）</w:t>
              <w:tab/>
              <w:tab/>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满载质量：</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52000kg</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最大工作高度：≥</w:t>
            </w:r>
            <w:r>
              <w:rPr>
                <w:rFonts w:ascii="SimHei" w:hAnsi="SimHei" w:eastAsia="SimHei" w:cs="SimHei"/>
                <w:color w:val="000000"/>
                <w:sz w:val="22"/>
              </w:rPr>
              <w:t xml:space="preserve">53m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驱动形式：≥</w:t>
            </w:r>
            <w:r>
              <w:rPr>
                <w:rFonts w:ascii="SimHei" w:hAnsi="SimHei" w:eastAsia="SimHei" w:cs="SimHei"/>
                <w:color w:val="000000"/>
                <w:sz w:val="22"/>
              </w:rPr>
              <w:t xml:space="preserve">8</w:t>
            </w:r>
            <w:r>
              <w:rPr>
                <w:rFonts w:ascii="SimSun" w:hAnsi="SimSun" w:eastAsia="SimSun" w:cs="SimSun"/>
                <w:color w:val="000000"/>
                <w:sz w:val="22"/>
              </w:rPr>
              <w:t xml:space="preserve">×</w:t>
            </w:r>
            <w:r>
              <w:rPr>
                <w:rFonts w:ascii="SimHei" w:hAnsi="SimHei" w:eastAsia="SimHei" w:cs="SimHei"/>
                <w:color w:val="000000"/>
                <w:sz w:val="22"/>
              </w:rPr>
              <w:t xml:space="preserve">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2.</w:t>
            </w:r>
            <w:r>
              <w:rPr>
                <w:rFonts w:ascii="SimSun" w:hAnsi="SimSun" w:eastAsia="SimSun" w:cs="SimSun"/>
                <w:color w:val="000000"/>
                <w:sz w:val="22"/>
              </w:rPr>
              <w:t xml:space="preserve">排放标准：国六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3.</w:t>
            </w:r>
            <w:r>
              <w:rPr>
                <w:rFonts w:ascii="SimSun" w:hAnsi="SimSun" w:eastAsia="SimSun" w:cs="SimSun"/>
                <w:color w:val="000000"/>
                <w:sz w:val="22"/>
              </w:rPr>
              <w:t xml:space="preserve">发动机额定功率：≥</w:t>
            </w:r>
            <w:r>
              <w:rPr>
                <w:rFonts w:ascii="SimHei" w:hAnsi="SimHei" w:eastAsia="SimHei" w:cs="SimHei"/>
                <w:color w:val="000000"/>
                <w:sz w:val="22"/>
              </w:rPr>
              <w:t xml:space="preserve">405kW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变速箱：自动换挡变速箱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制动系统：带防抱死（</w:t>
            </w:r>
            <w:r>
              <w:rPr>
                <w:rFonts w:ascii="SimHei" w:hAnsi="SimHei" w:eastAsia="SimHei" w:cs="SimHei"/>
                <w:color w:val="000000"/>
                <w:sz w:val="22"/>
              </w:rPr>
              <w:t xml:space="preserve">ABS</w:t>
            </w:r>
            <w:r>
              <w:rPr>
                <w:rFonts w:ascii="SimSun" w:hAnsi="SimSun" w:eastAsia="SimSun" w:cs="SimSun"/>
                <w:color w:val="000000"/>
                <w:sz w:val="22"/>
              </w:rPr>
              <w:t xml:space="preserve">）功能和加速防滑控制（</w:t>
            </w:r>
            <w:r>
              <w:rPr>
                <w:rFonts w:ascii="SimHei" w:hAnsi="SimHei" w:eastAsia="SimHei" w:cs="SimHei"/>
                <w:color w:val="000000"/>
                <w:sz w:val="22"/>
              </w:rPr>
              <w:t xml:space="preserve">TCS</w:t>
            </w:r>
            <w:r>
              <w:rPr>
                <w:rFonts w:ascii="SimSun" w:hAnsi="SimSun" w:eastAsia="SimSun" w:cs="SimSun"/>
                <w:color w:val="000000"/>
                <w:sz w:val="22"/>
              </w:rPr>
              <w:t xml:space="preserve">）功能前后盘式制动器双回路压缩空气制动、缸内制动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rPr>
                <w:rFonts w:ascii="SimSun" w:hAnsi="SimSun" w:eastAsia="SimSun" w:cs="SimSun"/>
                <w:color w:val="000000"/>
                <w:sz w:val="22"/>
              </w:rPr>
              <w:t xml:space="preserve">电气系统：发电机 </w:t>
            </w:r>
            <w:r>
              <w:rPr>
                <w:rFonts w:ascii="SimHei" w:hAnsi="SimHei" w:eastAsia="SimHei" w:cs="SimHei"/>
                <w:color w:val="000000"/>
                <w:sz w:val="22"/>
              </w:rPr>
              <w:t xml:space="preserve">28V/150A</w:t>
            </w:r>
            <w:r>
              <w:rPr>
                <w:rFonts w:ascii="SimSun" w:hAnsi="SimSun" w:eastAsia="SimSun" w:cs="SimSun"/>
                <w:color w:val="000000"/>
                <w:sz w:val="22"/>
              </w:rPr>
              <w:t xml:space="preserve">蓄电池 </w:t>
            </w:r>
            <w:r>
              <w:rPr>
                <w:rFonts w:ascii="SimHei" w:hAnsi="SimHei" w:eastAsia="SimHei" w:cs="SimHei"/>
                <w:color w:val="000000"/>
                <w:sz w:val="22"/>
              </w:rPr>
              <w:t xml:space="preserve">2</w:t>
            </w:r>
            <w:r>
              <w:rPr>
                <w:rFonts w:ascii="SimSun" w:hAnsi="SimSun" w:eastAsia="SimSun" w:cs="SimSun"/>
                <w:color w:val="000000"/>
                <w:sz w:val="22"/>
              </w:rPr>
              <w:t xml:space="preserve">×</w:t>
            </w:r>
            <w:r>
              <w:rPr>
                <w:rFonts w:ascii="SimHei" w:hAnsi="SimHei" w:eastAsia="SimHei" w:cs="SimHei"/>
                <w:color w:val="000000"/>
                <w:sz w:val="22"/>
              </w:rPr>
              <w:t xml:space="preserve">12V/225Ah</w:t>
            </w:r>
            <w:r>
              <w:rPr>
                <w:rFonts w:ascii="SimSun" w:hAnsi="SimSun" w:eastAsia="SimSun" w:cs="SimSun"/>
                <w:color w:val="000000"/>
                <w:sz w:val="22"/>
              </w:rPr>
              <w:t xml:space="preserve">电瓶驾驶室内配有电源总开关。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rPr>
                <w:rFonts w:ascii="SimSun" w:hAnsi="SimSun" w:eastAsia="SimSun" w:cs="SimSun"/>
                <w:color w:val="000000"/>
                <w:sz w:val="22"/>
              </w:rPr>
              <w:t xml:space="preserve">燃油系统：≥</w:t>
            </w:r>
            <w:r>
              <w:rPr>
                <w:rFonts w:ascii="SimHei" w:hAnsi="SimHei" w:eastAsia="SimHei" w:cs="SimHei"/>
                <w:color w:val="000000"/>
                <w:sz w:val="22"/>
              </w:rPr>
              <w:t xml:space="preserve">400</w:t>
            </w:r>
            <w:r>
              <w:rPr>
                <w:rFonts w:ascii="SimSun" w:hAnsi="SimSun" w:eastAsia="SimSun" w:cs="SimSun"/>
                <w:color w:val="000000"/>
                <w:sz w:val="22"/>
              </w:rPr>
              <w:t xml:space="preserve">升铝合金主油箱，≥</w:t>
            </w:r>
            <w:r>
              <w:rPr>
                <w:rFonts w:ascii="SimHei" w:hAnsi="SimHei" w:eastAsia="SimHei" w:cs="SimHei"/>
                <w:color w:val="000000"/>
                <w:sz w:val="22"/>
              </w:rPr>
              <w:t xml:space="preserve">45L</w:t>
            </w:r>
            <w:r>
              <w:rPr>
                <w:rFonts w:ascii="SimSun" w:hAnsi="SimSun" w:eastAsia="SimSun" w:cs="SimSun"/>
                <w:color w:val="000000"/>
                <w:sz w:val="22"/>
              </w:rPr>
              <w:t xml:space="preserve">尿素箱。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驾驶室及乘员室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乘员</w:t>
            </w:r>
            <w:r>
              <w:rPr>
                <w:rFonts w:ascii="SimHei" w:hAnsi="SimHei" w:eastAsia="SimHei" w:cs="SimHei"/>
                <w:color w:val="000000"/>
                <w:sz w:val="22"/>
              </w:rPr>
              <w:t xml:space="preserve">2</w:t>
            </w:r>
            <w:r>
              <w:rPr>
                <w:rFonts w:ascii="SimSun" w:hAnsi="SimSun" w:eastAsia="SimSun" w:cs="SimSun"/>
                <w:color w:val="000000"/>
                <w:sz w:val="22"/>
              </w:rPr>
              <w:t xml:space="preserve">人驾驶室电动翻转装置中控门锁电动调节可加热后视镜，副驾驶员侧可加热广角后视镜暖风</w:t>
            </w:r>
            <w:r>
              <w:rPr>
                <w:rFonts w:ascii="SimHei" w:hAnsi="SimHei" w:eastAsia="SimHei" w:cs="SimHei"/>
                <w:color w:val="000000"/>
                <w:sz w:val="22"/>
              </w:rPr>
              <w:t xml:space="preserve">/</w:t>
            </w:r>
            <w:r>
              <w:rPr>
                <w:rFonts w:ascii="SimSun" w:hAnsi="SimSun" w:eastAsia="SimSun" w:cs="SimSun"/>
                <w:color w:val="000000"/>
                <w:sz w:val="22"/>
              </w:rPr>
              <w:t xml:space="preserve">通风系统，空调系统，粉尘过滤器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云梯或臂架部分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臂架型式：曲臂</w:t>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2.</w:t>
            </w:r>
            <w:r>
              <w:rPr>
                <w:rFonts w:ascii="SimSun" w:hAnsi="SimSun" w:eastAsia="SimSun" w:cs="SimSun"/>
                <w:color w:val="000000"/>
                <w:sz w:val="22"/>
              </w:rPr>
              <w:t xml:space="preserve">最大工作幅度：</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46m</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最小跨距时的最大工作幅度：≥</w:t>
            </w:r>
            <w:r>
              <w:rPr>
                <w:rFonts w:ascii="SimHei" w:hAnsi="SimHei" w:eastAsia="SimHei" w:cs="SimHei"/>
                <w:color w:val="000000"/>
                <w:sz w:val="22"/>
              </w:rPr>
              <w:t xml:space="preserve">28m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臂架消防泵联动：整车额定流量作业时，臂架俯仰、回转等任意动作，消防炮俯仰、旋转均可同时动作</w:t>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rPr>
                <w:rFonts w:ascii="SimSun" w:hAnsi="SimSun" w:eastAsia="SimSun" w:cs="SimSun"/>
                <w:color w:val="000000"/>
                <w:sz w:val="22"/>
              </w:rPr>
              <w:t xml:space="preserve">回转角度：</w:t>
            </w:r>
            <w:r>
              <w:rPr>
                <w:rFonts w:ascii="SimSun" w:hAnsi="SimSun" w:eastAsia="SimSun" w:cs="SimSun"/>
                <w:color w:val="1f497d" w:themeColor="text2"/>
                <w:sz w:val="22"/>
              </w:rPr>
              <w:t xml:space="preserve">±360</w:t>
            </w:r>
            <w:r>
              <w:rPr>
                <w:rFonts w:ascii="SimSun" w:hAnsi="SimSun" w:eastAsia="SimSun" w:cs="SimSun"/>
                <w:color w:val="1f497d" w:themeColor="text2"/>
                <w:sz w:val="22"/>
              </w:rPr>
              <w:t xml:space="preserve">°</w:t>
            </w:r>
            <w:r>
              <w:rPr>
                <w:color w:val="1f497d" w:themeColor="text2"/>
              </w:rPr>
              <w:t xml:space="preserve">回转</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rPr>
                <w:rFonts w:ascii="SimSun" w:hAnsi="SimSun" w:eastAsia="SimSun" w:cs="SimSun"/>
                <w:color w:val="000000"/>
                <w:sz w:val="22"/>
              </w:rPr>
              <w:t xml:space="preserve">末节臂架工作角度范围：≥</w:t>
            </w:r>
            <w:r>
              <w:rPr>
                <w:rFonts w:ascii="SimHei" w:hAnsi="SimHei" w:eastAsia="SimHei" w:cs="SimHei"/>
                <w:color w:val="000000"/>
                <w:sz w:val="22"/>
              </w:rPr>
              <w:t xml:space="preserve">90</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rPr>
                <w:rFonts w:ascii="SimSun" w:hAnsi="SimSun" w:eastAsia="SimSun" w:cs="SimSun"/>
                <w:color w:val="000000"/>
                <w:sz w:val="22"/>
              </w:rPr>
              <w:t xml:space="preserve">喷淋保护系统：</w:t>
            </w:r>
            <w:r>
              <w:rPr>
                <w:rFonts w:ascii="SimHei" w:hAnsi="SimHei" w:eastAsia="SimHei" w:cs="SimHei"/>
                <w:color w:val="000000"/>
                <w:sz w:val="22"/>
              </w:rPr>
              <w:t xml:space="preserve">5</w:t>
            </w:r>
            <w:r>
              <w:rPr>
                <w:rFonts w:ascii="SimSun" w:hAnsi="SimSun" w:eastAsia="SimSun" w:cs="SimSun"/>
                <w:color w:val="000000"/>
                <w:sz w:val="22"/>
              </w:rPr>
              <w:t xml:space="preserve">、</w:t>
            </w:r>
            <w:r>
              <w:rPr>
                <w:rFonts w:ascii="SimHei" w:hAnsi="SimHei" w:eastAsia="SimHei" w:cs="SimHei"/>
                <w:color w:val="000000"/>
                <w:sz w:val="22"/>
              </w:rPr>
              <w:t xml:space="preserve">6</w:t>
            </w:r>
            <w:r>
              <w:rPr>
                <w:rFonts w:ascii="SimSun" w:hAnsi="SimSun" w:eastAsia="SimSun" w:cs="SimSun"/>
                <w:color w:val="000000"/>
                <w:sz w:val="22"/>
              </w:rPr>
              <w:t xml:space="preserve">臂自保喷淋，保护末端臂架及消防炮</w:t>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8.</w:t>
            </w:r>
            <w:r>
              <w:rPr>
                <w:rFonts w:ascii="SimSun" w:hAnsi="SimSun" w:eastAsia="SimSun" w:cs="SimSun"/>
                <w:color w:val="000000"/>
                <w:sz w:val="22"/>
              </w:rPr>
              <w:t xml:space="preserve">臂架从行驶位置举升到最大工作高度并回转 </w:t>
            </w:r>
            <w:r>
              <w:rPr>
                <w:rFonts w:ascii="SimHei" w:hAnsi="SimHei" w:eastAsia="SimHei" w:cs="SimHei"/>
                <w:color w:val="000000"/>
                <w:sz w:val="22"/>
              </w:rPr>
              <w:t xml:space="preserve">90</w:t>
            </w:r>
            <w:r>
              <w:rPr>
                <w:rFonts w:ascii="SimSun" w:hAnsi="SimSun" w:eastAsia="SimSun" w:cs="SimSun"/>
                <w:color w:val="000000"/>
                <w:sz w:val="22"/>
              </w:rPr>
              <w:t xml:space="preserve">°的时间：</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180s</w:t>
            </w:r>
            <w:r>
              <w:rPr>
                <w:color w:val="1f497d" w:themeColor="text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支撑系统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最大展开跨距（前横×后横）：</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13m</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13m</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最小展开跨距（横跨）：≤</w:t>
            </w:r>
            <w:r>
              <w:rPr>
                <w:rFonts w:ascii="SimHei" w:hAnsi="SimHei" w:eastAsia="SimHei" w:cs="SimHei"/>
                <w:color w:val="000000"/>
                <w:sz w:val="22"/>
              </w:rPr>
              <w:t xml:space="preserve">4m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任意支撑：支腿在任意展开宽度下支撑时，臂架均可展开进行灭火作业，不受场地限制</w:t>
            </w:r>
            <w:r/>
          </w:p>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4.</w:t>
            </w:r>
            <w:r>
              <w:rPr>
                <w:rFonts w:ascii="SimSun" w:hAnsi="SimSun" w:eastAsia="SimSun" w:cs="SimSun"/>
                <w:color w:val="000000"/>
                <w:sz w:val="22"/>
              </w:rPr>
              <w:t xml:space="preserve">全展及调平时间：</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40s</w:t>
            </w:r>
            <w:r>
              <w:rPr>
                <w:color w:val="1f497d" w:themeColor="text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消防泵系统部分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消防泵连续运转额定工况试验流量：</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80L/s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消防泵最大流量：≥</w:t>
            </w:r>
            <w:r>
              <w:rPr>
                <w:rFonts w:ascii="SimHei" w:hAnsi="SimHei" w:eastAsia="SimHei" w:cs="SimHei"/>
                <w:color w:val="000000"/>
                <w:sz w:val="22"/>
              </w:rPr>
              <w:t xml:space="preserve">170L/s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泡沫系统：全自动泡沫系统，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泡沫混合比例调节范围：</w:t>
            </w:r>
            <w:r>
              <w:rPr>
                <w:rFonts w:ascii="SimHei" w:hAnsi="SimHei" w:eastAsia="SimHei" w:cs="SimHei"/>
                <w:color w:val="000000"/>
                <w:sz w:val="22"/>
              </w:rPr>
              <w:t xml:space="preserve">1%</w:t>
            </w:r>
            <w:r>
              <w:rPr>
                <w:rFonts w:ascii="SimSun" w:hAnsi="SimSun" w:eastAsia="SimSun" w:cs="SimSun"/>
                <w:color w:val="000000"/>
                <w:sz w:val="22"/>
              </w:rPr>
              <w:t xml:space="preserve">～</w:t>
            </w:r>
            <w:r>
              <w:rPr>
                <w:rFonts w:ascii="SimHei" w:hAnsi="SimHei" w:eastAsia="SimHei" w:cs="SimHei"/>
                <w:color w:val="000000"/>
                <w:sz w:val="22"/>
              </w:rPr>
              <w:t xml:space="preserve">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容罐部分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罐体额定载质量：</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4000kg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液罐材料：不锈钢，顶板、底板及侧板厚度≥</w:t>
            </w:r>
            <w:r>
              <w:rPr>
                <w:rFonts w:ascii="SimHei" w:hAnsi="SimHei" w:eastAsia="SimHei" w:cs="SimHei"/>
                <w:color w:val="000000"/>
                <w:sz w:val="22"/>
              </w:rPr>
              <w:t xml:space="preserve">4mm</w:t>
            </w:r>
            <w:r>
              <w:rPr>
                <w:rFonts w:ascii="SimSun" w:hAnsi="SimSun" w:eastAsia="SimSun" w:cs="SimSun"/>
                <w:color w:val="000000"/>
                <w:sz w:val="22"/>
              </w:rPr>
              <w:t xml:space="preserve">，内部钝化防腐处理，顶部防滑处理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消防接口：吸水口≥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DN150</w:t>
            </w:r>
            <w:r>
              <w:rPr>
                <w:rFonts w:ascii="SimSun" w:hAnsi="SimSun" w:eastAsia="SimSun" w:cs="SimSun"/>
                <w:color w:val="000000"/>
                <w:sz w:val="22"/>
              </w:rPr>
              <w:t xml:space="preserve">接口，出水口≥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接口（外直供口和臂架管路排水口与此共用），外注水口≥</w:t>
            </w:r>
            <w:r>
              <w:rPr>
                <w:rFonts w:ascii="SimHei" w:hAnsi="SimHei" w:eastAsia="SimHei" w:cs="SimHei"/>
                <w:color w:val="000000"/>
                <w:sz w:val="22"/>
              </w:rPr>
              <w:t xml:space="preserve">4</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接口，外注泡沫口≥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DN50</w:t>
            </w:r>
            <w:r>
              <w:rPr>
                <w:rFonts w:ascii="SimSun" w:hAnsi="SimSun" w:eastAsia="SimSun" w:cs="SimSun"/>
                <w:color w:val="000000"/>
                <w:sz w:val="22"/>
              </w:rPr>
              <w:t xml:space="preserve">接口，外吸泡沫口≥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DN50</w:t>
            </w:r>
            <w:r>
              <w:rPr>
                <w:rFonts w:ascii="SimSun" w:hAnsi="SimSun" w:eastAsia="SimSun" w:cs="SimSun"/>
                <w:color w:val="000000"/>
                <w:sz w:val="22"/>
              </w:rPr>
              <w:t xml:space="preserve">接口，末端供水口≥</w:t>
            </w:r>
            <w:r>
              <w:rPr>
                <w:rFonts w:ascii="SimHei" w:hAnsi="SimHei" w:eastAsia="SimHei" w:cs="SimHei"/>
                <w:color w:val="000000"/>
                <w:sz w:val="22"/>
              </w:rPr>
              <w:t xml:space="preserve">1</w:t>
            </w:r>
            <w:r>
              <w:rPr>
                <w:rFonts w:ascii="SimSun" w:hAnsi="SimSun" w:eastAsia="SimSun" w:cs="SimSun"/>
                <w:color w:val="000000"/>
                <w:sz w:val="22"/>
              </w:rPr>
              <w:t xml:space="preserve">个</w:t>
            </w:r>
            <w:r>
              <w:rPr>
                <w:rFonts w:ascii="SimHei" w:hAnsi="SimHei" w:eastAsia="SimHei" w:cs="SimHei"/>
                <w:color w:val="000000"/>
                <w:sz w:val="22"/>
              </w:rPr>
              <w:t xml:space="preserve">DN80</w:t>
            </w:r>
            <w:r>
              <w:rPr>
                <w:rFonts w:ascii="SimSun" w:hAnsi="SimSun" w:eastAsia="SimSun" w:cs="SimSun"/>
                <w:color w:val="000000"/>
                <w:sz w:val="22"/>
              </w:rPr>
              <w:t xml:space="preserve">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恒流出水：臂架正常出水时，任意调整臂架姿态，实际流量值与目标流量值偏差＜</w:t>
            </w:r>
            <w:r>
              <w:rPr>
                <w:rFonts w:ascii="SimHei" w:hAnsi="SimHei" w:eastAsia="SimHei" w:cs="SimHei"/>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车载消防炮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rPr>
                <w:color w:val="1f497d" w:themeColor="text2"/>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消防炮额定流量：</w:t>
            </w:r>
            <w:r>
              <w:rPr>
                <w:rFonts w:ascii="SimSun" w:hAnsi="SimSun" w:eastAsia="SimSun" w:cs="SimSun"/>
                <w:color w:val="1f497d" w:themeColor="text2"/>
                <w:sz w:val="22"/>
              </w:rPr>
              <w:t xml:space="preserve">＞</w:t>
            </w:r>
            <w:r>
              <w:rPr>
                <w:rFonts w:ascii="SimHei" w:hAnsi="SimHei" w:eastAsia="SimHei" w:cs="SimHei"/>
                <w:color w:val="1f497d" w:themeColor="text2"/>
                <w:sz w:val="22"/>
              </w:rPr>
              <w:t xml:space="preserve">80L/s</w:t>
            </w:r>
            <w:r>
              <w:rPr>
                <w:color w:val="1f497d" w:themeColor="text2"/>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车载射程：水≥</w:t>
            </w:r>
            <w:r>
              <w:rPr>
                <w:rFonts w:ascii="SimHei" w:hAnsi="SimHei" w:eastAsia="SimHei" w:cs="SimHei"/>
                <w:color w:val="000000"/>
                <w:sz w:val="22"/>
              </w:rPr>
              <w:t xml:space="preserve">80m</w:t>
            </w:r>
            <w:r>
              <w:rPr>
                <w:rFonts w:ascii="SimSun" w:hAnsi="SimSun" w:eastAsia="SimSun" w:cs="SimSun"/>
                <w:color w:val="000000"/>
                <w:sz w:val="22"/>
              </w:rPr>
              <w:t xml:space="preserve">，泡沫≥</w:t>
            </w:r>
            <w:r>
              <w:rPr>
                <w:rFonts w:ascii="SimHei" w:hAnsi="SimHei" w:eastAsia="SimHei" w:cs="SimHei"/>
                <w:color w:val="000000"/>
                <w:sz w:val="22"/>
              </w:rPr>
              <w:t xml:space="preserve">75m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型式：电动遥控炮，可实现俯仰、摆动及直流</w:t>
            </w:r>
            <w:r>
              <w:rPr>
                <w:rFonts w:ascii="SimHei" w:hAnsi="SimHei" w:eastAsia="SimHei" w:cs="SimHei"/>
                <w:color w:val="000000"/>
                <w:sz w:val="22"/>
              </w:rPr>
              <w:t xml:space="preserve">-</w:t>
            </w:r>
            <w:r>
              <w:rPr>
                <w:rFonts w:ascii="SimSun" w:hAnsi="SimSun" w:eastAsia="SimSun" w:cs="SimSun"/>
                <w:color w:val="000000"/>
                <w:sz w:val="22"/>
              </w:rPr>
              <w:t xml:space="preserve">喷雾转换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w:t>
            </w:r>
            <w:r>
              <w:rPr>
                <w:rFonts w:ascii="SimSun" w:hAnsi="SimSun" w:eastAsia="SimSun" w:cs="SimSun"/>
                <w:color w:val="000000"/>
                <w:sz w:val="22"/>
              </w:rPr>
              <w:t xml:space="preserve">设置独立臂架直供接口，</w:t>
            </w:r>
            <w:r>
              <w:rPr>
                <w:rFonts w:ascii="SimSun" w:hAnsi="SimSun" w:eastAsia="SimSun" w:cs="SimSun"/>
                <w:color w:val="000000"/>
                <w:sz w:val="20"/>
              </w:rPr>
              <w:t xml:space="preserve">设置不低于</w:t>
            </w:r>
            <w:r>
              <w:rPr>
                <w:rFonts w:ascii="SimHei" w:hAnsi="SimHei" w:eastAsia="SimHei" w:cs="SimHei"/>
                <w:color w:val="000000"/>
                <w:sz w:val="20"/>
              </w:rPr>
              <w:t xml:space="preserve">1</w:t>
            </w:r>
            <w:r>
              <w:rPr>
                <w:rFonts w:ascii="SimSun" w:hAnsi="SimSun" w:eastAsia="SimSun" w:cs="SimSun"/>
                <w:color w:val="000000"/>
                <w:sz w:val="20"/>
              </w:rPr>
              <w:t xml:space="preserve">个</w:t>
            </w:r>
            <w:r>
              <w:rPr>
                <w:rFonts w:ascii="SimHei" w:hAnsi="SimHei" w:eastAsia="SimHei" w:cs="SimHei"/>
                <w:color w:val="000000"/>
                <w:sz w:val="20"/>
              </w:rPr>
              <w:t xml:space="preserve">DN100</w:t>
            </w:r>
            <w:r>
              <w:rPr>
                <w:rFonts w:ascii="SimSun" w:hAnsi="SimSun" w:eastAsia="SimSun" w:cs="SimSun"/>
                <w:color w:val="000000"/>
                <w:sz w:val="20"/>
              </w:rPr>
              <w:t xml:space="preserve">口径的独立外直供口（不得与出水口共用），配置手动阀门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电气设备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行车辅助系统：驾驶室内</w:t>
            </w:r>
            <w:r>
              <w:rPr>
                <w:rFonts w:ascii="SimHei" w:hAnsi="SimHei" w:eastAsia="SimHei" w:cs="SimHei"/>
                <w:color w:val="000000"/>
                <w:sz w:val="22"/>
              </w:rPr>
              <w:t xml:space="preserve">7</w:t>
            </w:r>
            <w:r>
              <w:rPr>
                <w:rFonts w:ascii="SimSun" w:hAnsi="SimSun" w:eastAsia="SimSun" w:cs="SimSun"/>
                <w:color w:val="000000"/>
                <w:sz w:val="22"/>
              </w:rPr>
              <w:t xml:space="preserve">英寸高清显示屏</w:t>
            </w:r>
            <w:r>
              <w:rPr>
                <w:rFonts w:ascii="SimHei" w:hAnsi="SimHei" w:eastAsia="SimHei" w:cs="SimHei"/>
                <w:color w:val="000000"/>
                <w:sz w:val="22"/>
              </w:rPr>
              <w:t xml:space="preserve">+</w:t>
            </w:r>
            <w:r>
              <w:rPr>
                <w:rFonts w:ascii="SimSun" w:hAnsi="SimSun" w:eastAsia="SimSun" w:cs="SimSun"/>
                <w:color w:val="000000"/>
                <w:sz w:val="22"/>
              </w:rPr>
              <w:t xml:space="preserve">倒车雷达</w:t>
            </w:r>
            <w:r>
              <w:rPr>
                <w:rFonts w:ascii="SimHei" w:hAnsi="SimHei" w:eastAsia="SimHei" w:cs="SimHei"/>
                <w:color w:val="000000"/>
                <w:sz w:val="22"/>
              </w:rPr>
              <w:t xml:space="preserve">+360</w:t>
            </w:r>
            <w:r>
              <w:rPr>
                <w:rFonts w:ascii="SimSun" w:hAnsi="SimSun" w:eastAsia="SimSun" w:cs="SimSun"/>
                <w:color w:val="000000"/>
                <w:sz w:val="22"/>
              </w:rPr>
              <w:t xml:space="preserve">全景摄像头</w:t>
            </w:r>
            <w:r>
              <w:rPr>
                <w:rFonts w:ascii="SimHei" w:hAnsi="SimHei" w:eastAsia="SimHei" w:cs="SimHei"/>
                <w:color w:val="000000"/>
                <w:sz w:val="22"/>
              </w:rPr>
              <w:t xml:space="preserve">+</w:t>
            </w:r>
            <w:r>
              <w:rPr>
                <w:rFonts w:ascii="SimSun" w:hAnsi="SimSun" w:eastAsia="SimSun" w:cs="SimSun"/>
                <w:color w:val="000000"/>
                <w:sz w:val="22"/>
              </w:rPr>
              <w:t xml:space="preserve">行车记录仪；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近控操作面板和近控显示器：车身尾部配置近控操作面板和近控显示器包括发动机启停、水路操作、臂架操作、照明操作、状态指示等功能；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便捷操作：臂架一键展收，消防泵遥控、近控一键启停；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末端摄像头：高清摄像头，随消防炮转动车尾</w:t>
            </w:r>
            <w:r>
              <w:rPr>
                <w:rFonts w:ascii="SimHei" w:hAnsi="SimHei" w:eastAsia="SimHei" w:cs="SimHei"/>
                <w:color w:val="000000"/>
                <w:sz w:val="22"/>
              </w:rPr>
              <w:t xml:space="preserve">10</w:t>
            </w:r>
            <w:r>
              <w:rPr>
                <w:rFonts w:ascii="SimSun" w:hAnsi="SimSun" w:eastAsia="SimSun" w:cs="SimSun"/>
                <w:color w:val="000000"/>
                <w:sz w:val="22"/>
              </w:rPr>
              <w:t xml:space="preserve">寸高亮液晶彩色显示屏</w:t>
            </w:r>
            <w:r>
              <w:rPr>
                <w:rFonts w:ascii="SimHei" w:hAnsi="SimHei" w:eastAsia="SimHei" w:cs="SimHei"/>
                <w:color w:val="000000"/>
                <w:sz w:val="22"/>
              </w:rPr>
              <w:t xml:space="preserve">+</w:t>
            </w:r>
            <w:r>
              <w:rPr>
                <w:rFonts w:ascii="SimSun" w:hAnsi="SimSun" w:eastAsia="SimSun" w:cs="SimSun"/>
                <w:color w:val="000000"/>
                <w:sz w:val="22"/>
              </w:rPr>
              <w:t xml:space="preserve">遥控器高亮液晶彩色显示屏</w:t>
            </w:r>
            <w:r>
              <w:rPr>
                <w:rFonts w:ascii="SimHei" w:hAnsi="SimHei" w:eastAsia="SimHei" w:cs="SimHei"/>
                <w:color w:val="000000"/>
                <w:sz w:val="22"/>
              </w:rPr>
              <w:t xml:space="preserve">+</w:t>
            </w:r>
            <w:r>
              <w:rPr>
                <w:rFonts w:ascii="SimSun" w:hAnsi="SimSun" w:eastAsia="SimSun" w:cs="SimSun"/>
                <w:color w:val="000000"/>
                <w:sz w:val="22"/>
              </w:rPr>
              <w:t xml:space="preserve">不少于</w:t>
            </w:r>
            <w:r>
              <w:rPr>
                <w:rFonts w:ascii="SimHei" w:hAnsi="SimHei" w:eastAsia="SimHei" w:cs="SimHei"/>
                <w:color w:val="000000"/>
                <w:sz w:val="22"/>
              </w:rPr>
              <w:t xml:space="preserve">48</w:t>
            </w:r>
            <w:r>
              <w:rPr>
                <w:rFonts w:ascii="SimSun" w:hAnsi="SimSun" w:eastAsia="SimSun" w:cs="SimSun"/>
                <w:color w:val="000000"/>
                <w:sz w:val="22"/>
              </w:rPr>
              <w:t xml:space="preserve">小时本地连续存储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应急功能：所有液压阀都带有应急机械操作系统带有应急动力单元，发动机、油泵出现故障时，用于收拢臂架和支腿；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臂架限幅保护：根据不同的支腿支撑位置，程序自动限制臂架在允许的工作姿态下运动；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转台对中保护：臂架收回时，转台未对中，限制主臂下压；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软腿保护：当臂架在动作过程中，若支腿出现离地，自动声光报警，并只允许臂架向安全方向运动；消防泵恒速控制：当消防泵工作时调整臂架姿态，程序自动控制臂架动作速度，满足消防泵转速始终恒定不变；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配置应急回收装置，臂架回收时间≤</w:t>
            </w:r>
            <w:r>
              <w:rPr>
                <w:rFonts w:ascii="SimHei" w:hAnsi="SimHei" w:eastAsia="SimHei" w:cs="SimHei"/>
                <w:color w:val="000000"/>
                <w:sz w:val="22"/>
              </w:rPr>
              <w:t xml:space="preserve">30</w:t>
            </w:r>
            <w:r>
              <w:rPr>
                <w:rFonts w:ascii="SimSun" w:hAnsi="SimSun" w:eastAsia="SimSun" w:cs="SimSun"/>
                <w:color w:val="000000"/>
                <w:sz w:val="22"/>
              </w:rPr>
              <w:t xml:space="preserve">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随车附件和备件（列明细）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消防车手册：</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rHeight w:val="341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消防车手册（整合装订）（</w:t>
                  </w:r>
                  <w:r>
                    <w:rPr>
                      <w:rFonts w:ascii="SimHei" w:hAnsi="SimHei" w:eastAsia="SimHei" w:cs="SimHei"/>
                      <w:color w:val="000000"/>
                      <w:sz w:val="22"/>
                    </w:rPr>
                    <w:t xml:space="preserve">2</w:t>
                  </w:r>
                  <w:r>
                    <w:rPr>
                      <w:rFonts w:ascii="SimSun" w:hAnsi="SimSun" w:eastAsia="SimSun" w:cs="SimSun"/>
                      <w:color w:val="000000"/>
                      <w:sz w:val="22"/>
                    </w:rPr>
                    <w:t xml:space="preserve">套）</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消防车产品操作保养手册</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消防泵产品认证证书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消防泵原产地证明</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消防泵使用操作维护说明书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消防炮型式试验报告</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消防炮产品认证证书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消防炮原产地证明</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消防炮使用操作维护说明书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B</w:t>
                  </w:r>
                  <w:r>
                    <w:rPr>
                      <w:rFonts w:ascii="SimSun" w:hAnsi="SimSun" w:eastAsia="SimSun" w:cs="SimSun"/>
                      <w:color w:val="000000"/>
                      <w:sz w:val="22"/>
                    </w:rPr>
                    <w:t xml:space="preserve">类泡沫比例混合器使用说明书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电子报警器使用说明书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汽油机使用维护说明书</w:t>
                  </w: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底盘合格证明文件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底盘使用操作维修手册</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底盘发动机号码拓印件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套</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底盘号码拓印件</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套</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消防车产品合格证</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r>
              <w:trPr/>
              <w:tc>
                <w:tcPr>
                  <w:gridSpan w:val="2"/>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消防车标准上牌照片</w:t>
                  </w:r>
                  <w:r>
                    <w:rPr>
                      <w:rFonts w:ascii="SimHei" w:hAnsi="SimHei" w:eastAsia="SimHei" w:cs="SimHei"/>
                      <w:color w:val="000000"/>
                      <w:sz w:val="22"/>
                    </w:rPr>
                    <w:t xml:space="preserve">1</w:t>
                  </w:r>
                  <w:r>
                    <w:rPr>
                      <w:rFonts w:ascii="SimSun" w:hAnsi="SimSun" w:eastAsia="SimSun" w:cs="SimSun"/>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份</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tab/>
            </w:r>
            <w:r>
              <w:rPr>
                <w:rFonts w:ascii="SimHei" w:hAnsi="SimHei" w:eastAsia="SimHei" w:cs="SimHei"/>
                <w:color w:val="000000"/>
                <w:sz w:val="20"/>
              </w:rPr>
              <w:t xml:space="preserve">/</w:t>
            </w:r>
            <w:r>
              <w:rPr>
                <w:rFonts w:ascii="SimSun" w:hAnsi="SimSun" w:eastAsia="SimSun" w:cs="SimSun"/>
                <w:color w:val="000000"/>
                <w:sz w:val="20"/>
              </w:rPr>
              <w:t xml:space="preserve">规格</w:t>
              <w:tab/>
              <w:t xml:space="preserve">名称</w:t>
              <w:tab/>
              <w:t xml:space="preserve">数量</w:t>
              <w:tab/>
              <w:t xml:space="preserve">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消防水带</w:t>
            </w:r>
            <w:r>
              <w:rPr>
                <w:rFonts w:ascii="SimHei" w:hAnsi="SimHei" w:eastAsia="SimHei" w:cs="SimHei"/>
                <w:color w:val="000000"/>
                <w:sz w:val="20"/>
              </w:rPr>
              <w:t xml:space="preserve">20</w:t>
            </w:r>
            <w:r>
              <w:rPr>
                <w:rFonts w:ascii="SimSun" w:hAnsi="SimSun" w:eastAsia="SimSun" w:cs="SimSun"/>
                <w:color w:val="000000"/>
                <w:sz w:val="20"/>
              </w:rPr>
              <w:t xml:space="preserve">型</w:t>
              <w:tab/>
            </w:r>
            <w:r>
              <w:rPr>
                <w:rFonts w:ascii="SimHei" w:hAnsi="SimHei" w:eastAsia="SimHei" w:cs="SimHei"/>
                <w:color w:val="000000"/>
                <w:sz w:val="20"/>
              </w:rPr>
              <w:t xml:space="preserve">  4         </w:t>
            </w:r>
            <w:r>
              <w:rPr>
                <w:rFonts w:ascii="SimSun" w:hAnsi="SimSun" w:eastAsia="SimSun" w:cs="SimSun"/>
                <w:color w:val="000000"/>
                <w:sz w:val="20"/>
              </w:rPr>
              <w:t xml:space="preserve">盘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2     </w:t>
            </w:r>
            <w:r>
              <w:rPr>
                <w:rFonts w:ascii="SimSun" w:hAnsi="SimSun" w:eastAsia="SimSun" w:cs="SimSun"/>
                <w:color w:val="000000"/>
                <w:sz w:val="20"/>
              </w:rPr>
              <w:t xml:space="preserve">干粉灭火器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具</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3</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集水器</w:t>
              <w:tab/>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4      </w:t>
            </w:r>
            <w:r>
              <w:rPr>
                <w:rFonts w:ascii="SimSun" w:hAnsi="SimSun" w:eastAsia="SimSun" w:cs="SimSun"/>
                <w:color w:val="000000"/>
                <w:sz w:val="20"/>
              </w:rPr>
              <w:t xml:space="preserve">橡皮锤</w:t>
              <w:tab/>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个</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5   </w:t>
            </w:r>
            <w:r>
              <w:rPr>
                <w:rFonts w:ascii="SimSun" w:hAnsi="SimSun" w:eastAsia="SimSun" w:cs="SimSun"/>
                <w:color w:val="000000"/>
                <w:sz w:val="20"/>
              </w:rPr>
              <w:t xml:space="preserve">地上消火栓扳手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6      </w:t>
            </w:r>
            <w:r>
              <w:rPr>
                <w:rFonts w:ascii="SimSun" w:hAnsi="SimSun" w:eastAsia="SimSun" w:cs="SimSun"/>
                <w:color w:val="000000"/>
                <w:sz w:val="20"/>
              </w:rPr>
              <w:t xml:space="preserve">护带桥</w:t>
              <w:tab/>
            </w:r>
            <w:r>
              <w:rPr>
                <w:rFonts w:ascii="SimHei" w:hAnsi="SimHei" w:eastAsia="SimHei" w:cs="SimHei"/>
                <w:color w:val="000000"/>
                <w:sz w:val="20"/>
              </w:rPr>
              <w:t xml:space="preserve">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副</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7 </w:t>
            </w:r>
            <w:r>
              <w:rPr>
                <w:rFonts w:ascii="SimSun" w:hAnsi="SimSun" w:eastAsia="SimSun" w:cs="SimSun"/>
                <w:color w:val="000000"/>
                <w:sz w:val="20"/>
              </w:rPr>
              <w:tab/>
              <w:t xml:space="preserve">水带包布</w:t>
              <w:tab/>
            </w:r>
            <w:r>
              <w:rPr>
                <w:rFonts w:ascii="SimHei" w:hAnsi="SimHei" w:eastAsia="SimHei" w:cs="SimHei"/>
                <w:color w:val="000000"/>
                <w:sz w:val="20"/>
              </w:rPr>
              <w:t xml:space="preserve">           8</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8</w:t>
            </w:r>
            <w:r>
              <w:rPr>
                <w:rFonts w:ascii="SimSun" w:hAnsi="SimSun" w:eastAsia="SimSun" w:cs="SimSun"/>
                <w:color w:val="000000"/>
                <w:sz w:val="20"/>
              </w:rPr>
              <w:tab/>
              <w:t xml:space="preserve">吸水管</w:t>
            </w:r>
            <w:r>
              <w:rPr>
                <w:rFonts w:ascii="SimHei" w:hAnsi="SimHei" w:eastAsia="SimHei" w:cs="SimHei"/>
                <w:color w:val="000000"/>
                <w:sz w:val="20"/>
              </w:rPr>
              <w:t xml:space="preserve">DN150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9    </w:t>
            </w:r>
            <w:r>
              <w:rPr>
                <w:rFonts w:ascii="SimSun" w:hAnsi="SimSun" w:eastAsia="SimSun" w:cs="SimSun"/>
                <w:color w:val="000000"/>
                <w:sz w:val="20"/>
              </w:rPr>
              <w:t xml:space="preserve">车轮制动块 </w:t>
            </w:r>
            <w:r>
              <w:rPr>
                <w:rFonts w:ascii="SimHei" w:hAnsi="SimHei" w:eastAsia="SimHei" w:cs="SimHei"/>
                <w:color w:val="000000"/>
                <w:sz w:val="20"/>
              </w:rPr>
              <w:t xml:space="preserve">        2</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个</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10</w:t>
            </w:r>
            <w:r>
              <w:rPr>
                <w:rFonts w:ascii="SimSun" w:hAnsi="SimSun" w:eastAsia="SimSun" w:cs="SimSun"/>
                <w:color w:val="000000"/>
                <w:sz w:val="20"/>
              </w:rPr>
              <w:tab/>
              <w:t xml:space="preserve">泵浦吸液管</w:t>
            </w:r>
            <w:r>
              <w:rPr>
                <w:rFonts w:ascii="SimHei" w:hAnsi="SimHei" w:eastAsia="SimHei" w:cs="SimHei"/>
                <w:color w:val="000000"/>
                <w:sz w:val="20"/>
              </w:rPr>
              <w:t xml:space="preserve">DN50</w:t>
            </w:r>
            <w:r>
              <w:rPr>
                <w:rFonts w:ascii="SimSun" w:hAnsi="SimSun" w:eastAsia="SimSun" w:cs="SimSun"/>
                <w:color w:val="000000"/>
                <w:sz w:val="20"/>
              </w:rPr>
              <w:tab/>
            </w:r>
            <w:r>
              <w:rPr>
                <w:rFonts w:ascii="SimHei" w:hAnsi="SimHei" w:eastAsia="SimHei" w:cs="SimHei"/>
                <w:color w:val="000000"/>
                <w:sz w:val="20"/>
              </w:rPr>
              <w:t xml:space="preserve">   1       </w:t>
            </w:r>
            <w:r>
              <w:rPr>
                <w:rFonts w:ascii="SimSun" w:hAnsi="SimSun" w:eastAsia="SimSun" w:cs="SimSun"/>
                <w:color w:val="000000"/>
                <w:sz w:val="20"/>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11   </w:t>
            </w:r>
            <w:r>
              <w:rPr>
                <w:rFonts w:ascii="SimSun" w:hAnsi="SimSun" w:eastAsia="SimSun" w:cs="SimSun"/>
                <w:color w:val="000000"/>
                <w:sz w:val="20"/>
              </w:rPr>
              <w:t xml:space="preserve">支腿垫板 </w:t>
            </w:r>
            <w:r>
              <w:rPr>
                <w:rFonts w:ascii="SimHei" w:hAnsi="SimHei" w:eastAsia="SimHei" w:cs="SimHei"/>
                <w:color w:val="000000"/>
                <w:sz w:val="20"/>
              </w:rPr>
              <w:t xml:space="preserve">          4</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块</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12  </w:t>
            </w:r>
            <w:r>
              <w:rPr>
                <w:rFonts w:ascii="SimSun" w:hAnsi="SimSun" w:eastAsia="SimSun" w:cs="SimSun"/>
                <w:color w:val="000000"/>
                <w:sz w:val="20"/>
              </w:rPr>
              <w:t xml:space="preserve">液压系统易损件 </w:t>
            </w:r>
            <w:r>
              <w:rPr>
                <w:rFonts w:ascii="SimHei" w:hAnsi="SimHei" w:eastAsia="SimHei" w:cs="SimHei"/>
                <w:color w:val="000000"/>
                <w:sz w:val="20"/>
              </w:rPr>
              <w:t xml:space="preserve">     1       </w:t>
            </w:r>
            <w:r>
              <w:rPr>
                <w:rFonts w:ascii="SimSun" w:hAnsi="SimSun" w:eastAsia="SimSun" w:cs="SimSun"/>
                <w:color w:val="000000"/>
                <w:sz w:val="20"/>
              </w:rPr>
              <w:t xml:space="preserve">套</w:t>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13</w:t>
            </w:r>
            <w:r>
              <w:rPr>
                <w:rFonts w:ascii="SimSun" w:hAnsi="SimSun" w:eastAsia="SimSun" w:cs="SimSun"/>
                <w:color w:val="000000"/>
                <w:sz w:val="20"/>
              </w:rPr>
              <w:tab/>
              <w:t xml:space="preserve">随车工具 </w:t>
            </w:r>
            <w:r>
              <w:rPr>
                <w:rFonts w:ascii="SimHei" w:hAnsi="SimHei" w:eastAsia="SimHei" w:cs="SimHei"/>
                <w:color w:val="000000"/>
                <w:sz w:val="20"/>
              </w:rPr>
              <w:t xml:space="preserve">           1</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套</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14</w:t>
            </w:r>
            <w:r>
              <w:rPr>
                <w:rFonts w:ascii="SimSun" w:hAnsi="SimSun" w:eastAsia="SimSun" w:cs="SimSun"/>
                <w:color w:val="000000"/>
                <w:sz w:val="20"/>
              </w:rPr>
              <w:tab/>
            </w:r>
            <w:r>
              <w:rPr>
                <w:rFonts w:ascii="SimHei" w:hAnsi="SimHei" w:eastAsia="SimHei" w:cs="SimHei"/>
                <w:color w:val="000000"/>
                <w:sz w:val="20"/>
              </w:rPr>
              <w:t xml:space="preserve">    </w:t>
            </w:r>
            <w:r>
              <w:rPr>
                <w:rFonts w:ascii="SimSun" w:hAnsi="SimSun" w:eastAsia="SimSun" w:cs="SimSun"/>
                <w:color w:val="000000"/>
                <w:sz w:val="20"/>
              </w:rPr>
              <w:t xml:space="preserve">备胎</w:t>
              <w:tab/>
            </w:r>
            <w:r>
              <w:rPr>
                <w:rFonts w:ascii="SimHei" w:hAnsi="SimHei" w:eastAsia="SimHei" w:cs="SimHei"/>
                <w:color w:val="000000"/>
                <w:sz w:val="20"/>
              </w:rPr>
              <w:t xml:space="preserve">            1      </w:t>
            </w: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车身要求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w:t>
            </w:r>
            <w:r>
              <w:rPr>
                <w:rFonts w:ascii="SimSun" w:hAnsi="SimSun" w:eastAsia="SimSun" w:cs="SimSun"/>
                <w:color w:val="000000"/>
                <w:sz w:val="22"/>
              </w:rPr>
              <w:t xml:space="preserve">材质：骨架采用高强度铝合金专用型材，蒙板为全铝合金板且内蒙皮进行阳极氧化处理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w:t>
            </w:r>
            <w:r>
              <w:rPr>
                <w:rFonts w:ascii="SimSun" w:hAnsi="SimSun" w:eastAsia="SimSun" w:cs="SimSun"/>
                <w:color w:val="000000"/>
                <w:sz w:val="22"/>
              </w:rPr>
              <w:t xml:space="preserve">结构：器材箱骨架采用高强度铝合金型材，内藏式，蒙板与骨架之间采用高强度结构用粘结胶粘结，车身外表面光滑、平整、美观，有效减震，避免松动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w:t>
            </w:r>
            <w:r>
              <w:rPr>
                <w:rFonts w:ascii="SimSun" w:hAnsi="SimSun" w:eastAsia="SimSun" w:cs="SimSun"/>
                <w:color w:val="000000"/>
                <w:sz w:val="22"/>
              </w:rPr>
              <w:t xml:space="preserve">卷帘门：采用带锁铝合金卷帘门，卷帘门可用</w:t>
            </w:r>
            <w:r>
              <w:rPr>
                <w:rFonts w:ascii="SimHei" w:hAnsi="SimHei" w:eastAsia="SimHei" w:cs="SimHei"/>
                <w:color w:val="000000"/>
                <w:sz w:val="22"/>
              </w:rPr>
              <w:t xml:space="preserve">1</w:t>
            </w:r>
            <w:r>
              <w:rPr>
                <w:rFonts w:ascii="SimSun" w:hAnsi="SimSun" w:eastAsia="SimSun" w:cs="SimSun"/>
                <w:color w:val="000000"/>
                <w:sz w:val="22"/>
              </w:rPr>
              <w:t xml:space="preserve">把钥匙开启，启闭轻便灵活，密封性好，具有防水、防尘功能每个器材箱内有照明灯，由卷帘门开闭控制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国家应急专用号牌上牌的相关规定，车体颜色为消防红，且须提供以下资料，车辆整车合格证（需与工信部提供数据一致）、车辆应有报关证明及国家消防装备质量监督检验中心出具的检验合格报告、应急管理部规定的其它证明材料，确保能上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注：（1）上述所有技术参数中涉及的型号仅为参考型号，投标单位可以投其他型号，但所投产品的功能及技术参数应等于或高于参考型号的要求。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（2）★车辆上牌要求：交车时必须提供国家法定上牌资料，确保车辆能够正常上牌。（投标文件中提供承诺函，未提供承诺函的视为无效投标）此项为必须满足项，否则为无效投标。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（3）上述具体技术要求中标注“★”的为关键参数项，投标文件中提供相关佐证材料，未提供或不满足的视为无效投标。</w:t>
      </w:r>
      <w:r/>
    </w:p>
    <w:p>
      <w:pPr>
        <w:ind w:left="0" w:right="0" w:firstLine="422"/>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七、投标货物要求及相关说明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1所有合同附件及本项目的招投标文件、中标通知书、协议等均为本合同不可分割的部分。解释顺序除特别说明外，以文件生效时间在后的为准。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中标单位提供的货物及服务，必须符合合同附件要求的技术规格标准、中华人民共和国国家标准或行业标准以及环保要求；如果没有提及适用标准，或中华人民共和国也没有相关标准的，则采用货物来源国适用的官方标准。这些标准必须是相关国家或行业机构发布的最新版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中标单位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2.随车配件：随货免费提供底盘和上装部分，以及随货器材使用、保养、维修所需的其他必须配件和必备工具。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3.车上阀门、开关、按钮等指示、标牌应标注中文。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4.交接、培训、保修期、售后服务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4.1交接清单（英文或原文及与原文相对应的中文翻译件），货物交货地点由招标单位统一指定。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4.2培训计划（中文版）：提供培训计划，培训时间为货到后不得超过</w:t>
      </w:r>
      <w:r>
        <w:rPr>
          <w:rFonts w:ascii="SimSun" w:hAnsi="SimSun" w:eastAsia="SimSun" w:cs="SimSun"/>
          <w:color w:val="000000"/>
          <w:sz w:val="21"/>
        </w:rPr>
        <w:t xml:space="preserve">15个工作日，培训用的文字和影视资料，影视资料需包含产品介绍、操作使用、维护保养、常见故障判断等内容。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4.3保修期：要求整车质保1年（招标文件具体技术要求另有说明的除外），免费保修期为自货物交验后计算，产生设备的损坏和故障，由中标单位负责免费更换或维修。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4.4售后服务，中标单位需保证</w:t>
      </w:r>
      <w:r>
        <w:rPr>
          <w:rFonts w:ascii="SimSun" w:hAnsi="SimSun" w:eastAsia="SimSun" w:cs="SimSun"/>
          <w:color w:val="000000"/>
          <w:sz w:val="21"/>
        </w:rPr>
        <w:t xml:space="preserve">7*24小时售后服务热线开通，在接到</w:t>
      </w:r>
      <w:r>
        <w:rPr>
          <w:rFonts w:ascii="SimSun" w:hAnsi="SimSun" w:eastAsia="SimSun" w:cs="SimSun"/>
          <w:color w:val="000000"/>
          <w:sz w:val="22"/>
        </w:rPr>
        <w:t xml:space="preserve">招标单位报修电话以后，保证24小时内到达现场。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4.5.1凡涉及使用气瓶、电源、水带的接口必须与江苏省公安消防总队现有各类接口配套。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4.5.2整车所有设备应符合相互配套使用的要求。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5.验收要求：详见第三章合同条款。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2.投标单位根据招标文件中提出的全部技术规格与要求选择配置并列出所投设备的技术规格，如果其中某些条款不响应，应在投标文件中逐条列出，未列出的视同响应。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4.交货期限：自合同签订生效后 90个工作日内完成全部采购内容的供货安装调试并交付正常使用，具体根据采购单位要求。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5.交货地点：具体按招标单位指定地点。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7.凡涉及招标文件的补充说明和修改，均以招标代理机构发布的通知为准。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8.付款方式：详见第三章合同条款。</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1.1本项目</w:t>
      </w:r>
      <w:r>
        <w:rPr>
          <w:rFonts w:ascii="SimSun" w:hAnsi="SimSun" w:eastAsia="SimSun" w:cs="SimSun"/>
          <w:b/>
          <w:color w:val="000000"/>
          <w:sz w:val="22"/>
        </w:rPr>
        <w:t xml:space="preserve">非专门面向中小企业采购</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1.2本项目采购标的对应的中小企业划分标准所属行业为</w:t>
      </w:r>
      <w:r>
        <w:rPr>
          <w:rFonts w:ascii="SimSun" w:hAnsi="SimSun" w:eastAsia="SimSun" w:cs="SimSun"/>
          <w:b/>
          <w:color w:val="000000"/>
          <w:sz w:val="22"/>
        </w:rPr>
        <w:t xml:space="preserve">工业。</w:t>
      </w:r>
      <w:r>
        <w:rPr>
          <w:rFonts w:ascii="SimSun" w:hAnsi="SimSun" w:eastAsia="SimSun" w:cs="SimSun"/>
          <w:color w:val="000000"/>
          <w:sz w:val="22"/>
        </w:rPr>
        <w:t xml:space="preserve">中小微企业划型标准根据《中小企业划型标准规定》（工信部联企业〔2011〕300号）。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1.4中小企业参加政府采购活动，应当出具《政府采购促进中小企业发展管理办法》附件规定《中小企业声明函》，否则不得享受相关中小企业扶持政策。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1.5在政府采购活动中，供应商提供的服务符合下列情形的，享受《政府采购促进中小企业发展管理办法》规定的中小企业扶持政策：在服务采购项目中，</w:t>
      </w:r>
      <w:r>
        <w:rPr>
          <w:rFonts w:ascii="SimSun" w:hAnsi="SimSun" w:eastAsia="SimSun" w:cs="SimSun"/>
          <w:b/>
          <w:color w:val="000000"/>
          <w:sz w:val="22"/>
        </w:rPr>
        <w:t xml:space="preserve">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1.6若供应商提供的《中小企业声明函》为虚假声明，则视同提供虚假材料，按政府采购相关规定处理，并报请政府监管部门给予行政处罚。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w:t>
      </w:r>
      <w:r>
        <w:rPr>
          <w:rFonts w:ascii="SimSun" w:hAnsi="SimSun" w:eastAsia="SimSun" w:cs="SimSun"/>
          <w:b/>
          <w:color w:val="000000"/>
          <w:sz w:val="22"/>
        </w:rPr>
        <w:t xml:space="preserve">，对本国产品的报价给予20%的价格扣除，</w:t>
      </w:r>
      <w:r>
        <w:rPr>
          <w:rFonts w:ascii="SimSun" w:hAnsi="SimSun" w:eastAsia="SimSun" w:cs="SimSun"/>
          <w:color w:val="000000"/>
          <w:sz w:val="22"/>
        </w:rPr>
        <w:t xml:space="preserve">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十、有关该采购活动的澄清、修正及成交信息亦在中国政府采购网、苏州市政府采购网、江苏政府采购网上发布，请定期关注。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center"/>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left"/>
        <w:spacing w:before="0" w:after="0" w:line="85"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rPr>
      </w:r>
      <w:r>
        <w:rPr>
          <w:rFonts w:ascii="SimHei" w:hAnsi="SimHei" w:eastAsia="SimHei" w:cs="SimHei"/>
          <w:sz w:val="2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评标委员会组织以抽签方式确定优先选取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投标人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5.针对中小型企业、残疾人福利企业和监狱企业的评审：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ascii="SimSun" w:hAnsi="SimSun" w:eastAsia="SimSun" w:cs="SimSun"/>
          <w:b/>
          <w:color w:val="000000"/>
          <w:sz w:val="22"/>
        </w:rPr>
        <w:t xml:space="preserve">本项目为非专门面向中小企业采购，报价给予</w:t>
      </w:r>
      <w:r>
        <w:rPr>
          <w:rFonts w:ascii="SimSun" w:hAnsi="SimSun" w:eastAsia="SimSun" w:cs="SimSun"/>
          <w:b/>
          <w:color w:val="000000"/>
          <w:sz w:val="21"/>
        </w:rPr>
        <w:t xml:space="preserve">20%的扣除</w:t>
      </w:r>
      <w:r>
        <w:rPr>
          <w:rFonts w:ascii="SimSun" w:hAnsi="SimSun" w:eastAsia="SimSun" w:cs="SimSun"/>
          <w:color w:val="000000"/>
          <w:sz w:val="22"/>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①填报“中小企业声明函”需严格按“工信部联企业〔2011〕300号通知中的《中小企业划型标准规定》进行。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②若供应商提供的声明函或认定证明为虚假材料，按“政府采购法”相关规定处理并报请政府监管部门给予行政处罚。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ascii="SimSun" w:hAnsi="SimSun" w:eastAsia="SimSun" w:cs="SimSun"/>
          <w:b/>
          <w:color w:val="000000"/>
          <w:sz w:val="22"/>
          <w:u w:val="single"/>
        </w:rPr>
        <w:t xml:space="preserve">20%</w:t>
      </w:r>
      <w:r>
        <w:rPr>
          <w:rFonts w:ascii="SimSun" w:hAnsi="SimSun" w:eastAsia="SimSun" w:cs="SimSun"/>
          <w:color w:val="000000"/>
          <w:sz w:val="22"/>
        </w:rPr>
        <w:t xml:space="preserve">的价格扣除，用扣除后的价格参与评审。</w:t>
      </w:r>
      <w:r>
        <w:rPr>
          <w:rFonts w:ascii="SimSun" w:hAnsi="SimSun" w:eastAsia="SimSun" w:cs="SimSun"/>
          <w:b/>
          <w:color w:val="000000"/>
          <w:sz w:val="22"/>
        </w:rPr>
        <w:t xml:space="preserve">供应商未填写比例数值，或比例数值未达到</w:t>
      </w:r>
      <w:r>
        <w:rPr>
          <w:rFonts w:ascii="SimSun" w:hAnsi="SimSun" w:eastAsia="SimSun" w:cs="SimSun"/>
          <w:b/>
          <w:color w:val="000000"/>
          <w:sz w:val="22"/>
          <w:u w:val="single"/>
        </w:rPr>
        <w:t xml:space="preserve">80%</w:t>
      </w:r>
      <w:r>
        <w:rPr>
          <w:rFonts w:ascii="SimSun" w:hAnsi="SimSun" w:eastAsia="SimSun" w:cs="SimSun"/>
          <w:b/>
          <w:color w:val="000000"/>
          <w:sz w:val="22"/>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6.3供应商需按照招标文件的要求对其提供的产品出具《关于符合本国产品标准的声明函》（以下简称《声明函》），如不提供将不享受本国产品价格评审优惠。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7.根据财政部《关于推动解决政府采购异常低价问题的通知》（财库〔2026〕2号）规定，实施政府采购异常低价审查：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（1）评审过程中出现下列情形之一的，评审委员会应当启动异常低价投标（响应）审查程序：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①投标（响应）报价低于全部通过符合性审查供应商投标（响应）报价平均值50%的，即投标（响应）报价〈全部通过符合性审查供应商投标（响应）报价平均值×50%；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②投标（响应）报价低于通过符合性审查的次低报价供应商投标（响应）报价50%的，即投标（响应）报价〈通过符合性审查的次低报价供应商投标（响应）报价×50%；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③投标（响应）报价低于采购项目最高限价45%的，即投标（响应）报价〈采购项目最高限价×45%；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④评审委员会基于专业判断，认为供应商报价过低，有可能影响产品质量或者不能诚信履约的其他情形。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其中，属于第③项情形，供应商已随投标（响应）文件一并提交相关书面说明及必要的证明材料的，在评审现场可不再重复提交。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（一）投标报价：30分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1.投标报价低于或等于财政预算价格的，为有效投标报价。超财政预算的投标报价为无效投标报价。无效投标报价的投标文件不进行评审，也不得标。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2.价格得分计算方法：根据各投标人通过符合性审查的有效投标报价中的最低价作为评标基准价，其价格分为满分。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3.其他投标人的价格分按照下列公式计算（计算结果四舍五入保留两位小数）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投标报价得分=（评标基准价／投标报价）×价格权值×100，小数点后保留两位。（价格权值为3</w:t>
      </w:r>
      <w:r>
        <w:rPr>
          <w:rFonts w:ascii="SimSun" w:hAnsi="SimSun" w:eastAsia="SimSun" w:cs="SimSun"/>
          <w:b/>
          <w:color w:val="000000"/>
          <w:sz w:val="22"/>
        </w:rPr>
        <w:t xml:space="preserve">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（二）投标设备的技术与质量：34分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1.投标产品的技术参数、功能等符合情况（最高为34分）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投标人所投产品完全满足或优于招标文件产品技术参数要求的得34分；标注“▲”项的为重要参数项，每负偏离一项扣2分；无标识项的为基础参数项每负偏离一项扣0.5分，扣完为止。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w:t>
      </w:r>
      <w:r>
        <w:rPr>
          <w:rFonts w:ascii="SimSun" w:hAnsi="SimSun" w:eastAsia="SimSun" w:cs="SimSun"/>
          <w:b/>
          <w:color w:val="000000"/>
          <w:sz w:val="21"/>
        </w:rPr>
        <w:t xml:space="preserve"> </w:t>
      </w:r>
      <w:r>
        <w:rPr>
          <w:rFonts w:ascii="SimSun" w:hAnsi="SimSun" w:eastAsia="SimSun" w:cs="SimSun"/>
          <w:b/>
          <w:color w:val="000000"/>
          <w:sz w:val="22"/>
        </w:rPr>
        <w:t xml:space="preserve">“▲”的重要参数项需提供国家级检测机构出具的带有“CMA”或“CNAS”标识的检测报告作为佐证，未提供检测报告的或不满足的</w:t>
      </w:r>
      <w:r>
        <w:rPr>
          <w:rFonts w:ascii="SimSun" w:hAnsi="SimSun" w:eastAsia="SimSun" w:cs="SimSun"/>
          <w:color w:val="000000"/>
          <w:sz w:val="22"/>
        </w:rPr>
        <w:t xml:space="preserve">，</w:t>
      </w:r>
      <w:r>
        <w:rPr>
          <w:rFonts w:ascii="SimSun" w:hAnsi="SimSun" w:eastAsia="SimSun" w:cs="SimSun"/>
          <w:b/>
          <w:color w:val="000000"/>
          <w:sz w:val="22"/>
        </w:rPr>
        <w:t xml:space="preserve">则视为负偏离；其余无标识的基础参数项可提供投标单位盖章的技术响应对照表。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（三）技术服务及售后服务方案：30分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技术性能情况（最高为3分）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本项目所投消防车辆具有应急管理部消防产品合格评定中心颁发的《消防产品认证证书》的得</w:t>
      </w:r>
      <w:r>
        <w:rPr>
          <w:rFonts w:ascii="SimHei" w:hAnsi="SimHei" w:eastAsia="SimHei" w:cs="SimHei"/>
          <w:color w:val="000000"/>
          <w:sz w:val="22"/>
        </w:rPr>
        <w:t xml:space="preserve">3</w:t>
      </w:r>
      <w:r>
        <w:rPr>
          <w:rFonts w:ascii="SimSun" w:hAnsi="SimSun" w:eastAsia="SimSun" w:cs="SimSun"/>
          <w:color w:val="000000"/>
          <w:sz w:val="22"/>
        </w:rPr>
        <w:t xml:space="preserve">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注：投标文件中提供证书扫描件，未按上述要求提供材料的，此项不得分。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1.针对本项目的质量保证方案</w:t>
      </w:r>
      <w:r>
        <w:rPr>
          <w:rFonts w:ascii="FangSong" w:hAnsi="FangSong" w:eastAsia="FangSong" w:cs="FangSong"/>
          <w:color w:val="0000ff"/>
          <w:sz w:val="24"/>
        </w:rPr>
        <w:t xml:space="preserve">（最高为6分）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质量保证方案内容详实、完整，针对性、可行性极强。全面覆盖消防车辆生产质控、仓储保管、运输防护全流程质量安全保障措施，各项保障措施清晰具体、落地性强，完全满足并优于采购需求，可充分保障车辆交付质量及质保期内稳定使用，得6分；投标人质量保证方案内容较为详细完整，具备较强针对性与可行性。覆盖车辆生产、存储、运输质量安全管控核心内容，措施规范合理，无明显缺漏，无短板问题，得4分；投标人质量保证方案整体完整，框架齐全、方案基本可行。包含生产、存储、运输基础内容，但内容较为笼统、无专项细化措施，针对性一般，得2分</w:t>
      </w:r>
      <w:r>
        <w:rPr>
          <w:rFonts w:ascii="FangSong" w:hAnsi="FangSong" w:eastAsia="FangSong" w:cs="FangSong"/>
          <w:color w:val="000000"/>
          <w:sz w:val="24"/>
        </w:rPr>
        <w:t xml:space="preserve">；投标人质量保证方案内容简略，核心保障内容存在部分缺失，仅简单罗列通用措施，未结合本项目消防车辆特性制定保障方案，可行性、针对性较弱，得1分；未提供方案的此项不得分。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2.供货及安装调试方案（</w:t>
      </w:r>
      <w:r>
        <w:rPr>
          <w:rFonts w:ascii="FangSong" w:hAnsi="FangSong" w:eastAsia="FangSong" w:cs="FangSong"/>
          <w:color w:val="0000ff"/>
          <w:sz w:val="24"/>
        </w:rPr>
        <w:t xml:space="preserve">最高为5分</w:t>
      </w:r>
      <w:r>
        <w:rPr>
          <w:rFonts w:ascii="FangSong" w:hAnsi="FangSong" w:eastAsia="FangSong" w:cs="FangSong"/>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货及安装调试方案内容详实、体系完整、逻辑清晰。包含专项供货计划、排产保障、交付时效管控、现场安装、精准调试等全流程内容，措施具体、落地性极强、实用性高，可保障项目按期、高质量完成交付投用，得5分；供货及安装调试方案内容较为详细、结构完整。覆盖供货、安装、调试等核心流程，各项保障措施规范可行，无关键内容缺漏，实用性、可行性较好，得3分；供货及安装调试方案框架齐全、内容基本完整。涵盖项目供货、安装、调试基础流程，整体具备可行性，但部分措施表述笼统、无细化管控举措，细节完善度不足，得2分；供货及安装调试方案内容</w:t>
      </w:r>
      <w:r>
        <w:rPr>
          <w:rFonts w:ascii="FangSong" w:hAnsi="FangSong" w:eastAsia="FangSong" w:cs="FangSong"/>
          <w:color w:val="000000"/>
          <w:sz w:val="24"/>
        </w:rPr>
        <w:t xml:space="preserve">简略，核心流程存在缺失，仅简单罗列通用流程，实用性、可行性一般，得1分；未提供方案的此项不得分。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3.培训方案（</w:t>
      </w:r>
      <w:r>
        <w:rPr>
          <w:rFonts w:ascii="FangSong" w:hAnsi="FangSong" w:eastAsia="FangSong" w:cs="FangSong"/>
          <w:color w:val="0000ff"/>
          <w:sz w:val="24"/>
        </w:rPr>
        <w:t xml:space="preserve">最高为5分</w:t>
      </w:r>
      <w:r>
        <w:rPr>
          <w:rFonts w:ascii="FangSong" w:hAnsi="FangSong" w:eastAsia="FangSong" w:cs="FangSong"/>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方案完整详实、体系规范、针对性极强。全面覆盖清晰的培训目标、合理的培训时长、全覆盖培训对象，同时配备实操教学、现场指导、答疑等完整配套措施，内容细化落地、实用性、可行性极佳，得5分；培训方案内容较完整、架构规范。完整包含培训目标、课程、教材、时间、培训对象等核心内容，教学措施合理可行，无关键内容缺失，针对性和实用性较好，得3分；培训方案整体基本完整，核心模块齐全。包含培训目标、课程、教材、时长、培训对象等基础内容，方案具备基本可行性，但内容较为笼统、缺乏项目专属细化举措，针对性、实用性一般，得2分；培训</w:t>
      </w:r>
      <w:r>
        <w:rPr>
          <w:rFonts w:ascii="FangSong" w:hAnsi="FangSong" w:eastAsia="FangSong" w:cs="FangSong"/>
          <w:color w:val="000000"/>
          <w:sz w:val="24"/>
        </w:rPr>
        <w:t xml:space="preserve">方案内容简略，核心模块不完善，仅罗列通用培训内容，未结合消防车辆设备特性编制，培训内容、课程安排、教学方式针对性不足，实用性、可行性有待提升，得1分。未提供方案的此项不得分。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4.风险和应急预案及保障能力（</w:t>
      </w:r>
      <w:r>
        <w:rPr>
          <w:rFonts w:ascii="FangSong" w:hAnsi="FangSong" w:eastAsia="FangSong" w:cs="FangSong"/>
          <w:color w:val="0000ff"/>
          <w:sz w:val="24"/>
        </w:rPr>
        <w:t xml:space="preserve">最高为5分</w:t>
      </w:r>
      <w:r>
        <w:rPr>
          <w:rFonts w:ascii="FangSong" w:hAnsi="FangSong" w:eastAsia="FangSong" w:cs="FangSong"/>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风险与应急预案及保障方案内容详实、体系完整、针对性和可行性极强。全面梳理本项目消防车辆生产、供货、运输、交付及使用全过程潜在风险，</w:t>
      </w:r>
      <w:r>
        <w:rPr>
          <w:rFonts w:ascii="FangSong" w:hAnsi="FangSong" w:eastAsia="FangSong" w:cs="FangSong"/>
          <w:color w:val="0000ff"/>
          <w:sz w:val="24"/>
        </w:rPr>
        <w:t xml:space="preserve">救援协调车辆物资配套能力强，</w:t>
      </w:r>
      <w:r>
        <w:rPr>
          <w:rFonts w:ascii="FangSong" w:hAnsi="FangSong" w:eastAsia="FangSong" w:cs="FangSong"/>
          <w:color w:val="000000"/>
          <w:sz w:val="24"/>
        </w:rPr>
        <w:t xml:space="preserve">针对各类突发故障、现场突发事件、自然灾害等不可抗力因素制定专项、细化、可落地的应急处置预案，人员、物资、技术、后勤保障体系完善，应急响应流程清晰、处置措施科学高效，得5分；风险与应急预案及保障方案内容较为详细完整，架构规范。可全面识别项目主要风险，针对突发事件、不可抗力因素均设有对应的应急处置方案和保障措施，流程清晰、无关键内容缺失，针对性、可行性良好，得3分；风险与应急预案及保障方案整体完整、基本可行。涵盖风险识别、基础应急处置、不可抗力应对等核心内容，整体框架齐全，但预案措施较为笼统、缺乏项目专属细化处</w:t>
      </w:r>
      <w:r>
        <w:rPr>
          <w:rFonts w:ascii="FangSong" w:hAnsi="FangSong" w:eastAsia="FangSong" w:cs="FangSong"/>
          <w:color w:val="000000"/>
          <w:sz w:val="24"/>
        </w:rPr>
        <w:t xml:space="preserve">置流程，保障举措不够具体，针对性和完善度一般，得2分；风险与应急预案及保障方案内容简略，核心内容不完善。仅简单罗列通用风险预案内容，得1分；未提供方案的此项不得分。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5.售后服务方案（</w:t>
      </w:r>
      <w:r>
        <w:rPr>
          <w:rFonts w:ascii="FangSong" w:hAnsi="FangSong" w:eastAsia="FangSong" w:cs="FangSong"/>
          <w:color w:val="0000ff"/>
          <w:sz w:val="24"/>
        </w:rPr>
        <w:t xml:space="preserve">最高为5分</w:t>
      </w:r>
      <w:r>
        <w:rPr>
          <w:rFonts w:ascii="FangSong" w:hAnsi="FangSong" w:eastAsia="FangSong" w:cs="FangSong"/>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内容完整详实、体系完善、针对性极强。服务内容全面覆盖本项目消防车辆全周期售后保障，人员配置充足、专业资质齐全，故障响应时效、上门服务、备件保障、维保巡检、技术答疑、售后回访等各项措施具体细化、落地性极强，实用性、可行性优异，得5分；售后服务方案内容较为详细、架构规范完整。完整包含售后服务内容、响应时限、专职售后人员配置及配套保障机制，贴合消防车辆运维服务需求，无关键内容缺失，服务流程清晰、措施合理可行，得3分；售后服务方案整体完整、基本可行。涵盖售后内容、响应时间、人员配置等核心基础模块，可满足</w:t>
      </w:r>
      <w:r>
        <w:rPr>
          <w:rFonts w:ascii="FangSong" w:hAnsi="FangSong" w:eastAsia="FangSong" w:cs="FangSong"/>
          <w:color w:val="000000"/>
          <w:sz w:val="24"/>
        </w:rPr>
        <w:t xml:space="preserve">项目常规售后服务要求，但内容表述较为笼统，无细化专属服务举措，针对性、实用性一般，得2分；售后服务方案内容简略，核心模块不完善。仅罗列通用售后服务内容，未结合本项目消防车辆特性配置专属服务人员、专属响应机制，服务措施单薄、针对性不足，可行性、实用性有待明显提升，得1分；未提供方案的此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6.免费质保期（最高为1分）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所投产品在满足招标文件免费质保期（1年）的基础上，投标人承诺投标人所投项目所有产品的免费质保期每增加1年的，得1分，最高得1分（增加不足1年的不得分）。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注：投标文件中提供相关承诺，未提供的此项不得分。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7.投标人具有经中国国家认证认可监督管理委员会认证机构颁发的有效的下列认证：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质量管理体系认证；环境管理体系认证；职业健康安全管理体系认证；每提供1个认证得1分，最高得3分。</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注：投标文件中提供有效的证书扫描件及在国家认证认可监督网http://www.cnca.gov.cn/可查询并提供截图，未按上述要求提供的对应项不得分。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（四）类似业绩情况：6分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1.2021年1月1日（以合同签订日期为准）至今投标单位类似项目业绩情况，每提供一份得2分，最高得6分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投标文件中提供完整的对应合同及对应合同的发票扫描件，若上述证明材料中均无法体现合同签订时间等关键评审内容的，须同时提供业主单位（合同甲方）出具的证明材料加以明确说明，未提供或提供不全的不得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
      <w:r/>
      <w:r/>
      <w:r/>
      <w:r/>
      <w:r/>
      <w:r/>
    </w:p>
    <w:p>
      <w:p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w:t>
      </w:r>
      <w:r>
        <w:rPr>
          <w:rFonts w:ascii="SimSun" w:hAnsi="SimSun" w:eastAsia="SimSun" w:cs="SimSun"/>
          <w:b/>
          <w:color w:val="000000"/>
          <w:sz w:val="36"/>
        </w:rPr>
        <w:t xml:space="preserve">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（说明：对本章所有的投标书格式，投标方可根据自身情况进行补充和修改，但补充和修改不得造成与本格式内容有实质性的违背。）</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（投标单位名称）的法定代表人（负责人），现授权委托</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2"/>
        </w:rPr>
        <w:t xml:space="preserve">（姓名）为我公司代理人，以本公司的名义参加苏州捷信招投标咨询有限公司组织实施的编号为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号的招标活动。代理人在开标、评标、合同谈判过程中所签署的一切文件和处理与这有关的一切事务，我均予以承认。</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31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340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rPr>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w:t>
      </w:r>
      <w:r/>
    </w:p>
    <w:p>
      <w:pPr>
        <w:ind w:left="0" w:right="0" w:firstLine="441"/>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rPr>
        <w:t xml:space="preserve">：</w:t>
      </w:r>
      <w:r/>
    </w:p>
    <w:p>
      <w:pPr>
        <w:ind w:left="0" w:right="0" w:firstLine="21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我方全面研究了</w:t>
      </w:r>
      <w:r>
        <w:rPr>
          <w:rFonts w:ascii="SimSun" w:hAnsi="SimSun" w:eastAsia="SimSun" w:cs="SimSun"/>
          <w:color w:val="000000"/>
          <w:sz w:val="21"/>
          <w:u w:val="single"/>
        </w:rPr>
        <w:t xml:space="preserve">        </w:t>
      </w:r>
      <w:r>
        <w:rPr>
          <w:rFonts w:ascii="SimSun" w:hAnsi="SimSun" w:eastAsia="SimSun" w:cs="SimSun"/>
          <w:color w:val="000000"/>
          <w:sz w:val="22"/>
        </w:rPr>
        <w:t xml:space="preserve">项目招标文件，决定参加贵单位组织项目编号为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号的投标。</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1.我方自愿按照招标文件规定的各项要求向采购人提供所需服务。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2.一旦我方中标，我们将严格履行招标文件中规定的每一项要求，按期、按质、按量履行合同的义务。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3.我们已详细审查全部招标文件，包括更正文件（如有），对招标文件及更正公告（如有）无任何异议。我们完全理解并同意放弃对这方面有不明及误解的权力。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4.我们同意按招标文件中的规定，本投标书的有效期限为自投标截止之日起</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90 </w:t>
      </w:r>
      <w:r>
        <w:rPr>
          <w:rFonts w:ascii="SimSun" w:hAnsi="SimSun" w:eastAsia="SimSun" w:cs="SimSun"/>
          <w:color w:val="000000"/>
          <w:sz w:val="22"/>
        </w:rPr>
        <w:t xml:space="preserve">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5.我们愿意提供招标采购单位在招标文件中要求的所有资料。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6.我们愿意遵守招标公告及招标文件中所列的收费标准。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7.我们承诺该项投标在开标后的全过程中保持有效，不作任何更改和变动。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8.我方愿意提供贵单位可能另外要求的，与投标有关的文件资料，并保证我方已提供和将要提供的文件资料是真实、准确的。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9.供应商与其他单位存在控股、管理关系情况表</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1"/>
        <w:gridCol w:w="2108"/>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控股、管理关系情况说明</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所有有关招标文件的函电，请按下列地址联系：</w:t>
      </w:r>
      <w:r/>
    </w:p>
    <w:p>
      <w:pPr>
        <w:ind w:left="480" w:right="0" w:firstLine="52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响应单位名称（加盖CA电子公章）</w:t>
      </w:r>
      <w:r>
        <w:rPr>
          <w:rFonts w:ascii="SimSun" w:hAnsi="SimSun" w:eastAsia="SimSun" w:cs="SimSun"/>
          <w:color w:val="000000"/>
          <w:sz w:val="21"/>
        </w:rPr>
        <w:t xml:space="preserve">    </w:t>
      </w:r>
      <w:r>
        <w:rPr>
          <w:rFonts w:ascii="SimSun" w:hAnsi="SimSun" w:eastAsia="SimSun" w:cs="SimSun"/>
          <w:color w:val="000000"/>
          <w:sz w:val="22"/>
        </w:rPr>
        <w:t xml:space="preserve">联系人：</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地址：邮政编码：</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邮箱：</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480" w:right="0" w:firstLine="5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21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21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格式3：开标一览表</w:t>
      </w:r>
      <w:r/>
    </w:p>
    <w:p>
      <w:pPr>
        <w:ind w:left="0" w:right="21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8"/>
        <w:gridCol w:w="7191"/>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元（小写：</w:t>
            </w:r>
            <w:r>
              <w:rPr>
                <w:rFonts w:ascii="SimSun" w:hAnsi="SimSun" w:eastAsia="SimSun" w:cs="SimSun"/>
                <w:color w:val="000000"/>
                <w:sz w:val="21"/>
              </w:rPr>
              <w:t xml:space="preserve"> </w:t>
            </w:r>
            <w:r>
              <w:rPr>
                <w:rFonts w:ascii="SimSun" w:hAnsi="SimSun" w:eastAsia="SimSun" w:cs="SimSun"/>
                <w:color w:val="000000"/>
                <w:sz w:val="22"/>
              </w:rPr>
              <w:t xml:space="preserve">     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是否小微企业：</w:t>
            </w:r>
            <w:r>
              <w:rPr>
                <w:rFonts w:ascii="SimSun" w:hAnsi="SimSun" w:eastAsia="SimSun" w:cs="SimSun"/>
                <w:color w:val="000000"/>
                <w:sz w:val="21"/>
              </w:rPr>
              <w:t xml:space="preserve"> </w:t>
            </w:r>
            <w:r>
              <w:rPr>
                <w:rFonts w:ascii="SimSun" w:hAnsi="SimSun" w:eastAsia="SimSun" w:cs="SimSun"/>
                <w:color w:val="000000"/>
                <w:sz w:val="22"/>
              </w:rPr>
              <w:t xml:space="preserve">□小型       □微型    □否</w:t>
            </w:r>
            <w:r/>
          </w:p>
        </w:tc>
      </w:tr>
      <w:tr>
        <w:trPr>
          <w:trHeight w:val="4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是否残疾人或监狱企业：□小型       □微型     □否</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格式4：投标报价明细表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投标报价明细表</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2"/>
        </w:rPr>
        <w:t xml:space="preserve">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16"/>
        <w:gridCol w:w="1302"/>
        <w:gridCol w:w="1275"/>
        <w:gridCol w:w="709"/>
        <w:gridCol w:w="851"/>
        <w:gridCol w:w="992"/>
        <w:gridCol w:w="992"/>
        <w:gridCol w:w="99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39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7"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注：1.请投标单位按照上述格式分析投标总报价，本项投标总报价需与开标一览表投标总报价一致。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代理费（中标服务费）等工作所发生的全部费用以及投标人利润、税金和政策性文件规定及合同包含的所有风险、责任等各项应有费用。（机动车保险费用不含在投标总报价中）。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5</w:t>
      </w:r>
      <w:r>
        <w:rPr>
          <w:rFonts w:ascii="SimSun" w:hAnsi="SimSun" w:eastAsia="SimSun" w:cs="SimSun"/>
          <w:b/>
          <w:color w:val="000000"/>
          <w:sz w:val="22"/>
        </w:rPr>
        <w:t xml:space="preserve">：随车器材清单</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随车器材清单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301"/>
        <w:gridCol w:w="1147"/>
        <w:gridCol w:w="1137"/>
        <w:gridCol w:w="794"/>
        <w:gridCol w:w="739"/>
        <w:gridCol w:w="1254"/>
        <w:gridCol w:w="1121"/>
        <w:gridCol w:w="1231"/>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器材名称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合计金额：</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格式6：技术响应对照表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技术响应对照表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1673"/>
        <w:gridCol w:w="1509"/>
        <w:gridCol w:w="1344"/>
        <w:gridCol w:w="1581"/>
        <w:gridCol w:w="163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63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注：1.投标人应对照招标文件技术要求等要求，所投标的物与招标文件的规定有偏离的，应在此表中申明与技术要求条文的偏差和例外。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rPr>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sz w:val="24"/>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highlight w:val="none"/>
        </w:rPr>
      </w:r>
      <w:r>
        <w:rPr>
          <w:sz w:val="24"/>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格式7：商务条款偏离表</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商务条款偏离表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
        <w:gridCol w:w="1690"/>
        <w:gridCol w:w="2155"/>
        <w:gridCol w:w="2013"/>
        <w:gridCol w:w="1673"/>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w:t>
      </w:r>
      <w:r>
        <w:rPr>
          <w:rFonts w:ascii="SimHei" w:hAnsi="SimHei" w:eastAsia="SimHei" w:cs="SimHei"/>
          <w:b/>
          <w:color w:val="000000"/>
          <w:sz w:val="22"/>
        </w:rPr>
        <w:t xml:space="preserve">8</w:t>
      </w:r>
      <w:r>
        <w:rPr>
          <w:rFonts w:ascii="SimSun" w:hAnsi="SimSun" w:eastAsia="SimSun" w:cs="SimSun"/>
          <w:b/>
          <w:color w:val="000000"/>
          <w:sz w:val="22"/>
        </w:rPr>
        <w:t xml:space="preserve">：质保期满后三年内备品备件、易损件报价表（不含在投标报价中）</w:t>
      </w:r>
      <w:r/>
    </w:p>
    <w:p>
      <w:pPr>
        <w:ind w:left="0" w:right="0" w:firstLine="48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质保期满后三年内备品备件、易损件报价表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268"/>
        <w:gridCol w:w="2410"/>
        <w:gridCol w:w="1843"/>
        <w:gridCol w:w="127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注：此报价作为最高限价，实际价格在中标后以双方协商为准。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格式9：售后服务承诺书</w:t>
      </w:r>
      <w:r/>
    </w:p>
    <w:p>
      <w:pPr>
        <w:ind w:left="0" w:right="0" w:firstLine="0"/>
        <w:jc w:val="center"/>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售后服务承诺书</w:t>
      </w:r>
      <w:r/>
    </w:p>
    <w:p>
      <w:pPr>
        <w:ind w:left="0" w:right="0" w:firstLine="0"/>
        <w:jc w:val="both"/>
        <w:spacing w:before="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2654"/>
        <w:gridCol w:w="2452"/>
        <w:gridCol w:w="2019"/>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9"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格式10：参加政府采购活动前三年内，在经营活动中没有重大违法记录声明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致：：</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（投标人名称）</w:t>
      </w:r>
      <w:r>
        <w:rPr>
          <w:rFonts w:ascii="SimSun" w:hAnsi="SimSun" w:eastAsia="SimSun" w:cs="SimSun"/>
          <w:color w:val="000000"/>
          <w:sz w:val="21"/>
        </w:rPr>
        <w:t xml:space="preserve"> </w:t>
      </w:r>
      <w:r>
        <w:rPr>
          <w:rFonts w:ascii="SimSun" w:hAnsi="SimSun" w:eastAsia="SimSun" w:cs="SimSun"/>
          <w:color w:val="000000"/>
          <w:sz w:val="22"/>
        </w:rPr>
        <w:t xml:space="preserve">在参加政府采购活动前三年内，没有重大违法记录，特此声明。</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若采购代理机构在本项目采购过程中发现我单位近三年内在经营活动中有重大违法记录，我单位将无条件退出本项目的投标，并承担因此引起的一切后果。</w:t>
      </w:r>
      <w:r/>
    </w:p>
    <w:p>
      <w:pPr>
        <w:ind w:left="0" w:right="0" w:firstLine="609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rPr>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sz w:val="24"/>
        </w:rPr>
      </w:r>
      <w:r/>
    </w:p>
    <w:p>
      <w:pPr>
        <w:ind w:left="0" w:right="0" w:firstLine="0"/>
        <w:spacing w:before="240" w:after="240"/>
        <w:rPr>
          <w:rFonts w:ascii="SimSun" w:hAnsi="SimSun" w:eastAsia="SimSun" w:cs="SimSun"/>
          <w:b/>
          <w:bCs/>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2"/>
          <w:szCs w:val="22"/>
        </w:rPr>
      </w:r>
      <w:r>
        <w:rPr>
          <w:rFonts w:ascii="SimSun" w:hAnsi="SimSun" w:eastAsia="SimSun" w:cs="SimSun"/>
          <w:b/>
          <w:bCs/>
          <w:color w:val="000000"/>
          <w:sz w:val="22"/>
          <w:szCs w:val="22"/>
        </w:rPr>
      </w:r>
    </w:p>
    <w:p>
      <w:pPr>
        <w:ind w:left="0" w:right="0" w:firstLine="0"/>
        <w:spacing w:before="240" w:after="240"/>
        <w:rPr>
          <w:rFonts w:ascii="SimSun" w:hAnsi="SimSun" w:eastAsia="SimSun" w:cs="SimSun"/>
          <w:b/>
          <w:bCs/>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2"/>
          <w:szCs w:val="22"/>
        </w:rPr>
      </w:r>
      <w:r>
        <w:rPr>
          <w:rFonts w:ascii="SimSun" w:hAnsi="SimSun" w:eastAsia="SimSun" w:cs="SimSun"/>
          <w:b/>
          <w:bCs/>
          <w:color w:val="000000"/>
          <w:sz w:val="22"/>
          <w:szCs w:val="22"/>
        </w:rPr>
      </w:r>
    </w:p>
    <w:p>
      <w:pPr>
        <w:ind w:left="0" w:right="0" w:firstLine="0"/>
        <w:spacing w:before="240" w:after="240"/>
        <w:rPr>
          <w:rFonts w:ascii="SimSun" w:hAnsi="SimSun" w:eastAsia="SimSun" w:cs="SimSun"/>
          <w:b/>
          <w:bCs/>
          <w:color w:val="000000"/>
          <w:sz w:val="22"/>
          <w:szCs w:val="22"/>
        </w:rPr>
        <w:pBdr>
          <w:top w:val="none" w:color="000000" w:sz="4" w:space="0"/>
          <w:left w:val="none" w:color="000000" w:sz="4" w:space="0"/>
          <w:bottom w:val="none" w:color="000000" w:sz="4" w:space="0"/>
          <w:right w:val="none" w:color="000000" w:sz="4" w:space="0"/>
        </w:pBdr>
      </w:pPr>
      <w:r>
        <w:rPr>
          <w:sz w:val="24"/>
          <w:highlight w:val="none"/>
        </w:rPr>
      </w:r>
      <w:r>
        <w:rPr>
          <w:sz w:val="24"/>
          <w:highlight w:val="none"/>
        </w:rP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r>
      <w:r>
        <w:rPr>
          <w:rFonts w:ascii="SimSun" w:hAnsi="SimSun" w:eastAsia="SimSun" w:cs="SimSun"/>
          <w:b/>
          <w:color w:val="000000"/>
          <w:sz w:val="22"/>
        </w:rPr>
        <w:t xml:space="preserve">格式11：关于资格文件的声明函</w:t>
      </w:r>
      <w:r>
        <w:rPr>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关于资格文件的声明函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6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投标单位情况表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7"/>
        <w:gridCol w:w="1617"/>
        <w:gridCol w:w="1344"/>
        <w:gridCol w:w="1892"/>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216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6"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0"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1"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后附营业执照、税务登记证、组织机构代码证副本扫描件。</w:t>
      </w:r>
      <w:r/>
    </w:p>
    <w:p>
      <w:pPr>
        <w:ind w:left="0" w:right="0" w:firstLine="0"/>
        <w:jc w:val="both"/>
        <w:spacing w:before="0" w:after="0" w:line="400" w:lineRule="atLeast"/>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sz w:val="22"/>
          <w:szCs w:val="22"/>
        </w:rPr>
      </w:r>
      <w:r>
        <w:rPr>
          <w:rFonts w:ascii="SimHei" w:hAnsi="SimHei" w:eastAsia="SimHei" w:cs="SimHei"/>
          <w:sz w:val="22"/>
          <w:szCs w:val="22"/>
        </w:rPr>
      </w:r>
      <w:r/>
    </w:p>
    <w:p>
      <w:pPr>
        <w:ind w:left="0" w:right="0" w:firstLine="0"/>
        <w:jc w:val="both"/>
        <w:spacing w:before="0" w:after="0" w:line="400" w:lineRule="atLeast"/>
        <w:rPr>
          <w:rFonts w:ascii="SimHei" w:hAnsi="SimHei" w:eastAsia="SimHei" w:cs="SimHe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r/>
    </w:p>
    <w:p>
      <w:pPr>
        <w:ind w:left="0" w:right="357"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格式13：针对本项目组人员配备一览表</w:t>
      </w: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针对本项目组人员配备一览表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6"/>
        <w:gridCol w:w="1627"/>
        <w:gridCol w:w="1627"/>
        <w:gridCol w:w="813"/>
        <w:gridCol w:w="1220"/>
        <w:gridCol w:w="1894"/>
      </w:tblGrid>
      <w:tr>
        <w:trPr>
          <w:trHeight w:val="973"/>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所任职务</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从事本工作时间</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9"/>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62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22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sz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注：可参照以上格式自制表格填写后投标。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spacing w:before="240" w:after="240" w:line="85" w:lineRule="atLeast"/>
        <w:rPr>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rPr>
          <w:sz w:val="24"/>
        </w:rPr>
      </w:r>
      <w:r/>
    </w:p>
    <w:p>
      <w:pPr>
        <w:ind w:left="0" w:right="0" w:firstLine="0"/>
        <w:spacing w:before="240" w:after="240" w:line="85" w:lineRule="atLeast"/>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sz w:val="24"/>
          <w:highlight w:val="none"/>
        </w:rPr>
      </w:r>
      <w:r>
        <w:rPr>
          <w:sz w:val="24"/>
          <w:highlight w:val="none"/>
        </w:rPr>
      </w:r>
    </w:p>
    <w:p>
      <w:pPr>
        <w:ind w:left="0" w:right="0" w:firstLine="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r>
      <w:r>
        <w:rPr>
          <w:rFonts w:ascii="SimSun" w:hAnsi="SimSun" w:eastAsia="SimSun" w:cs="SimSun"/>
          <w:b/>
          <w:color w:val="000000"/>
          <w:sz w:val="22"/>
        </w:rPr>
        <w:t xml:space="preserve">格式14：中小企业声明函（如有）</w:t>
      </w:r>
      <w:r>
        <w:rPr>
          <w:sz w:val="24"/>
        </w:rPr>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中小企业声明函（服务）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苏州捷信招投标咨询有限公司</w:t>
      </w:r>
      <w:r>
        <w:rPr>
          <w:rFonts w:ascii="SimSun" w:hAnsi="SimSun" w:eastAsia="SimSun" w:cs="SimSun"/>
          <w:color w:val="000000"/>
          <w:sz w:val="22"/>
        </w:rPr>
        <w:t xml:space="preserve">：</w:t>
      </w:r>
      <w:r/>
    </w:p>
    <w:p>
      <w:pPr>
        <w:ind w:left="0" w:right="0" w:firstLine="157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本公司</w:t>
      </w:r>
      <w:r>
        <w:rPr>
          <w:rFonts w:ascii="SimSun" w:hAnsi="SimSun" w:eastAsia="SimSun" w:cs="SimSun"/>
          <w:color w:val="000000"/>
          <w:sz w:val="22"/>
          <w:u w:val="single"/>
        </w:rPr>
        <w:t xml:space="preserve">（联合体）</w:t>
      </w:r>
      <w:r>
        <w:rPr>
          <w:rFonts w:ascii="SimSun" w:hAnsi="SimSun" w:eastAsia="SimSun" w:cs="SimSun"/>
          <w:color w:val="000000"/>
          <w:sz w:val="22"/>
        </w:rPr>
        <w:t xml:space="preserve">郑重声明，根据《政府采购促进中小企业发展管理办法》（财库﹝2020﹞46 号）的规定，本公司 </w:t>
      </w:r>
      <w:r>
        <w:rPr>
          <w:rFonts w:ascii="SimSun" w:hAnsi="SimSun" w:eastAsia="SimSun" w:cs="SimSun"/>
          <w:color w:val="000000"/>
          <w:sz w:val="22"/>
          <w:u w:val="single"/>
        </w:rPr>
        <w:t xml:space="preserve">（联合体）</w:t>
      </w:r>
      <w:r>
        <w:rPr>
          <w:rFonts w:ascii="SimSun" w:hAnsi="SimSun" w:eastAsia="SimSun" w:cs="SimSun"/>
          <w:color w:val="000000"/>
          <w:sz w:val="22"/>
        </w:rPr>
        <w:t xml:space="preserve">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采购活动，工程的施工单位全部为符合政策要求的中小企业（或者：服务</w:t>
      </w:r>
      <w:r>
        <w:rPr>
          <w:rFonts w:ascii="SimSun" w:hAnsi="SimSun" w:eastAsia="SimSun" w:cs="SimSun"/>
          <w:color w:val="000000"/>
          <w:sz w:val="21"/>
        </w:rPr>
        <w:t xml:space="preserve"> </w:t>
      </w:r>
      <w:r>
        <w:rPr>
          <w:rFonts w:ascii="SimSun" w:hAnsi="SimSun" w:eastAsia="SimSun" w:cs="SimSun"/>
          <w:color w:val="000000"/>
          <w:sz w:val="22"/>
        </w:rPr>
        <w:t xml:space="preserve">全部由符合政策要求的中小企业承接）。相关企业（含联合</w:t>
      </w:r>
      <w:r>
        <w:rPr>
          <w:rFonts w:ascii="SimSun" w:hAnsi="SimSun" w:eastAsia="SimSun" w:cs="SimSun"/>
          <w:color w:val="000000"/>
          <w:sz w:val="21"/>
        </w:rPr>
        <w:t xml:space="preserve"> </w:t>
      </w:r>
      <w:r>
        <w:rPr>
          <w:rFonts w:ascii="SimSun" w:hAnsi="SimSun" w:eastAsia="SimSun" w:cs="SimSun"/>
          <w:color w:val="000000"/>
          <w:sz w:val="22"/>
        </w:rPr>
        <w:t xml:space="preserve">体中的中小企业、签订分包意向协议的中小企业）的具体情</w:t>
      </w:r>
      <w:r>
        <w:rPr>
          <w:rFonts w:ascii="SimSun" w:hAnsi="SimSun" w:eastAsia="SimSun" w:cs="SimSun"/>
          <w:color w:val="000000"/>
          <w:sz w:val="21"/>
        </w:rPr>
        <w:t xml:space="preserve"> </w:t>
      </w:r>
      <w:r>
        <w:rPr>
          <w:rFonts w:ascii="SimSun" w:hAnsi="SimSun" w:eastAsia="SimSun" w:cs="SimSun"/>
          <w:color w:val="000000"/>
          <w:sz w:val="22"/>
        </w:rPr>
        <w:t xml:space="preserve">况如下：</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w:t>
      </w:r>
      <w:r>
        <w:rPr>
          <w:rFonts w:ascii="SimSun" w:hAnsi="SimSun" w:eastAsia="SimSun" w:cs="SimSun"/>
          <w:color w:val="000000"/>
          <w:sz w:val="21"/>
        </w:rPr>
        <w:t xml:space="preserve"> </w:t>
      </w:r>
      <w:r>
        <w:rPr>
          <w:rFonts w:ascii="SimSun" w:hAnsi="SimSun" w:eastAsia="SimSun" w:cs="SimSun"/>
          <w:color w:val="000000"/>
          <w:sz w:val="22"/>
        </w:rPr>
        <w:t xml:space="preserve">，属于（中型企业、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p>
    <w:p>
      <w:pPr>
        <w:numPr>
          <w:ilvl w:val="0"/>
          <w:numId w:val="8"/>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（标的名称）</w:t>
      </w:r>
      <w:r>
        <w:rPr>
          <w:rFonts w:ascii="SimSun" w:hAnsi="SimSun" w:eastAsia="SimSun" w:cs="SimSun"/>
          <w:color w:val="000000"/>
          <w:sz w:val="21"/>
        </w:rPr>
        <w:t xml:space="preserve"> </w:t>
      </w:r>
      <w:r>
        <w:rPr>
          <w:rFonts w:ascii="SimSun" w:hAnsi="SimSun" w:eastAsia="SimSun" w:cs="SimSun"/>
          <w:color w:val="000000"/>
          <w:sz w:val="22"/>
        </w:rPr>
        <w:t xml:space="preserve">，属于</w:t>
      </w:r>
      <w:r>
        <w:rPr>
          <w:rFonts w:ascii="SimSun" w:hAnsi="SimSun" w:eastAsia="SimSun" w:cs="SimSun"/>
          <w:b/>
          <w:color w:val="000000"/>
          <w:sz w:val="22"/>
          <w:u w:val="single"/>
        </w:rPr>
        <w:t xml:space="preserve">工业</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w:t>
      </w:r>
      <w:r>
        <w:rPr>
          <w:rFonts w:ascii="SimSun" w:hAnsi="SimSun" w:eastAsia="SimSun" w:cs="SimSun"/>
          <w:color w:val="000000"/>
          <w:sz w:val="21"/>
        </w:rPr>
        <w:t xml:space="preserve"> </w:t>
      </w:r>
      <w:r>
        <w:rPr>
          <w:rFonts w:ascii="SimSun" w:hAnsi="SimSun" w:eastAsia="SimSun" w:cs="SimSun"/>
          <w:color w:val="000000"/>
          <w:sz w:val="22"/>
        </w:rPr>
        <w:t xml:space="preserve">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万元，属于（中型企业、</w:t>
      </w:r>
      <w:r>
        <w:rPr>
          <w:rFonts w:ascii="SimSun" w:hAnsi="SimSun" w:eastAsia="SimSun" w:cs="SimSun"/>
          <w:color w:val="000000"/>
          <w:sz w:val="21"/>
        </w:rPr>
        <w:t xml:space="preserve"> </w:t>
      </w:r>
      <w:r>
        <w:rPr>
          <w:rFonts w:ascii="SimSun" w:hAnsi="SimSun" w:eastAsia="SimSun" w:cs="SimSun"/>
          <w:color w:val="000000"/>
          <w:sz w:val="22"/>
        </w:rPr>
        <w:t xml:space="preserve">小型企业、微型企业）（</w:t>
      </w:r>
      <w:r>
        <w:rPr>
          <w:rFonts w:ascii="SimSun" w:hAnsi="SimSun" w:eastAsia="SimSun" w:cs="SimSun"/>
          <w:color w:val="000000"/>
          <w:sz w:val="22"/>
          <w:u w:val="single"/>
        </w:rPr>
        <w:t xml:space="preserve">中型企业、</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小型企业、微型企业，三者选一填写</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color w:val="000000"/>
          <w:sz w:val="22"/>
        </w:rPr>
        <w:t xml:space="preserve">…… 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2.若供应商提供的“中小企业声明函”内容不实的，属于提供虚假材料谋取中标、成交，将依照《中华人民共和国政府采购法》等国家有关规定追究相应责任；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符合中小企业划分标准的个体工商户，在政府采购活动中视同中小企业。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tab/>
        <w:t xml:space="preserve">投标文件中的电子签章视为投标人对本声明进行了签署盖章并承担相应责任。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附：中小企业划型标准规定（工信部联企业〔2011 〕300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（一）农、林、牧、渔业。营业收入</w:t>
      </w:r>
      <w:r>
        <w:rPr>
          <w:rFonts w:ascii="SimSun" w:hAnsi="SimSun" w:eastAsia="SimSun" w:cs="SimSun"/>
          <w:color w:val="000000"/>
          <w:sz w:val="21"/>
        </w:rPr>
        <w:t xml:space="preserve"> </w:t>
      </w:r>
      <w:r>
        <w:rPr>
          <w:rFonts w:ascii="SimSun" w:hAnsi="SimSun" w:eastAsia="SimSun" w:cs="SimSun"/>
          <w:color w:val="000000"/>
          <w:sz w:val="22"/>
        </w:rPr>
        <w:t xml:space="preserve">20000 万元以下的为中小微型企业。其中，营业收入 500 万元及以上的为中型企业，营业收入 50 万元及以上的为小型企业，营业收入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（二）工业。从业人员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（三）建筑业。营业收入</w:t>
      </w:r>
      <w:r>
        <w:rPr>
          <w:rFonts w:ascii="SimSun" w:hAnsi="SimSun" w:eastAsia="SimSun" w:cs="SimSun"/>
          <w:color w:val="000000"/>
          <w:sz w:val="21"/>
        </w:rPr>
        <w:t xml:space="preserve"> </w:t>
      </w:r>
      <w:r>
        <w:rPr>
          <w:rFonts w:ascii="SimSun" w:hAnsi="SimSun" w:eastAsia="SimSun" w:cs="SimSun"/>
          <w:color w:val="000000"/>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（四）批发业。从业人员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（五）零售业。从业人员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（六）交通运输业。从业人员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（七）仓储业。从业人员</w:t>
      </w:r>
      <w:r>
        <w:rPr>
          <w:rFonts w:ascii="SimSun" w:hAnsi="SimSun" w:eastAsia="SimSun" w:cs="SimSun"/>
          <w:color w:val="000000"/>
          <w:sz w:val="21"/>
        </w:rPr>
        <w:t xml:space="preserve"> </w:t>
      </w:r>
      <w:r>
        <w:rPr>
          <w:rFonts w:ascii="SimSun" w:hAnsi="SimSun" w:eastAsia="SimSun" w:cs="SimSun"/>
          <w:color w:val="000000"/>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（八）邮政业。从业人员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（九）住宿业。从业人员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（十）餐饮业。从业人员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（十一）信息传输业。从业人员</w:t>
      </w:r>
      <w:r>
        <w:rPr>
          <w:rFonts w:ascii="SimSun" w:hAnsi="SimSun" w:eastAsia="SimSun" w:cs="SimSun"/>
          <w:color w:val="000000"/>
          <w:sz w:val="21"/>
        </w:rPr>
        <w:t xml:space="preserve"> </w:t>
      </w:r>
      <w:r>
        <w:rPr>
          <w:rFonts w:ascii="SimSun" w:hAnsi="SimSun" w:eastAsia="SimSun" w:cs="SimSun"/>
          <w:color w:val="000000"/>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（十二）软件和信息技术服务业。从业人员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（十三）房地产开发经营。营业收入</w:t>
      </w:r>
      <w:r>
        <w:rPr>
          <w:rFonts w:ascii="SimSun" w:hAnsi="SimSun" w:eastAsia="SimSun" w:cs="SimSun"/>
          <w:color w:val="000000"/>
          <w:sz w:val="21"/>
        </w:rPr>
        <w:t xml:space="preserve"> </w:t>
      </w:r>
      <w:r>
        <w:rPr>
          <w:rFonts w:ascii="SimSun" w:hAnsi="SimSun" w:eastAsia="SimSun" w:cs="SimSun"/>
          <w:color w:val="000000"/>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（十四）物业管理。从业人员</w:t>
      </w:r>
      <w:r>
        <w:rPr>
          <w:rFonts w:ascii="SimSun" w:hAnsi="SimSun" w:eastAsia="SimSun" w:cs="SimSun"/>
          <w:color w:val="000000"/>
          <w:sz w:val="21"/>
        </w:rPr>
        <w:t xml:space="preserve"> </w:t>
      </w:r>
      <w:r>
        <w:rPr>
          <w:rFonts w:ascii="SimSun" w:hAnsi="SimSun" w:eastAsia="SimSun" w:cs="SimSun"/>
          <w:color w:val="000000"/>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（十五）租赁和商务服务业。从业人员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（十六）其他未列明行业。从业人员</w:t>
      </w:r>
      <w:r>
        <w:rPr>
          <w:rFonts w:ascii="SimSun" w:hAnsi="SimSun" w:eastAsia="SimSun" w:cs="SimSun"/>
          <w:color w:val="000000"/>
          <w:sz w:val="21"/>
        </w:rPr>
        <w:t xml:space="preserve"> </w:t>
      </w:r>
      <w:r>
        <w:rPr>
          <w:rFonts w:ascii="SimSun" w:hAnsi="SimSun" w:eastAsia="SimSun" w:cs="SimSun"/>
          <w:color w:val="000000"/>
          <w:sz w:val="22"/>
        </w:rPr>
        <w:t xml:space="preserve">300 人以下的为中小微型企业。其中，从业人员 100 人及以上的为中型企业；从业人员 10 人及以上的为小型企业；从业人员 10 人以下的为微型企业。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240" w:after="240"/>
        <w:rPr>
          <w:rFonts w:ascii="FangSong" w:hAnsi="FangSong" w:eastAsia="FangSong" w:cs="FangSong"/>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r>
      <w:r>
        <w:rPr>
          <w:rFonts w:ascii="FangSong" w:hAnsi="FangSong" w:eastAsia="FangSong" w:cs="FangSong"/>
          <w:b/>
          <w:color w:val="000000"/>
          <w:sz w:val="22"/>
          <w:highlight w:val="none"/>
        </w:rPr>
      </w:r>
    </w:p>
    <w:p>
      <w:pPr>
        <w:ind w:left="0" w:right="0" w:firstLine="0"/>
        <w:spacing w:before="0" w:after="0"/>
        <w:tabs>
          <w:tab w:val="left" w:pos="687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格式15：残疾人福利性单位声明函（如有）</w:t>
      </w:r>
      <w:r/>
    </w:p>
    <w:p>
      <w:pPr>
        <w:ind w:left="0" w:right="0" w:firstLine="12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残疾人福利性单位声明函（如有）</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0" w:after="0" w:line="113"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附件16：关于符合本国产品标准的声明函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2"/>
          <w:u w:val="single"/>
        </w:rPr>
        <w:t xml:space="preserve">（单位）</w:t>
      </w:r>
      <w:r>
        <w:rPr>
          <w:rFonts w:ascii="SimSun" w:hAnsi="SimSun" w:eastAsia="SimSun" w:cs="SimSun"/>
          <w:color w:val="000000"/>
          <w:sz w:val="22"/>
        </w:rPr>
        <w:t xml:space="preserve">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strike/>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strike/>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的中国境内生产的组件成本占比≥</w:t>
      </w:r>
      <w:r>
        <w:rPr>
          <w:rFonts w:ascii="SimSun" w:hAnsi="SimSun" w:eastAsia="SimSun" w:cs="SimSun"/>
          <w:strike/>
          <w:color w:val="000000"/>
          <w:sz w:val="22"/>
          <w:highlight w:val="white"/>
          <w:u w:val="single"/>
        </w:rPr>
        <w:t xml:space="preserve">（规定比例）</w:t>
      </w:r>
      <w:r>
        <w:rPr>
          <w:rFonts w:ascii="SimSun" w:hAnsi="SimSun" w:eastAsia="SimSun" w:cs="SimSun"/>
          <w:color w:val="000000"/>
          <w:sz w:val="22"/>
          <w:highlight w:val="white"/>
        </w:rPr>
        <w:t xml:space="preserve">。</w:t>
      </w:r>
      <w:r>
        <w:rPr>
          <w:rFonts w:ascii="SimSun" w:hAnsi="SimSun" w:eastAsia="SimSun" w:cs="SimSun"/>
          <w:strike/>
          <w:color w:val="000000"/>
          <w:sz w:val="22"/>
          <w:highlight w:val="white"/>
          <w:u w:val="single"/>
        </w:rPr>
        <w:t xml:space="preserve">（产品名称2）</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（关键组件）</w:t>
      </w:r>
      <w:r>
        <w:rPr>
          <w:rFonts w:ascii="SimSun" w:hAnsi="SimSun" w:eastAsia="SimSun" w:cs="SimSun"/>
          <w:color w:val="000000"/>
          <w:sz w:val="22"/>
          <w:highlight w:val="white"/>
        </w:rPr>
        <w:t xml:space="preserve">在中国境内生产。</w:t>
      </w:r>
      <w:r>
        <w:rPr>
          <w:rFonts w:ascii="SimSun" w:hAnsi="SimSun" w:eastAsia="SimSun" w:cs="SimSun"/>
          <w:strike/>
          <w:color w:val="000000"/>
          <w:sz w:val="22"/>
          <w:highlight w:val="white"/>
          <w:u w:val="single"/>
        </w:rPr>
        <w:t xml:space="preserve">（产品名称1）</w:t>
      </w:r>
      <w:r>
        <w:rPr>
          <w:rFonts w:ascii="SimSun" w:hAnsi="SimSun" w:eastAsia="SimSun" w:cs="SimSun"/>
          <w:color w:val="000000"/>
          <w:sz w:val="22"/>
          <w:highlight w:val="white"/>
        </w:rPr>
        <w:t xml:space="preserve">的</w:t>
      </w:r>
      <w:r>
        <w:rPr>
          <w:rFonts w:ascii="SimSun" w:hAnsi="SimSun" w:eastAsia="SimSun" w:cs="SimSun"/>
          <w:strike/>
          <w:color w:val="000000"/>
          <w:sz w:val="22"/>
          <w:highlight w:val="white"/>
          <w:u w:val="single"/>
        </w:rPr>
        <w:t xml:space="preserve">（关键工序）</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2"/>
          <w:u w:val="single"/>
        </w:rPr>
        <w:t xml:space="preserve"> </w:t>
      </w:r>
      <w:r/>
    </w:p>
    <w:p>
      <w:pPr>
        <w:ind w:left="0" w:right="0" w:firstLine="0"/>
        <w:jc w:val="both"/>
        <w:spacing w:before="0" w:after="0"/>
        <w:rPr>
          <w:rFonts w:ascii="SimSun" w:hAnsi="SimSun" w:eastAsia="SimSun" w:cs="SimSun"/>
          <w:b/>
          <w:bCs/>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none"/>
        </w:rPr>
      </w:r>
      <w:r>
        <w:rPr>
          <w:rFonts w:ascii="SimSun" w:hAnsi="SimSun" w:eastAsia="SimSun" w:cs="SimSun"/>
          <w:b/>
          <w:color w:val="000000"/>
          <w:sz w:val="2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格式17：投标（响应）保证承诺书</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投标（响应）保证承诺书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（项目名称和项目编号）</w:t>
      </w:r>
      <w:r>
        <w:rPr>
          <w:rFonts w:ascii="SimSun" w:hAnsi="SimSun" w:eastAsia="SimSun" w:cs="SimSun"/>
          <w:color w:val="000000"/>
          <w:sz w:val="22"/>
        </w:rPr>
        <w:t xml:space="preserve">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w:t>
      </w:r>
      <w:r>
        <w:rPr>
          <w:rFonts w:ascii="SimSun" w:hAnsi="SimSun" w:eastAsia="SimSun" w:cs="SimSun"/>
          <w:color w:val="000000"/>
          <w:sz w:val="22"/>
          <w:u w:val="single"/>
        </w:rPr>
        <w:t xml:space="preserve">（或采购人）</w:t>
      </w:r>
      <w:r>
        <w:rPr>
          <w:rFonts w:ascii="SimSun" w:hAnsi="SimSun" w:eastAsia="SimSun" w:cs="SimSun"/>
          <w:color w:val="000000"/>
          <w:sz w:val="22"/>
        </w:rPr>
        <w:t xml:space="preserve">要求我单位履行违约赔偿义务的依据作用。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响应单位名称（加盖CA电子公章）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ind w:left="0" w:right="0" w:firstLine="0"/>
        <w:spacing w:before="240" w:after="240" w:line="479"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Yu Gothic">
    <w:panose1 w:val="020B0400000000000000"/>
  </w:font>
  <w:font w:name="等线">
    <w:panose1 w:val="02010600030101010101"/>
  </w:font>
  <w:font w:name="楷体_GB2312">
    <w:panose1 w:val="02010609060101010101"/>
  </w:font>
  <w:font w:name="Calibri">
    <w:panose1 w:val="020F0502020204030204"/>
  </w:font>
  <w:font w:name="ヒラギノ角ゴ Pro W3">
    <w:panose1 w:val="020B0503020202020204"/>
  </w:font>
  <w:font w:name="Courier New">
    <w:panose1 w:val="02070309020205020404"/>
  </w:font>
  <w:font w:name="方正仿宋简体">
    <w:panose1 w:val="020B0503020202020204"/>
  </w:font>
  <w:font w:name="KaiTi">
    <w:panose1 w:val="02010609060101010101"/>
  </w:font>
  <w:font w:name="Symbol">
    <w:panose1 w:val="05050102010706020507"/>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fldSimple w:instr="PAGE \* MERGEFORMAT">
      <w:r>
        <w:t xml:space="preserve">1</w:t>
      </w:r>
    </w:fldSimple>
    <w:r/>
    <w:r/>
  </w:p>
  <w:p>
    <w:pPr>
      <w:pStyle w:val="73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uiPriority w:val="0"/>
    <w:qFormat/>
    <w:pPr>
      <w:jc w:val="both"/>
      <w:widowControl w:val="off"/>
    </w:pPr>
    <w:rPr>
      <w:rFonts w:hint="default" w:ascii="黑体" w:hAnsi="黑体" w:eastAsia="宋体" w:cs="宋体"/>
      <w:sz w:val="21"/>
      <w:szCs w:val="21"/>
      <w:lang w:eastAsia="zh-CN"/>
    </w:rPr>
  </w:style>
  <w:style w:type="paragraph" w:styleId="689">
    <w:name w:val="Heading 5"/>
    <w:next w:val="688"/>
    <w:uiPriority w:val="9"/>
    <w:unhideWhenUsed/>
    <w:qFormat/>
    <w:pPr>
      <w:jc w:val="both"/>
      <w:keepLines/>
      <w:keepNext/>
      <w:spacing w:line="360" w:lineRule="atLeast"/>
      <w:widowControl w:val="off"/>
      <w:outlineLvl w:val="4"/>
    </w:pPr>
    <w:rPr>
      <w:rFonts w:ascii="Times New Roman" w:hAnsi="Times New Roman" w:eastAsia="宋体" w:cs="Times New Roman"/>
      <w:sz w:val="24"/>
      <w:szCs w:val="20"/>
      <w:lang w:val="en-US" w:eastAsia="zh-CN" w:bidi="ar-SA"/>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name w:val="toc 7"/>
    <w:basedOn w:val="688"/>
    <w:next w:val="688"/>
    <w:uiPriority w:val="39"/>
    <w:unhideWhenUsed/>
    <w:qFormat/>
    <w:pPr>
      <w:ind w:left="1701" w:right="0" w:firstLine="0"/>
      <w:spacing w:after="57"/>
    </w:pPr>
  </w:style>
  <w:style w:type="paragraph" w:styleId="693">
    <w:name w:val="annotation text"/>
    <w:basedOn w:val="688"/>
    <w:uiPriority w:val="99"/>
    <w:unhideWhenUsed/>
    <w:qFormat/>
    <w:pPr>
      <w:jc w:val="left"/>
    </w:pPr>
  </w:style>
  <w:style w:type="paragraph" w:styleId="694">
    <w:name w:val="toc 5"/>
    <w:basedOn w:val="688"/>
    <w:next w:val="688"/>
    <w:uiPriority w:val="39"/>
    <w:unhideWhenUsed/>
    <w:qFormat/>
    <w:pPr>
      <w:ind w:left="1134" w:right="0" w:firstLine="0"/>
      <w:spacing w:after="57"/>
    </w:pPr>
  </w:style>
  <w:style w:type="paragraph" w:styleId="695">
    <w:name w:val="toc 3"/>
    <w:basedOn w:val="688"/>
    <w:next w:val="688"/>
    <w:uiPriority w:val="39"/>
    <w:unhideWhenUsed/>
    <w:qFormat/>
    <w:pPr>
      <w:ind w:left="567" w:right="0" w:firstLine="0"/>
      <w:spacing w:after="57"/>
    </w:pPr>
  </w:style>
  <w:style w:type="paragraph" w:styleId="696">
    <w:name w:val="toc 8"/>
    <w:basedOn w:val="688"/>
    <w:next w:val="688"/>
    <w:uiPriority w:val="39"/>
    <w:unhideWhenUsed/>
    <w:qFormat/>
    <w:pPr>
      <w:ind w:left="1984" w:right="0" w:firstLine="0"/>
      <w:spacing w:after="57"/>
    </w:pPr>
  </w:style>
  <w:style w:type="paragraph" w:styleId="697">
    <w:name w:val="endnote text"/>
    <w:basedOn w:val="688"/>
    <w:link w:val="712"/>
    <w:uiPriority w:val="99"/>
    <w:unhideWhenUsed/>
    <w:qFormat/>
    <w:pPr>
      <w:spacing w:after="0" w:line="240" w:lineRule="auto"/>
    </w:pPr>
    <w:rPr>
      <w:sz w:val="20"/>
    </w:rPr>
  </w:style>
  <w:style w:type="paragraph" w:styleId="698">
    <w:name w:val="Footer"/>
    <w:basedOn w:val="688"/>
    <w:uiPriority w:val="99"/>
    <w:unhideWhenUsed/>
    <w:qFormat/>
    <w:pPr>
      <w:jc w:val="left"/>
      <w:tabs>
        <w:tab w:val="center" w:pos="4153" w:leader="none"/>
        <w:tab w:val="right" w:pos="8306" w:leader="none"/>
      </w:tabs>
    </w:pPr>
    <w:rPr>
      <w:sz w:val="18"/>
    </w:rPr>
  </w:style>
  <w:style w:type="paragraph" w:styleId="699">
    <w:name w:val="toc 1"/>
    <w:basedOn w:val="688"/>
    <w:next w:val="688"/>
    <w:uiPriority w:val="39"/>
    <w:unhideWhenUsed/>
    <w:qFormat/>
    <w:pPr>
      <w:ind w:left="0" w:right="0" w:firstLine="0"/>
      <w:spacing w:after="57"/>
    </w:pPr>
  </w:style>
  <w:style w:type="paragraph" w:styleId="700">
    <w:name w:val="toc 4"/>
    <w:basedOn w:val="688"/>
    <w:next w:val="688"/>
    <w:uiPriority w:val="39"/>
    <w:unhideWhenUsed/>
    <w:qFormat/>
    <w:pPr>
      <w:ind w:left="850" w:right="0" w:firstLine="0"/>
      <w:spacing w:after="57"/>
    </w:pPr>
  </w:style>
  <w:style w:type="paragraph" w:styleId="701">
    <w:name w:val="Subtitle"/>
    <w:basedOn w:val="688"/>
    <w:next w:val="688"/>
    <w:link w:val="713"/>
    <w:uiPriority w:val="11"/>
    <w:qFormat/>
    <w:pPr>
      <w:spacing w:before="200" w:after="200"/>
    </w:pPr>
    <w:rPr>
      <w:sz w:val="24"/>
      <w:szCs w:val="24"/>
    </w:rPr>
  </w:style>
  <w:style w:type="paragraph" w:styleId="702">
    <w:name w:val="footnote text"/>
    <w:basedOn w:val="688"/>
    <w:link w:val="714"/>
    <w:uiPriority w:val="99"/>
    <w:unhideWhenUsed/>
    <w:qFormat/>
    <w:pPr>
      <w:spacing w:after="40" w:line="240" w:lineRule="auto"/>
    </w:pPr>
    <w:rPr>
      <w:sz w:val="18"/>
    </w:rPr>
  </w:style>
  <w:style w:type="paragraph" w:styleId="703">
    <w:name w:val="toc 6"/>
    <w:basedOn w:val="688"/>
    <w:next w:val="688"/>
    <w:uiPriority w:val="39"/>
    <w:unhideWhenUsed/>
    <w:qFormat/>
    <w:pPr>
      <w:ind w:left="1417" w:right="0" w:firstLine="0"/>
      <w:spacing w:after="57"/>
    </w:pPr>
  </w:style>
  <w:style w:type="paragraph" w:styleId="704">
    <w:name w:val="table of figures"/>
    <w:basedOn w:val="688"/>
    <w:next w:val="688"/>
    <w:uiPriority w:val="99"/>
    <w:unhideWhenUsed/>
    <w:qFormat/>
    <w:pPr>
      <w:spacing w:after="0" w:afterAutospacing="0"/>
    </w:pPr>
  </w:style>
  <w:style w:type="paragraph" w:styleId="705">
    <w:name w:val="toc 2"/>
    <w:basedOn w:val="688"/>
    <w:next w:val="688"/>
    <w:uiPriority w:val="39"/>
    <w:unhideWhenUsed/>
    <w:qFormat/>
    <w:pPr>
      <w:ind w:left="283" w:right="0" w:firstLine="0"/>
      <w:spacing w:after="57"/>
    </w:pPr>
  </w:style>
  <w:style w:type="paragraph" w:styleId="706">
    <w:name w:val="toc 9"/>
    <w:basedOn w:val="688"/>
    <w:next w:val="688"/>
    <w:uiPriority w:val="39"/>
    <w:unhideWhenUsed/>
    <w:qFormat/>
    <w:pPr>
      <w:ind w:left="2268" w:right="0" w:firstLine="0"/>
      <w:spacing w:after="57"/>
    </w:pPr>
  </w:style>
  <w:style w:type="paragraph" w:styleId="707">
    <w:name w:val="Title"/>
    <w:basedOn w:val="688"/>
    <w:next w:val="688"/>
    <w:link w:val="715"/>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unhideWhenUsed/>
    <w:qFormat/>
    <w:rPr>
      <w:vertAlign w:val="superscript"/>
    </w:rPr>
  </w:style>
  <w:style w:type="character" w:styleId="710">
    <w:name w:val="Hyperlink"/>
    <w:uiPriority w:val="99"/>
    <w:unhideWhenUsed/>
    <w:qFormat/>
    <w:rPr>
      <w:color w:val="0000ff"/>
      <w:u w:val="single"/>
    </w:rPr>
  </w:style>
  <w:style w:type="character" w:styleId="711">
    <w:name w:val="footnote reference"/>
    <w:uiPriority w:val="99"/>
    <w:unhideWhenUsed/>
    <w:qFormat/>
    <w:rPr>
      <w:vertAlign w:val="superscript"/>
    </w:rPr>
  </w:style>
  <w:style w:type="character" w:styleId="712" w:customStyle="1">
    <w:name w:val="Endnote Text Char"/>
    <w:link w:val="697"/>
    <w:uiPriority w:val="99"/>
    <w:qFormat/>
    <w:rPr>
      <w:sz w:val="20"/>
    </w:rPr>
  </w:style>
  <w:style w:type="character" w:styleId="713" w:customStyle="1">
    <w:name w:val="Subtitle Char"/>
    <w:link w:val="701"/>
    <w:uiPriority w:val="11"/>
    <w:qFormat/>
    <w:rPr>
      <w:sz w:val="24"/>
      <w:szCs w:val="24"/>
    </w:rPr>
  </w:style>
  <w:style w:type="character" w:styleId="714" w:customStyle="1">
    <w:name w:val="Footnote Text Char"/>
    <w:link w:val="702"/>
    <w:uiPriority w:val="99"/>
    <w:qFormat/>
    <w:rPr>
      <w:sz w:val="18"/>
    </w:rPr>
  </w:style>
  <w:style w:type="character" w:styleId="715" w:customStyle="1">
    <w:name w:val="Title Char"/>
    <w:link w:val="707"/>
    <w:uiPriority w:val="10"/>
    <w:qFormat/>
    <w:rPr>
      <w:sz w:val="48"/>
      <w:szCs w:val="48"/>
    </w:rPr>
  </w:style>
  <w:style w:type="paragraph" w:styleId="716" w:customStyle="1">
    <w:name w:val="Heading 1"/>
    <w:basedOn w:val="688"/>
    <w:next w:val="688"/>
    <w:link w:val="717"/>
    <w:uiPriority w:val="9"/>
    <w:qFormat/>
    <w:pPr>
      <w:keepLines/>
      <w:keepNext/>
      <w:spacing w:before="480" w:after="200"/>
      <w:outlineLvl w:val="0"/>
    </w:pPr>
    <w:rPr>
      <w:rFonts w:ascii="Arial" w:hAnsi="Arial" w:eastAsia="Arial" w:cs="Arial"/>
      <w:sz w:val="40"/>
      <w:szCs w:val="40"/>
    </w:rPr>
  </w:style>
  <w:style w:type="character" w:styleId="717" w:customStyle="1">
    <w:name w:val="Heading 1 Char"/>
    <w:link w:val="716"/>
    <w:uiPriority w:val="9"/>
    <w:qFormat/>
    <w:rPr>
      <w:rFonts w:ascii="Arial" w:hAnsi="Arial" w:eastAsia="Arial" w:cs="Arial"/>
      <w:sz w:val="40"/>
      <w:szCs w:val="40"/>
    </w:rPr>
  </w:style>
  <w:style w:type="paragraph" w:styleId="718" w:customStyle="1">
    <w:name w:val="Heading 2"/>
    <w:basedOn w:val="688"/>
    <w:next w:val="688"/>
    <w:link w:val="719"/>
    <w:uiPriority w:val="9"/>
    <w:unhideWhenUsed/>
    <w:qFormat/>
    <w:pPr>
      <w:keepLines/>
      <w:keepNext/>
      <w:spacing w:before="360" w:after="200"/>
      <w:outlineLvl w:val="1"/>
    </w:pPr>
    <w:rPr>
      <w:rFonts w:ascii="Arial" w:hAnsi="Arial" w:eastAsia="Arial" w:cs="Arial"/>
      <w:sz w:val="34"/>
    </w:rPr>
  </w:style>
  <w:style w:type="character" w:styleId="719" w:customStyle="1">
    <w:name w:val="Heading 2 Char"/>
    <w:link w:val="718"/>
    <w:uiPriority w:val="9"/>
    <w:qFormat/>
    <w:rPr>
      <w:rFonts w:ascii="Arial" w:hAnsi="Arial" w:eastAsia="Arial" w:cs="Arial"/>
      <w:sz w:val="34"/>
    </w:rPr>
  </w:style>
  <w:style w:type="paragraph" w:styleId="720" w:customStyle="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721" w:customStyle="1">
    <w:name w:val="Heading 4"/>
    <w:basedOn w:val="688"/>
    <w:next w:val="688"/>
    <w:link w:val="722"/>
    <w:uiPriority w:val="9"/>
    <w:unhideWhenUsed/>
    <w:qFormat/>
    <w:pPr>
      <w:keepLines/>
      <w:keepNext/>
      <w:spacing w:before="320" w:after="200"/>
      <w:outlineLvl w:val="3"/>
    </w:pPr>
    <w:rPr>
      <w:rFonts w:ascii="Arial" w:hAnsi="Arial" w:eastAsia="Arial" w:cs="Arial"/>
      <w:b/>
      <w:bCs/>
      <w:sz w:val="26"/>
      <w:szCs w:val="26"/>
    </w:rPr>
  </w:style>
  <w:style w:type="character" w:styleId="722" w:customStyle="1">
    <w:name w:val="Heading 4 Char"/>
    <w:link w:val="721"/>
    <w:uiPriority w:val="9"/>
    <w:qFormat/>
    <w:rPr>
      <w:rFonts w:ascii="Arial" w:hAnsi="Arial" w:eastAsia="Arial" w:cs="Arial"/>
      <w:b/>
      <w:bCs/>
      <w:sz w:val="26"/>
      <w:szCs w:val="26"/>
    </w:rPr>
  </w:style>
  <w:style w:type="paragraph" w:styleId="723" w:customStyle="1">
    <w:name w:val="Heading 5"/>
    <w:basedOn w:val="688"/>
    <w:next w:val="688"/>
    <w:link w:val="724"/>
    <w:uiPriority w:val="9"/>
    <w:unhideWhenUsed/>
    <w:qFormat/>
    <w:pPr>
      <w:keepLines/>
      <w:keepNext/>
      <w:spacing w:before="320" w:after="200"/>
      <w:outlineLvl w:val="4"/>
    </w:pPr>
    <w:rPr>
      <w:rFonts w:ascii="Arial" w:hAnsi="Arial" w:eastAsia="Arial" w:cs="Arial"/>
      <w:b/>
      <w:bCs/>
      <w:sz w:val="24"/>
      <w:szCs w:val="24"/>
    </w:rPr>
  </w:style>
  <w:style w:type="character" w:styleId="724" w:customStyle="1">
    <w:name w:val="Heading 5 Char"/>
    <w:link w:val="723"/>
    <w:uiPriority w:val="9"/>
    <w:qFormat/>
    <w:rPr>
      <w:rFonts w:ascii="Arial" w:hAnsi="Arial" w:eastAsia="Arial" w:cs="Arial"/>
      <w:b/>
      <w:bCs/>
      <w:sz w:val="24"/>
      <w:szCs w:val="24"/>
    </w:rPr>
  </w:style>
  <w:style w:type="paragraph" w:styleId="725" w:customStyle="1">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character" w:styleId="726" w:customStyle="1">
    <w:name w:val="Heading 6 Char"/>
    <w:link w:val="725"/>
    <w:uiPriority w:val="9"/>
    <w:qFormat/>
    <w:rPr>
      <w:rFonts w:ascii="Arial" w:hAnsi="Arial" w:eastAsia="Arial" w:cs="Arial"/>
      <w:b/>
      <w:bCs/>
      <w:sz w:val="22"/>
      <w:szCs w:val="22"/>
    </w:rPr>
  </w:style>
  <w:style w:type="paragraph" w:styleId="727" w:customStyle="1">
    <w:name w:val="Heading 7"/>
    <w:basedOn w:val="688"/>
    <w:next w:val="688"/>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customStyle="1">
    <w:name w:val="Heading 7 Char"/>
    <w:link w:val="727"/>
    <w:uiPriority w:val="9"/>
    <w:qFormat/>
    <w:rPr>
      <w:rFonts w:ascii="Arial" w:hAnsi="Arial" w:eastAsia="Arial" w:cs="Arial"/>
      <w:b/>
      <w:bCs/>
      <w:i/>
      <w:iCs/>
      <w:sz w:val="22"/>
      <w:szCs w:val="22"/>
    </w:rPr>
  </w:style>
  <w:style w:type="paragraph" w:styleId="729" w:customStyle="1">
    <w:name w:val="Heading 8"/>
    <w:basedOn w:val="688"/>
    <w:next w:val="688"/>
    <w:link w:val="730"/>
    <w:uiPriority w:val="9"/>
    <w:unhideWhenUsed/>
    <w:qFormat/>
    <w:pPr>
      <w:keepLines/>
      <w:keepNext/>
      <w:spacing w:before="320" w:after="200"/>
      <w:outlineLvl w:val="7"/>
    </w:pPr>
    <w:rPr>
      <w:rFonts w:ascii="Arial" w:hAnsi="Arial" w:eastAsia="Arial" w:cs="Arial"/>
      <w:i/>
      <w:iCs/>
      <w:sz w:val="22"/>
      <w:szCs w:val="22"/>
    </w:rPr>
  </w:style>
  <w:style w:type="character" w:styleId="730" w:customStyle="1">
    <w:name w:val="Heading 8 Char"/>
    <w:link w:val="729"/>
    <w:uiPriority w:val="9"/>
    <w:qFormat/>
    <w:rPr>
      <w:rFonts w:ascii="Arial" w:hAnsi="Arial" w:eastAsia="Arial" w:cs="Arial"/>
      <w:i/>
      <w:iCs/>
      <w:sz w:val="22"/>
      <w:szCs w:val="22"/>
    </w:rPr>
  </w:style>
  <w:style w:type="paragraph" w:styleId="731" w:customStyle="1">
    <w:name w:val="Heading 9"/>
    <w:basedOn w:val="688"/>
    <w:next w:val="688"/>
    <w:link w:val="732"/>
    <w:uiPriority w:val="9"/>
    <w:unhideWhenUsed/>
    <w:qFormat/>
    <w:pPr>
      <w:keepLines/>
      <w:keepNext/>
      <w:spacing w:before="320" w:after="200"/>
      <w:outlineLvl w:val="8"/>
    </w:pPr>
    <w:rPr>
      <w:rFonts w:ascii="Arial" w:hAnsi="Arial" w:eastAsia="Arial" w:cs="Arial"/>
      <w:i/>
      <w:iCs/>
      <w:sz w:val="21"/>
      <w:szCs w:val="21"/>
    </w:rPr>
  </w:style>
  <w:style w:type="character" w:styleId="732" w:customStyle="1">
    <w:name w:val="Heading 9 Char"/>
    <w:link w:val="731"/>
    <w:uiPriority w:val="9"/>
    <w:qFormat/>
    <w:rPr>
      <w:rFonts w:ascii="Arial" w:hAnsi="Arial" w:eastAsia="Arial" w:cs="Arial"/>
      <w:i/>
      <w:iCs/>
      <w:sz w:val="21"/>
      <w:szCs w:val="21"/>
    </w:rPr>
  </w:style>
  <w:style w:type="character" w:styleId="733" w:customStyle="1">
    <w:name w:val="Quote Char"/>
    <w:uiPriority w:val="29"/>
    <w:qFormat/>
    <w:rPr>
      <w:i/>
    </w:rPr>
  </w:style>
  <w:style w:type="character" w:styleId="734" w:customStyle="1">
    <w:name w:val="Intense Quote Char"/>
    <w:uiPriority w:val="30"/>
    <w:qFormat/>
    <w:rPr>
      <w:i/>
    </w:rPr>
  </w:style>
  <w:style w:type="paragraph" w:styleId="735" w:customStyle="1">
    <w:name w:val="Header"/>
    <w:basedOn w:val="688"/>
    <w:uiPriority w:val="99"/>
    <w:unhideWhenUsed/>
    <w:qFormat/>
    <w:pPr>
      <w:spacing w:after="0" w:line="240" w:lineRule="auto"/>
      <w:tabs>
        <w:tab w:val="center" w:pos="7143" w:leader="none"/>
        <w:tab w:val="right" w:pos="14287" w:leader="none"/>
      </w:tabs>
    </w:pPr>
  </w:style>
  <w:style w:type="paragraph" w:styleId="736" w:customStyle="1">
    <w:name w:val="Footer"/>
    <w:basedOn w:val="688"/>
    <w:uiPriority w:val="99"/>
    <w:unhideWhenUsed/>
    <w:qFormat/>
    <w:pPr>
      <w:spacing w:after="0" w:line="240" w:lineRule="auto"/>
      <w:tabs>
        <w:tab w:val="center" w:pos="7143" w:leader="none"/>
        <w:tab w:val="right" w:pos="14287" w:leader="none"/>
      </w:tabs>
    </w:pPr>
  </w:style>
  <w:style w:type="paragraph" w:styleId="737" w:customStyle="1">
    <w:name w:val="Caption"/>
    <w:basedOn w:val="688"/>
    <w:next w:val="688"/>
    <w:uiPriority w:val="35"/>
    <w:unhideWhenUsed/>
    <w:qFormat/>
    <w:pPr>
      <w:spacing w:line="276" w:lineRule="auto"/>
    </w:pPr>
    <w:rPr>
      <w:b/>
      <w:bCs/>
      <w:color w:val="4f81bd"/>
      <w:sz w:val="18"/>
      <w:szCs w:val="18"/>
    </w:rPr>
  </w:style>
  <w:style w:type="table" w:styleId="738" w:customStyle="1">
    <w:name w:val="_Style 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Symbol" w:hAnsi="Symbol"/>
        <w:b/>
        <w:color w:val="404040"/>
        <w:sz w:val="22"/>
      </w:rPr>
    </w:tblStylePr>
    <w:tblStylePr w:type="firstRow">
      <w:rPr>
        <w:rFonts w:ascii="Symbol" w:hAnsi="Symbol"/>
        <w:b/>
        <w:color w:val="404040"/>
        <w:sz w:val="22"/>
      </w:rPr>
    </w:tblStylePr>
    <w:tblStylePr w:type="lastCol">
      <w:rPr>
        <w:rFonts w:ascii="Symbol" w:hAnsi="Symbol"/>
        <w:b/>
        <w:color w:val="404040"/>
        <w:sz w:val="22"/>
      </w:rPr>
    </w:tblStylePr>
    <w:tblStylePr w:type="lastRow">
      <w:rPr>
        <w:rFonts w:ascii="Symbol" w:hAnsi="Symbol"/>
        <w:b/>
        <w:color w:val="404040"/>
        <w:sz w:val="22"/>
      </w:rPr>
    </w:tblStylePr>
  </w:style>
  <w:style w:type="table" w:styleId="739" w:customStyle="1">
    <w:name w:val="_Style 51"/>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blStylePr>
  </w:style>
  <w:style w:type="table" w:styleId="740" w:customStyle="1">
    <w:name w:val="_Style 52"/>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1" w:customStyle="1">
    <w:name w:val="_Style 53"/>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_Style 54"/>
    <w:uiPriority w:val="99"/>
    <w:qFormat/>
    <w:pPr>
      <w:spacing w:after="0" w:line="240" w:lineRule="auto"/>
    </w:pPr>
    <w:tblPr/>
    <w:tblStylePr w:type="band1Horz">
      <w:rPr>
        <w:rFonts w:ascii="Symbol" w:hAnsi="Symbol"/>
        <w:color w:val="404040"/>
        <w:sz w:val="22"/>
      </w:rPr>
      <w:tcPr>
        <w:shd w:val="clear" w:color="ffffff" w:fill="f2f2f2"/>
      </w:tcPr>
    </w:tblStylePr>
    <w:tblStylePr w:type="band1Vert">
      <w:rPr>
        <w:rFonts w:ascii="Symbol" w:hAnsi="Symbol"/>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_Style 5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4" w:customStyle="1">
    <w:name w:val="_Style 56"/>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_Style 5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_Style 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rPr>
        <w:rFonts w:ascii="Symbol" w:hAnsi="Symbol"/>
        <w:color w:val="404040"/>
        <w:sz w:val="22"/>
      </w:rPr>
      <w:tcPr>
        <w:shd w:val="clear" w:color="ffffff" w:fill="cbcbcb"/>
      </w:tcPr>
    </w:tblStylePr>
    <w:tblStylePr w:type="firstCol">
      <w:rPr>
        <w:b/>
        <w:color w:val="404040"/>
      </w:rPr>
    </w:tblStylePr>
    <w:tblStylePr w:type="firstRow">
      <w:rPr>
        <w:rFonts w:ascii="Symbol" w:hAnsi="Symbol"/>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_Style 5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Symbol" w:hAnsi="Symbol"/>
        <w:b/>
        <w:color w:val="ffffff"/>
        <w:sz w:val="22"/>
      </w:rPr>
      <w:tcPr>
        <w:shd w:val="clear" w:color="ffffff" w:fill="000000"/>
      </w:tcPr>
    </w:tblStylePr>
    <w:tblStylePr w:type="firstRow">
      <w:rPr>
        <w:rFonts w:ascii="Symbol" w:hAnsi="Symbol"/>
        <w:b/>
        <w:color w:val="ffffff"/>
        <w:sz w:val="22"/>
      </w:rPr>
      <w:tcPr>
        <w:shd w:val="clear" w:color="ffffff" w:fill="000000"/>
      </w:tcPr>
    </w:tblStylePr>
    <w:tblStylePr w:type="lastCol">
      <w:rPr>
        <w:rFonts w:ascii="Symbol" w:hAnsi="Symbol"/>
        <w:b/>
        <w:color w:val="ffffff"/>
        <w:sz w:val="22"/>
      </w:rPr>
      <w:tcPr>
        <w:shd w:val="clear" w:color="ffffff" w:fill="000000"/>
      </w:tcPr>
    </w:tblStylePr>
    <w:tblStylePr w:type="lastRow">
      <w:rPr>
        <w:rFonts w:ascii="Symbol" w:hAnsi="Symbol"/>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_Style 60"/>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Symbol" w:hAnsi="Symbol"/>
        <w:color w:val="404040"/>
        <w:sz w:val="22"/>
      </w:rPr>
      <w:tcPr>
        <w:shd w:val="clear" w:color="ffffff" w:fill="cbcbcb"/>
      </w:tcPr>
    </w:tblStylePr>
    <w:tblStylePr w:type="band1Vert">
      <w:tcPr>
        <w:shd w:val="clear" w:color="ffffff" w:fill="cbcbcb"/>
      </w:tcPr>
    </w:tblStylePr>
    <w:tblStylePr w:type="band2Horz">
      <w:rPr>
        <w:rFonts w:ascii="Symbol" w:hAnsi="Symbol"/>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749" w:customStyle="1">
    <w:name w:val="_Style 61"/>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Symbol" w:hAnsi="Symbol"/>
        <w:color w:val="4a4a4a"/>
        <w:sz w:val="22"/>
      </w:rPr>
      <w:tcPr>
        <w:shd w:val="clear" w:color="ffffff" w:fill="f2f2f2"/>
      </w:tcPr>
    </w:tblStylePr>
    <w:tblStylePr w:type="band1Vert">
      <w:tcPr>
        <w:shd w:val="clear" w:color="ffffff" w:fill="f2f2f2"/>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_Style 62"/>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_Style 63"/>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rFonts w:ascii="Symbol" w:hAnsi="Symbol"/>
        <w:b/>
        <w:color w:val="404040"/>
        <w:sz w:val="22"/>
      </w:rPr>
    </w:tblStylePr>
    <w:tblStylePr w:type="fir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b/>
        <w:color w:val="404040"/>
        <w:sz w:val="22"/>
      </w:rPr>
    </w:tblStylePr>
    <w:tblStylePr w:type="lastRow">
      <w:rPr>
        <w:rFonts w:ascii="Symbol" w:hAnsi="Symbol"/>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_Style 6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Symbol" w:hAnsi="Symbol"/>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ymbol" w:hAnsi="Symbol"/>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3" w:customStyle="1">
    <w:name w:val="_Style 6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Symbol" w:hAnsi="Symbol"/>
        <w:color w:val="404040"/>
        <w:sz w:val="22"/>
      </w:rPr>
      <w:tcPr>
        <w:shd w:val="clear" w:color="ffffff" w:fill="bfbfbf"/>
      </w:tcPr>
    </w:tblStylePr>
    <w:tblStylePr w:type="band1Vert">
      <w:rPr>
        <w:rFonts w:ascii="Symbol" w:hAnsi="Symbol"/>
        <w:color w:val="404040"/>
        <w:sz w:val="22"/>
      </w:rPr>
      <w:tcPr>
        <w:shd w:val="clear" w:color="ffffff" w:fill="bfbfbf"/>
      </w:tcPr>
    </w:tblStylePr>
    <w:tblStylePr w:type="firstCol">
      <w:rPr>
        <w:b/>
        <w:color w:val="404040"/>
      </w:rPr>
    </w:tblStylePr>
    <w:tblStylePr w:type="firstRow">
      <w:rPr>
        <w:rFonts w:ascii="Symbol" w:hAnsi="Symbol"/>
        <w:b/>
        <w:color w:val="ffffff"/>
        <w:sz w:val="22"/>
      </w:rPr>
      <w:tcPr>
        <w:shd w:val="clear" w:color="ffffff" w:fill="000000"/>
      </w:tcPr>
    </w:tblStylePr>
    <w:tblStylePr w:type="lastCol">
      <w:rPr>
        <w:b/>
        <w:color w:val="404040"/>
      </w:rPr>
    </w:tblStylePr>
    <w:tblStylePr w:type="lastRow">
      <w:rPr>
        <w:b/>
        <w:color w:val="404040"/>
      </w:rPr>
    </w:tblStylePr>
  </w:style>
  <w:style w:type="table" w:styleId="754" w:customStyle="1">
    <w:name w:val="_Style 66"/>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ymbol" w:hAnsi="Symbol"/>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Symbol" w:hAnsi="Symbol"/>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Symbol" w:hAnsi="Symbol"/>
        <w:b/>
        <w:color w:val="ffffff"/>
        <w:sz w:val="22"/>
      </w:rPr>
    </w:tblStylePr>
  </w:style>
  <w:style w:type="table" w:styleId="755" w:customStyle="1">
    <w:name w:val="_Style 67"/>
    <w:uiPriority w:val="99"/>
    <w:qFormat/>
    <w:pPr>
      <w:spacing w:after="0" w:line="240" w:lineRule="auto"/>
    </w:pPr>
    <w:tblPr>
      <w:tblBorders>
        <w:top w:val="single" w:color="000000" w:sz="4" w:space="0"/>
        <w:bottom w:val="single" w:color="000000" w:sz="4" w:space="0"/>
      </w:tblBorders>
    </w:tblPr>
    <w:tblStylePr w:type="band1Horz">
      <w:rPr>
        <w:rFonts w:ascii="Symbol" w:hAnsi="Symbol"/>
        <w:color w:val="000000"/>
        <w:sz w:val="22"/>
      </w:rPr>
      <w:tcPr>
        <w:shd w:val="clear" w:color="ffffff" w:fill="bfbfbf"/>
      </w:tcPr>
    </w:tblStylePr>
    <w:tblStylePr w:type="band1Vert">
      <w:tcPr>
        <w:shd w:val="clear" w:color="ffffff" w:fill="bfbfbf"/>
      </w:tcPr>
    </w:tblStylePr>
    <w:tblStylePr w:type="band2Horz">
      <w:rPr>
        <w:rFonts w:ascii="Symbol" w:hAnsi="Symbol"/>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_Style 68"/>
    <w:uiPriority w:val="99"/>
    <w:qFormat/>
    <w:pPr>
      <w:spacing w:after="0" w:line="240" w:lineRule="auto"/>
    </w:pPr>
    <w:tblPr>
      <w:tblBorders>
        <w:right w:val="single" w:color="000000" w:sz="4" w:space="0"/>
      </w:tblBorders>
    </w:tblPr>
    <w:tblStylePr w:type="band1Horz">
      <w:rPr>
        <w:rFonts w:ascii="Symbol" w:hAnsi="Symbol"/>
        <w:color w:val="4a4a4a"/>
        <w:sz w:val="22"/>
      </w:rPr>
      <w:tcPr>
        <w:shd w:val="clear" w:color="ffffff" w:fill="bfbfbf"/>
      </w:tcPr>
    </w:tblStylePr>
    <w:tblStylePr w:type="band1Vert">
      <w:tcPr>
        <w:shd w:val="clear" w:color="ffffff" w:fill="bfbfbf"/>
      </w:tcPr>
    </w:tblStylePr>
    <w:tblStylePr w:type="band2Horz">
      <w:rPr>
        <w:rFonts w:ascii="Symbol" w:hAnsi="Symbol"/>
        <w:color w:val="4a4a4a"/>
        <w:sz w:val="22"/>
      </w:rPr>
    </w:tblStylePr>
    <w:tblStylePr w:type="firstCol">
      <w:rPr>
        <w:rFonts w:ascii="Symbol" w:hAnsi="Symbol"/>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Symbol" w:hAnsi="Symbol"/>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ymbol" w:hAnsi="Symbol"/>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Symbol" w:hAnsi="Symbol"/>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7" w:customStyle="1">
    <w:name w:val="_Style 69"/>
    <w:uiPriority w:val="39"/>
    <w:unhideWhenUsed/>
    <w:qFormat/>
    <w:rPr>
      <w:rFonts w:hint="default" w:ascii="Times New Roman" w:hAnsi="Times New Roman" w:eastAsia="宋体" w:cs="Times New Roman"/>
    </w:rPr>
  </w:style>
  <w:style w:type="paragraph" w:styleId="758" w:customStyle="1">
    <w:name w:val="标题 11"/>
    <w:basedOn w:val="688"/>
    <w:next w:val="688"/>
    <w:link w:val="759"/>
    <w:uiPriority w:val="9"/>
    <w:qFormat/>
    <w:pPr>
      <w:keepLines/>
      <w:keepNext/>
      <w:spacing w:before="480" w:after="200"/>
      <w:outlineLvl w:val="0"/>
    </w:pPr>
    <w:rPr>
      <w:rFonts w:ascii="Arial" w:hAnsi="Arial" w:eastAsia="Arial" w:cs="Arial"/>
      <w:sz w:val="40"/>
      <w:szCs w:val="40"/>
    </w:rPr>
  </w:style>
  <w:style w:type="character" w:styleId="759" w:customStyle="1">
    <w:name w:val="标题 1 字符"/>
    <w:basedOn w:val="760"/>
    <w:link w:val="758"/>
    <w:uiPriority w:val="9"/>
    <w:qFormat/>
    <w:rPr>
      <w:rFonts w:ascii="Arial" w:hAnsi="Arial" w:eastAsia="Arial" w:cs="Arial"/>
      <w:sz w:val="40"/>
      <w:szCs w:val="40"/>
    </w:rPr>
  </w:style>
  <w:style w:type="character" w:styleId="760" w:customStyle="1">
    <w:name w:val="默认段落字体1"/>
    <w:uiPriority w:val="1"/>
    <w:unhideWhenUsed/>
    <w:qFormat/>
  </w:style>
  <w:style w:type="paragraph" w:styleId="761" w:customStyle="1">
    <w:name w:val="标题 21"/>
    <w:basedOn w:val="688"/>
    <w:next w:val="688"/>
    <w:link w:val="762"/>
    <w:uiPriority w:val="9"/>
    <w:unhideWhenUsed/>
    <w:qFormat/>
    <w:pPr>
      <w:keepLines/>
      <w:keepNext/>
      <w:spacing w:before="360" w:after="200"/>
      <w:outlineLvl w:val="1"/>
    </w:pPr>
    <w:rPr>
      <w:rFonts w:ascii="Arial" w:hAnsi="Arial" w:eastAsia="Arial" w:cs="Arial"/>
      <w:sz w:val="34"/>
    </w:rPr>
  </w:style>
  <w:style w:type="character" w:styleId="762" w:customStyle="1">
    <w:name w:val="标题 2 字符"/>
    <w:basedOn w:val="760"/>
    <w:link w:val="761"/>
    <w:uiPriority w:val="9"/>
    <w:qFormat/>
    <w:rPr>
      <w:rFonts w:ascii="Arial" w:hAnsi="Arial" w:eastAsia="Arial" w:cs="Arial"/>
      <w:sz w:val="34"/>
    </w:rPr>
  </w:style>
  <w:style w:type="paragraph" w:styleId="763" w:customStyle="1">
    <w:name w:val="标题 31"/>
    <w:basedOn w:val="688"/>
    <w:next w:val="688"/>
    <w:uiPriority w:val="0"/>
    <w:qFormat/>
    <w:pPr>
      <w:jc w:val="left"/>
      <w:keepLines/>
      <w:keepNext/>
      <w:outlineLvl w:val="2"/>
    </w:pPr>
    <w:rPr>
      <w:b/>
    </w:rPr>
  </w:style>
  <w:style w:type="paragraph" w:styleId="764" w:customStyle="1">
    <w:name w:val="标题 41"/>
    <w:basedOn w:val="688"/>
    <w:next w:val="688"/>
    <w:link w:val="765"/>
    <w:uiPriority w:val="9"/>
    <w:unhideWhenUsed/>
    <w:qFormat/>
    <w:pPr>
      <w:keepLines/>
      <w:keepNext/>
      <w:spacing w:before="320" w:after="200"/>
      <w:outlineLvl w:val="3"/>
    </w:pPr>
    <w:rPr>
      <w:rFonts w:ascii="Arial" w:hAnsi="Arial" w:eastAsia="Arial" w:cs="Arial"/>
      <w:b/>
      <w:bCs/>
      <w:sz w:val="26"/>
      <w:szCs w:val="26"/>
    </w:rPr>
  </w:style>
  <w:style w:type="character" w:styleId="765" w:customStyle="1">
    <w:name w:val="标题 4 字符"/>
    <w:basedOn w:val="760"/>
    <w:link w:val="764"/>
    <w:uiPriority w:val="9"/>
    <w:qFormat/>
    <w:rPr>
      <w:rFonts w:ascii="Arial" w:hAnsi="Arial" w:eastAsia="Arial" w:cs="Arial"/>
      <w:b/>
      <w:bCs/>
      <w:sz w:val="26"/>
      <w:szCs w:val="26"/>
    </w:rPr>
  </w:style>
  <w:style w:type="paragraph" w:styleId="766" w:customStyle="1">
    <w:name w:val="标题 51"/>
    <w:basedOn w:val="688"/>
    <w:next w:val="688"/>
    <w:link w:val="767"/>
    <w:uiPriority w:val="9"/>
    <w:unhideWhenUsed/>
    <w:qFormat/>
    <w:pPr>
      <w:keepLines/>
      <w:keepNext/>
      <w:spacing w:before="320" w:after="200"/>
      <w:outlineLvl w:val="4"/>
    </w:pPr>
    <w:rPr>
      <w:rFonts w:ascii="Arial" w:hAnsi="Arial" w:eastAsia="Arial" w:cs="Arial"/>
      <w:b/>
      <w:bCs/>
      <w:sz w:val="24"/>
      <w:szCs w:val="24"/>
    </w:rPr>
  </w:style>
  <w:style w:type="character" w:styleId="767" w:customStyle="1">
    <w:name w:val="标题 5 字符"/>
    <w:basedOn w:val="760"/>
    <w:link w:val="766"/>
    <w:uiPriority w:val="9"/>
    <w:qFormat/>
    <w:rPr>
      <w:rFonts w:ascii="Arial" w:hAnsi="Arial" w:eastAsia="Arial" w:cs="Arial"/>
      <w:b/>
      <w:bCs/>
      <w:sz w:val="24"/>
      <w:szCs w:val="24"/>
    </w:rPr>
  </w:style>
  <w:style w:type="paragraph" w:styleId="768" w:customStyle="1">
    <w:name w:val="标题 61"/>
    <w:basedOn w:val="688"/>
    <w:next w:val="688"/>
    <w:link w:val="769"/>
    <w:uiPriority w:val="9"/>
    <w:unhideWhenUsed/>
    <w:qFormat/>
    <w:pPr>
      <w:keepLines/>
      <w:keepNext/>
      <w:spacing w:before="320" w:after="200"/>
      <w:outlineLvl w:val="5"/>
    </w:pPr>
    <w:rPr>
      <w:rFonts w:ascii="Arial" w:hAnsi="Arial" w:eastAsia="Arial" w:cs="Arial"/>
      <w:b/>
      <w:bCs/>
      <w:sz w:val="22"/>
      <w:szCs w:val="22"/>
    </w:rPr>
  </w:style>
  <w:style w:type="character" w:styleId="769" w:customStyle="1">
    <w:name w:val="标题 6 字符"/>
    <w:basedOn w:val="760"/>
    <w:link w:val="768"/>
    <w:uiPriority w:val="9"/>
    <w:qFormat/>
    <w:rPr>
      <w:rFonts w:ascii="Arial" w:hAnsi="Arial" w:eastAsia="Arial" w:cs="Arial"/>
      <w:b/>
      <w:bCs/>
      <w:sz w:val="22"/>
      <w:szCs w:val="22"/>
    </w:rPr>
  </w:style>
  <w:style w:type="paragraph" w:styleId="770" w:customStyle="1">
    <w:name w:val="标题 71"/>
    <w:basedOn w:val="688"/>
    <w:next w:val="688"/>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customStyle="1">
    <w:name w:val="标题 7 字符"/>
    <w:basedOn w:val="760"/>
    <w:link w:val="770"/>
    <w:uiPriority w:val="9"/>
    <w:qFormat/>
    <w:rPr>
      <w:rFonts w:ascii="Arial" w:hAnsi="Arial" w:eastAsia="Arial" w:cs="Arial"/>
      <w:b/>
      <w:bCs/>
      <w:i/>
      <w:iCs/>
      <w:sz w:val="22"/>
      <w:szCs w:val="22"/>
    </w:rPr>
  </w:style>
  <w:style w:type="paragraph" w:styleId="772" w:customStyle="1">
    <w:name w:val="标题 81"/>
    <w:basedOn w:val="688"/>
    <w:next w:val="688"/>
    <w:link w:val="773"/>
    <w:uiPriority w:val="9"/>
    <w:unhideWhenUsed/>
    <w:qFormat/>
    <w:pPr>
      <w:keepLines/>
      <w:keepNext/>
      <w:spacing w:before="320" w:after="200"/>
      <w:outlineLvl w:val="7"/>
    </w:pPr>
    <w:rPr>
      <w:rFonts w:ascii="Arial" w:hAnsi="Arial" w:eastAsia="Arial" w:cs="Arial"/>
      <w:i/>
      <w:iCs/>
      <w:sz w:val="22"/>
      <w:szCs w:val="22"/>
    </w:rPr>
  </w:style>
  <w:style w:type="character" w:styleId="773" w:customStyle="1">
    <w:name w:val="标题 8 字符"/>
    <w:basedOn w:val="760"/>
    <w:link w:val="772"/>
    <w:uiPriority w:val="9"/>
    <w:qFormat/>
    <w:rPr>
      <w:rFonts w:ascii="Arial" w:hAnsi="Arial" w:eastAsia="Arial" w:cs="Arial"/>
      <w:i/>
      <w:iCs/>
      <w:sz w:val="22"/>
      <w:szCs w:val="22"/>
    </w:rPr>
  </w:style>
  <w:style w:type="paragraph" w:styleId="774" w:customStyle="1">
    <w:name w:val="标题 91"/>
    <w:basedOn w:val="688"/>
    <w:next w:val="688"/>
    <w:link w:val="775"/>
    <w:uiPriority w:val="9"/>
    <w:unhideWhenUsed/>
    <w:qFormat/>
    <w:pPr>
      <w:keepLines/>
      <w:keepNext/>
      <w:spacing w:before="320" w:after="200"/>
      <w:outlineLvl w:val="8"/>
    </w:pPr>
    <w:rPr>
      <w:rFonts w:ascii="Arial" w:hAnsi="Arial" w:eastAsia="Arial" w:cs="Arial"/>
      <w:i/>
      <w:iCs/>
    </w:rPr>
  </w:style>
  <w:style w:type="character" w:styleId="775" w:customStyle="1">
    <w:name w:val="标题 9 字符"/>
    <w:basedOn w:val="760"/>
    <w:link w:val="774"/>
    <w:uiPriority w:val="9"/>
    <w:qFormat/>
    <w:rPr>
      <w:rFonts w:ascii="Arial" w:hAnsi="Arial" w:eastAsia="Arial" w:cs="Arial"/>
      <w:i/>
      <w:iCs/>
      <w:sz w:val="21"/>
      <w:szCs w:val="21"/>
    </w:rPr>
  </w:style>
  <w:style w:type="table" w:styleId="776" w:customStyle="1">
    <w:name w:val="普通表格1"/>
    <w:uiPriority w:val="99"/>
    <w:unhideWhenUsed/>
    <w:qFormat/>
    <w:tblPr/>
  </w:style>
  <w:style w:type="paragraph" w:styleId="777" w:customStyle="1">
    <w:name w:val="目录 711"/>
    <w:basedOn w:val="688"/>
    <w:next w:val="688"/>
    <w:uiPriority w:val="39"/>
    <w:unhideWhenUsed/>
    <w:qFormat/>
    <w:pPr>
      <w:ind w:left="1701"/>
      <w:spacing w:after="57"/>
    </w:pPr>
  </w:style>
  <w:style w:type="paragraph" w:styleId="778" w:customStyle="1">
    <w:name w:val="正文缩进1"/>
    <w:basedOn w:val="688"/>
    <w:next w:val="688"/>
    <w:uiPriority w:val="0"/>
    <w:qFormat/>
    <w:pPr>
      <w:ind w:firstLine="420"/>
      <w:jc w:val="left"/>
    </w:pPr>
    <w:rPr>
      <w:sz w:val="24"/>
    </w:rPr>
  </w:style>
  <w:style w:type="paragraph" w:styleId="779" w:customStyle="1">
    <w:name w:val="题注1"/>
    <w:basedOn w:val="688"/>
    <w:next w:val="688"/>
    <w:uiPriority w:val="35"/>
    <w:unhideWhenUsed/>
    <w:qFormat/>
    <w:pPr>
      <w:spacing w:line="276" w:lineRule="auto"/>
    </w:pPr>
    <w:rPr>
      <w:b/>
      <w:bCs/>
      <w:color w:val="5b9bd5"/>
      <w:sz w:val="18"/>
      <w:szCs w:val="18"/>
    </w:rPr>
  </w:style>
  <w:style w:type="paragraph" w:styleId="780" w:customStyle="1">
    <w:name w:val="批注文字1"/>
    <w:basedOn w:val="688"/>
    <w:link w:val="781"/>
    <w:uiPriority w:val="0"/>
    <w:qFormat/>
    <w:pPr>
      <w:jc w:val="left"/>
    </w:pPr>
  </w:style>
  <w:style w:type="character" w:styleId="781" w:customStyle="1">
    <w:name w:val="批注文字 字符"/>
    <w:basedOn w:val="760"/>
    <w:link w:val="780"/>
    <w:uiPriority w:val="0"/>
    <w:qFormat/>
    <w:rPr>
      <w:rFonts w:ascii="黑体" w:hAnsi="黑体" w:cs="宋体"/>
      <w:sz w:val="21"/>
      <w:szCs w:val="21"/>
    </w:rPr>
  </w:style>
  <w:style w:type="paragraph" w:styleId="782" w:customStyle="1">
    <w:name w:val="正文文本1"/>
    <w:basedOn w:val="688"/>
    <w:next w:val="688"/>
    <w:uiPriority w:val="0"/>
    <w:qFormat/>
    <w:pPr>
      <w:jc w:val="left"/>
      <w:spacing w:line="360" w:lineRule="auto"/>
      <w:widowControl/>
    </w:pPr>
    <w:rPr>
      <w:sz w:val="24"/>
      <w:szCs w:val="20"/>
    </w:rPr>
  </w:style>
  <w:style w:type="paragraph" w:styleId="783" w:customStyle="1">
    <w:name w:val="正文文本缩进1"/>
    <w:basedOn w:val="688"/>
    <w:next w:val="784"/>
    <w:uiPriority w:val="0"/>
    <w:qFormat/>
    <w:pPr>
      <w:ind w:left="570"/>
      <w:spacing w:line="520" w:lineRule="exact"/>
    </w:pPr>
    <w:rPr>
      <w:rFonts w:ascii="方正仿宋简体" w:hAnsi="创艺简仿宋" w:eastAsia="方正仿宋简体"/>
      <w:sz w:val="24"/>
    </w:rPr>
  </w:style>
  <w:style w:type="paragraph" w:styleId="784" w:customStyle="1">
    <w:name w:val="寄信人地址11"/>
    <w:basedOn w:val="688"/>
    <w:next w:val="777"/>
    <w:uiPriority w:val="0"/>
    <w:qFormat/>
    <w:rPr>
      <w:rFonts w:ascii="Arial" w:hAnsi="Arial"/>
    </w:rPr>
  </w:style>
  <w:style w:type="paragraph" w:styleId="785" w:customStyle="1">
    <w:name w:val="目录 51"/>
    <w:basedOn w:val="688"/>
    <w:next w:val="688"/>
    <w:uiPriority w:val="39"/>
    <w:unhideWhenUsed/>
    <w:qFormat/>
    <w:pPr>
      <w:ind w:left="1134"/>
      <w:spacing w:after="57"/>
    </w:pPr>
  </w:style>
  <w:style w:type="paragraph" w:styleId="786" w:customStyle="1">
    <w:name w:val="目录 31"/>
    <w:basedOn w:val="688"/>
    <w:next w:val="688"/>
    <w:uiPriority w:val="39"/>
    <w:unhideWhenUsed/>
    <w:qFormat/>
    <w:pPr>
      <w:ind w:left="567"/>
      <w:spacing w:after="57"/>
    </w:pPr>
  </w:style>
  <w:style w:type="paragraph" w:styleId="787" w:customStyle="1">
    <w:name w:val="纯文本111"/>
    <w:basedOn w:val="688"/>
    <w:uiPriority w:val="0"/>
    <w:qFormat/>
    <w:rPr>
      <w:rFonts w:ascii="宋体" w:hAnsi="Courier New"/>
    </w:rPr>
  </w:style>
  <w:style w:type="paragraph" w:styleId="788" w:customStyle="1">
    <w:name w:val="目录 81"/>
    <w:basedOn w:val="688"/>
    <w:next w:val="688"/>
    <w:uiPriority w:val="39"/>
    <w:unhideWhenUsed/>
    <w:qFormat/>
    <w:pPr>
      <w:ind w:left="1984"/>
      <w:spacing w:after="57"/>
    </w:pPr>
  </w:style>
  <w:style w:type="paragraph" w:styleId="789" w:customStyle="1">
    <w:name w:val="正文文本缩进 21"/>
    <w:basedOn w:val="688"/>
    <w:uiPriority w:val="0"/>
    <w:qFormat/>
    <w:pPr>
      <w:ind w:firstLine="502"/>
      <w:spacing w:line="360" w:lineRule="auto"/>
      <w:tabs>
        <w:tab w:val="left" w:pos="0" w:leader="none"/>
      </w:tabs>
    </w:pPr>
    <w:rPr>
      <w:rFonts w:ascii="宋体" w:hAnsi="Calibri"/>
      <w:b/>
      <w:bCs/>
      <w:sz w:val="24"/>
    </w:rPr>
  </w:style>
  <w:style w:type="paragraph" w:styleId="790" w:customStyle="1">
    <w:name w:val="尾注文本1"/>
    <w:basedOn w:val="688"/>
    <w:link w:val="791"/>
    <w:uiPriority w:val="99"/>
    <w:unhideWhenUsed/>
    <w:qFormat/>
    <w:rPr>
      <w:sz w:val="20"/>
    </w:rPr>
  </w:style>
  <w:style w:type="character" w:styleId="791" w:customStyle="1">
    <w:name w:val="尾注文本 字符"/>
    <w:link w:val="790"/>
    <w:uiPriority w:val="99"/>
    <w:qFormat/>
    <w:rPr>
      <w:sz w:val="20"/>
    </w:rPr>
  </w:style>
  <w:style w:type="paragraph" w:styleId="792" w:customStyle="1">
    <w:name w:val="批注框文本1"/>
    <w:basedOn w:val="688"/>
    <w:uiPriority w:val="0"/>
    <w:semiHidden/>
    <w:qFormat/>
    <w:rPr>
      <w:rFonts w:ascii="Calibri" w:hAnsi="Calibri"/>
      <w:sz w:val="18"/>
      <w:szCs w:val="18"/>
    </w:rPr>
  </w:style>
  <w:style w:type="paragraph" w:styleId="793" w:customStyle="1">
    <w:name w:val="页脚1"/>
    <w:basedOn w:val="688"/>
    <w:uiPriority w:val="0"/>
    <w:qFormat/>
    <w:pPr>
      <w:jc w:val="left"/>
      <w:tabs>
        <w:tab w:val="center" w:pos="4153" w:leader="none"/>
        <w:tab w:val="right" w:pos="8306" w:leader="none"/>
      </w:tabs>
    </w:pPr>
    <w:rPr>
      <w:sz w:val="18"/>
    </w:rPr>
  </w:style>
  <w:style w:type="paragraph" w:styleId="794" w:customStyle="1">
    <w:name w:val="页眉1"/>
    <w:basedOn w:val="688"/>
    <w:uiPriority w:val="0"/>
    <w:qFormat/>
    <w:pPr>
      <w:tabs>
        <w:tab w:val="center" w:pos="4153" w:leader="none"/>
        <w:tab w:val="right" w:pos="8306" w:leader="none"/>
      </w:tabs>
      <w:pBdr>
        <w:top w:val="none" w:color="auto" w:sz="0" w:space="0"/>
        <w:left w:val="none" w:color="auto" w:sz="0" w:space="0"/>
        <w:bottom w:val="none" w:color="auto" w:sz="0" w:space="0"/>
        <w:right w:val="none" w:color="auto" w:sz="0" w:space="0"/>
      </w:pBdr>
    </w:pPr>
    <w:rPr>
      <w:sz w:val="18"/>
    </w:rPr>
  </w:style>
  <w:style w:type="paragraph" w:styleId="795" w:customStyle="1">
    <w:name w:val="目录 11"/>
    <w:basedOn w:val="688"/>
    <w:next w:val="688"/>
    <w:uiPriority w:val="39"/>
    <w:unhideWhenUsed/>
    <w:qFormat/>
    <w:pPr>
      <w:spacing w:after="57"/>
    </w:pPr>
  </w:style>
  <w:style w:type="paragraph" w:styleId="796" w:customStyle="1">
    <w:name w:val="目录 41"/>
    <w:basedOn w:val="688"/>
    <w:next w:val="688"/>
    <w:uiPriority w:val="39"/>
    <w:unhideWhenUsed/>
    <w:qFormat/>
    <w:pPr>
      <w:ind w:left="850"/>
      <w:spacing w:after="57"/>
    </w:pPr>
  </w:style>
  <w:style w:type="paragraph" w:styleId="797" w:customStyle="1">
    <w:name w:val="副标题1"/>
    <w:basedOn w:val="688"/>
    <w:next w:val="688"/>
    <w:link w:val="798"/>
    <w:uiPriority w:val="11"/>
    <w:qFormat/>
    <w:pPr>
      <w:spacing w:before="200" w:after="200"/>
    </w:pPr>
    <w:rPr>
      <w:sz w:val="24"/>
      <w:szCs w:val="24"/>
    </w:rPr>
  </w:style>
  <w:style w:type="character" w:styleId="798" w:customStyle="1">
    <w:name w:val="副标题 字符"/>
    <w:basedOn w:val="760"/>
    <w:link w:val="797"/>
    <w:uiPriority w:val="11"/>
    <w:qFormat/>
    <w:rPr>
      <w:sz w:val="24"/>
      <w:szCs w:val="24"/>
    </w:rPr>
  </w:style>
  <w:style w:type="paragraph" w:styleId="799" w:customStyle="1">
    <w:name w:val="脚注文本1"/>
    <w:basedOn w:val="688"/>
    <w:link w:val="800"/>
    <w:uiPriority w:val="99"/>
    <w:unhideWhenUsed/>
    <w:qFormat/>
    <w:pPr>
      <w:spacing w:after="40"/>
    </w:pPr>
    <w:rPr>
      <w:sz w:val="18"/>
    </w:rPr>
  </w:style>
  <w:style w:type="character" w:styleId="800" w:customStyle="1">
    <w:name w:val="脚注文本 字符"/>
    <w:link w:val="799"/>
    <w:uiPriority w:val="99"/>
    <w:qFormat/>
    <w:rPr>
      <w:sz w:val="18"/>
    </w:rPr>
  </w:style>
  <w:style w:type="paragraph" w:styleId="801" w:customStyle="1">
    <w:name w:val="目录 61"/>
    <w:basedOn w:val="688"/>
    <w:next w:val="688"/>
    <w:uiPriority w:val="39"/>
    <w:unhideWhenUsed/>
    <w:qFormat/>
    <w:pPr>
      <w:ind w:left="1417"/>
      <w:spacing w:after="57"/>
    </w:pPr>
  </w:style>
  <w:style w:type="paragraph" w:styleId="802" w:customStyle="1">
    <w:name w:val="正文文本缩进 31"/>
    <w:basedOn w:val="688"/>
    <w:uiPriority w:val="0"/>
    <w:qFormat/>
    <w:pPr>
      <w:ind w:firstLine="617"/>
      <w:spacing w:line="360" w:lineRule="auto"/>
    </w:pPr>
    <w:rPr>
      <w:sz w:val="24"/>
      <w:szCs w:val="24"/>
    </w:rPr>
  </w:style>
  <w:style w:type="paragraph" w:styleId="803" w:customStyle="1">
    <w:name w:val="图表目录1"/>
    <w:basedOn w:val="688"/>
    <w:next w:val="688"/>
    <w:uiPriority w:val="99"/>
    <w:unhideWhenUsed/>
    <w:qFormat/>
  </w:style>
  <w:style w:type="paragraph" w:styleId="804" w:customStyle="1">
    <w:name w:val="目录 21"/>
    <w:basedOn w:val="688"/>
    <w:next w:val="688"/>
    <w:uiPriority w:val="39"/>
    <w:unhideWhenUsed/>
    <w:qFormat/>
    <w:pPr>
      <w:ind w:left="283"/>
      <w:spacing w:after="57"/>
    </w:pPr>
  </w:style>
  <w:style w:type="paragraph" w:styleId="805" w:customStyle="1">
    <w:name w:val="目录 91"/>
    <w:basedOn w:val="688"/>
    <w:next w:val="688"/>
    <w:uiPriority w:val="39"/>
    <w:unhideWhenUsed/>
    <w:qFormat/>
    <w:pPr>
      <w:ind w:left="2268"/>
      <w:spacing w:after="57"/>
    </w:pPr>
  </w:style>
  <w:style w:type="paragraph" w:styleId="806" w:customStyle="1">
    <w:name w:val="普通(网站)1"/>
    <w:basedOn w:val="688"/>
    <w:next w:val="688"/>
    <w:uiPriority w:val="0"/>
    <w:qFormat/>
    <w:pPr>
      <w:jc w:val="left"/>
      <w:spacing w:before="100" w:beforeAutospacing="1" w:after="100" w:afterAutospacing="1"/>
      <w:widowControl/>
    </w:pPr>
    <w:rPr>
      <w:rFonts w:ascii="宋体" w:hAnsi="宋体"/>
      <w:sz w:val="24"/>
      <w:szCs w:val="24"/>
    </w:rPr>
  </w:style>
  <w:style w:type="paragraph" w:styleId="807" w:customStyle="1">
    <w:name w:val="标题1"/>
    <w:basedOn w:val="688"/>
    <w:next w:val="688"/>
    <w:link w:val="808"/>
    <w:uiPriority w:val="10"/>
    <w:qFormat/>
    <w:pPr>
      <w:contextualSpacing/>
      <w:spacing w:before="300" w:after="200"/>
    </w:pPr>
    <w:rPr>
      <w:sz w:val="48"/>
      <w:szCs w:val="48"/>
    </w:rPr>
  </w:style>
  <w:style w:type="character" w:styleId="808" w:customStyle="1">
    <w:name w:val="标题 字符"/>
    <w:basedOn w:val="760"/>
    <w:link w:val="807"/>
    <w:uiPriority w:val="10"/>
    <w:qFormat/>
    <w:rPr>
      <w:sz w:val="48"/>
      <w:szCs w:val="48"/>
    </w:rPr>
  </w:style>
  <w:style w:type="paragraph" w:styleId="809" w:customStyle="1">
    <w:name w:val="批注主题1"/>
    <w:basedOn w:val="780"/>
    <w:next w:val="780"/>
    <w:link w:val="810"/>
    <w:uiPriority w:val="99"/>
    <w:unhideWhenUsed/>
    <w:qFormat/>
    <w:rPr>
      <w:b/>
      <w:bCs/>
    </w:rPr>
  </w:style>
  <w:style w:type="character" w:styleId="810" w:customStyle="1">
    <w:name w:val="批注主题 字符"/>
    <w:basedOn w:val="781"/>
    <w:link w:val="809"/>
    <w:uiPriority w:val="99"/>
    <w:semiHidden/>
    <w:qFormat/>
    <w:rPr>
      <w:rFonts w:ascii="黑体" w:hAnsi="黑体" w:cs="宋体"/>
      <w:b/>
      <w:bCs/>
      <w:sz w:val="21"/>
      <w:szCs w:val="21"/>
    </w:rPr>
  </w:style>
  <w:style w:type="paragraph" w:styleId="811" w:customStyle="1">
    <w:name w:val="正文首行缩进1"/>
    <w:basedOn w:val="782"/>
    <w:uiPriority w:val="99"/>
    <w:qFormat/>
    <w:pPr>
      <w:ind w:firstLine="420"/>
      <w:spacing w:after="120" w:line="240" w:lineRule="auto"/>
    </w:pPr>
    <w:rPr>
      <w:sz w:val="28"/>
    </w:rPr>
  </w:style>
  <w:style w:type="paragraph" w:styleId="812" w:customStyle="1">
    <w:name w:val="正文首行缩进 21"/>
    <w:basedOn w:val="783"/>
    <w:next w:val="778"/>
    <w:uiPriority w:val="0"/>
    <w:qFormat/>
    <w:pPr>
      <w:ind w:firstLine="420"/>
    </w:pPr>
  </w:style>
  <w:style w:type="table" w:styleId="813" w:customStyle="1">
    <w:name w:val="网格型1"/>
    <w:basedOn w:val="776"/>
    <w:uiPriority w:val="59"/>
    <w:qFormat/>
    <w:tblPr/>
  </w:style>
  <w:style w:type="character" w:styleId="814" w:customStyle="1">
    <w:name w:val="要点1"/>
    <w:basedOn w:val="760"/>
    <w:uiPriority w:val="0"/>
    <w:qFormat/>
    <w:rPr>
      <w:b/>
      <w:bCs/>
    </w:rPr>
  </w:style>
  <w:style w:type="character" w:styleId="815" w:customStyle="1">
    <w:name w:val="尾注引用1"/>
    <w:basedOn w:val="760"/>
    <w:uiPriority w:val="99"/>
    <w:unhideWhenUsed/>
    <w:qFormat/>
    <w:rPr>
      <w:vertAlign w:val="superscript"/>
    </w:rPr>
  </w:style>
  <w:style w:type="character" w:styleId="816" w:customStyle="1">
    <w:name w:val="已访问的超链接1"/>
    <w:basedOn w:val="760"/>
    <w:uiPriority w:val="0"/>
    <w:qFormat/>
    <w:rPr>
      <w:color w:val="800080"/>
      <w:u w:val="none"/>
    </w:rPr>
  </w:style>
  <w:style w:type="character" w:styleId="817" w:customStyle="1">
    <w:name w:val="强调1"/>
    <w:basedOn w:val="760"/>
    <w:uiPriority w:val="0"/>
    <w:qFormat/>
    <w:rPr>
      <w:b/>
      <w:bCs/>
    </w:rPr>
  </w:style>
  <w:style w:type="character" w:styleId="818" w:customStyle="1">
    <w:name w:val="HTML 定义1"/>
    <w:basedOn w:val="760"/>
    <w:uiPriority w:val="0"/>
    <w:qFormat/>
  </w:style>
  <w:style w:type="character" w:styleId="819" w:customStyle="1">
    <w:name w:val="HTML 打字机1"/>
    <w:basedOn w:val="760"/>
    <w:uiPriority w:val="0"/>
    <w:qFormat/>
    <w:rPr>
      <w:rFonts w:ascii="monospace" w:hAnsi="monospace" w:eastAsia="monospace" w:cs="monospace"/>
      <w:sz w:val="20"/>
    </w:rPr>
  </w:style>
  <w:style w:type="character" w:styleId="820" w:customStyle="1">
    <w:name w:val="HTML 缩写1"/>
    <w:basedOn w:val="760"/>
    <w:uiPriority w:val="0"/>
    <w:qFormat/>
  </w:style>
  <w:style w:type="character" w:styleId="821" w:customStyle="1">
    <w:name w:val="HTML 变量1"/>
    <w:basedOn w:val="760"/>
    <w:uiPriority w:val="0"/>
    <w:qFormat/>
  </w:style>
  <w:style w:type="character" w:styleId="822" w:customStyle="1">
    <w:name w:val="超链接1"/>
    <w:basedOn w:val="760"/>
    <w:uiPriority w:val="0"/>
    <w:qFormat/>
    <w:rPr>
      <w:color w:val="0000ff"/>
      <w:u w:val="none"/>
    </w:rPr>
  </w:style>
  <w:style w:type="character" w:styleId="823" w:customStyle="1">
    <w:name w:val="HTML 代码1"/>
    <w:basedOn w:val="760"/>
    <w:uiPriority w:val="0"/>
    <w:qFormat/>
    <w:rPr>
      <w:rFonts w:ascii="monospace" w:hAnsi="monospace" w:eastAsia="monospace" w:cs="monospace"/>
      <w:sz w:val="20"/>
    </w:rPr>
  </w:style>
  <w:style w:type="character" w:styleId="824" w:customStyle="1">
    <w:name w:val="批注引用1"/>
    <w:basedOn w:val="760"/>
    <w:uiPriority w:val="99"/>
    <w:unhideWhenUsed/>
    <w:qFormat/>
    <w:rPr>
      <w:sz w:val="21"/>
      <w:szCs w:val="21"/>
    </w:rPr>
  </w:style>
  <w:style w:type="character" w:styleId="825" w:customStyle="1">
    <w:name w:val="HTML 引文1"/>
    <w:basedOn w:val="760"/>
    <w:uiPriority w:val="0"/>
    <w:qFormat/>
  </w:style>
  <w:style w:type="character" w:styleId="826" w:customStyle="1">
    <w:name w:val="脚注引用1"/>
    <w:basedOn w:val="760"/>
    <w:uiPriority w:val="99"/>
    <w:unhideWhenUsed/>
    <w:qFormat/>
    <w:rPr>
      <w:vertAlign w:val="superscript"/>
    </w:rPr>
  </w:style>
  <w:style w:type="character" w:styleId="827" w:customStyle="1">
    <w:name w:val="HTML 键盘1"/>
    <w:basedOn w:val="760"/>
    <w:uiPriority w:val="0"/>
    <w:qFormat/>
    <w:rPr>
      <w:rFonts w:ascii="monospace" w:hAnsi="monospace" w:eastAsia="monospace" w:cs="monospace"/>
      <w:sz w:val="20"/>
    </w:rPr>
  </w:style>
  <w:style w:type="character" w:styleId="828" w:customStyle="1">
    <w:name w:val="HTML 样本1"/>
    <w:basedOn w:val="760"/>
    <w:uiPriority w:val="0"/>
    <w:qFormat/>
    <w:rPr>
      <w:rFonts w:ascii="monospace" w:hAnsi="monospace" w:eastAsia="monospace" w:cs="monospace"/>
      <w:shd w:val="clear" w:color="auto" w:fill="f9f9f9"/>
    </w:rPr>
  </w:style>
  <w:style w:type="character" w:styleId="829" w:customStyle="1">
    <w:name w:val="Heading 3 Char"/>
    <w:basedOn w:val="760"/>
    <w:uiPriority w:val="9"/>
    <w:qFormat/>
    <w:rPr>
      <w:rFonts w:ascii="Arial" w:hAnsi="Arial" w:eastAsia="Arial" w:cs="Arial"/>
      <w:sz w:val="30"/>
      <w:szCs w:val="30"/>
    </w:rPr>
  </w:style>
  <w:style w:type="paragraph" w:styleId="830">
    <w:name w:val="No Spacing"/>
    <w:uiPriority w:val="1"/>
    <w:qFormat/>
    <w:rPr>
      <w:rFonts w:hint="default" w:ascii="Times New Roman" w:hAnsi="Times New Roman" w:eastAsia="宋体" w:cs="Times New Roman"/>
      <w:lang w:eastAsia="zh-CN"/>
    </w:rPr>
  </w:style>
  <w:style w:type="paragraph" w:styleId="831">
    <w:name w:val="Quote"/>
    <w:basedOn w:val="688"/>
    <w:next w:val="688"/>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688"/>
    <w:next w:val="68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basedOn w:val="760"/>
    <w:uiPriority w:val="99"/>
    <w:qFormat/>
  </w:style>
  <w:style w:type="character" w:styleId="836" w:customStyle="1">
    <w:name w:val="Footer Char"/>
    <w:basedOn w:val="760"/>
    <w:uiPriority w:val="99"/>
    <w:qFormat/>
  </w:style>
  <w:style w:type="character" w:styleId="837" w:customStyle="1">
    <w:name w:val="Caption Char"/>
    <w:uiPriority w:val="99"/>
    <w:qFormat/>
  </w:style>
  <w:style w:type="table" w:styleId="838" w:customStyle="1">
    <w:name w:val="Table Grid Light"/>
    <w:basedOn w:val="776"/>
    <w:uiPriority w:val="59"/>
    <w:qFormat/>
    <w:tblPr/>
  </w:style>
  <w:style w:type="table" w:styleId="839" w:customStyle="1">
    <w:name w:val="无格式表格 11"/>
    <w:basedOn w:val="776"/>
    <w:uiPriority w:val="59"/>
    <w:qFormat/>
    <w:tblPr/>
  </w:style>
  <w:style w:type="table" w:styleId="840" w:customStyle="1">
    <w:name w:val="无格式表格 21"/>
    <w:basedOn w:val="776"/>
    <w:uiPriority w:val="59"/>
    <w:qFormat/>
    <w:tblPr/>
  </w:style>
  <w:style w:type="table" w:styleId="841" w:customStyle="1">
    <w:name w:val="无格式表格 31"/>
    <w:basedOn w:val="776"/>
    <w:uiPriority w:val="99"/>
    <w:qFormat/>
    <w:tblPr/>
  </w:style>
  <w:style w:type="table" w:styleId="842" w:customStyle="1">
    <w:name w:val="无格式表格 41"/>
    <w:basedOn w:val="776"/>
    <w:uiPriority w:val="99"/>
    <w:qFormat/>
    <w:tblPr/>
  </w:style>
  <w:style w:type="table" w:styleId="843" w:customStyle="1">
    <w:name w:val="无格式表格 51"/>
    <w:basedOn w:val="776"/>
    <w:uiPriority w:val="99"/>
    <w:qFormat/>
    <w:tblPr/>
  </w:style>
  <w:style w:type="table" w:styleId="844" w:customStyle="1">
    <w:name w:val="网格表 1 浅色1"/>
    <w:basedOn w:val="776"/>
    <w:uiPriority w:val="99"/>
    <w:qFormat/>
    <w:tblPr/>
  </w:style>
  <w:style w:type="table" w:styleId="845" w:customStyle="1">
    <w:name w:val="Grid Table 1 Light - Accent 1"/>
    <w:basedOn w:val="776"/>
    <w:uiPriority w:val="99"/>
    <w:qFormat/>
    <w:tblPr/>
  </w:style>
  <w:style w:type="table" w:styleId="846" w:customStyle="1">
    <w:name w:val="Grid Table 1 Light - Accent 2"/>
    <w:basedOn w:val="776"/>
    <w:uiPriority w:val="99"/>
    <w:qFormat/>
    <w:tblPr/>
  </w:style>
  <w:style w:type="table" w:styleId="847" w:customStyle="1">
    <w:name w:val="Grid Table 1 Light - Accent 3"/>
    <w:basedOn w:val="776"/>
    <w:uiPriority w:val="99"/>
    <w:qFormat/>
    <w:tblPr/>
  </w:style>
  <w:style w:type="table" w:styleId="848" w:customStyle="1">
    <w:name w:val="Grid Table 1 Light - Accent 4"/>
    <w:basedOn w:val="776"/>
    <w:uiPriority w:val="99"/>
    <w:qFormat/>
    <w:tblPr/>
  </w:style>
  <w:style w:type="table" w:styleId="849" w:customStyle="1">
    <w:name w:val="Grid Table 1 Light - Accent 5"/>
    <w:basedOn w:val="776"/>
    <w:uiPriority w:val="99"/>
    <w:qFormat/>
    <w:tblPr/>
  </w:style>
  <w:style w:type="table" w:styleId="850" w:customStyle="1">
    <w:name w:val="Grid Table 1 Light - Accent 6"/>
    <w:basedOn w:val="776"/>
    <w:uiPriority w:val="99"/>
    <w:qFormat/>
    <w:tblPr/>
  </w:style>
  <w:style w:type="table" w:styleId="851" w:customStyle="1">
    <w:name w:val="网格表 21"/>
    <w:basedOn w:val="776"/>
    <w:uiPriority w:val="99"/>
    <w:qFormat/>
    <w:tblPr/>
  </w:style>
  <w:style w:type="table" w:styleId="852" w:customStyle="1">
    <w:name w:val="Grid Table 2 - Accent 1"/>
    <w:basedOn w:val="776"/>
    <w:uiPriority w:val="99"/>
    <w:qFormat/>
    <w:tblPr/>
  </w:style>
  <w:style w:type="table" w:styleId="853" w:customStyle="1">
    <w:name w:val="Grid Table 2 - Accent 2"/>
    <w:basedOn w:val="776"/>
    <w:uiPriority w:val="99"/>
    <w:qFormat/>
    <w:tblPr/>
  </w:style>
  <w:style w:type="table" w:styleId="854" w:customStyle="1">
    <w:name w:val="Grid Table 2 - Accent 3"/>
    <w:basedOn w:val="776"/>
    <w:uiPriority w:val="99"/>
    <w:qFormat/>
    <w:tblPr/>
  </w:style>
  <w:style w:type="table" w:styleId="855" w:customStyle="1">
    <w:name w:val="Grid Table 2 - Accent 4"/>
    <w:basedOn w:val="776"/>
    <w:uiPriority w:val="99"/>
    <w:qFormat/>
    <w:tblPr/>
  </w:style>
  <w:style w:type="table" w:styleId="856" w:customStyle="1">
    <w:name w:val="Grid Table 2 - Accent 5"/>
    <w:basedOn w:val="776"/>
    <w:uiPriority w:val="99"/>
    <w:qFormat/>
    <w:tblPr/>
  </w:style>
  <w:style w:type="table" w:styleId="857" w:customStyle="1">
    <w:name w:val="Grid Table 2 - Accent 6"/>
    <w:basedOn w:val="776"/>
    <w:uiPriority w:val="99"/>
    <w:qFormat/>
    <w:tblPr/>
  </w:style>
  <w:style w:type="table" w:styleId="858" w:customStyle="1">
    <w:name w:val="网格表 31"/>
    <w:basedOn w:val="776"/>
    <w:uiPriority w:val="99"/>
    <w:qFormat/>
    <w:tblPr/>
  </w:style>
  <w:style w:type="table" w:styleId="859" w:customStyle="1">
    <w:name w:val="Grid Table 3 - Accent 1"/>
    <w:basedOn w:val="776"/>
    <w:uiPriority w:val="99"/>
    <w:qFormat/>
    <w:tblPr/>
  </w:style>
  <w:style w:type="table" w:styleId="860" w:customStyle="1">
    <w:name w:val="Grid Table 3 - Accent 2"/>
    <w:basedOn w:val="776"/>
    <w:uiPriority w:val="99"/>
    <w:qFormat/>
    <w:tblPr/>
  </w:style>
  <w:style w:type="table" w:styleId="861" w:customStyle="1">
    <w:name w:val="Grid Table 3 - Accent 3"/>
    <w:basedOn w:val="776"/>
    <w:uiPriority w:val="99"/>
    <w:qFormat/>
    <w:tblPr/>
  </w:style>
  <w:style w:type="table" w:styleId="862" w:customStyle="1">
    <w:name w:val="Grid Table 3 - Accent 4"/>
    <w:basedOn w:val="776"/>
    <w:uiPriority w:val="99"/>
    <w:qFormat/>
    <w:tblPr/>
  </w:style>
  <w:style w:type="table" w:styleId="863" w:customStyle="1">
    <w:name w:val="Grid Table 3 - Accent 5"/>
    <w:basedOn w:val="776"/>
    <w:uiPriority w:val="99"/>
    <w:qFormat/>
    <w:tblPr/>
  </w:style>
  <w:style w:type="table" w:styleId="864" w:customStyle="1">
    <w:name w:val="Grid Table 3 - Accent 6"/>
    <w:basedOn w:val="776"/>
    <w:uiPriority w:val="99"/>
    <w:qFormat/>
    <w:tblPr/>
  </w:style>
  <w:style w:type="table" w:styleId="865" w:customStyle="1">
    <w:name w:val="网格表 41"/>
    <w:basedOn w:val="776"/>
    <w:uiPriority w:val="59"/>
    <w:qFormat/>
    <w:tblPr/>
  </w:style>
  <w:style w:type="table" w:styleId="866" w:customStyle="1">
    <w:name w:val="Grid Table 4 - Accent 1"/>
    <w:basedOn w:val="776"/>
    <w:uiPriority w:val="59"/>
    <w:qFormat/>
    <w:tblPr/>
  </w:style>
  <w:style w:type="table" w:styleId="867" w:customStyle="1">
    <w:name w:val="Grid Table 4 - Accent 2"/>
    <w:basedOn w:val="776"/>
    <w:uiPriority w:val="59"/>
    <w:qFormat/>
    <w:tblPr/>
  </w:style>
  <w:style w:type="table" w:styleId="868" w:customStyle="1">
    <w:name w:val="Grid Table 4 - Accent 3"/>
    <w:basedOn w:val="776"/>
    <w:uiPriority w:val="59"/>
    <w:qFormat/>
    <w:tblPr/>
  </w:style>
  <w:style w:type="table" w:styleId="869" w:customStyle="1">
    <w:name w:val="Grid Table 4 - Accent 4"/>
    <w:basedOn w:val="776"/>
    <w:uiPriority w:val="59"/>
    <w:qFormat/>
    <w:tblPr/>
  </w:style>
  <w:style w:type="table" w:styleId="870" w:customStyle="1">
    <w:name w:val="Grid Table 4 - Accent 5"/>
    <w:basedOn w:val="776"/>
    <w:uiPriority w:val="59"/>
    <w:qFormat/>
    <w:tblPr/>
  </w:style>
  <w:style w:type="table" w:styleId="871" w:customStyle="1">
    <w:name w:val="Grid Table 4 - Accent 6"/>
    <w:basedOn w:val="776"/>
    <w:uiPriority w:val="59"/>
    <w:qFormat/>
    <w:tblPr/>
  </w:style>
  <w:style w:type="table" w:styleId="872" w:customStyle="1">
    <w:name w:val="网格表 5 深色1"/>
    <w:basedOn w:val="776"/>
    <w:uiPriority w:val="99"/>
    <w:qFormat/>
    <w:tblPr/>
  </w:style>
  <w:style w:type="table" w:styleId="873" w:customStyle="1">
    <w:name w:val="Grid Table 5 Dark- Accent 1"/>
    <w:basedOn w:val="776"/>
    <w:uiPriority w:val="99"/>
    <w:qFormat/>
    <w:tblPr/>
  </w:style>
  <w:style w:type="table" w:styleId="874" w:customStyle="1">
    <w:name w:val="Grid Table 5 Dark - Accent 2"/>
    <w:basedOn w:val="776"/>
    <w:uiPriority w:val="99"/>
    <w:qFormat/>
    <w:tblPr/>
  </w:style>
  <w:style w:type="table" w:styleId="875" w:customStyle="1">
    <w:name w:val="Grid Table 5 Dark - Accent 3"/>
    <w:basedOn w:val="776"/>
    <w:uiPriority w:val="99"/>
    <w:qFormat/>
    <w:tblPr/>
  </w:style>
  <w:style w:type="table" w:styleId="876" w:customStyle="1">
    <w:name w:val="Grid Table 5 Dark- Accent 4"/>
    <w:basedOn w:val="776"/>
    <w:uiPriority w:val="99"/>
    <w:qFormat/>
    <w:tblPr/>
  </w:style>
  <w:style w:type="table" w:styleId="877" w:customStyle="1">
    <w:name w:val="Grid Table 5 Dark - Accent 5"/>
    <w:basedOn w:val="776"/>
    <w:uiPriority w:val="99"/>
    <w:qFormat/>
    <w:tblPr/>
  </w:style>
  <w:style w:type="table" w:styleId="878" w:customStyle="1">
    <w:name w:val="Grid Table 5 Dark - Accent 6"/>
    <w:basedOn w:val="776"/>
    <w:uiPriority w:val="99"/>
    <w:qFormat/>
    <w:tblPr/>
  </w:style>
  <w:style w:type="table" w:styleId="879" w:customStyle="1">
    <w:name w:val="网格表 6 彩色1"/>
    <w:basedOn w:val="776"/>
    <w:uiPriority w:val="99"/>
    <w:qFormat/>
    <w:tblPr/>
  </w:style>
  <w:style w:type="table" w:styleId="880" w:customStyle="1">
    <w:name w:val="Grid Table 6 Colorful - Accent 1"/>
    <w:basedOn w:val="776"/>
    <w:uiPriority w:val="99"/>
    <w:qFormat/>
    <w:tblPr/>
  </w:style>
  <w:style w:type="table" w:styleId="881" w:customStyle="1">
    <w:name w:val="Grid Table 6 Colorful - Accent 2"/>
    <w:basedOn w:val="776"/>
    <w:uiPriority w:val="99"/>
    <w:qFormat/>
    <w:tblPr/>
  </w:style>
  <w:style w:type="table" w:styleId="882" w:customStyle="1">
    <w:name w:val="Grid Table 6 Colorful - Accent 3"/>
    <w:basedOn w:val="776"/>
    <w:uiPriority w:val="99"/>
    <w:qFormat/>
    <w:tblPr/>
  </w:style>
  <w:style w:type="table" w:styleId="883" w:customStyle="1">
    <w:name w:val="Grid Table 6 Colorful - Accent 4"/>
    <w:basedOn w:val="776"/>
    <w:uiPriority w:val="99"/>
    <w:qFormat/>
    <w:tblPr/>
  </w:style>
  <w:style w:type="table" w:styleId="884" w:customStyle="1">
    <w:name w:val="Grid Table 6 Colorful - Accent 5"/>
    <w:basedOn w:val="776"/>
    <w:uiPriority w:val="99"/>
    <w:qFormat/>
    <w:tblPr/>
  </w:style>
  <w:style w:type="table" w:styleId="885" w:customStyle="1">
    <w:name w:val="Grid Table 6 Colorful - Accent 6"/>
    <w:basedOn w:val="776"/>
    <w:uiPriority w:val="99"/>
    <w:qFormat/>
    <w:tblPr/>
  </w:style>
  <w:style w:type="table" w:styleId="886" w:customStyle="1">
    <w:name w:val="网格表 7 彩色1"/>
    <w:basedOn w:val="776"/>
    <w:uiPriority w:val="99"/>
    <w:qFormat/>
    <w:tblPr/>
  </w:style>
  <w:style w:type="table" w:styleId="887" w:customStyle="1">
    <w:name w:val="Grid Table 7 Colorful - Accent 1"/>
    <w:basedOn w:val="776"/>
    <w:uiPriority w:val="99"/>
    <w:qFormat/>
    <w:tblPr/>
  </w:style>
  <w:style w:type="table" w:styleId="888" w:customStyle="1">
    <w:name w:val="Grid Table 7 Colorful - Accent 2"/>
    <w:basedOn w:val="776"/>
    <w:uiPriority w:val="99"/>
    <w:qFormat/>
    <w:tblPr/>
  </w:style>
  <w:style w:type="table" w:styleId="889" w:customStyle="1">
    <w:name w:val="Grid Table 7 Colorful - Accent 3"/>
    <w:basedOn w:val="776"/>
    <w:uiPriority w:val="99"/>
    <w:qFormat/>
    <w:tblPr/>
  </w:style>
  <w:style w:type="table" w:styleId="890" w:customStyle="1">
    <w:name w:val="Grid Table 7 Colorful - Accent 4"/>
    <w:basedOn w:val="776"/>
    <w:uiPriority w:val="99"/>
    <w:qFormat/>
    <w:tblPr/>
  </w:style>
  <w:style w:type="table" w:styleId="891" w:customStyle="1">
    <w:name w:val="Grid Table 7 Colorful - Accent 5"/>
    <w:basedOn w:val="776"/>
    <w:uiPriority w:val="99"/>
    <w:qFormat/>
    <w:tblPr/>
  </w:style>
  <w:style w:type="table" w:styleId="892" w:customStyle="1">
    <w:name w:val="Grid Table 7 Colorful - Accent 6"/>
    <w:basedOn w:val="776"/>
    <w:uiPriority w:val="99"/>
    <w:qFormat/>
    <w:tblPr/>
  </w:style>
  <w:style w:type="table" w:styleId="893" w:customStyle="1">
    <w:name w:val="清单表 1 浅色1"/>
    <w:basedOn w:val="776"/>
    <w:uiPriority w:val="99"/>
    <w:qFormat/>
    <w:tblPr/>
  </w:style>
  <w:style w:type="table" w:styleId="894" w:customStyle="1">
    <w:name w:val="List Table 1 Light - Accent 1"/>
    <w:basedOn w:val="776"/>
    <w:uiPriority w:val="99"/>
    <w:qFormat/>
    <w:tblPr/>
  </w:style>
  <w:style w:type="table" w:styleId="895" w:customStyle="1">
    <w:name w:val="List Table 1 Light - Accent 2"/>
    <w:basedOn w:val="776"/>
    <w:uiPriority w:val="99"/>
    <w:qFormat/>
    <w:tblPr/>
  </w:style>
  <w:style w:type="table" w:styleId="896" w:customStyle="1">
    <w:name w:val="List Table 1 Light - Accent 3"/>
    <w:basedOn w:val="776"/>
    <w:uiPriority w:val="99"/>
    <w:qFormat/>
    <w:tblPr/>
  </w:style>
  <w:style w:type="table" w:styleId="897" w:customStyle="1">
    <w:name w:val="List Table 1 Light - Accent 4"/>
    <w:basedOn w:val="776"/>
    <w:uiPriority w:val="99"/>
    <w:qFormat/>
    <w:tblPr/>
  </w:style>
  <w:style w:type="table" w:styleId="898" w:customStyle="1">
    <w:name w:val="List Table 1 Light - Accent 5"/>
    <w:basedOn w:val="776"/>
    <w:uiPriority w:val="99"/>
    <w:qFormat/>
    <w:tblPr/>
  </w:style>
  <w:style w:type="table" w:styleId="899" w:customStyle="1">
    <w:name w:val="List Table 1 Light - Accent 6"/>
    <w:basedOn w:val="776"/>
    <w:uiPriority w:val="99"/>
    <w:qFormat/>
    <w:tblPr/>
  </w:style>
  <w:style w:type="table" w:styleId="900" w:customStyle="1">
    <w:name w:val="清单表 21"/>
    <w:basedOn w:val="776"/>
    <w:uiPriority w:val="99"/>
    <w:qFormat/>
    <w:tblPr/>
  </w:style>
  <w:style w:type="table" w:styleId="901" w:customStyle="1">
    <w:name w:val="List Table 2 - Accent 1"/>
    <w:basedOn w:val="776"/>
    <w:uiPriority w:val="99"/>
    <w:qFormat/>
    <w:tblPr/>
  </w:style>
  <w:style w:type="table" w:styleId="902" w:customStyle="1">
    <w:name w:val="List Table 2 - Accent 2"/>
    <w:basedOn w:val="776"/>
    <w:uiPriority w:val="99"/>
    <w:qFormat/>
    <w:tblPr/>
  </w:style>
  <w:style w:type="table" w:styleId="903" w:customStyle="1">
    <w:name w:val="List Table 2 - Accent 3"/>
    <w:basedOn w:val="776"/>
    <w:uiPriority w:val="99"/>
    <w:qFormat/>
    <w:tblPr/>
  </w:style>
  <w:style w:type="table" w:styleId="904" w:customStyle="1">
    <w:name w:val="List Table 2 - Accent 4"/>
    <w:basedOn w:val="776"/>
    <w:uiPriority w:val="99"/>
    <w:qFormat/>
    <w:tblPr/>
  </w:style>
  <w:style w:type="table" w:styleId="905" w:customStyle="1">
    <w:name w:val="List Table 2 - Accent 5"/>
    <w:basedOn w:val="776"/>
    <w:uiPriority w:val="99"/>
    <w:qFormat/>
    <w:tblPr/>
  </w:style>
  <w:style w:type="table" w:styleId="906" w:customStyle="1">
    <w:name w:val="List Table 2 - Accent 6"/>
    <w:basedOn w:val="776"/>
    <w:uiPriority w:val="99"/>
    <w:qFormat/>
    <w:tblPr/>
  </w:style>
  <w:style w:type="table" w:styleId="907" w:customStyle="1">
    <w:name w:val="清单表 31"/>
    <w:basedOn w:val="776"/>
    <w:uiPriority w:val="99"/>
    <w:qFormat/>
    <w:tblPr/>
  </w:style>
  <w:style w:type="table" w:styleId="908" w:customStyle="1">
    <w:name w:val="List Table 3 - Accent 1"/>
    <w:basedOn w:val="776"/>
    <w:uiPriority w:val="99"/>
    <w:qFormat/>
    <w:tblPr/>
  </w:style>
  <w:style w:type="table" w:styleId="909" w:customStyle="1">
    <w:name w:val="List Table 3 - Accent 2"/>
    <w:basedOn w:val="776"/>
    <w:uiPriority w:val="99"/>
    <w:qFormat/>
    <w:tblPr/>
  </w:style>
  <w:style w:type="table" w:styleId="910" w:customStyle="1">
    <w:name w:val="List Table 3 - Accent 3"/>
    <w:basedOn w:val="776"/>
    <w:uiPriority w:val="99"/>
    <w:qFormat/>
    <w:tblPr/>
  </w:style>
  <w:style w:type="table" w:styleId="911" w:customStyle="1">
    <w:name w:val="List Table 3 - Accent 4"/>
    <w:basedOn w:val="776"/>
    <w:uiPriority w:val="99"/>
    <w:qFormat/>
    <w:tblPr/>
  </w:style>
  <w:style w:type="table" w:styleId="912" w:customStyle="1">
    <w:name w:val="List Table 3 - Accent 5"/>
    <w:basedOn w:val="776"/>
    <w:uiPriority w:val="99"/>
    <w:qFormat/>
    <w:tblPr/>
  </w:style>
  <w:style w:type="table" w:styleId="913" w:customStyle="1">
    <w:name w:val="List Table 3 - Accent 6"/>
    <w:basedOn w:val="776"/>
    <w:uiPriority w:val="99"/>
    <w:qFormat/>
    <w:tblPr/>
  </w:style>
  <w:style w:type="table" w:styleId="914" w:customStyle="1">
    <w:name w:val="清单表 41"/>
    <w:basedOn w:val="776"/>
    <w:uiPriority w:val="99"/>
    <w:qFormat/>
    <w:tblPr/>
  </w:style>
  <w:style w:type="table" w:styleId="915" w:customStyle="1">
    <w:name w:val="List Table 4 - Accent 1"/>
    <w:basedOn w:val="776"/>
    <w:uiPriority w:val="99"/>
    <w:qFormat/>
    <w:tblPr/>
  </w:style>
  <w:style w:type="table" w:styleId="916" w:customStyle="1">
    <w:name w:val="List Table 4 - Accent 2"/>
    <w:basedOn w:val="776"/>
    <w:uiPriority w:val="99"/>
    <w:qFormat/>
    <w:tblPr/>
  </w:style>
  <w:style w:type="table" w:styleId="917" w:customStyle="1">
    <w:name w:val="List Table 4 - Accent 3"/>
    <w:basedOn w:val="776"/>
    <w:uiPriority w:val="99"/>
    <w:qFormat/>
    <w:tblPr/>
  </w:style>
  <w:style w:type="table" w:styleId="918" w:customStyle="1">
    <w:name w:val="List Table 4 - Accent 4"/>
    <w:basedOn w:val="776"/>
    <w:uiPriority w:val="99"/>
    <w:qFormat/>
    <w:tblPr/>
  </w:style>
  <w:style w:type="table" w:styleId="919" w:customStyle="1">
    <w:name w:val="List Table 4 - Accent 5"/>
    <w:basedOn w:val="776"/>
    <w:uiPriority w:val="99"/>
    <w:qFormat/>
    <w:tblPr/>
  </w:style>
  <w:style w:type="table" w:styleId="920" w:customStyle="1">
    <w:name w:val="List Table 4 - Accent 6"/>
    <w:basedOn w:val="776"/>
    <w:uiPriority w:val="99"/>
    <w:qFormat/>
    <w:tblPr/>
  </w:style>
  <w:style w:type="table" w:styleId="921" w:customStyle="1">
    <w:name w:val="清单表 5 深色1"/>
    <w:basedOn w:val="776"/>
    <w:uiPriority w:val="99"/>
    <w:qFormat/>
    <w:tblPr/>
  </w:style>
  <w:style w:type="table" w:styleId="922" w:customStyle="1">
    <w:name w:val="List Table 5 Dark - Accent 1"/>
    <w:basedOn w:val="776"/>
    <w:uiPriority w:val="99"/>
    <w:qFormat/>
    <w:tblPr/>
  </w:style>
  <w:style w:type="table" w:styleId="923" w:customStyle="1">
    <w:name w:val="List Table 5 Dark - Accent 2"/>
    <w:basedOn w:val="776"/>
    <w:uiPriority w:val="99"/>
    <w:qFormat/>
    <w:tblPr/>
  </w:style>
  <w:style w:type="table" w:styleId="924" w:customStyle="1">
    <w:name w:val="List Table 5 Dark - Accent 3"/>
    <w:basedOn w:val="776"/>
    <w:uiPriority w:val="99"/>
    <w:qFormat/>
    <w:tblPr/>
  </w:style>
  <w:style w:type="table" w:styleId="925" w:customStyle="1">
    <w:name w:val="List Table 5 Dark - Accent 4"/>
    <w:basedOn w:val="776"/>
    <w:uiPriority w:val="99"/>
    <w:qFormat/>
    <w:tblPr/>
  </w:style>
  <w:style w:type="table" w:styleId="926" w:customStyle="1">
    <w:name w:val="List Table 5 Dark - Accent 5"/>
    <w:basedOn w:val="776"/>
    <w:uiPriority w:val="99"/>
    <w:qFormat/>
    <w:tblPr/>
  </w:style>
  <w:style w:type="table" w:styleId="927" w:customStyle="1">
    <w:name w:val="List Table 5 Dark - Accent 6"/>
    <w:basedOn w:val="776"/>
    <w:uiPriority w:val="99"/>
    <w:qFormat/>
    <w:tblPr/>
  </w:style>
  <w:style w:type="table" w:styleId="928" w:customStyle="1">
    <w:name w:val="清单表 6 彩色1"/>
    <w:basedOn w:val="776"/>
    <w:uiPriority w:val="99"/>
    <w:qFormat/>
    <w:tblPr/>
  </w:style>
  <w:style w:type="table" w:styleId="929" w:customStyle="1">
    <w:name w:val="List Table 6 Colorful - Accent 1"/>
    <w:basedOn w:val="776"/>
    <w:uiPriority w:val="99"/>
    <w:qFormat/>
    <w:tblPr/>
  </w:style>
  <w:style w:type="table" w:styleId="930" w:customStyle="1">
    <w:name w:val="List Table 6 Colorful - Accent 2"/>
    <w:basedOn w:val="776"/>
    <w:uiPriority w:val="99"/>
    <w:qFormat/>
    <w:tblPr/>
  </w:style>
  <w:style w:type="table" w:styleId="931" w:customStyle="1">
    <w:name w:val="List Table 6 Colorful - Accent 3"/>
    <w:basedOn w:val="776"/>
    <w:uiPriority w:val="99"/>
    <w:qFormat/>
    <w:tblPr/>
  </w:style>
  <w:style w:type="table" w:styleId="932" w:customStyle="1">
    <w:name w:val="List Table 6 Colorful - Accent 4"/>
    <w:basedOn w:val="776"/>
    <w:uiPriority w:val="99"/>
    <w:qFormat/>
    <w:tblPr/>
  </w:style>
  <w:style w:type="table" w:styleId="933" w:customStyle="1">
    <w:name w:val="List Table 6 Colorful - Accent 5"/>
    <w:basedOn w:val="776"/>
    <w:uiPriority w:val="99"/>
    <w:qFormat/>
    <w:tblPr/>
  </w:style>
  <w:style w:type="table" w:styleId="934" w:customStyle="1">
    <w:name w:val="List Table 6 Colorful - Accent 6"/>
    <w:basedOn w:val="776"/>
    <w:uiPriority w:val="99"/>
    <w:qFormat/>
    <w:tblPr/>
  </w:style>
  <w:style w:type="table" w:styleId="935" w:customStyle="1">
    <w:name w:val="清单表 7 彩色1"/>
    <w:basedOn w:val="776"/>
    <w:uiPriority w:val="99"/>
    <w:qFormat/>
    <w:tblPr/>
  </w:style>
  <w:style w:type="table" w:styleId="936" w:customStyle="1">
    <w:name w:val="List Table 7 Colorful - Accent 1"/>
    <w:basedOn w:val="776"/>
    <w:uiPriority w:val="99"/>
    <w:qFormat/>
    <w:tblPr/>
  </w:style>
  <w:style w:type="table" w:styleId="937" w:customStyle="1">
    <w:name w:val="List Table 7 Colorful - Accent 2"/>
    <w:basedOn w:val="776"/>
    <w:uiPriority w:val="99"/>
    <w:qFormat/>
    <w:tblPr/>
  </w:style>
  <w:style w:type="table" w:styleId="938" w:customStyle="1">
    <w:name w:val="List Table 7 Colorful - Accent 3"/>
    <w:basedOn w:val="776"/>
    <w:uiPriority w:val="99"/>
    <w:qFormat/>
    <w:tblPr/>
  </w:style>
  <w:style w:type="table" w:styleId="939" w:customStyle="1">
    <w:name w:val="List Table 7 Colorful - Accent 4"/>
    <w:basedOn w:val="776"/>
    <w:uiPriority w:val="99"/>
    <w:qFormat/>
    <w:tblPr/>
  </w:style>
  <w:style w:type="table" w:styleId="940" w:customStyle="1">
    <w:name w:val="List Table 7 Colorful - Accent 5"/>
    <w:basedOn w:val="776"/>
    <w:uiPriority w:val="99"/>
    <w:qFormat/>
    <w:tblPr/>
  </w:style>
  <w:style w:type="table" w:styleId="941" w:customStyle="1">
    <w:name w:val="List Table 7 Colorful - Accent 6"/>
    <w:basedOn w:val="776"/>
    <w:uiPriority w:val="99"/>
    <w:qFormat/>
    <w:tblPr/>
  </w:style>
  <w:style w:type="table" w:styleId="942" w:customStyle="1">
    <w:name w:val="Lined - Accent"/>
    <w:basedOn w:val="776"/>
    <w:uiPriority w:val="99"/>
    <w:qFormat/>
    <w:rPr>
      <w:color w:val="404040"/>
    </w:rPr>
    <w:tblPr/>
  </w:style>
  <w:style w:type="table" w:styleId="943" w:customStyle="1">
    <w:name w:val="Lined - Accent 1"/>
    <w:basedOn w:val="776"/>
    <w:uiPriority w:val="99"/>
    <w:qFormat/>
    <w:rPr>
      <w:color w:val="404040"/>
    </w:rPr>
    <w:tblPr/>
  </w:style>
  <w:style w:type="table" w:styleId="944" w:customStyle="1">
    <w:name w:val="Lined - Accent 2"/>
    <w:basedOn w:val="776"/>
    <w:uiPriority w:val="99"/>
    <w:qFormat/>
    <w:rPr>
      <w:color w:val="404040"/>
    </w:rPr>
    <w:tblPr/>
  </w:style>
  <w:style w:type="table" w:styleId="945" w:customStyle="1">
    <w:name w:val="Lined - Accent 3"/>
    <w:basedOn w:val="776"/>
    <w:uiPriority w:val="99"/>
    <w:qFormat/>
    <w:rPr>
      <w:color w:val="404040"/>
    </w:rPr>
    <w:tblPr/>
  </w:style>
  <w:style w:type="table" w:styleId="946" w:customStyle="1">
    <w:name w:val="Lined - Accent 4"/>
    <w:basedOn w:val="776"/>
    <w:uiPriority w:val="99"/>
    <w:qFormat/>
    <w:rPr>
      <w:color w:val="404040"/>
    </w:rPr>
    <w:tblPr/>
  </w:style>
  <w:style w:type="table" w:styleId="947" w:customStyle="1">
    <w:name w:val="Lined - Accent 5"/>
    <w:basedOn w:val="776"/>
    <w:uiPriority w:val="99"/>
    <w:qFormat/>
    <w:rPr>
      <w:color w:val="404040"/>
    </w:rPr>
    <w:tblPr/>
  </w:style>
  <w:style w:type="table" w:styleId="948" w:customStyle="1">
    <w:name w:val="Lined - Accent 6"/>
    <w:basedOn w:val="776"/>
    <w:uiPriority w:val="99"/>
    <w:qFormat/>
    <w:rPr>
      <w:color w:val="404040"/>
    </w:rPr>
    <w:tblPr/>
  </w:style>
  <w:style w:type="table" w:styleId="949" w:customStyle="1">
    <w:name w:val="Bordered &amp; Lined - Accent"/>
    <w:basedOn w:val="776"/>
    <w:uiPriority w:val="99"/>
    <w:qFormat/>
    <w:rPr>
      <w:color w:val="404040"/>
    </w:rPr>
    <w:tblPr/>
  </w:style>
  <w:style w:type="table" w:styleId="950" w:customStyle="1">
    <w:name w:val="Bordered &amp; Lined - Accent 1"/>
    <w:basedOn w:val="776"/>
    <w:uiPriority w:val="99"/>
    <w:qFormat/>
    <w:rPr>
      <w:color w:val="404040"/>
    </w:rPr>
    <w:tblPr/>
  </w:style>
  <w:style w:type="table" w:styleId="951" w:customStyle="1">
    <w:name w:val="Bordered &amp; Lined - Accent 2"/>
    <w:basedOn w:val="776"/>
    <w:uiPriority w:val="99"/>
    <w:qFormat/>
    <w:rPr>
      <w:color w:val="404040"/>
    </w:rPr>
    <w:tblPr/>
  </w:style>
  <w:style w:type="table" w:styleId="952" w:customStyle="1">
    <w:name w:val="Bordered &amp; Lined - Accent 3"/>
    <w:basedOn w:val="776"/>
    <w:uiPriority w:val="99"/>
    <w:qFormat/>
    <w:rPr>
      <w:color w:val="404040"/>
    </w:rPr>
    <w:tblPr/>
  </w:style>
  <w:style w:type="table" w:styleId="953" w:customStyle="1">
    <w:name w:val="Bordered &amp; Lined - Accent 4"/>
    <w:basedOn w:val="776"/>
    <w:uiPriority w:val="99"/>
    <w:qFormat/>
    <w:rPr>
      <w:color w:val="404040"/>
    </w:rPr>
    <w:tblPr/>
  </w:style>
  <w:style w:type="table" w:styleId="954" w:customStyle="1">
    <w:name w:val="Bordered &amp; Lined - Accent 5"/>
    <w:basedOn w:val="776"/>
    <w:uiPriority w:val="99"/>
    <w:qFormat/>
    <w:rPr>
      <w:color w:val="404040"/>
    </w:rPr>
    <w:tblPr/>
  </w:style>
  <w:style w:type="table" w:styleId="955" w:customStyle="1">
    <w:name w:val="Bordered &amp; Lined - Accent 6"/>
    <w:basedOn w:val="776"/>
    <w:uiPriority w:val="99"/>
    <w:qFormat/>
    <w:rPr>
      <w:color w:val="404040"/>
    </w:rPr>
    <w:tblPr/>
  </w:style>
  <w:style w:type="table" w:styleId="956" w:customStyle="1">
    <w:name w:val="Bordered"/>
    <w:basedOn w:val="776"/>
    <w:uiPriority w:val="99"/>
    <w:qFormat/>
    <w:tblPr/>
  </w:style>
  <w:style w:type="table" w:styleId="957" w:customStyle="1">
    <w:name w:val="Bordered - Accent 1"/>
    <w:basedOn w:val="776"/>
    <w:uiPriority w:val="99"/>
    <w:qFormat/>
    <w:tblPr/>
  </w:style>
  <w:style w:type="table" w:styleId="958" w:customStyle="1">
    <w:name w:val="Bordered - Accent 2"/>
    <w:basedOn w:val="776"/>
    <w:uiPriority w:val="99"/>
    <w:qFormat/>
    <w:tblPr/>
  </w:style>
  <w:style w:type="table" w:styleId="959" w:customStyle="1">
    <w:name w:val="Bordered - Accent 3"/>
    <w:basedOn w:val="776"/>
    <w:uiPriority w:val="99"/>
    <w:qFormat/>
    <w:tblPr/>
  </w:style>
  <w:style w:type="table" w:styleId="960" w:customStyle="1">
    <w:name w:val="Bordered - Accent 4"/>
    <w:basedOn w:val="776"/>
    <w:uiPriority w:val="99"/>
    <w:qFormat/>
    <w:tblPr/>
  </w:style>
  <w:style w:type="table" w:styleId="961" w:customStyle="1">
    <w:name w:val="Bordered - Accent 5"/>
    <w:basedOn w:val="776"/>
    <w:uiPriority w:val="99"/>
    <w:qFormat/>
    <w:tblPr/>
  </w:style>
  <w:style w:type="table" w:styleId="962" w:customStyle="1">
    <w:name w:val="Bordered - Accent 6"/>
    <w:basedOn w:val="776"/>
    <w:uiPriority w:val="99"/>
    <w:qFormat/>
    <w:tblPr/>
  </w:style>
  <w:style w:type="paragraph" w:styleId="963" w:customStyle="1">
    <w:name w:val="TOC 标题1"/>
    <w:uiPriority w:val="39"/>
    <w:unhideWhenUsed/>
    <w:qFormat/>
    <w:rPr>
      <w:rFonts w:hint="default" w:ascii="Times New Roman" w:hAnsi="Times New Roman" w:eastAsia="宋体" w:cs="Times New Roman"/>
      <w:lang w:eastAsia="zh-CN"/>
    </w:rPr>
  </w:style>
  <w:style w:type="character" w:styleId="964" w:customStyle="1">
    <w:name w:val="hover1"/>
    <w:basedOn w:val="760"/>
    <w:uiPriority w:val="0"/>
    <w:qFormat/>
  </w:style>
  <w:style w:type="character" w:styleId="965" w:customStyle="1">
    <w:name w:val="hover2"/>
    <w:basedOn w:val="760"/>
    <w:uiPriority w:val="0"/>
    <w:qFormat/>
    <w:rPr>
      <w:color w:val="2590eb"/>
    </w:rPr>
  </w:style>
  <w:style w:type="character" w:styleId="966" w:customStyle="1">
    <w:name w:val="hover3"/>
    <w:basedOn w:val="760"/>
    <w:uiPriority w:val="0"/>
    <w:qFormat/>
    <w:rPr>
      <w:color w:val="2590eb"/>
    </w:rPr>
  </w:style>
  <w:style w:type="paragraph" w:styleId="967" w:customStyle="1">
    <w:name w:val="Plain Text1"/>
    <w:basedOn w:val="688"/>
    <w:uiPriority w:val="0"/>
    <w:qFormat/>
    <w:rPr>
      <w:rFonts w:ascii="宋体" w:hAnsi="Courier New"/>
    </w:rPr>
  </w:style>
  <w:style w:type="paragraph" w:styleId="968" w:customStyle="1">
    <w:name w:val="首行缩进"/>
    <w:basedOn w:val="688"/>
    <w:uiPriority w:val="0"/>
    <w:qFormat/>
    <w:pPr>
      <w:ind w:firstLine="480"/>
    </w:pPr>
    <w:rPr>
      <w:szCs w:val="20"/>
      <w:lang w:val="zh-CN"/>
    </w:rPr>
  </w:style>
  <w:style w:type="paragraph" w:styleId="969">
    <w:name w:val="List Paragraph"/>
    <w:basedOn w:val="688"/>
    <w:uiPriority w:val="34"/>
    <w:qFormat/>
    <w:pPr>
      <w:ind w:firstLine="420"/>
    </w:pPr>
  </w:style>
  <w:style w:type="paragraph" w:styleId="970" w:customStyle="1">
    <w:name w:val="纯文本1"/>
    <w:basedOn w:val="688"/>
    <w:uiPriority w:val="0"/>
    <w:qFormat/>
    <w:rPr>
      <w:rFonts w:ascii="宋体" w:hAnsi="Courier New"/>
    </w:rPr>
  </w:style>
  <w:style w:type="paragraph" w:styleId="971" w:customStyle="1">
    <w:name w:val="纯文本11"/>
    <w:basedOn w:val="688"/>
    <w:uiPriority w:val="0"/>
    <w:qFormat/>
    <w:rPr>
      <w:rFonts w:ascii="宋体" w:hAnsi="Courier New"/>
    </w:rPr>
  </w:style>
  <w:style w:type="paragraph" w:styleId="972" w:customStyle="1">
    <w:name w:val="纯文本3"/>
    <w:basedOn w:val="688"/>
    <w:uiPriority w:val="0"/>
    <w:qFormat/>
    <w:rPr>
      <w:rFonts w:ascii="宋体" w:hAnsi="Courier New"/>
    </w:rPr>
  </w:style>
  <w:style w:type="paragraph" w:styleId="973" w:customStyle="1">
    <w:name w:val="标题3"/>
    <w:basedOn w:val="763"/>
    <w:uiPriority w:val="0"/>
    <w:qFormat/>
    <w:pPr>
      <w:contextualSpacing/>
      <w:jc w:val="center"/>
      <w:spacing w:before="100" w:after="100"/>
    </w:pPr>
    <w:rPr>
      <w:rFonts w:eastAsia="黑体"/>
      <w:bCs/>
      <w:sz w:val="28"/>
    </w:rPr>
  </w:style>
  <w:style w:type="paragraph" w:styleId="974" w:customStyle="1">
    <w:name w:val="纯文本2"/>
    <w:basedOn w:val="688"/>
    <w:uiPriority w:val="0"/>
    <w:qFormat/>
    <w:rPr>
      <w:rFonts w:ascii="宋体" w:hAnsi="Courier New"/>
    </w:rPr>
  </w:style>
  <w:style w:type="paragraph" w:styleId="975" w:customStyle="1">
    <w:name w:val="正文缩进11"/>
    <w:basedOn w:val="688"/>
    <w:uiPriority w:val="0"/>
    <w:qFormat/>
    <w:pPr>
      <w:ind w:firstLine="420"/>
    </w:pPr>
    <w:rPr>
      <w:rFonts w:eastAsia="楷体_GB2312"/>
    </w:rPr>
  </w:style>
  <w:style w:type="paragraph" w:styleId="976" w:customStyle="1">
    <w:name w:val="正文文本缩进11"/>
    <w:basedOn w:val="688"/>
    <w:next w:val="977"/>
    <w:uiPriority w:val="0"/>
    <w:qFormat/>
    <w:pPr>
      <w:ind w:firstLine="425"/>
      <w:spacing w:line="360" w:lineRule="auto"/>
    </w:pPr>
  </w:style>
  <w:style w:type="paragraph" w:styleId="977" w:customStyle="1">
    <w:name w:val="寄信人地址1"/>
    <w:basedOn w:val="688"/>
    <w:next w:val="978"/>
    <w:uiPriority w:val="0"/>
    <w:qFormat/>
    <w:rPr>
      <w:rFonts w:ascii="Arial" w:hAnsi="Arial"/>
    </w:rPr>
  </w:style>
  <w:style w:type="paragraph" w:styleId="978" w:customStyle="1">
    <w:name w:val="目录 71"/>
    <w:basedOn w:val="688"/>
    <w:next w:val="688"/>
    <w:uiPriority w:val="0"/>
    <w:unhideWhenUsed/>
    <w:qFormat/>
    <w:pPr>
      <w:ind w:left="1260"/>
    </w:pPr>
    <w:rPr>
      <w:rFonts w:ascii="Calibri" w:hAnsi="Calibri" w:cs="Calibri"/>
      <w:sz w:val="18"/>
      <w:szCs w:val="18"/>
    </w:rPr>
  </w:style>
  <w:style w:type="paragraph" w:styleId="979" w:customStyle="1">
    <w:name w:val="正文 A"/>
    <w:uiPriority w:val="0"/>
    <w:qFormat/>
    <w:pPr>
      <w:jc w:val="both"/>
      <w:widowControl w:val="off"/>
    </w:pPr>
    <w:rPr>
      <w:rFonts w:hint="default" w:ascii="Times New Roman" w:hAnsi="Times New Roman" w:eastAsia="ヒラギノ角ゴ Pro W3" w:cs="Times New Roman"/>
      <w:color w:val="000000"/>
      <w:lang w:eastAsia="zh-CN"/>
    </w:rPr>
  </w:style>
  <w:style w:type="paragraph" w:styleId="980" w:customStyle="1">
    <w:name w:val="Default"/>
    <w:uiPriority w:val="0"/>
    <w:qFormat/>
    <w:pPr>
      <w:widowControl w:val="off"/>
    </w:pPr>
    <w:rPr>
      <w:rFonts w:hint="default" w:ascii="Arial Unicode MS" w:hAnsi="Times New Roman" w:eastAsia="Times New Roman" w:cs="Arial Unicode MS"/>
      <w:color w:val="000000"/>
      <w:sz w:val="24"/>
      <w:szCs w:val="24"/>
      <w:lang w:eastAsia="zh-CN"/>
    </w:rPr>
  </w:style>
  <w:style w:type="paragraph" w:styleId="981" w:customStyle="1">
    <w:name w:val="标题 211"/>
    <w:basedOn w:val="688"/>
    <w:next w:val="688"/>
    <w:uiPriority w:val="0"/>
    <w:qFormat/>
    <w:pPr>
      <w:keepLines/>
      <w:keepNext/>
      <w:spacing w:before="260" w:after="260" w:line="413" w:lineRule="auto"/>
      <w:outlineLvl w:val="1"/>
    </w:pPr>
    <w:rPr>
      <w:rFonts w:ascii="Arial" w:hAnsi="Arial" w:eastAsia="黑体"/>
      <w:b/>
      <w:bCs/>
      <w:sz w:val="32"/>
      <w:szCs w:val="32"/>
    </w:rPr>
  </w:style>
  <w:style w:type="paragraph" w:styleId="982" w:customStyle="1">
    <w:name w:val="正文文本 2111"/>
    <w:basedOn w:val="688"/>
    <w:uiPriority w:val="0"/>
    <w:qFormat/>
    <w:pPr>
      <w:spacing w:after="120" w:line="480" w:lineRule="auto"/>
    </w:pPr>
  </w:style>
  <w:style w:type="paragraph" w:styleId="983" w:customStyle="1">
    <w:name w:val="_Style 3"/>
    <w:basedOn w:val="688"/>
    <w:uiPriority w:val="99"/>
    <w:qFormat/>
  </w:style>
  <w:style w:type="character" w:styleId="984" w:customStyle="1">
    <w:name w:val="font01"/>
    <w:basedOn w:val="760"/>
    <w:uiPriority w:val="0"/>
    <w:qFormat/>
    <w:rPr>
      <w:rFonts w:ascii="等线" w:hAnsi="等线" w:eastAsia="等线" w:cs="等线"/>
      <w:color w:val="000000"/>
      <w:sz w:val="22"/>
      <w:szCs w:val="22"/>
      <w:u w:val="none"/>
    </w:rPr>
  </w:style>
  <w:style w:type="character" w:styleId="985" w:customStyle="1">
    <w:name w:val="font11"/>
    <w:basedOn w:val="760"/>
    <w:uiPriority w:val="0"/>
    <w:qFormat/>
    <w:rPr>
      <w:rFonts w:ascii="Yu Gothic" w:hAnsi="Yu Gothic" w:eastAsia="Yu Gothic" w:cs="Yu Gothic"/>
      <w:color w:val="000000"/>
      <w:sz w:val="22"/>
      <w:szCs w:val="22"/>
      <w:u w:val="none"/>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丁亚萍</cp:lastModifiedBy>
  <cp:revision>10</cp:revision>
  <dcterms:created xsi:type="dcterms:W3CDTF">2026-05-12T08:40:00Z</dcterms:created>
  <dcterms:modified xsi:type="dcterms:W3CDTF">2026-09-01T00:58:45Z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eyJoZGlkIjoiNGVmZmRiNTQxMDAwZWQ0ZjYzYTIyNjM2YWI0M2QzZTkiLCJ1c2VySWQiOiIzNjcyMTEwMTcifQ==</vt:lpwstr>
  </property>
  <property fmtid="{D5CDD505-2E9C-101B-9397-08002B2CF9AE}" pid="3" name="KSOProductBuildVer">
    <vt:lpwstr>2052-12.1.0.28043</vt:lpwstr>
  </property>
  <property fmtid="{D5CDD505-2E9C-101B-9397-08002B2CF9AE}" pid="4" name="ICV">
    <vt:lpwstr>B3E0687111C249C4A421CD18B29B2934_13</vt:lpwstr>
  </property>
</Properties>
</file>