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cs="宋体"/>
          <w:color w:val="auto"/>
          <w:sz w:val="84"/>
          <w:szCs w:val="84"/>
          <w:highlight w:val="none"/>
        </w:rPr>
      </w:pPr>
      <w:r>
        <w:rPr>
          <w:rFonts w:ascii="宋体" w:cs="宋体"/>
          <w:color w:val="auto"/>
          <w:sz w:val="84"/>
          <w:szCs w:val="84"/>
          <w:highlight w:val="none"/>
        </w:rPr>
      </w:r>
      <w:r/>
    </w:p>
    <w:p>
      <w:pPr>
        <w:jc w:val="center"/>
        <w:spacing w:line="360" w:lineRule="auto"/>
        <w:rPr>
          <w:rFonts w:ascii="宋体" w:hAnsi="宋体" w:cs="宋体"/>
          <w:color w:val="auto"/>
          <w:sz w:val="84"/>
          <w:szCs w:val="84"/>
          <w:highlight w:val="none"/>
        </w:rPr>
      </w:pPr>
      <w:r>
        <w:rPr>
          <w:rFonts w:hint="eastAsia" w:ascii="宋体" w:hAnsi="宋体" w:cs="宋体"/>
          <w:color w:val="auto"/>
          <w:sz w:val="84"/>
          <w:szCs w:val="84"/>
          <w:highlight w:val="none"/>
        </w:rPr>
        <w:t xml:space="preserve">苏州市吴中区政府采购</w:t>
      </w:r>
      <w:r/>
    </w:p>
    <w:p>
      <w:pPr>
        <w:jc w:val="center"/>
        <w:spacing w:line="360" w:lineRule="auto"/>
        <w:rPr>
          <w:rFonts w:ascii="宋体" w:hAnsi="宋体" w:cs="宋体"/>
          <w:color w:val="auto"/>
          <w:sz w:val="84"/>
          <w:szCs w:val="84"/>
          <w:highlight w:val="none"/>
        </w:rPr>
      </w:pPr>
      <w:r>
        <w:rPr>
          <w:rFonts w:hint="eastAsia" w:ascii="宋体" w:hAnsi="宋体" w:cs="宋体"/>
          <w:color w:val="auto"/>
          <w:sz w:val="84"/>
          <w:szCs w:val="84"/>
          <w:highlight w:val="none"/>
        </w:rPr>
        <w:t xml:space="preserve">招  标  文  件</w:t>
      </w:r>
      <w:r/>
    </w:p>
    <w:p>
      <w:pPr>
        <w:jc w:val="center"/>
        <w:spacing w:line="360" w:lineRule="auto"/>
        <w:rPr>
          <w:rFonts w:ascii="宋体" w:cs="宋体"/>
          <w:color w:val="auto"/>
          <w:sz w:val="24"/>
          <w:highlight w:val="none"/>
        </w:rPr>
      </w:pPr>
      <w:r>
        <w:rPr>
          <w:rFonts w:ascii="宋体" w:cs="宋体"/>
          <w:color w:val="auto"/>
          <w:sz w:val="24"/>
          <w:highlight w:val="none"/>
        </w:rPr>
      </w:r>
      <w:r/>
    </w:p>
    <w:p>
      <w:pPr>
        <w:jc w:val="center"/>
        <w:spacing w:line="360" w:lineRule="auto"/>
        <w:rPr>
          <w:rFonts w:ascii="宋体" w:cs="宋体"/>
          <w:color w:val="auto"/>
          <w:sz w:val="24"/>
          <w:highlight w:val="none"/>
        </w:rPr>
      </w:pPr>
      <w:r>
        <w:rPr>
          <w:rFonts w:ascii="宋体" w:cs="宋体"/>
          <w:color w:val="auto"/>
          <w:sz w:val="24"/>
          <w:highlight w:val="none"/>
        </w:rPr>
      </w:r>
      <w:r/>
    </w:p>
    <w:p>
      <w:pPr>
        <w:spacing w:line="360" w:lineRule="auto"/>
        <w:rPr>
          <w:rFonts w:ascii="宋体" w:cs="宋体"/>
          <w:color w:val="auto"/>
          <w:sz w:val="32"/>
          <w:szCs w:val="32"/>
          <w:highlight w:val="none"/>
        </w:rPr>
      </w:pPr>
      <w:r>
        <w:rPr>
          <w:rFonts w:ascii="宋体" w:cs="宋体"/>
          <w:color w:val="auto"/>
          <w:sz w:val="32"/>
          <w:szCs w:val="32"/>
          <w:highlight w:val="none"/>
        </w:rPr>
      </w:r>
      <w:r/>
    </w:p>
    <w:p>
      <w:pPr>
        <w:ind w:firstLine="1802"/>
        <w:spacing w:line="360" w:lineRule="auto"/>
        <w:rPr>
          <w:rFonts w:ascii="宋体" w:cs="宋体"/>
          <w:b/>
          <w:bCs/>
          <w:color w:val="auto"/>
          <w:sz w:val="30"/>
          <w:szCs w:val="30"/>
          <w:highlight w:val="none"/>
        </w:rPr>
      </w:pPr>
      <w:r>
        <w:rPr>
          <w:rFonts w:hint="eastAsia" w:ascii="宋体" w:cs="宋体"/>
          <w:b/>
          <w:bCs/>
          <w:color w:val="auto"/>
          <w:sz w:val="30"/>
          <w:szCs w:val="30"/>
          <w:highlight w:val="none"/>
        </w:rPr>
        <w:t xml:space="preserve">采 购 人：苏州市不动产登记中心吴中分中心</w:t>
      </w:r>
      <w:r/>
    </w:p>
    <w:p>
      <w:pPr>
        <w:ind w:firstLine="1802"/>
        <w:spacing w:line="360" w:lineRule="auto"/>
        <w:rPr>
          <w:rFonts w:hint="eastAsia" w:ascii="宋体" w:eastAsia="宋体" w:cs="宋体"/>
          <w:b/>
          <w:bCs/>
          <w:color w:val="auto"/>
          <w:sz w:val="30"/>
          <w:szCs w:val="30"/>
          <w:highlight w:val="none"/>
          <w:lang w:eastAsia="zh-CN"/>
        </w:rPr>
      </w:pPr>
      <w:r>
        <w:rPr>
          <w:rFonts w:hint="eastAsia" w:ascii="宋体" w:cs="宋体"/>
          <w:b/>
          <w:bCs/>
          <w:color w:val="auto"/>
          <w:sz w:val="30"/>
          <w:szCs w:val="30"/>
          <w:highlight w:val="none"/>
        </w:rPr>
        <w:t xml:space="preserve">项目编号：</w:t>
      </w:r>
      <w:r>
        <w:rPr>
          <w:rFonts w:hint="eastAsia" w:ascii="宋体" w:cs="宋体"/>
          <w:b/>
          <w:bCs/>
          <w:color w:val="auto"/>
          <w:sz w:val="30"/>
          <w:szCs w:val="30"/>
          <w:highlight w:val="none"/>
          <w:lang w:eastAsia="zh-CN"/>
        </w:rPr>
        <w:t xml:space="preserve">JSZC-320506-SZJX-G2026-0050</w:t>
      </w:r>
      <w:r/>
    </w:p>
    <w:p>
      <w:pPr>
        <w:ind w:firstLine="1802"/>
        <w:spacing w:line="360" w:lineRule="auto"/>
        <w:rPr>
          <w:rFonts w:hint="eastAsia" w:ascii="宋体" w:eastAsia="宋体" w:cs="宋体"/>
          <w:b/>
          <w:bCs/>
          <w:color w:val="auto"/>
          <w:sz w:val="30"/>
          <w:szCs w:val="30"/>
          <w:highlight w:val="none"/>
          <w:lang w:eastAsia="zh-CN"/>
        </w:rPr>
      </w:pPr>
      <w:r>
        <w:rPr>
          <w:rFonts w:hint="eastAsia" w:ascii="宋体" w:cs="宋体"/>
          <w:b/>
          <w:bCs/>
          <w:color w:val="auto"/>
          <w:sz w:val="30"/>
          <w:szCs w:val="30"/>
          <w:highlight w:val="none"/>
        </w:rPr>
        <w:t xml:space="preserve">项目名称：</w:t>
      </w:r>
      <w:r>
        <w:rPr>
          <w:rFonts w:hint="eastAsia" w:ascii="宋体" w:cs="宋体"/>
          <w:b/>
          <w:bCs/>
          <w:color w:val="auto"/>
          <w:sz w:val="30"/>
          <w:szCs w:val="30"/>
          <w:highlight w:val="none"/>
          <w:lang w:eastAsia="zh-CN"/>
        </w:rPr>
        <w:t xml:space="preserve">购买不动产继承公证项目</w:t>
      </w:r>
      <w:r/>
    </w:p>
    <w:p>
      <w:pPr>
        <w:pStyle w:val="922"/>
        <w:rPr>
          <w:rFonts w:ascii="宋体" w:cs="宋体"/>
          <w:color w:val="auto"/>
          <w:sz w:val="30"/>
          <w:szCs w:val="30"/>
          <w:highlight w:val="none"/>
        </w:rPr>
      </w:pPr>
      <w:r>
        <w:rPr>
          <w:rFonts w:ascii="宋体" w:cs="宋体"/>
          <w:color w:val="auto"/>
          <w:sz w:val="30"/>
          <w:szCs w:val="30"/>
          <w:highlight w:val="none"/>
        </w:rPr>
      </w:r>
      <w:r/>
    </w:p>
    <w:p>
      <w:pPr>
        <w:rPr>
          <w:color w:val="auto"/>
          <w:highlight w:val="none"/>
        </w:rPr>
      </w:pPr>
      <w:r>
        <w:rPr>
          <w:color w:val="auto"/>
          <w:highlight w:val="none"/>
        </w:rPr>
      </w:r>
      <w:r/>
    </w:p>
    <w:p>
      <w:pPr>
        <w:jc w:val="center"/>
        <w:spacing w:line="360" w:lineRule="auto"/>
        <w:rPr>
          <w:rFonts w:ascii="宋体" w:cs="宋体"/>
          <w:b/>
          <w:bCs/>
          <w:color w:val="auto"/>
          <w:sz w:val="30"/>
          <w:szCs w:val="30"/>
          <w:highlight w:val="none"/>
        </w:rPr>
      </w:pPr>
      <w:r>
        <w:rPr>
          <w:rFonts w:hint="eastAsia" w:ascii="宋体" w:cs="宋体"/>
          <w:b/>
          <w:bCs/>
          <w:color w:val="auto"/>
          <w:sz w:val="30"/>
          <w:szCs w:val="30"/>
          <w:highlight w:val="none"/>
        </w:rPr>
        <w:t xml:space="preserve">苏州捷信招投标咨询有限公司</w:t>
      </w:r>
      <w:r/>
    </w:p>
    <w:p>
      <w:pPr>
        <w:jc w:val="center"/>
        <w:spacing w:line="360" w:lineRule="auto"/>
        <w:rPr>
          <w:rFonts w:ascii="宋体" w:cs="宋体"/>
          <w:b/>
          <w:bCs/>
          <w:color w:val="auto"/>
          <w:sz w:val="30"/>
          <w:szCs w:val="30"/>
          <w:highlight w:val="none"/>
        </w:rPr>
      </w:pPr>
      <w:r>
        <w:rPr>
          <w:rFonts w:hint="eastAsia" w:ascii="宋体" w:cs="宋体"/>
          <w:b/>
          <w:bCs/>
          <w:color w:val="auto"/>
          <w:sz w:val="30"/>
          <w:szCs w:val="30"/>
          <w:highlight w:val="none"/>
          <w:lang w:eastAsia="zh-CN"/>
        </w:rPr>
        <w:t xml:space="preserve">二○二</w:t>
      </w:r>
      <w:r>
        <w:rPr>
          <w:rFonts w:hint="eastAsia" w:ascii="宋体" w:cs="宋体"/>
          <w:b/>
          <w:bCs/>
          <w:color w:val="auto"/>
          <w:sz w:val="30"/>
          <w:szCs w:val="30"/>
          <w:highlight w:val="none"/>
        </w:rPr>
        <w:t xml:space="preserve">六年八月</w:t>
      </w:r>
      <w:r/>
    </w:p>
    <w:p>
      <w:pPr>
        <w:rPr>
          <w:color w:val="auto"/>
          <w:highlight w:val="none"/>
        </w:rPr>
        <w:sectPr>
          <w:headerReference w:type="default" r:id="rId9"/>
          <w:footerReference w:type="default" r:id="rId11"/>
          <w:footnotePr/>
          <w:endnotePr/>
          <w:type w:val="nextPage"/>
          <w:pgSz w:w="11906" w:h="16838" w:orient="portrait"/>
          <w:pgMar w:top="1440" w:right="1083" w:bottom="1440" w:left="1083" w:header="850" w:footer="992" w:gutter="0"/>
          <w:cols w:num="1" w:sep="0" w:space="0" w:equalWidth="1"/>
          <w:docGrid w:linePitch="360"/>
        </w:sectPr>
      </w:pPr>
      <w:r>
        <w:rPr>
          <w:color w:val="auto"/>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投标须知前附表</w:t>
      </w:r>
      <w:r/>
    </w:p>
    <w:p>
      <w:pPr>
        <w:ind w:firstLine="48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本表是本招标项目的具体资料，是对投标人须知的具体补充和修改，如有矛盾，应</w:t>
      </w:r>
      <w:r>
        <w:rPr>
          <w:rFonts w:hint="eastAsia" w:ascii="宋体" w:hAnsi="宋体" w:cs="宋体"/>
          <w:b/>
          <w:color w:val="auto"/>
          <w:szCs w:val="21"/>
          <w:highlight w:val="none"/>
        </w:rPr>
        <w:t xml:space="preserve">以本表为准</w:t>
      </w:r>
      <w:r>
        <w:rPr>
          <w:rFonts w:hint="eastAsia" w:ascii="宋体" w:hAnsi="宋体" w:cs="宋体"/>
          <w:color w:val="auto"/>
          <w:szCs w:val="21"/>
          <w:highlight w:val="none"/>
        </w:rPr>
        <w:t xml:space="preserve">。</w:t>
      </w:r>
      <w:r/>
    </w:p>
    <w:tbl>
      <w:tblPr>
        <w:tblStyle w:val="724"/>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2"/>
        <w:gridCol w:w="8272"/>
      </w:tblGrid>
      <w:tr>
        <w:trPr>
          <w:jc w:val="center"/>
        </w:trPr>
        <w:tc>
          <w:tcPr>
            <w:tcW w:w="762"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8272"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内容</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27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采购编号：</w:t>
            </w:r>
            <w:r>
              <w:rPr>
                <w:rFonts w:hint="eastAsia" w:ascii="宋体" w:hAnsi="宋体" w:cs="宋体"/>
                <w:color w:val="auto"/>
                <w:szCs w:val="21"/>
                <w:highlight w:val="none"/>
                <w:lang w:eastAsia="zh-CN"/>
              </w:rPr>
              <w:t xml:space="preserve">JSZC-320506-SZJX-G2026-0050</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27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采购内容：</w:t>
            </w:r>
            <w:r>
              <w:rPr>
                <w:rFonts w:hint="eastAsia" w:ascii="宋体" w:hAnsi="宋体" w:cs="宋体"/>
                <w:color w:val="auto"/>
                <w:szCs w:val="21"/>
                <w:highlight w:val="none"/>
                <w:lang w:eastAsia="zh-CN"/>
              </w:rPr>
              <w:t xml:space="preserve">购买不动产继承公证项目</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项目预算：</w:t>
            </w:r>
            <w:r>
              <w:rPr>
                <w:rFonts w:hint="eastAsia" w:ascii="宋体" w:hAnsi="宋体" w:cs="宋体"/>
                <w:color w:val="auto"/>
                <w:szCs w:val="21"/>
                <w:highlight w:val="none"/>
              </w:rPr>
              <w:t xml:space="preserve">4700000.00元</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采购人：苏州市不动产登记中心吴中分中心</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采购代理机构：苏州捷信招投标咨询有限公司</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址：苏州市南园北路118号天和商务大厦6-206</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业务联系人：汪业超、丁亚萍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联系电话：0512-65200361</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投标有效期：提交投标文件截止之日起</w:t>
            </w:r>
            <w:r>
              <w:rPr>
                <w:rFonts w:hint="eastAsia" w:ascii="宋体" w:hAnsi="宋体" w:cs="宋体"/>
                <w:color w:val="auto"/>
                <w:szCs w:val="21"/>
                <w:highlight w:val="none"/>
              </w:rPr>
              <w:t xml:space="preserve">90</w:t>
            </w:r>
            <w:r>
              <w:rPr>
                <w:rFonts w:hint="eastAsia" w:ascii="宋体" w:hAnsi="宋体" w:cs="宋体"/>
                <w:color w:val="auto"/>
                <w:szCs w:val="21"/>
                <w:highlight w:val="none"/>
                <w:lang w:val="zh-CN"/>
              </w:rPr>
              <w:t xml:space="preserve">日历日</w:t>
            </w:r>
            <w:r/>
          </w:p>
        </w:tc>
      </w:tr>
      <w:tr>
        <w:trPr>
          <w:jc w:val="center"/>
          <w:trHeight w:val="377"/>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中标后由中标单位提供4份纸质投标文件。</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投标文件递交地点：“苏采云”系统。投标文件网上提交，不需要现场参加采购活动，无需提供纸质投标文件。</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开标时间和地点：2026年  9月 14日13点30分（北京时间）“苏采云”系统。本项目为不见面开标项目，开标阶段投标人在【供应商解密】环节必须使用 CA证书解密电子投标文件，如在系统规定的解密时间（投标文件提交截止时间后30分钟）内未能完成解密的视为放弃投标。</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（1）中标服务费的收取按差额定率累进法计算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预算</w:t>
            </w:r>
            <w:r>
              <w:rPr>
                <w:rFonts w:hint="eastAsia" w:ascii="宋体" w:hAnsi="宋体" w:cs="宋体"/>
                <w:color w:val="auto"/>
                <w:szCs w:val="21"/>
                <w:highlight w:val="none"/>
                <w:lang w:eastAsia="zh-CN"/>
              </w:rPr>
              <w:t xml:space="preserve">金额100万元</w:t>
            </w:r>
            <w:r>
              <w:rPr>
                <w:rFonts w:hint="eastAsia" w:ascii="宋体" w:hAnsi="宋体" w:cs="宋体"/>
                <w:color w:val="auto"/>
                <w:szCs w:val="21"/>
                <w:highlight w:val="none"/>
              </w:rPr>
              <w:t xml:space="preserve">以下费率为预算金</w:t>
            </w:r>
            <w:r>
              <w:rPr>
                <w:rFonts w:hint="eastAsia" w:ascii="宋体" w:hAnsi="宋体" w:cs="宋体"/>
                <w:color w:val="auto"/>
                <w:szCs w:val="21"/>
                <w:highlight w:val="none"/>
                <w:lang w:eastAsia="zh-CN"/>
              </w:rPr>
              <w:t xml:space="preserve">额的1</w:t>
            </w:r>
            <w:r>
              <w:rPr>
                <w:rFonts w:hint="eastAsia" w:ascii="宋体" w:hAnsi="宋体" w:cs="宋体"/>
                <w:color w:val="auto"/>
                <w:szCs w:val="21"/>
                <w:highlight w:val="none"/>
              </w:rPr>
              <w:t xml:space="preserve">.5%；预算金额</w:t>
            </w:r>
            <w:r>
              <w:rPr>
                <w:rFonts w:hint="eastAsia" w:ascii="宋体" w:hAnsi="宋体" w:cs="宋体"/>
                <w:color w:val="auto"/>
                <w:szCs w:val="21"/>
                <w:highlight w:val="none"/>
                <w:lang w:eastAsia="zh-CN"/>
              </w:rPr>
              <w:t xml:space="preserve">100万—500万</w:t>
            </w:r>
            <w:r>
              <w:rPr>
                <w:rFonts w:hint="eastAsia" w:ascii="宋体" w:hAnsi="宋体" w:cs="宋体"/>
                <w:color w:val="auto"/>
                <w:szCs w:val="21"/>
                <w:highlight w:val="none"/>
              </w:rPr>
              <w:t xml:space="preserve">费率为预算金额的1.1%</w:t>
            </w:r>
            <w:r>
              <w:rPr>
                <w:rFonts w:hint="eastAsia" w:ascii="宋体" w:hAnsi="宋体" w:cs="宋体"/>
                <w:color w:val="auto"/>
                <w:szCs w:val="21"/>
                <w:highlight w:val="none"/>
                <w:lang w:eastAsia="zh-CN"/>
              </w:rPr>
              <w:t xml:space="preserve">；预算</w:t>
            </w:r>
            <w:r>
              <w:rPr>
                <w:rFonts w:hint="eastAsia" w:ascii="宋体" w:hAnsi="宋体" w:cs="宋体"/>
                <w:color w:val="auto"/>
                <w:szCs w:val="21"/>
                <w:highlight w:val="none"/>
              </w:rPr>
              <w:t xml:space="preserve">金额</w:t>
            </w:r>
            <w:r>
              <w:rPr>
                <w:rFonts w:hint="eastAsia" w:ascii="宋体" w:hAnsi="宋体" w:cs="宋体"/>
                <w:color w:val="auto"/>
                <w:szCs w:val="21"/>
                <w:highlight w:val="none"/>
                <w:lang w:eastAsia="zh-CN"/>
              </w:rPr>
              <w:t xml:space="preserve">500万—1000万</w:t>
            </w:r>
            <w:r>
              <w:rPr>
                <w:rFonts w:hint="eastAsia" w:ascii="宋体" w:hAnsi="宋体" w:cs="宋体"/>
                <w:color w:val="auto"/>
                <w:szCs w:val="21"/>
                <w:highlight w:val="none"/>
              </w:rPr>
              <w:t xml:space="preserve">费率为预算金额的0.8%</w:t>
            </w:r>
            <w:r>
              <w:rPr>
                <w:rFonts w:hint="eastAsia" w:ascii="宋体" w:hAnsi="宋体" w:cs="宋体"/>
                <w:color w:val="auto"/>
                <w:szCs w:val="21"/>
                <w:highlight w:val="none"/>
                <w:lang w:eastAsia="zh-CN"/>
              </w:rPr>
              <w:t xml:space="preserve">；预算</w:t>
            </w:r>
            <w:r>
              <w:rPr>
                <w:rFonts w:hint="eastAsia" w:ascii="宋体" w:hAnsi="宋体" w:cs="宋体"/>
                <w:color w:val="auto"/>
                <w:szCs w:val="21"/>
                <w:highlight w:val="none"/>
              </w:rPr>
              <w:t xml:space="preserve">金额</w:t>
            </w:r>
            <w:r>
              <w:rPr>
                <w:rFonts w:hint="eastAsia" w:ascii="宋体" w:hAnsi="宋体" w:cs="宋体"/>
                <w:color w:val="auto"/>
                <w:szCs w:val="21"/>
                <w:highlight w:val="none"/>
                <w:lang w:eastAsia="zh-CN"/>
              </w:rPr>
              <w:t xml:space="preserve">1000万—5000万</w:t>
            </w:r>
            <w:r>
              <w:rPr>
                <w:rFonts w:hint="eastAsia" w:ascii="宋体" w:hAnsi="宋体" w:cs="宋体"/>
                <w:color w:val="auto"/>
                <w:szCs w:val="21"/>
                <w:highlight w:val="none"/>
              </w:rPr>
              <w:t xml:space="preserve">费率为预算金额的0.5%</w:t>
            </w:r>
            <w:r>
              <w:rPr>
                <w:rFonts w:hint="eastAsia" w:ascii="宋体" w:hAnsi="宋体" w:cs="宋体"/>
                <w:color w:val="auto"/>
                <w:szCs w:val="21"/>
                <w:highlight w:val="none"/>
                <w:lang w:eastAsia="zh-CN"/>
              </w:rPr>
              <w:t xml:space="preserve">。注</w:t>
            </w:r>
            <w:r>
              <w:rPr>
                <w:rFonts w:hint="eastAsia" w:ascii="宋体" w:hAnsi="宋体" w:cs="宋体"/>
                <w:color w:val="auto"/>
                <w:szCs w:val="21"/>
                <w:highlight w:val="none"/>
              </w:rPr>
              <w:t xml:space="preserve">：中标服务费的收取按差额定率累进法计算。服务费交纳</w:t>
            </w:r>
            <w:r>
              <w:rPr>
                <w:rFonts w:hint="eastAsia" w:ascii="宋体" w:hAnsi="宋体" w:cs="宋体"/>
                <w:color w:val="auto"/>
                <w:szCs w:val="21"/>
                <w:highlight w:val="none"/>
                <w:lang w:eastAsia="zh-CN"/>
              </w:rPr>
              <w:t xml:space="preserve">账户</w:t>
            </w:r>
            <w:r>
              <w:rPr>
                <w:rFonts w:hint="eastAsia" w:ascii="宋体" w:hAnsi="宋体" w:cs="宋体"/>
                <w:color w:val="auto"/>
                <w:szCs w:val="21"/>
                <w:highlight w:val="none"/>
              </w:rPr>
              <w:t xml:space="preserve">：苏州捷信招投标咨询有限公司；账号：543058195260；开户行：中国银行苏州南园支行。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请中标单位将公司开票信息以Word文档格式发送至邮箱：szjiexin2011@163.com。中标供应商凭已缴纳代理服务费的银行回单至代理机构领取成交通知书、合同。本次项目预算中已包含中标服务费，故本项目中标服务费由中标单位支付。中标人如果未按上述规定缴纳中标服务费，采购代理机构将保留诉讼的权利。</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（2）本项目专家评审费用由招标单位支付。</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评标标准：详见第六章</w:t>
            </w:r>
            <w:r/>
          </w:p>
        </w:tc>
      </w:tr>
      <w:tr>
        <w:trPr>
          <w:jc w:val="center"/>
        </w:trPr>
        <w:tc>
          <w:tcPr>
            <w:tcW w:w="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827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评标方法：详见第六章</w:t>
            </w:r>
            <w:r/>
          </w:p>
        </w:tc>
      </w:tr>
      <w:tr>
        <w:trPr>
          <w:jc w:val="center"/>
        </w:trPr>
        <w:tc>
          <w:tcPr>
            <w:tcW w:w="762" w:type="dxa"/>
            <w:vAlign w:val="center"/>
            <w:textDirection w:val="lrTb"/>
            <w:noWrap w:val="false"/>
          </w:tcPr>
          <w:p>
            <w:pPr>
              <w:pStyle w:val="949"/>
              <w:contextualSpacing/>
              <w:ind w:firstLine="0"/>
              <w:jc w:val="center"/>
              <w:rPr>
                <w:rFonts w:ascii="宋体" w:hAnsi="宋体" w:cs="宋体"/>
                <w:color w:val="auto"/>
                <w:szCs w:val="21"/>
                <w:highlight w:val="none"/>
              </w:rPr>
            </w:pPr>
            <w:r>
              <w:rPr>
                <w:rFonts w:hint="eastAsia" w:ascii="宋体" w:hAnsi="宋体" w:cs="宋体"/>
                <w:color w:val="auto"/>
                <w:sz w:val="21"/>
                <w:szCs w:val="21"/>
                <w:highlight w:val="none"/>
              </w:rPr>
              <w:t xml:space="preserve">13</w:t>
            </w:r>
            <w:r/>
          </w:p>
        </w:tc>
        <w:tc>
          <w:tcPr>
            <w:tcW w:w="8272" w:type="dxa"/>
            <w:vAlign w:val="center"/>
            <w:textDirection w:val="lrTb"/>
            <w:noWrap w:val="false"/>
          </w:tcPr>
          <w:p>
            <w:pPr>
              <w:pStyle w:val="949"/>
              <w:contextualSpacing/>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投标文件属下列情况之一的，在资格性、符合性检查时按照无效投标处理：</w:t>
            </w:r>
            <w:r/>
          </w:p>
          <w:p>
            <w:pPr>
              <w:contextualSpacing/>
              <w:spacing w:line="400" w:lineRule="exact"/>
              <w:rPr>
                <w:rFonts w:cs="宋体"/>
                <w:color w:val="auto"/>
                <w:highlight w:val="none"/>
              </w:rPr>
            </w:pPr>
            <w:r>
              <w:rPr>
                <w:rFonts w:hint="eastAsia" w:cs="宋体"/>
                <w:color w:val="auto"/>
                <w:highlight w:val="none"/>
              </w:rPr>
              <w:t xml:space="preserve">（1）投标文件未按照招标文件要求签署、盖章的；</w:t>
            </w:r>
            <w:r/>
          </w:p>
          <w:p>
            <w:pPr>
              <w:contextualSpacing/>
              <w:spacing w:line="400" w:lineRule="exact"/>
              <w:rPr>
                <w:rFonts w:cs="宋体"/>
                <w:color w:val="auto"/>
                <w:highlight w:val="none"/>
              </w:rPr>
            </w:pPr>
            <w:r>
              <w:rPr>
                <w:rFonts w:hint="eastAsia" w:cs="宋体"/>
                <w:color w:val="auto"/>
                <w:highlight w:val="none"/>
              </w:rPr>
              <w:t xml:space="preserve">（2）不具备招标文件中规定资格要求的；</w:t>
            </w:r>
            <w:r/>
          </w:p>
          <w:p>
            <w:pPr>
              <w:contextualSpacing/>
              <w:spacing w:line="400" w:lineRule="exact"/>
              <w:rPr>
                <w:rFonts w:cs="宋体"/>
                <w:color w:val="auto"/>
                <w:highlight w:val="none"/>
              </w:rPr>
            </w:pPr>
            <w:r>
              <w:rPr>
                <w:rFonts w:hint="eastAsia" w:cs="宋体"/>
                <w:color w:val="auto"/>
                <w:highlight w:val="none"/>
              </w:rPr>
              <w:t xml:space="preserve">（3）报价超过招标文件中规定的预算金额或者最高限价的；</w:t>
            </w:r>
            <w:r/>
          </w:p>
          <w:p>
            <w:pPr>
              <w:contextualSpacing/>
              <w:spacing w:line="400" w:lineRule="exact"/>
              <w:rPr>
                <w:rFonts w:cs="宋体"/>
                <w:color w:val="auto"/>
                <w:highlight w:val="none"/>
              </w:rPr>
            </w:pPr>
            <w:r>
              <w:rPr>
                <w:rFonts w:hint="eastAsia" w:cs="宋体"/>
                <w:color w:val="auto"/>
                <w:highlight w:val="none"/>
              </w:rPr>
              <w:t xml:space="preserve">（4）投标文件含有采购人不能接受的附加条件的；</w:t>
            </w:r>
            <w:r/>
          </w:p>
          <w:p>
            <w:pPr>
              <w:contextualSpacing/>
              <w:spacing w:line="400" w:lineRule="exact"/>
              <w:rPr>
                <w:rFonts w:cs="宋体"/>
                <w:color w:val="auto"/>
                <w:highlight w:val="none"/>
              </w:rPr>
            </w:pPr>
            <w:r>
              <w:rPr>
                <w:rFonts w:hint="eastAsia" w:cs="宋体"/>
                <w:color w:val="auto"/>
                <w:highlight w:val="none"/>
              </w:rPr>
              <w:t xml:space="preserve">（5）不同投标人存在投标</w:t>
            </w:r>
            <w:r>
              <w:rPr>
                <w:rFonts w:hint="eastAsia" w:cs="宋体"/>
                <w:color w:val="auto"/>
                <w:highlight w:val="none"/>
                <w:lang w:eastAsia="zh-CN"/>
              </w:rPr>
              <w:t xml:space="preserve">（</w:t>
            </w:r>
            <w:r>
              <w:rPr>
                <w:rFonts w:hint="eastAsia" w:cs="宋体"/>
                <w:color w:val="auto"/>
                <w:highlight w:val="none"/>
              </w:rPr>
              <w:t xml:space="preserve">响应</w:t>
            </w:r>
            <w:r>
              <w:rPr>
                <w:rFonts w:hint="eastAsia" w:cs="宋体"/>
                <w:color w:val="auto"/>
                <w:highlight w:val="none"/>
                <w:lang w:eastAsia="zh-CN"/>
              </w:rPr>
              <w:t xml:space="preserve">）</w:t>
            </w:r>
            <w:r>
              <w:rPr>
                <w:rFonts w:hint="eastAsia" w:cs="宋体"/>
                <w:color w:val="auto"/>
                <w:highlight w:val="none"/>
              </w:rPr>
              <w:t xml:space="preserve">文件制作机器码一致的，视为无效响应；</w:t>
            </w:r>
            <w:r/>
          </w:p>
          <w:p>
            <w:pPr>
              <w:pStyle w:val="949"/>
              <w:contextualSpacing/>
              <w:ind w:firstLine="0"/>
              <w:rPr>
                <w:rFonts w:ascii="宋体" w:hAnsi="宋体" w:cs="宋体"/>
                <w:color w:val="auto"/>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和招标文件规定的其他无效情形。</w:t>
            </w:r>
            <w:r/>
          </w:p>
        </w:tc>
      </w:tr>
      <w:tr>
        <w:trPr>
          <w:jc w:val="center"/>
        </w:trPr>
        <w:tc>
          <w:tcPr>
            <w:tcW w:w="762" w:type="dxa"/>
            <w:vAlign w:val="center"/>
            <w:textDirection w:val="lrTb"/>
            <w:noWrap w:val="false"/>
          </w:tcPr>
          <w:p>
            <w:pPr>
              <w:contextualSpacing/>
              <w:jc w:val="center"/>
              <w:spacing w:line="400" w:lineRule="exact"/>
              <w:rPr>
                <w:rFonts w:ascii="宋体" w:hAnsi="宋体" w:cs="宋体"/>
                <w:color w:val="auto"/>
                <w:szCs w:val="21"/>
                <w:highlight w:val="none"/>
              </w:rPr>
            </w:pPr>
            <w:r>
              <w:rPr>
                <w:rFonts w:hint="eastAsia"/>
                <w:color w:val="auto"/>
                <w:highlight w:val="none"/>
              </w:rPr>
              <w:t xml:space="preserve">14</w:t>
            </w:r>
            <w:r/>
          </w:p>
        </w:tc>
        <w:tc>
          <w:tcPr>
            <w:tcW w:w="8272" w:type="dxa"/>
            <w:vAlign w:val="center"/>
            <w:textDirection w:val="lrTb"/>
            <w:noWrap w:val="false"/>
          </w:tcPr>
          <w:p>
            <w:pPr>
              <w:contextualSpacing/>
              <w:jc w:val="left"/>
              <w:spacing w:line="400" w:lineRule="exact"/>
              <w:tabs>
                <w:tab w:val="left" w:pos="420" w:leader="none"/>
              </w:tabs>
              <w:rPr>
                <w:color w:val="auto"/>
                <w:highlight w:val="none"/>
              </w:rPr>
            </w:pPr>
            <w:r>
              <w:rPr>
                <w:rFonts w:hint="eastAsia"/>
                <w:color w:val="auto"/>
                <w:highlight w:val="none"/>
              </w:rPr>
              <w:t xml:space="preserve">出现下列情形之一的，为废标： </w:t>
            </w:r>
            <w:r/>
          </w:p>
          <w:p>
            <w:pPr>
              <w:contextualSpacing/>
              <w:jc w:val="left"/>
              <w:spacing w:line="400" w:lineRule="exact"/>
              <w:tabs>
                <w:tab w:val="left" w:pos="420" w:leader="none"/>
              </w:tabs>
              <w:rPr>
                <w:color w:val="auto"/>
                <w:highlight w:val="none"/>
              </w:rPr>
            </w:pPr>
            <w:r>
              <w:rPr>
                <w:rFonts w:hint="eastAsia"/>
                <w:color w:val="auto"/>
                <w:highlight w:val="none"/>
              </w:rPr>
              <w:t xml:space="preserve">（1）符合专业条件的投标人或者对招标文件作实质响应的投标人不足三家的；</w:t>
            </w:r>
            <w:r/>
          </w:p>
          <w:p>
            <w:pPr>
              <w:contextualSpacing/>
              <w:jc w:val="left"/>
              <w:spacing w:line="400" w:lineRule="exact"/>
              <w:tabs>
                <w:tab w:val="left" w:pos="420" w:leader="none"/>
              </w:tabs>
              <w:rPr>
                <w:color w:val="auto"/>
                <w:highlight w:val="none"/>
              </w:rPr>
            </w:pPr>
            <w:r>
              <w:rPr>
                <w:rFonts w:hint="eastAsia"/>
                <w:color w:val="auto"/>
                <w:highlight w:val="none"/>
              </w:rPr>
              <w:t xml:space="preserve">（2）出现影响采购公正的违法、违规行为的； </w:t>
            </w:r>
            <w:r/>
          </w:p>
          <w:p>
            <w:pPr>
              <w:contextualSpacing/>
              <w:jc w:val="left"/>
              <w:spacing w:line="400" w:lineRule="exact"/>
              <w:tabs>
                <w:tab w:val="left" w:pos="420" w:leader="none"/>
              </w:tabs>
              <w:rPr>
                <w:color w:val="auto"/>
                <w:highlight w:val="none"/>
              </w:rPr>
            </w:pPr>
            <w:r>
              <w:rPr>
                <w:rFonts w:hint="eastAsia"/>
                <w:color w:val="auto"/>
                <w:highlight w:val="none"/>
              </w:rPr>
              <w:t xml:space="preserve">（3）投标人的报价均超过了采购预算，采购人不能支付的； </w:t>
            </w:r>
            <w:r/>
          </w:p>
          <w:p>
            <w:pPr>
              <w:contextualSpacing/>
              <w:jc w:val="left"/>
              <w:spacing w:line="400" w:lineRule="exact"/>
              <w:tabs>
                <w:tab w:val="left" w:pos="420" w:leader="none"/>
              </w:tabs>
              <w:rPr>
                <w:rFonts w:ascii="宋体" w:hAnsi="宋体" w:cs="宋体"/>
                <w:color w:val="auto"/>
                <w:szCs w:val="21"/>
                <w:highlight w:val="none"/>
              </w:rPr>
            </w:pPr>
            <w:r>
              <w:rPr>
                <w:rFonts w:hint="eastAsia"/>
                <w:color w:val="auto"/>
                <w:highlight w:val="none"/>
              </w:rPr>
              <w:t xml:space="preserve">（4）因重大变故，采购任务取消的。</w:t>
            </w:r>
            <w:r/>
          </w:p>
        </w:tc>
      </w:tr>
    </w:tbl>
    <w:p>
      <w:pPr>
        <w:rPr>
          <w:color w:val="auto"/>
          <w:highlight w:val="none"/>
        </w:rPr>
      </w:pPr>
      <w:r>
        <w:rPr>
          <w:color w:val="auto"/>
          <w:highlight w:val="none"/>
        </w:rPr>
        <w:br w:type="page" w:clear="all"/>
      </w:r>
      <w:r/>
    </w:p>
    <w:p>
      <w:pPr>
        <w:jc w:val="center"/>
        <w:spacing w:line="360" w:lineRule="auto"/>
        <w:rPr>
          <w:rFonts w:ascii="宋体" w:cs="宋体"/>
          <w:color w:val="auto"/>
          <w:sz w:val="32"/>
          <w:szCs w:val="32"/>
          <w:highlight w:val="none"/>
        </w:rPr>
      </w:pPr>
      <w:r>
        <w:rPr>
          <w:rFonts w:hint="eastAsia" w:ascii="宋体" w:cs="宋体"/>
          <w:color w:val="auto"/>
          <w:sz w:val="32"/>
          <w:szCs w:val="32"/>
          <w:highlight w:val="none"/>
        </w:rPr>
        <w:t xml:space="preserve">目录</w:t>
      </w:r>
      <w:r/>
    </w:p>
    <w:p>
      <w:pPr>
        <w:spacing w:line="360" w:lineRule="auto"/>
        <w:rPr>
          <w:rFonts w:ascii="宋体" w:cs="宋体"/>
          <w:color w:val="auto"/>
          <w:sz w:val="32"/>
          <w:szCs w:val="32"/>
          <w:highlight w:val="none"/>
        </w:rPr>
      </w:pPr>
      <w:r>
        <w:rPr>
          <w:rFonts w:ascii="宋体" w:cs="宋体"/>
          <w:color w:val="auto"/>
          <w:sz w:val="32"/>
          <w:szCs w:val="32"/>
          <w:highlight w:val="none"/>
        </w:rPr>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第一章 投标邀请函</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第二章 投标人须知</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第三章 投标文件格式</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第四章 采购需求</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第五章 合同主要条款</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第六章 评分方法和评分标准</w:t>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center"/>
        <w:spacing w:line="360" w:lineRule="auto"/>
        <w:widowControl/>
        <w:rPr>
          <w:rFonts w:ascii="宋体" w:cs="宋体"/>
          <w:color w:val="auto"/>
          <w:sz w:val="32"/>
          <w:szCs w:val="32"/>
          <w:highlight w:val="none"/>
        </w:rPr>
      </w:pPr>
      <w:r>
        <w:rPr>
          <w:rFonts w:hint="eastAsia" w:ascii="宋体" w:cs="宋体"/>
          <w:b/>
          <w:color w:val="auto"/>
          <w:sz w:val="32"/>
          <w:szCs w:val="32"/>
          <w:highlight w:val="none"/>
        </w:rPr>
        <w:t xml:space="preserve">第一章 投标邀请函</w:t>
      </w:r>
      <w:r/>
    </w:p>
    <w:tbl>
      <w:tblPr>
        <w:tblStyle w:val="7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6"/>
      </w:tblGrid>
      <w:tr>
        <w:trPr/>
        <w:tc>
          <w:tcPr>
            <w:tcW w:w="5000" w:type="pct"/>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项目概况</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购买不动产继承公证项目</w:t>
            </w:r>
            <w:r>
              <w:rPr>
                <w:rFonts w:hint="eastAsia" w:ascii="宋体" w:hAnsi="宋体" w:cs="宋体"/>
                <w:color w:val="auto"/>
                <w:szCs w:val="21"/>
                <w:highlight w:val="none"/>
                <w:u w:val="single"/>
              </w:rPr>
              <w:t xml:space="preserve">（项目编号：</w:t>
            </w:r>
            <w:r>
              <w:rPr>
                <w:rFonts w:hint="eastAsia" w:ascii="宋体" w:hAnsi="宋体" w:cs="宋体"/>
                <w:color w:val="auto"/>
                <w:szCs w:val="21"/>
                <w:highlight w:val="none"/>
                <w:u w:val="single"/>
                <w:lang w:eastAsia="zh-CN"/>
              </w:rPr>
              <w:t xml:space="preserve">JSZC-320506-SZJX-G2026-0050</w:t>
            </w:r>
            <w:r>
              <w:rPr>
                <w:rFonts w:hint="eastAsia" w:ascii="宋体" w:hAnsi="宋体" w:cs="宋体"/>
                <w:color w:val="auto"/>
                <w:szCs w:val="21"/>
                <w:highlight w:val="none"/>
                <w:u w:val="single"/>
              </w:rPr>
              <w:t xml:space="preserve">号）公开招标项目的潜在供应商应在江苏省政府采购一体化平台“苏采云”系统自行免费下载获取招标文件，并于2026年</w:t>
            </w:r>
            <w:r>
              <w:rPr>
                <w:rFonts w:hint="eastAsia" w:ascii="宋体" w:hAnsi="宋体" w:cs="宋体"/>
                <w:color w:val="auto"/>
                <w:szCs w:val="21"/>
                <w:highlight w:val="none"/>
                <w:u w:val="single"/>
                <w:lang w:val="en-US" w:eastAsia="zh-CN"/>
              </w:rPr>
              <w:t xml:space="preserve"> 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 14</w:t>
            </w:r>
            <w:r>
              <w:rPr>
                <w:rFonts w:hint="eastAsia" w:ascii="宋体" w:hAnsi="宋体" w:cs="宋体"/>
                <w:color w:val="auto"/>
                <w:szCs w:val="21"/>
                <w:highlight w:val="none"/>
                <w:u w:val="single"/>
              </w:rPr>
              <w:t xml:space="preserve">日13</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30 （北京时间）前递交投标文件。</w:t>
            </w:r>
            <w:r/>
          </w:p>
        </w:tc>
      </w:tr>
    </w:tbl>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JSZC-320506-SZJX-G2026-0050</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购买不动产继承公证项目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3.采购预算（大写）：人民币肆佰柒拾万元整（¥4700000.00）；</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4.最高限价：单价：</w:t>
      </w:r>
      <w:r>
        <w:rPr>
          <w:rFonts w:hint="eastAsia" w:ascii="宋体" w:hAnsi="宋体" w:cs="宋体"/>
          <w:color w:val="auto"/>
          <w:szCs w:val="21"/>
          <w:highlight w:val="none"/>
          <w:lang w:eastAsia="zh-CN"/>
        </w:rPr>
        <w:t xml:space="preserve">3685</w:t>
      </w:r>
      <w:r>
        <w:rPr>
          <w:rFonts w:hint="eastAsia" w:ascii="宋体" w:hAnsi="宋体" w:cs="宋体"/>
          <w:color w:val="auto"/>
          <w:szCs w:val="21"/>
          <w:highlight w:val="none"/>
        </w:rPr>
        <w:t xml:space="preserve">元/件 ，根据实际产生的公证件数结算。</w:t>
      </w:r>
      <w:r/>
    </w:p>
    <w:p>
      <w:pPr>
        <w:pStyle w:val="768"/>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5.采购需求：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负责接待苏州市不动产登记中心吴中分中心交办的继承公证咨询；负责办理苏州市不动产登记中心吴中分中心交办的继承公证；对符合公证程序的上述继承事项出具继承公证书等。</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考核要求：中标单位需要接受采购单位的日常业务考评，以保证达到服务标准。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6.合同期限：贰年（具体时间以采购人通知为准）。</w:t>
      </w:r>
      <w:r/>
    </w:p>
    <w:p>
      <w:pPr>
        <w:pStyle w:val="726"/>
        <w:ind w:left="0" w:firstLine="420"/>
        <w:spacing w:line="360" w:lineRule="auto"/>
        <w:rPr>
          <w:color w:val="auto"/>
          <w:highlight w:val="none"/>
        </w:rPr>
      </w:pPr>
      <w:r>
        <w:rPr>
          <w:rFonts w:hint="eastAsia" w:ascii="宋体" w:hAnsi="宋体" w:cs="宋体"/>
          <w:bCs/>
          <w:color w:val="auto"/>
          <w:highlight w:val="none"/>
        </w:rPr>
        <w:t xml:space="preserve">7.验收标准：按照招标文件及国家标准执行。</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落实政府采购政策需满足的资格要求：根据《政府采购促进中小企业发展管理办法》的相关规定，本项目非专门面向中小企业采购，所属行业为租赁和商务服务业。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本项目的特定资格要求：须持有公证机构执业证书。</w:t>
      </w:r>
      <w:r/>
    </w:p>
    <w:p>
      <w:pPr>
        <w:pStyle w:val="726"/>
        <w:ind w:left="0" w:firstLine="420"/>
        <w:spacing w:line="360" w:lineRule="auto"/>
        <w:rPr>
          <w:rFonts w:ascii="宋体" w:hAnsi="宋体" w:cs="宋体"/>
          <w:bCs/>
          <w:color w:val="auto"/>
          <w:highlight w:val="none"/>
        </w:rPr>
      </w:pPr>
      <w:r>
        <w:rPr>
          <w:rFonts w:hint="eastAsia" w:ascii="宋体" w:hAnsi="宋体" w:cs="宋体"/>
          <w:bCs/>
          <w:color w:val="auto"/>
          <w:highlight w:val="none"/>
          <w:lang w:eastAsia="zh-CN"/>
        </w:rPr>
        <w:t xml:space="preserve">4.</w:t>
      </w:r>
      <w:r>
        <w:rPr>
          <w:rFonts w:hint="eastAsia" w:ascii="宋体" w:hAnsi="宋体" w:cs="宋体"/>
          <w:bCs/>
          <w:color w:val="auto"/>
          <w:highlight w:val="none"/>
        </w:rPr>
        <w:t xml:space="preserve">联合体及转包、分包：本项目不接受联合体。不得转包、分包本项目。</w:t>
      </w:r>
      <w:r/>
    </w:p>
    <w:p>
      <w:pPr>
        <w:pStyle w:val="726"/>
        <w:ind w:left="0" w:firstLine="420"/>
        <w:spacing w:line="360" w:lineRule="auto"/>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注：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报名</w:t>
      </w:r>
      <w:r>
        <w:rPr>
          <w:rFonts w:hint="eastAsia" w:ascii="宋体" w:hAnsi="宋体" w:cs="宋体"/>
          <w:color w:val="auto"/>
          <w:szCs w:val="21"/>
          <w:highlight w:val="none"/>
        </w:rPr>
        <w:t xml:space="preserve">时间：自公告发布之日起5个工作日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2.地点：“苏采云”系统自行下载招标文件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（1）CA证书办理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（2）参与采购活动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的日期视同为依法获取招标（采购）文件的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注册咨询：0512-69820854；</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系统使用指导与咨询：联系电话：0512-69820854；智能客服：登录苏采云系统后，联系系统右下方智能客服图标进行咨询。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四、提交投标文件时间、地点：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提交投标文件截止时间：2026年 9月</w:t>
      </w:r>
      <w:r>
        <w:rPr>
          <w:rFonts w:hint="eastAsia" w:ascii="宋体" w:hAnsi="宋体" w:cs="宋体"/>
          <w:color w:val="auto"/>
          <w:szCs w:val="21"/>
          <w:highlight w:val="none"/>
          <w:lang w:eastAsia="zh-CN"/>
        </w:rPr>
        <w:t xml:space="preserve"> 14日13点30分</w:t>
      </w:r>
      <w:r>
        <w:rPr>
          <w:rFonts w:hint="eastAsia" w:ascii="宋体" w:hAnsi="宋体" w:cs="宋体"/>
          <w:color w:val="auto"/>
          <w:szCs w:val="21"/>
          <w:highlight w:val="none"/>
        </w:rPr>
        <w:t xml:space="preserve">（北京时间）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地点：“苏采云”系统。投标文件网上提交，不需要现场参加采购活动，无需提供纸质投标文件。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3.开标时间：2026</w:t>
      </w:r>
      <w:r>
        <w:rPr>
          <w:rFonts w:hint="eastAsia" w:ascii="宋体" w:hAnsi="宋体" w:cs="宋体"/>
          <w:color w:val="auto"/>
          <w:szCs w:val="21"/>
          <w:highlight w:val="none"/>
          <w:lang w:eastAsia="zh-CN"/>
        </w:rPr>
        <w:t xml:space="preserve">年9月 14日</w:t>
      </w:r>
      <w:r>
        <w:rPr>
          <w:rFonts w:hint="eastAsia" w:ascii="宋体" w:hAnsi="宋体" w:cs="宋体"/>
          <w:color w:val="auto"/>
          <w:szCs w:val="21"/>
          <w:highlight w:val="none"/>
        </w:rPr>
        <w:t xml:space="preserve"> 13点 30 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采用电子招投标形式，请投标人按照《苏采云系统供应商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线上参加开标（开启）会方式：投标人登录“苏采云”系统在平台首页点击“开标大厅”，进入江苏省政府采购一体化不见面开标（采购）大厅，在今日项目列表，点击项目，进入不见面开标系统。本项目为不见面开标项目，开标阶段投标人在【供应商解密】环节必须使用 CA证书解密电子投标文件，如在系统规定的解密时间（投标文件提交截止时间后30分钟）内未能完成解密的视为放弃投标。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请投标人确保电脑、系统及其他设备（视频输入输出设备等）无误，且开标直至项目结束始终保持系统在线状态。</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五、公告期限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 5 个工作日。</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本次采购的有关信息将在江苏省政府采购网、苏州市政府采购网、中国政府采购网上发布；有关该采购项目的澄清、修正及成交等信息亦在以上网站发布，敬请留意。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投标人在报名、下载、制作招标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如不同投标人使用同一台电脑制作的电子投标文件的，双方“文件制作机器码”一致的，则其投标文件将被认定为无效响应。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凡为采购项目提供整体设计、规范编制或者项目管理、监理、检测等服务的投标人，不得再参加本项目的采购活动。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七、对本次招标提出询问，请按以下方式联系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采购人信息：苏州市不动产登记中心吴中分中心</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联系人：宗蔚</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联系电话：0512-65682078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采购代理机构信息：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名称：苏州捷信招投标咨询有限公司。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地址：苏州市南园北路118号天和商务大厦6-206</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联系方式：0512-65200361</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项目联系人：汪业超、丁亚萍、张瑾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电话：0512-65200361</w:t>
      </w:r>
      <w:r/>
    </w:p>
    <w:p>
      <w:pPr>
        <w:rPr>
          <w:color w:val="auto"/>
          <w:highlight w:val="none"/>
        </w:rPr>
      </w:pPr>
      <w:r>
        <w:rPr>
          <w:color w:val="auto"/>
          <w:highlight w:val="none"/>
        </w:rPr>
        <w:br w:type="page" w:clear="all"/>
      </w:r>
      <w:r/>
    </w:p>
    <w:p>
      <w:pPr>
        <w:ind w:firstLine="482"/>
        <w:jc w:val="center"/>
        <w:spacing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第二章 投标人须知</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 xml:space="preserve">1.</w:t>
      </w:r>
      <w:r>
        <w:rPr>
          <w:rFonts w:hint="eastAsia" w:asciiTheme="minorEastAsia" w:hAnsiTheme="minorEastAsia" w:eastAsiaTheme="minorEastAsia" w:cstheme="minorEastAsia"/>
          <w:b/>
          <w:bCs/>
          <w:color w:val="auto"/>
          <w:szCs w:val="21"/>
          <w:highlight w:val="none"/>
        </w:rPr>
        <w:t xml:space="preserve">总则</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1.1投标人资格要求</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1.1.1详见第一章投标邀请函中“二、申请人的资格要求”。</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1.1.2投标人不得存在下列情形之一：</w:t>
      </w:r>
      <w:r/>
    </w:p>
    <w:p>
      <w:pPr>
        <w:numPr>
          <w:ilvl w:val="0"/>
          <w:numId w:val="4"/>
        </w:num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苏州市财政局《关于印发苏州市市级政府采购信用记录查询和使用工作试行办法的通知》（苏财购</w:t>
      </w:r>
      <w:r>
        <w:rPr>
          <w:rFonts w:hint="eastAsia" w:asciiTheme="minorEastAsia" w:hAnsiTheme="minorEastAsia" w:eastAsiaTheme="minorEastAsia" w:cstheme="minorEastAsia"/>
          <w:color w:val="auto"/>
          <w:szCs w:val="21"/>
          <w:highlight w:val="none"/>
          <w:lang w:eastAsia="zh-CN"/>
        </w:rPr>
        <w:t xml:space="preserve">〔2017〕11号</w:t>
      </w:r>
      <w:r>
        <w:rPr>
          <w:rFonts w:hint="eastAsia" w:asciiTheme="minorEastAsia" w:hAnsiTheme="minorEastAsia" w:eastAsiaTheme="minorEastAsia" w:cstheme="minorEastAsia"/>
          <w:color w:val="auto"/>
          <w:szCs w:val="21"/>
          <w:highlight w:val="none"/>
        </w:rPr>
        <w:t xml:space="preserve">）、《关于在政府采购活动中甄别较大数额罚款有关事项的通知》（苏财购〔2021〕32号）文件规定应拒绝的失信信息。</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（2）为采购项目提供整体设计、规范编制或者项目管理、监理、监测等服务的供应商，不得再参加该采购项目的其他采购活动；本项目的此类供应商是：无。</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tabs>
          <w:tab w:val="left" w:pos="851"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1.2 联合体、分包、转包</w:t>
      </w:r>
      <w:r/>
    </w:p>
    <w:p>
      <w:pPr>
        <w:ind w:firstLine="420"/>
        <w:spacing w:line="360" w:lineRule="auto"/>
        <w:tabs>
          <w:tab w:val="left" w:pos="851"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本项目不接受联合体；不允许分包或转包。</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1.3投标费用</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投标人应自行承担所有准备及参加投标的相关费用。</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1.4保密</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参与采购活动的各方应对招标文件和投标文件中的商业和技术等秘密保密，否则应承担相应的法律责任。</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1.5语言文字</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1.6计量单位</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除招标文件有特殊要求外，所有计量均采用中华人民共和国法定计量单位。</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1.7知识产权</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投标人应保证在本项目使用的任何产品（包括部分使用）时，不会产生因第三方提出侵犯其专利权、商标权或</w:t>
      </w:r>
      <w:r>
        <w:rPr>
          <w:rFonts w:hint="eastAsia" w:asciiTheme="minorEastAsia" w:hAnsiTheme="minorEastAsia" w:eastAsiaTheme="minorEastAsia" w:cstheme="minorEastAsia"/>
          <w:color w:val="auto"/>
          <w:szCs w:val="21"/>
          <w:highlight w:val="none"/>
          <w:lang w:eastAsia="zh-CN"/>
        </w:rPr>
        <w:t xml:space="preserve">其他</w:t>
      </w:r>
      <w:r>
        <w:rPr>
          <w:rFonts w:hint="eastAsia" w:asciiTheme="minorEastAsia" w:hAnsiTheme="minorEastAsia" w:eastAsiaTheme="minorEastAsia" w:cstheme="minorEastAsia"/>
          <w:color w:val="auto"/>
          <w:szCs w:val="21"/>
          <w:highlight w:val="none"/>
        </w:rPr>
        <w:t xml:space="preserve">知识产权而引起的法律和经济纠纷，如因专利权、商标权或</w:t>
      </w:r>
      <w:r>
        <w:rPr>
          <w:rFonts w:hint="eastAsia" w:asciiTheme="minorEastAsia" w:hAnsiTheme="minorEastAsia" w:eastAsiaTheme="minorEastAsia" w:cstheme="minorEastAsia"/>
          <w:color w:val="auto"/>
          <w:szCs w:val="21"/>
          <w:highlight w:val="none"/>
          <w:lang w:eastAsia="zh-CN"/>
        </w:rPr>
        <w:t xml:space="preserve">其他</w:t>
      </w:r>
      <w:r>
        <w:rPr>
          <w:rFonts w:hint="eastAsia" w:asciiTheme="minorEastAsia" w:hAnsiTheme="minorEastAsia" w:eastAsiaTheme="minorEastAsia" w:cstheme="minorEastAsia"/>
          <w:color w:val="auto"/>
          <w:szCs w:val="21"/>
          <w:highlight w:val="none"/>
        </w:rPr>
        <w:t xml:space="preserve">知识产权而引起法律和经济纠纷，由投标人承担所有相关责任。</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eastAsia="zh-CN"/>
        </w:rPr>
        <w:t xml:space="preserve">2.</w:t>
      </w:r>
      <w:r>
        <w:rPr>
          <w:rFonts w:hint="eastAsia" w:asciiTheme="minorEastAsia" w:hAnsiTheme="minorEastAsia" w:eastAsiaTheme="minorEastAsia" w:cstheme="minorEastAsia"/>
          <w:b/>
          <w:bCs/>
          <w:color w:val="auto"/>
          <w:szCs w:val="21"/>
          <w:highlight w:val="none"/>
        </w:rPr>
        <w:t xml:space="preserve">招标文件的说明</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2.1招标文件的获取见第一章投标邀请函。</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2.2招标文件的询问</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投标人在收到招标文件后，若有问题需要询问，</w:t>
      </w:r>
      <w:r>
        <w:rPr>
          <w:rFonts w:hint="eastAsia" w:asciiTheme="minorEastAsia" w:hAnsiTheme="minorEastAsia" w:eastAsiaTheme="minorEastAsia" w:cstheme="minorEastAsia"/>
          <w:color w:val="auto"/>
          <w:szCs w:val="21"/>
          <w:highlight w:val="none"/>
          <w:lang w:val="zh-CN"/>
        </w:rPr>
        <w:t xml:space="preserve">可在“</w:t>
      </w:r>
      <w:r>
        <w:rPr>
          <w:rFonts w:hint="eastAsia" w:asciiTheme="minorEastAsia" w:hAnsiTheme="minorEastAsia" w:eastAsiaTheme="minorEastAsia" w:cstheme="minorEastAsia"/>
          <w:color w:val="auto"/>
          <w:szCs w:val="21"/>
          <w:highlight w:val="none"/>
        </w:rPr>
        <w:t xml:space="preserve">苏采云</w:t>
      </w:r>
      <w:r>
        <w:rPr>
          <w:rFonts w:hint="eastAsia" w:asciiTheme="minorEastAsia" w:hAnsiTheme="minorEastAsia" w:eastAsiaTheme="minorEastAsia" w:cstheme="minorEastAsia"/>
          <w:color w:val="auto"/>
          <w:szCs w:val="21"/>
          <w:highlight w:val="none"/>
          <w:lang w:val="zh-CN"/>
        </w:rPr>
        <w:t xml:space="preserve">”网上交易系统中进行询问，询问信息不显示询问人的相关资料。代理机构通过网上交易系统收到询问后以网上答复的方式予以解答，询问人通过系统查阅。</w:t>
      </w:r>
      <w:r/>
    </w:p>
    <w:p>
      <w:pPr>
        <w:ind w:firstLine="420"/>
        <w:spacing w:line="360" w:lineRule="auto"/>
        <w:tabs>
          <w:tab w:val="left" w:pos="540" w:leader="none"/>
          <w:tab w:val="left" w:pos="600" w:leader="none"/>
          <w:tab w:val="left" w:pos="6987"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2.3招标文件的澄清或修改</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2.3.2为保证投标人有足够时间修正投标文件，或出于其他合理原因，采购人或采购代理机构可依法顺延投标截止时间和开标时间。</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2.3.3投标人应及时关注“苏州市政府采购网”发布的补充通知（包括更正公告），同时可以在“苏采云平台”中下载更正（补充）资料，如有遗漏（包括但不限于文件未下载或下载不完整），所造成的投标失败或损失由</w:t>
      </w:r>
      <w:r>
        <w:rPr>
          <w:rFonts w:hint="eastAsia" w:asciiTheme="minorEastAsia" w:hAnsiTheme="minorEastAsia" w:eastAsiaTheme="minorEastAsia" w:cstheme="minorEastAsia"/>
          <w:color w:val="auto"/>
          <w:szCs w:val="21"/>
          <w:highlight w:val="none"/>
          <w:lang w:eastAsia="zh-CN"/>
        </w:rPr>
        <w:t xml:space="preserve">投标人</w:t>
      </w:r>
      <w:r>
        <w:rPr>
          <w:rFonts w:hint="eastAsia" w:asciiTheme="minorEastAsia" w:hAnsiTheme="minorEastAsia" w:eastAsiaTheme="minorEastAsia" w:cstheme="minorEastAsia"/>
          <w:color w:val="auto"/>
          <w:szCs w:val="21"/>
          <w:highlight w:val="none"/>
        </w:rPr>
        <w:t xml:space="preserve">自行负责。</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2.3.4招标文件的澄清、修改、补充等内容均以江苏省政府采购网、苏州市政府采购网、中国政府采购网上发布的内容为准。</w:t>
      </w:r>
      <w:r/>
    </w:p>
    <w:p>
      <w:pPr>
        <w:numPr>
          <w:ilvl w:val="0"/>
          <w:numId w:val="5"/>
        </w:numPr>
        <w:ind w:left="0"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投标文件的说明</w:t>
      </w:r>
      <w:r>
        <w:rPr>
          <w:rFonts w:hint="eastAsia" w:asciiTheme="minorEastAsia" w:hAnsiTheme="minorEastAsia" w:eastAsiaTheme="minorEastAsia" w:cstheme="minorEastAsia"/>
          <w:b/>
          <w:bCs/>
          <w:color w:val="auto"/>
          <w:szCs w:val="21"/>
          <w:highlight w:val="none"/>
          <w:lang w:eastAsia="zh-CN"/>
        </w:rPr>
        <w:t xml:space="preserve">：投标人</w:t>
      </w:r>
      <w:r>
        <w:rPr>
          <w:rFonts w:hint="eastAsia" w:asciiTheme="minorEastAsia" w:hAnsiTheme="minorEastAsia" w:eastAsiaTheme="minorEastAsia" w:cstheme="minorEastAsia"/>
          <w:color w:val="auto"/>
          <w:szCs w:val="21"/>
          <w:highlight w:val="none"/>
        </w:rPr>
        <w:t xml:space="preserve">应详细阅读招标文件的全部内容</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不按招标文件的要求</w:t>
      </w:r>
      <w:r>
        <w:rPr>
          <w:rFonts w:hint="eastAsia" w:asciiTheme="minorEastAsia" w:hAnsiTheme="minorEastAsia" w:eastAsiaTheme="minorEastAsia" w:cstheme="minorEastAsia"/>
          <w:color w:val="auto"/>
          <w:szCs w:val="21"/>
          <w:highlight w:val="none"/>
          <w:lang w:eastAsia="zh-CN"/>
        </w:rPr>
        <w:t xml:space="preserve">提供</w:t>
      </w:r>
      <w:r>
        <w:rPr>
          <w:rFonts w:hint="eastAsia" w:asciiTheme="minorEastAsia" w:hAnsiTheme="minorEastAsia" w:eastAsiaTheme="minorEastAsia" w:cstheme="minorEastAsia"/>
          <w:color w:val="auto"/>
          <w:szCs w:val="21"/>
          <w:highlight w:val="none"/>
        </w:rPr>
        <w:t xml:space="preserve">投标文件和资料，其风险由投标人自行承担，并根据有关条款规定，可能导致投标无效。</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3.1投标保证金：无</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3.2投标文件的组成</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3.2.1封面</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3.2.2开标一览表（格式见第三章）</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3.2.3公开分项报价（如有，格式见第三章）</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3.2.4资格审查文件：</w:t>
      </w:r>
      <w:r/>
    </w:p>
    <w:p>
      <w:pPr>
        <w:ind w:firstLine="420"/>
        <w:spacing w:line="360" w:lineRule="auto"/>
        <w:tabs>
          <w:tab w:val="left" w:pos="540"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（1）具有独立承担民事责任的能力的材料扫描件：包括法人或者其他组织的营业执照等证明文件，自然人的身份证明；</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（2）具有良好的商业信誉和健全的财务会计制度的材料：包括但不限于法人提供2025年度审计报告或基本开户银行在本年度内出具的资信证明扫描件；</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（3）具有履行合同所必需的设备和专业技术能力的证明材料扫描件或承诺；</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4）具有依法缴纳税收和社会保障资金的良好记录（投标单位应提供提交投标文件截止时间前半年内至少一个月依法缴纳税收及缴纳社会保障资金的证明材料，如相关主管部门证明或银行代扣证明。投标单位如依法享受缓缴、免缴税收、社会保障资金的应提供相关主管部门出具的证明材料）；</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（5）参加政府采购活动前三年内，在经营活动中没有出现重大违法记录的书面声明函；</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（6）《中小企业声明函》或《残疾人福利性单位声明函》或由省级以上监狱管理局、戒毒管理局（含新疆生产建设兵团）出具的属于监狱企业的证明文件；（如有）</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（7）提供公证机构执业证书扫描件；</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3.2.5符合性审查文件</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3.2.5.1法定代表人身份证扫描件；</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3.2.5.2法定代表人授权委托书及授权委托人身份证扫描件（如有授权，格式见第三章）；</w:t>
      </w:r>
      <w:r/>
    </w:p>
    <w:p>
      <w:pPr>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3.2.5.3关于资格文件的声明函；</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3.2.5.4投标函（格式见第三章）；</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3.2.5.5投标人基本情况表（格式见第三章）；</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3.2.5.6服务、商务偏离表、投标保证承诺书（格式见第三章）；</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3.2.5.7作业人员配备一览表；</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3.2.6综合评审文件</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rPr>
        <w:t xml:space="preserve">见第六章</w:t>
      </w:r>
      <w:r>
        <w:rPr>
          <w:rFonts w:hint="eastAsia" w:asciiTheme="minorEastAsia" w:hAnsiTheme="minorEastAsia" w:eastAsiaTheme="minorEastAsia" w:cstheme="minorEastAsia"/>
          <w:b/>
          <w:bCs/>
          <w:color w:val="auto"/>
          <w:szCs w:val="21"/>
          <w:highlight w:val="none"/>
          <w:lang w:eastAsia="zh-CN"/>
        </w:rPr>
        <w:t xml:space="preserve">）</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3.2.6.1所需材料详见第六章评分标准。与本次采购相关的其他证明材料；</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3.2.6.2对属于《节能产品政府采购品目清单》政府强制采购产品的，需提供该产品有效期内的认证等相关证明材料</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本国产品声明函</w:t>
      </w:r>
      <w:r>
        <w:rPr>
          <w:rFonts w:hint="eastAsia" w:asciiTheme="minorEastAsia" w:hAnsiTheme="minorEastAsia" w:eastAsiaTheme="minorEastAsia" w:cstheme="minorEastAsia"/>
          <w:color w:val="auto"/>
          <w:szCs w:val="21"/>
          <w:highlight w:val="none"/>
        </w:rPr>
        <w:t xml:space="preserve">（如有）；</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3.2.6.3其他可以证明投标人资质、服务质量的证书、文件等相关资料。</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以上3.2.2-3.2.3项为投标人报价的依据，投标人必须提供并加盖公章，否则，投标文件将被认定为未实质性响应。</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以上3.2.4项为资格审查提供的资料，是作为对投标人资格审查、质疑身份认定的依据，投标人必须提供并加盖公章。否则，投标文件将被认定为不符合资格审查要求。</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以上3.2.5项为符合性审查提供的资料，投标人必须提供并加盖公章，否则，投标文件将被认定为未实质性响应。</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以上3.2.4-3.2.6项中不得出现投标总报价，否则视为非实质性响应招标文件要求。制作电子投标文件时需与投标文件制作软件目录一一对应，将相关资料上传至相应模块。</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供应商应保证上传</w:t>
      </w:r>
      <w:r>
        <w:rPr>
          <w:rFonts w:hint="eastAsia" w:asciiTheme="minorEastAsia" w:hAnsiTheme="minorEastAsia" w:eastAsiaTheme="minorEastAsia" w:cstheme="minorEastAsia"/>
          <w:b/>
          <w:bCs/>
          <w:color w:val="auto"/>
          <w:szCs w:val="21"/>
          <w:highlight w:val="none"/>
          <w:lang w:eastAsia="zh-CN"/>
        </w:rPr>
        <w:t xml:space="preserve">的</w:t>
      </w:r>
      <w:r>
        <w:rPr>
          <w:rFonts w:hint="eastAsia" w:asciiTheme="minorEastAsia" w:hAnsiTheme="minorEastAsia" w:eastAsiaTheme="minorEastAsia" w:cstheme="minorEastAsia"/>
          <w:b/>
          <w:bCs/>
          <w:color w:val="auto"/>
          <w:szCs w:val="21"/>
          <w:highlight w:val="none"/>
        </w:rPr>
        <w:t xml:space="preserve">投标文件完整、清晰可辨认</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rPr>
        <w:t xml:space="preserve">若因上传资料过小或模糊不清等无法辨认</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rPr>
        <w:t xml:space="preserve">都视为该资料未提供。</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如投标人投标文件中某些条款不满足招标文件提出的全部服务内容与要求，须在投标文件中逐条列出，未列出的视同满足。</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如不同供应商使用同一台电脑制作的电子投标文件的，双方“文件制作机器码”一致的，则其投标文件将被认定为无效投标。</w:t>
      </w:r>
      <w:r/>
    </w:p>
    <w:p>
      <w:pPr>
        <w:ind w:firstLine="420"/>
        <w:spacing w:line="360" w:lineRule="auto"/>
        <w:tabs>
          <w:tab w:val="left" w:pos="540" w:leader="none"/>
          <w:tab w:val="left" w:pos="600" w:leader="none"/>
        </w:tabs>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3.3投标报价：</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3.3.1投标报价应包括完成本招标项目全部内容的一切费用，除非合同条款中另有规定，投标人所报价格在合同实施期间不因市场变化因素而变动。</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3.3.2如果招标文件要求分标段投标的，则投标人可以根据自身经营许可范围，选择投标其中部分或者全部标段，但各标段应分别计算填写单价和总价。</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3.3.3投标人应对招标文件内所要采购的全部内容进行报价，只对其中部分内容报价的，投标无效。</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3.3.4 投标报价超过招标文件中规定的预算金额或者最高限价的，或者各标的物的单价超过该项预算单价的（针对招标文件标明预算单价的项目），其投标无效。</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3.3.5一项投标内容只允许一个报价，任何有选择性投标报价的，其投标无效。</w:t>
      </w:r>
      <w:r/>
    </w:p>
    <w:p>
      <w:pPr>
        <w:ind w:firstLine="420"/>
        <w:spacing w:line="360" w:lineRule="auto"/>
        <w:tabs>
          <w:tab w:val="left" w:pos="540"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3.3.6投标文件报价中的单价和总价全部采用人民币表示，除非另有规定。</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3.4电子投标（响应）文件的编制与提交</w:t>
      </w:r>
      <w:r/>
    </w:p>
    <w:p>
      <w:pPr>
        <w:pStyle w:val="926"/>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rPr>
        <w:t xml:space="preserve">3.4.1本项目采用电子招投标形式，请供应商按照《苏采云系统供应商操作手册》进行制作、上传电子投标文件。</w:t>
      </w:r>
      <w:r/>
    </w:p>
    <w:p>
      <w:pPr>
        <w:pStyle w:val="926"/>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rPr>
        <w:t xml:space="preserve">3.4.2制作电子投标文件时，应按照招标文件要求加盖投标人电子公章。</w:t>
      </w:r>
      <w:r/>
    </w:p>
    <w:p>
      <w:pPr>
        <w:pStyle w:val="926"/>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rPr>
        <w:t xml:space="preserve">3.4.3电子投标文件制作完成后请于投标文件网上提交截止时间前成功上传至“苏采云”系统，否则视为放弃参加该采购项目。</w:t>
      </w:r>
      <w:bookmarkStart w:id="0" w:name="_Toc31150"/>
      <w:r/>
      <w:bookmarkStart w:id="1" w:name="_Toc25608"/>
      <w:r>
        <w:rPr>
          <w:rFonts w:hint="eastAsia" w:asciiTheme="minorEastAsia" w:hAnsiTheme="minorEastAsia" w:eastAsiaTheme="minorEastAsia" w:cstheme="minorEastAsia"/>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0"/>
      <w:r/>
      <w:bookmarkEnd w:id="1"/>
      <w:r/>
      <w:r/>
    </w:p>
    <w:p>
      <w:pPr>
        <w:pStyle w:val="926"/>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rPr>
        <w:t xml:space="preserve">3.4.4</w:t>
      </w:r>
      <w:r>
        <w:rPr>
          <w:rFonts w:hint="eastAsia" w:asciiTheme="minorEastAsia" w:hAnsiTheme="minorEastAsia" w:eastAsiaTheme="minorEastAsia" w:cstheme="minorEastAsia"/>
          <w:color w:val="auto"/>
          <w:szCs w:val="21"/>
          <w:highlight w:val="none"/>
        </w:rPr>
        <w:t xml:space="preserve">投标人应当在投标截止时间前制作并上传电子投标文件。</w:t>
      </w:r>
      <w:r/>
    </w:p>
    <w:p>
      <w:pPr>
        <w:pStyle w:val="758"/>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3.4.5投标人通过“苏采云”系统不见面开标大厅在线参与开标活动。（具体操作详见《苏采云系统供应商操作手册》</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3.4.6</w:t>
      </w:r>
      <w:r>
        <w:rPr>
          <w:rFonts w:hint="eastAsia" w:asciiTheme="minorEastAsia" w:hAnsiTheme="minorEastAsia" w:eastAsiaTheme="minorEastAsia" w:cstheme="minorEastAsia"/>
          <w:color w:val="auto"/>
          <w:szCs w:val="21"/>
          <w:highlight w:val="none"/>
          <w:lang w:val="zh-CN"/>
        </w:rPr>
        <w:t xml:space="preserve">纸质</w:t>
      </w:r>
      <w:r>
        <w:rPr>
          <w:rFonts w:hint="eastAsia" w:asciiTheme="minorEastAsia" w:hAnsiTheme="minorEastAsia" w:eastAsiaTheme="minorEastAsia" w:cstheme="minorEastAsia"/>
          <w:color w:val="auto"/>
          <w:szCs w:val="21"/>
          <w:highlight w:val="none"/>
        </w:rPr>
        <w:t xml:space="preserve">投标</w:t>
      </w:r>
      <w:r>
        <w:rPr>
          <w:rFonts w:hint="eastAsia" w:asciiTheme="minorEastAsia" w:hAnsiTheme="minorEastAsia" w:eastAsiaTheme="minorEastAsia" w:cstheme="minorEastAsia"/>
          <w:color w:val="auto"/>
          <w:szCs w:val="21"/>
          <w:highlight w:val="none"/>
          <w:lang w:val="zh-CN"/>
        </w:rPr>
        <w:t xml:space="preserve">文件：</w:t>
      </w:r>
      <w:r>
        <w:rPr>
          <w:rFonts w:hint="eastAsia" w:asciiTheme="minorEastAsia" w:hAnsiTheme="minorEastAsia" w:eastAsiaTheme="minorEastAsia" w:cstheme="minorEastAsia"/>
          <w:color w:val="auto"/>
          <w:szCs w:val="21"/>
          <w:highlight w:val="none"/>
        </w:rPr>
        <w:t xml:space="preserve">中标后5个工作日内，中标单位向招标代理机构提供与电子投标文件内容一致的纸质投标文件四份。</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3.5</w:t>
      </w:r>
      <w:r>
        <w:rPr>
          <w:rFonts w:hint="eastAsia" w:asciiTheme="minorEastAsia" w:hAnsiTheme="minorEastAsia" w:eastAsiaTheme="minorEastAsia" w:cstheme="minorEastAsia"/>
          <w:b/>
          <w:color w:val="auto"/>
          <w:szCs w:val="21"/>
          <w:highlight w:val="none"/>
        </w:rPr>
        <w:t xml:space="preserve">投标文件的修改和撤回</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3.5.1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Theme="minorEastAsia" w:hAnsiTheme="minorEastAsia" w:eastAsiaTheme="minorEastAsia" w:cstheme="minorEastAsia"/>
          <w:color w:val="auto"/>
          <w:szCs w:val="21"/>
          <w:highlight w:val="none"/>
          <w:lang w:val="zh-CN"/>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3.5.2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Theme="minorEastAsia" w:hAnsiTheme="minorEastAsia" w:eastAsiaTheme="minorEastAsia" w:cstheme="minorEastAsia"/>
          <w:color w:val="auto"/>
          <w:szCs w:val="21"/>
          <w:highlight w:val="none"/>
          <w:lang w:val="zh-CN"/>
        </w:rPr>
        <w:t xml:space="preserve">。</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eastAsia="zh-CN"/>
        </w:rPr>
        <w:t xml:space="preserve">4.</w:t>
      </w:r>
      <w:r>
        <w:rPr>
          <w:rFonts w:hint="eastAsia" w:asciiTheme="minorEastAsia" w:hAnsiTheme="minorEastAsia" w:eastAsiaTheme="minorEastAsia" w:cstheme="minorEastAsia"/>
          <w:b/>
          <w:color w:val="auto"/>
          <w:szCs w:val="21"/>
          <w:highlight w:val="none"/>
        </w:rPr>
        <w:t xml:space="preserve">开标和评标</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4.1开标</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4.1.1至投标文件提交截止时间，递交投标文件的投标人不足三家的，不得开标。</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4.1.2</w:t>
      </w:r>
      <w:r>
        <w:rPr>
          <w:rFonts w:hint="eastAsia" w:asciiTheme="minorEastAsia" w:hAnsiTheme="minorEastAsia" w:eastAsiaTheme="minorEastAsia" w:cstheme="minorEastAsia"/>
          <w:color w:val="auto"/>
          <w:szCs w:val="21"/>
          <w:highlight w:val="none"/>
          <w:lang w:val="zh-CN"/>
        </w:rPr>
        <w:t xml:space="preserve">开标由采购代理机构</w:t>
      </w:r>
      <w:r>
        <w:rPr>
          <w:rFonts w:hint="eastAsia" w:asciiTheme="minorEastAsia" w:hAnsiTheme="minorEastAsia" w:eastAsiaTheme="minorEastAsia" w:cstheme="minorEastAsia"/>
          <w:color w:val="auto"/>
          <w:szCs w:val="21"/>
          <w:highlight w:val="none"/>
        </w:rPr>
        <w:t xml:space="preserve">在线</w:t>
      </w:r>
      <w:r>
        <w:rPr>
          <w:rFonts w:hint="eastAsia" w:asciiTheme="minorEastAsia" w:hAnsiTheme="minorEastAsia" w:eastAsiaTheme="minorEastAsia" w:cstheme="minorEastAsia"/>
          <w:color w:val="auto"/>
          <w:szCs w:val="21"/>
          <w:highlight w:val="none"/>
          <w:lang w:val="zh-CN"/>
        </w:rPr>
        <w:t xml:space="preserve">主持，邀请投标人</w:t>
      </w:r>
      <w:r>
        <w:rPr>
          <w:rFonts w:hint="eastAsia" w:asciiTheme="minorEastAsia" w:hAnsiTheme="minorEastAsia" w:eastAsiaTheme="minorEastAsia" w:cstheme="minorEastAsia"/>
          <w:color w:val="auto"/>
          <w:szCs w:val="21"/>
          <w:highlight w:val="none"/>
        </w:rPr>
        <w:t xml:space="preserve">在线</w:t>
      </w:r>
      <w:r>
        <w:rPr>
          <w:rFonts w:hint="eastAsia" w:asciiTheme="minorEastAsia" w:hAnsiTheme="minorEastAsia" w:eastAsiaTheme="minorEastAsia" w:cstheme="minorEastAsia"/>
          <w:color w:val="auto"/>
          <w:szCs w:val="21"/>
          <w:highlight w:val="none"/>
          <w:lang w:val="zh-CN"/>
        </w:rPr>
        <w:t xml:space="preserve">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4.1.3</w:t>
      </w:r>
      <w:r>
        <w:rPr>
          <w:rFonts w:hint="eastAsia" w:asciiTheme="minorEastAsia" w:hAnsiTheme="minorEastAsia" w:eastAsiaTheme="minorEastAsia" w:cstheme="minorEastAsia"/>
          <w:color w:val="auto"/>
          <w:szCs w:val="21"/>
          <w:highlight w:val="none"/>
          <w:lang w:val="zh-CN"/>
        </w:rPr>
        <w:t xml:space="preserve">开标时，由采购代理机构</w:t>
      </w:r>
      <w:r>
        <w:rPr>
          <w:rFonts w:hint="eastAsia" w:asciiTheme="minorEastAsia" w:hAnsiTheme="minorEastAsia" w:eastAsiaTheme="minorEastAsia" w:cstheme="minorEastAsia"/>
          <w:color w:val="auto"/>
          <w:szCs w:val="21"/>
          <w:highlight w:val="none"/>
        </w:rPr>
        <w:t xml:space="preserve">通过“苏采云”系统在线</w:t>
      </w:r>
      <w:r>
        <w:rPr>
          <w:rFonts w:hint="eastAsia" w:asciiTheme="minorEastAsia" w:hAnsiTheme="minorEastAsia" w:eastAsiaTheme="minorEastAsia" w:cstheme="minorEastAsia"/>
          <w:color w:val="auto"/>
          <w:szCs w:val="21"/>
          <w:highlight w:val="none"/>
          <w:lang w:val="zh-CN"/>
        </w:rPr>
        <w:t xml:space="preserve">宣布投标人名称、投标价格和招标文件规定的需要宣布的其他内容。</w:t>
      </w:r>
      <w:r>
        <w:rPr>
          <w:rFonts w:hint="eastAsia" w:asciiTheme="minorEastAsia" w:hAnsiTheme="minorEastAsia" w:eastAsiaTheme="minorEastAsia" w:cstheme="minorEastAsia"/>
          <w:color w:val="auto"/>
          <w:szCs w:val="21"/>
          <w:highlight w:val="none"/>
        </w:rPr>
        <w:t xml:space="preserve">投标人在不见面开标系统中确认投标价格，如</w:t>
      </w:r>
      <w:r>
        <w:rPr>
          <w:rFonts w:hint="eastAsia" w:asciiTheme="minorEastAsia" w:hAnsiTheme="minorEastAsia" w:eastAsiaTheme="minorEastAsia" w:cstheme="minorEastAsia"/>
          <w:color w:val="auto"/>
          <w:szCs w:val="21"/>
          <w:highlight w:val="none"/>
          <w:lang w:val="zh-CN"/>
        </w:rPr>
        <w:t xml:space="preserve">投标人未</w:t>
      </w:r>
      <w:r>
        <w:rPr>
          <w:rFonts w:hint="eastAsia" w:asciiTheme="minorEastAsia" w:hAnsiTheme="minorEastAsia" w:eastAsiaTheme="minorEastAsia" w:cstheme="minorEastAsia"/>
          <w:color w:val="auto"/>
          <w:szCs w:val="21"/>
          <w:highlight w:val="none"/>
        </w:rPr>
        <w:t xml:space="preserve">在线</w:t>
      </w:r>
      <w:r>
        <w:rPr>
          <w:rFonts w:hint="eastAsia" w:asciiTheme="minorEastAsia" w:hAnsiTheme="minorEastAsia" w:eastAsiaTheme="minorEastAsia" w:cstheme="minorEastAsia"/>
          <w:color w:val="auto"/>
          <w:szCs w:val="21"/>
          <w:highlight w:val="none"/>
          <w:lang w:val="zh-CN"/>
        </w:rPr>
        <w:t xml:space="preserve">参加开标</w:t>
      </w:r>
      <w:r>
        <w:rPr>
          <w:rFonts w:hint="eastAsia" w:asciiTheme="minorEastAsia" w:hAnsiTheme="minorEastAsia" w:eastAsiaTheme="minorEastAsia" w:cstheme="minorEastAsia"/>
          <w:color w:val="auto"/>
          <w:szCs w:val="21"/>
          <w:highlight w:val="none"/>
        </w:rPr>
        <w:t xml:space="preserve">或未在规定时间内确认价格</w:t>
      </w:r>
      <w:r>
        <w:rPr>
          <w:rFonts w:hint="eastAsia" w:asciiTheme="minorEastAsia" w:hAnsiTheme="minorEastAsia" w:eastAsiaTheme="minorEastAsia" w:cstheme="minorEastAsia"/>
          <w:color w:val="auto"/>
          <w:szCs w:val="21"/>
          <w:highlight w:val="none"/>
          <w:lang w:val="zh-CN"/>
        </w:rPr>
        <w:t xml:space="preserve">的，视同认可开标结果。</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4.2资格审查</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4.2.1开标结束后，采购人应当依法对投标人的资格进行审查，未通过资格审查的投标无效。</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4.2.2信用查询：根据苏州市财政局《关于印发苏州市市级政府采购信用记录查询和使用工作试行办法的通知》（苏财购</w:t>
      </w:r>
      <w:r>
        <w:rPr>
          <w:rFonts w:hint="eastAsia" w:asciiTheme="minorEastAsia" w:hAnsiTheme="minorEastAsia" w:eastAsiaTheme="minorEastAsia" w:cstheme="minorEastAsia"/>
          <w:color w:val="auto"/>
          <w:szCs w:val="21"/>
          <w:highlight w:val="none"/>
          <w:lang w:eastAsia="zh-CN"/>
        </w:rPr>
        <w:t xml:space="preserve">〔2017〕11号</w:t>
      </w:r>
      <w:r>
        <w:rPr>
          <w:rFonts w:hint="eastAsia" w:asciiTheme="minorEastAsia" w:hAnsiTheme="minorEastAsia" w:eastAsiaTheme="minorEastAsia" w:cstheme="minorEastAsia"/>
          <w:color w:val="auto"/>
          <w:szCs w:val="21"/>
          <w:highlight w:val="none"/>
        </w:rPr>
        <w:t xml:space="preserve">）文件的规定，采购人、采购代理机构对供应商进行信用查询。</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4.2.2.1查询时间：投标文件提交截止时间。</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4.2.2.2查询渠道：</w:t>
      </w:r>
      <w:r>
        <w:rPr>
          <w:rFonts w:hint="eastAsia" w:asciiTheme="minorEastAsia" w:hAnsiTheme="minorEastAsia" w:eastAsiaTheme="minorEastAsia" w:cstheme="minorEastAsia"/>
          <w:color w:val="auto"/>
          <w:szCs w:val="21"/>
          <w:highlight w:val="none"/>
          <w:lang w:val="zh-CN"/>
        </w:rPr>
        <w:t xml:space="preserve">在政府采购活动中通过“苏州政府采购交易管理平台”一键获取“信用中国”“信用江苏”及中国政府采购网上的信用信息。</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4.2.2.3查询证据留存方式：对存在失信信息的供应商，评审小组应填写《苏州市级政府采购供应商失信信息确认函》，</w:t>
      </w:r>
      <w:r>
        <w:rPr>
          <w:rFonts w:hint="eastAsia" w:asciiTheme="minorEastAsia" w:hAnsiTheme="minorEastAsia" w:eastAsiaTheme="minorEastAsia" w:cstheme="minorEastAsia"/>
          <w:color w:val="auto"/>
          <w:szCs w:val="21"/>
          <w:highlight w:val="none"/>
          <w:lang w:eastAsia="zh-CN"/>
        </w:rPr>
        <w:t xml:space="preserve">失信供应商</w:t>
      </w:r>
      <w:r>
        <w:rPr>
          <w:rFonts w:hint="eastAsia" w:asciiTheme="minorEastAsia" w:hAnsiTheme="minorEastAsia" w:eastAsiaTheme="minorEastAsia" w:cstheme="minorEastAsia"/>
          <w:color w:val="auto"/>
          <w:szCs w:val="21"/>
          <w:highlight w:val="none"/>
        </w:rPr>
        <w:t xml:space="preserve">签名确认。同时，采购代理机构工作人员应根据评审小组确认的失信信息，</w:t>
      </w:r>
      <w:r>
        <w:rPr>
          <w:rFonts w:hint="eastAsia" w:asciiTheme="minorEastAsia" w:hAnsiTheme="minorEastAsia" w:eastAsiaTheme="minorEastAsia" w:cstheme="minorEastAsia"/>
          <w:color w:val="auto"/>
          <w:szCs w:val="21"/>
          <w:highlight w:val="none"/>
          <w:lang w:eastAsia="zh-CN"/>
        </w:rPr>
        <w:t xml:space="preserve">登录到</w:t>
      </w:r>
      <w:r>
        <w:rPr>
          <w:rFonts w:hint="eastAsia" w:asciiTheme="minorEastAsia" w:hAnsiTheme="minorEastAsia" w:eastAsiaTheme="minorEastAsia" w:cstheme="minorEastAsia"/>
          <w:color w:val="auto"/>
          <w:szCs w:val="21"/>
          <w:highlight w:val="none"/>
        </w:rPr>
        <w:t xml:space="preserve">来源网站页面进行复核并打印，作为证据留存。</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4.2.2.4信用记录使用规则：评审小组在对供应商进行资格性审查时，应根据查询结果对供应商的不良信用记录逐项甄别确认。按照《中华人民共和国政府采购法》第二十二条规定，信用记录属于应依法拒绝供应商参加政府采购的失信信息，存在此类失信信息的投标人的投标无效。</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4.3评标委员会</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4.3.1采购人或采购代理机构负责组织评标工作，评标委员会由采购人代表和评审专家组成，负责具体评标事务，并独立履行职责。</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4.3.2评审专家与参加采购活动的供应商存在下列利害关系之一的，应当回避：</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（一）</w:t>
      </w:r>
      <w:r>
        <w:rPr>
          <w:rFonts w:hint="eastAsia" w:asciiTheme="minorEastAsia" w:hAnsiTheme="minorEastAsia" w:eastAsiaTheme="minorEastAsia" w:cstheme="minorEastAsia"/>
          <w:color w:val="auto"/>
          <w:szCs w:val="21"/>
          <w:highlight w:val="none"/>
        </w:rPr>
        <w:t xml:space="preserve">参加采购活动前三年内，与供应商存在劳动关系，或者担任过供应商的董事、监事，或者是供应商的控股股东或实际控制人；</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（二）</w:t>
      </w:r>
      <w:r>
        <w:rPr>
          <w:rFonts w:hint="eastAsia" w:asciiTheme="minorEastAsia" w:hAnsiTheme="minorEastAsia" w:eastAsiaTheme="minorEastAsia" w:cstheme="minorEastAsia"/>
          <w:color w:val="auto"/>
          <w:szCs w:val="21"/>
          <w:highlight w:val="none"/>
        </w:rPr>
        <w:t xml:space="preserve">与供应商的法定代表人或者负责人有夫妻、直系血亲、三代以内旁系血亲或者近姻亲关系；</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（三）</w:t>
      </w:r>
      <w:r>
        <w:rPr>
          <w:rFonts w:hint="eastAsia" w:asciiTheme="minorEastAsia" w:hAnsiTheme="minorEastAsia" w:eastAsiaTheme="minorEastAsia" w:cstheme="minorEastAsia"/>
          <w:color w:val="auto"/>
          <w:szCs w:val="21"/>
          <w:highlight w:val="none"/>
        </w:rPr>
        <w:t xml:space="preserve">与供应商有其他可能影响政府采购活动公平、公正进行的关系。</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4.3.4评标委员会成员应当按照客观、公正、审慎的原则，根据采购文件规定的评审程序、评审方法和评审标准进行独立评审。</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4.4评标</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4.4.1符合性审查</w:t>
      </w:r>
      <w:r/>
    </w:p>
    <w:p>
      <w:pPr>
        <w:ind w:firstLine="420"/>
        <w:spacing w:line="360" w:lineRule="auto"/>
        <w:tabs>
          <w:tab w:val="left" w:pos="54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评标委员会应当对符合资格的投标人的投标文件进行符合性审查，以确定其是否满足招标文件的实质性要求。</w:t>
      </w:r>
      <w:r>
        <w:rPr>
          <w:rFonts w:hint="eastAsia" w:asciiTheme="minorEastAsia" w:hAnsiTheme="minorEastAsia" w:eastAsiaTheme="minorEastAsia" w:cstheme="minorEastAsia"/>
          <w:bCs/>
          <w:color w:val="auto"/>
          <w:szCs w:val="21"/>
          <w:highlight w:val="none"/>
        </w:rPr>
        <w:t xml:space="preserve">未满足本项目实质性要求的认定为无效投标。</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4.4.2投标文件的比较和评价</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4.4.2.1评标委员会应当按照招标文件中规定的评标方法和标准，对符合性审查合格的投标文件进行商务和技术评估，综合比较与评价。</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4.4.2.2本项目采用综合评分法，即指投标文件满足招标文件全部实质性要求，且按照评审因素的量化指标评审得分最高的投标人为中标候选人的评标方法。评标办法和标准见第六章。</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4.4.2.3价格修正</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投标文件报价出现前后不一致的，除招标文件另有规定外，按下列规定修正：</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（一）投标文件中开标一览表（报价表）内容与投标文件中相应内容不一致的，以开标一览表（报价表）为准；</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（二）大写金额和小写金额不一致的，以大写金额为准；</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（三）单价金额小数点或者百分比有明显错位的，以开标一览表的总价为准，并修改单价；</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（四）总价金额与按单价汇总金额不一致的，以单价金额计算结果为准。</w:t>
      </w:r>
      <w:r/>
    </w:p>
    <w:p>
      <w:pPr>
        <w:ind w:firstLine="420"/>
        <w:spacing w:line="360" w:lineRule="auto"/>
        <w:tabs>
          <w:tab w:val="left" w:pos="54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同时出现两种以上不一致的，按照前款规定的顺序修正。</w:t>
      </w:r>
      <w:r/>
    </w:p>
    <w:p>
      <w:pPr>
        <w:ind w:firstLine="420"/>
        <w:spacing w:line="360" w:lineRule="auto"/>
        <w:tabs>
          <w:tab w:val="left" w:pos="540" w:leader="none"/>
        </w:tabs>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修正后的报价按照《中华人民共和国财政部令第87号》第五十一条第二款的规定经投标人确认后产生约束力，投标人不确认的，其投标无效。</w:t>
      </w:r>
      <w:r/>
    </w:p>
    <w:p>
      <w:pPr>
        <w:ind w:firstLine="420"/>
        <w:spacing w:line="360" w:lineRule="auto"/>
        <w:tabs>
          <w:tab w:val="left" w:pos="142" w:leader="none"/>
          <w:tab w:val="left" w:pos="600" w:leader="none"/>
        </w:tabs>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4.4.2.4评标委员会成员对需要共同认定的事项存在争议的，应当按照少数服从多数的原则作出结论。持不同意见的评标委员会成员应当在评标报告上签署不同意见及理由，否则视为同意评标报告。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4.4.3投标的澄清</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4.4.3.2本项目投标人的澄清、说明或者补正采用线上澄清</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Theme="minorEastAsia" w:hAnsiTheme="minorEastAsia" w:eastAsiaTheme="minorEastAsia" w:cstheme="minorEastAsia"/>
          <w:color w:val="auto"/>
          <w:szCs w:val="21"/>
          <w:highlight w:val="none"/>
          <w:lang w:eastAsia="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eastAsia="zh-CN"/>
        </w:rPr>
        <w:t xml:space="preserve">5.</w:t>
      </w:r>
      <w:r>
        <w:rPr>
          <w:rFonts w:hint="eastAsia" w:asciiTheme="minorEastAsia" w:hAnsiTheme="minorEastAsia" w:eastAsiaTheme="minorEastAsia" w:cstheme="minorEastAsia"/>
          <w:b/>
          <w:color w:val="auto"/>
          <w:szCs w:val="21"/>
          <w:highlight w:val="none"/>
        </w:rPr>
        <w:t xml:space="preserve">废标</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5.1出现下列情形之一的，应予废标：</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（一）符合专业条件的供应商或者对招标文件作实质响应的供应商不足三家的；</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（二）出现影响采购公正的违法、违规行为的；</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（三）投标人的报价均超过了采购预算，采购人不能支付的；</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（四）因重大变故，采购任务取消的。</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5.2废标后，采购人应当将废标理由通知所有投标人。</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5.3公开招标数额标准以上的采购项目，投标截止后投标人不足3家或者通过资格审查或符合性审查的投标人不足3家的，除采购任务取消情形外，按照以下方式处理：</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（一）招标文件存在不合理条款或者</w:t>
      </w:r>
      <w:r>
        <w:rPr>
          <w:color w:val="auto"/>
          <w:highlight w:val="none"/>
        </w:rPr>
        <w:fldChar w:fldCharType="begin"/>
      </w:r>
      <w:r>
        <w:rPr>
          <w:color w:val="auto"/>
          <w:highlight w:val="none"/>
        </w:rPr>
        <w:instrText xml:space="preserve"> HYPERLINK "https://baike.baidu.com/item/%E6%8B%9B%E6%A0%87%E7%A8%8B%E5%BA%8F/12672391?fromModule=lemma_inlink" \t "/Users/carlosyc/Documentsx/_blank" </w:instrText>
      </w:r>
      <w:r>
        <w:rPr>
          <w:color w:val="auto"/>
          <w:highlight w:val="none"/>
        </w:rPr>
        <w:fldChar w:fldCharType="separate"/>
      </w:r>
      <w:r>
        <w:rPr>
          <w:rFonts w:hint="eastAsia" w:asciiTheme="minorEastAsia" w:hAnsiTheme="minorEastAsia" w:eastAsiaTheme="minorEastAsia" w:cstheme="minorEastAsia"/>
          <w:color w:val="auto"/>
          <w:szCs w:val="21"/>
          <w:highlight w:val="none"/>
        </w:rPr>
        <w:t xml:space="preserve">招标程序</w:t>
      </w:r>
      <w:r>
        <w:rPr>
          <w:rFonts w:hint="eastAsia" w:asciiTheme="minorEastAsia" w:hAnsiTheme="minorEastAsia" w:eastAsiaTheme="minorEastAsia" w:cstheme="minorEastAsia"/>
          <w:color w:val="auto"/>
          <w:szCs w:val="21"/>
          <w:highlight w:val="none"/>
        </w:rPr>
        <w:fldChar w:fldCharType="end"/>
      </w:r>
      <w:r>
        <w:rPr>
          <w:rFonts w:hint="eastAsia" w:asciiTheme="minorEastAsia" w:hAnsiTheme="minorEastAsia" w:eastAsiaTheme="minorEastAsia" w:cstheme="minorEastAsia"/>
          <w:color w:val="auto"/>
          <w:szCs w:val="21"/>
          <w:highlight w:val="none"/>
        </w:rPr>
        <w:t xml:space="preserve">不符合规定的，采购人、采购代理机构改正后依法重新招标；</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（二）招标文件没有不合理条款、招标程序符合规定，需要采用其他采购方式采购的，采购人应当依法报财政部门批准。</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eastAsia="zh-CN"/>
        </w:rPr>
        <w:t xml:space="preserve">6.</w:t>
      </w:r>
      <w:r>
        <w:rPr>
          <w:rFonts w:hint="eastAsia" w:asciiTheme="minorEastAsia" w:hAnsiTheme="minorEastAsia" w:eastAsiaTheme="minorEastAsia" w:cstheme="minorEastAsia"/>
          <w:b/>
          <w:color w:val="auto"/>
          <w:szCs w:val="21"/>
          <w:highlight w:val="none"/>
        </w:rPr>
        <w:t xml:space="preserve">中标</w:t>
      </w:r>
      <w:r/>
    </w:p>
    <w:p>
      <w:pPr>
        <w:pStyle w:val="927"/>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6.1本项目评标方法采用综合评分法，即指投标文件满足招标文件全部实质性要求，且按照评审因素的量化指标评审得分最高的投标人为中标候选人的评标方法。</w:t>
      </w:r>
      <w:r/>
    </w:p>
    <w:p>
      <w:pPr>
        <w:pStyle w:val="927"/>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6.2评标结果按评审后得分由高到低顺序排列。得分相同的，按投标报价由低到高顺序排列。得分且投标报价相同的，则由评标委员会组织抽签确定中标候选人顺序。</w:t>
      </w:r>
      <w:r/>
    </w:p>
    <w:p>
      <w:pPr>
        <w:pStyle w:val="927"/>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6.3评标委员会在确定的中标候选人名单中按顺序确定中标单位，中标候选人并列的，按照招标文件规定的方式确定中标单位。</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6.4</w:t>
      </w:r>
      <w:r>
        <w:rPr>
          <w:rFonts w:hint="eastAsia" w:asciiTheme="minorEastAsia" w:hAnsiTheme="minorEastAsia" w:eastAsiaTheme="minorEastAsia" w:cstheme="minorEastAsia"/>
          <w:color w:val="auto"/>
          <w:szCs w:val="21"/>
          <w:highlight w:val="none"/>
          <w:lang w:eastAsia="zh-CN"/>
        </w:rPr>
        <w:t xml:space="preserve">确定</w:t>
      </w:r>
      <w:r>
        <w:rPr>
          <w:rFonts w:hint="eastAsia" w:asciiTheme="minorEastAsia" w:hAnsiTheme="minorEastAsia" w:eastAsiaTheme="minorEastAsia" w:cstheme="minorEastAsia"/>
          <w:color w:val="auto"/>
          <w:szCs w:val="21"/>
          <w:highlight w:val="none"/>
        </w:rPr>
        <w:t xml:space="preserve">中标人后，采购代理机构在法定时间内向中标人发出中标通知书。</w:t>
      </w:r>
      <w:r>
        <w:rPr>
          <w:rFonts w:hint="eastAsia" w:asciiTheme="minorEastAsia" w:hAnsiTheme="minorEastAsia" w:eastAsiaTheme="minorEastAsia" w:cstheme="minorEastAsia"/>
          <w:b/>
          <w:color w:val="auto"/>
          <w:szCs w:val="21"/>
          <w:highlight w:val="none"/>
        </w:rPr>
        <w:t xml:space="preserve">请中标人在中标结果公告届满之日起30日内</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b/>
          <w:color w:val="auto"/>
          <w:szCs w:val="21"/>
          <w:highlight w:val="none"/>
        </w:rPr>
        <w:t xml:space="preserve">使用CA证书登录“苏采云”系统及时下载中标通知书。</w:t>
      </w:r>
      <w:r>
        <w:rPr>
          <w:rFonts w:hint="eastAsia" w:asciiTheme="minorEastAsia" w:hAnsiTheme="minorEastAsia" w:eastAsiaTheme="minorEastAsia" w:cstheme="minorEastAsia"/>
          <w:color w:val="auto"/>
          <w:szCs w:val="21"/>
          <w:highlight w:val="none"/>
        </w:rPr>
        <w:t xml:space="preserve">因系统存储空间有限，自中标结果公告届满之日起30日后，“苏采云”系统不再保证提供下载中标通知书服务</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因未及时下载而造成的不利后果由中标人自行承担。</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6.5中标通知书将成为合同的组成部分，对采购人和中标人具有同等法律效力。</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6.6中标通知书发出后，采购人不得违法改变中标结果，中标人无正当理由不得放弃中标。</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eastAsia="zh-CN"/>
        </w:rPr>
        <w:t xml:space="preserve">7.</w:t>
      </w:r>
      <w:r>
        <w:rPr>
          <w:rFonts w:hint="eastAsia" w:asciiTheme="minorEastAsia" w:hAnsiTheme="minorEastAsia" w:eastAsiaTheme="minorEastAsia" w:cstheme="minorEastAsia"/>
          <w:b/>
          <w:color w:val="auto"/>
          <w:szCs w:val="21"/>
          <w:highlight w:val="none"/>
        </w:rPr>
        <w:t xml:space="preserve">履约保证金：无。</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eastAsia="zh-CN"/>
        </w:rPr>
        <w:t xml:space="preserve">8.</w:t>
      </w:r>
      <w:r>
        <w:rPr>
          <w:rFonts w:hint="eastAsia" w:asciiTheme="minorEastAsia" w:hAnsiTheme="minorEastAsia" w:eastAsiaTheme="minorEastAsia" w:cstheme="minorEastAsia"/>
          <w:b/>
          <w:color w:val="auto"/>
          <w:szCs w:val="21"/>
          <w:highlight w:val="none"/>
        </w:rPr>
        <w:t xml:space="preserve">合同的签订</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8.1中标单位应按中标通知书中规定的时间和地点，由法定代表人或委托代理人与甲方代表签订合同</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否则按放弃中标权处理。</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8.3 采购人不得向中标供应商提出任何不合理的要求作为签订合同的条件，不得与中标供应商私下订立背离合同实质性内容的协议。</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8.5中标供应商无正当理由不得放弃中标。</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tabs>
          <w:tab w:val="left" w:pos="142" w:leader="none"/>
          <w:tab w:val="left" w:pos="6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eastAsia="zh-CN"/>
        </w:rPr>
        <w:t xml:space="preserve">9.</w:t>
      </w:r>
      <w:r>
        <w:rPr>
          <w:rFonts w:hint="eastAsia" w:asciiTheme="minorEastAsia" w:hAnsiTheme="minorEastAsia" w:eastAsiaTheme="minorEastAsia" w:cstheme="minorEastAsia"/>
          <w:b/>
          <w:color w:val="auto"/>
          <w:szCs w:val="21"/>
          <w:highlight w:val="none"/>
        </w:rPr>
        <w:t xml:space="preserve">质疑</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9.1质疑及答复遵守《政府采购质疑和投诉办法》（中华人民共和国财政部令第94号）规定。</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9.3本项目投标人应当在法定质疑期内一次性提出针对同一采购程序环节的质疑。</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9.3.1</w:t>
      </w:r>
      <w:r>
        <w:rPr>
          <w:rFonts w:hint="eastAsia" w:asciiTheme="minorEastAsia" w:hAnsiTheme="minorEastAsia" w:eastAsiaTheme="minorEastAsia" w:cstheme="minorEastAsia"/>
          <w:color w:val="auto"/>
          <w:szCs w:val="21"/>
          <w:highlight w:val="none"/>
          <w:lang w:eastAsia="zh-CN"/>
        </w:rPr>
        <w:t xml:space="preserve">接收</w:t>
      </w:r>
      <w:r>
        <w:rPr>
          <w:rFonts w:hint="eastAsia" w:asciiTheme="minorEastAsia" w:hAnsiTheme="minorEastAsia" w:eastAsiaTheme="minorEastAsia" w:cstheme="minorEastAsia"/>
          <w:color w:val="auto"/>
          <w:szCs w:val="21"/>
          <w:highlight w:val="none"/>
          <w:lang w:val="zh-CN"/>
        </w:rPr>
        <w:t xml:space="preserve">质疑函的方式：当场送达或邮寄方式。</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9.3.2</w:t>
      </w:r>
      <w:r>
        <w:rPr>
          <w:rFonts w:hint="eastAsia" w:asciiTheme="minorEastAsia" w:hAnsiTheme="minorEastAsia" w:eastAsiaTheme="minorEastAsia" w:cstheme="minorEastAsia"/>
          <w:color w:val="auto"/>
          <w:szCs w:val="21"/>
          <w:highlight w:val="none"/>
          <w:lang w:val="zh-CN"/>
        </w:rPr>
        <w:t xml:space="preserve">联系单位：</w:t>
      </w:r>
      <w:r>
        <w:rPr>
          <w:rFonts w:hint="eastAsia" w:asciiTheme="minorEastAsia" w:hAnsiTheme="minorEastAsia" w:eastAsiaTheme="minorEastAsia" w:cstheme="minorEastAsia"/>
          <w:color w:val="auto"/>
          <w:szCs w:val="21"/>
          <w:highlight w:val="none"/>
        </w:rPr>
        <w:t xml:space="preserve">苏州捷信招投标咨询有限公司</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9.3.3</w:t>
      </w:r>
      <w:r>
        <w:rPr>
          <w:rFonts w:hint="eastAsia" w:asciiTheme="minorEastAsia" w:hAnsiTheme="minorEastAsia" w:eastAsiaTheme="minorEastAsia" w:cstheme="minorEastAsia"/>
          <w:color w:val="auto"/>
          <w:szCs w:val="21"/>
          <w:highlight w:val="none"/>
          <w:lang w:val="zh-CN"/>
        </w:rPr>
        <w:t xml:space="preserve">收件人：</w:t>
      </w:r>
      <w:r>
        <w:rPr>
          <w:rFonts w:hint="eastAsia" w:asciiTheme="minorEastAsia" w:hAnsiTheme="minorEastAsia" w:eastAsiaTheme="minorEastAsia" w:cstheme="minorEastAsia"/>
          <w:color w:val="auto"/>
          <w:szCs w:val="21"/>
          <w:highlight w:val="none"/>
        </w:rPr>
        <w:t xml:space="preserve">王慧</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9.3.4</w:t>
      </w:r>
      <w:r>
        <w:rPr>
          <w:rFonts w:hint="eastAsia" w:asciiTheme="minorEastAsia" w:hAnsiTheme="minorEastAsia" w:eastAsiaTheme="minorEastAsia" w:cstheme="minorEastAsia"/>
          <w:color w:val="auto"/>
          <w:szCs w:val="21"/>
          <w:highlight w:val="none"/>
          <w:lang w:val="zh-CN"/>
        </w:rPr>
        <w:t xml:space="preserve">联系电话：</w:t>
      </w:r>
      <w:r>
        <w:rPr>
          <w:rFonts w:hint="eastAsia" w:asciiTheme="minorEastAsia" w:hAnsiTheme="minorEastAsia" w:eastAsiaTheme="minorEastAsia" w:cstheme="minorEastAsia"/>
          <w:color w:val="auto"/>
          <w:szCs w:val="21"/>
          <w:highlight w:val="none"/>
        </w:rPr>
        <w:t xml:space="preserve">0512-65200361</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9.3.5</w:t>
      </w:r>
      <w:r>
        <w:rPr>
          <w:rFonts w:hint="eastAsia" w:asciiTheme="minorEastAsia" w:hAnsiTheme="minorEastAsia" w:eastAsiaTheme="minorEastAsia" w:cstheme="minorEastAsia"/>
          <w:color w:val="auto"/>
          <w:szCs w:val="21"/>
          <w:highlight w:val="none"/>
          <w:lang w:val="zh-CN"/>
        </w:rPr>
        <w:t xml:space="preserve">通讯地址：</w:t>
      </w:r>
      <w:r>
        <w:rPr>
          <w:rFonts w:hint="eastAsia" w:asciiTheme="minorEastAsia" w:hAnsiTheme="minorEastAsia" w:eastAsiaTheme="minorEastAsia" w:cstheme="minorEastAsia"/>
          <w:color w:val="auto"/>
          <w:szCs w:val="21"/>
          <w:highlight w:val="none"/>
        </w:rPr>
        <w:t xml:space="preserve">苏州市南园北路118号天和商务大厦6-206</w:t>
      </w:r>
      <w:r/>
    </w:p>
    <w:p>
      <w:pPr>
        <w:ind w:firstLine="420"/>
        <w:spacing w:line="360" w:lineRule="auto"/>
        <w:tabs>
          <w:tab w:val="left" w:pos="142" w:leader="none"/>
          <w:tab w:val="left" w:pos="600" w:leader="none"/>
        </w:tabs>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9.4未依照招标公告要求获取招标文件的供应商，视为未参加该项政府采购活动，不具备对该政府采购项目提出质疑的法定权利。</w:t>
      </w:r>
      <w:r/>
    </w:p>
    <w:p>
      <w:pPr>
        <w:ind w:firstLine="420"/>
        <w:spacing w:line="360" w:lineRule="auto"/>
        <w:tabs>
          <w:tab w:val="left" w:pos="142" w:leader="none"/>
          <w:tab w:val="left" w:pos="600" w:leader="none"/>
        </w:tabs>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9.5招标文件内容质疑时，需提供在采购系统中下载本项目招标文件的《交易文件下载确认单》，未提供的视为未依照招标公告要求获取招标文件的供应商，不具备对该政府采购项目提出质疑的法定权利。</w:t>
      </w:r>
      <w:r/>
    </w:p>
    <w:p>
      <w:pPr>
        <w:ind w:firstLine="420"/>
        <w:spacing w:line="360" w:lineRule="auto"/>
        <w:tabs>
          <w:tab w:val="left" w:pos="142" w:leader="none"/>
          <w:tab w:val="left" w:pos="6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9.6接收质疑函的方式为书面形式（当场送达或邮寄方式）</w:t>
      </w:r>
      <w:r>
        <w:rPr>
          <w:rFonts w:hint="eastAsia" w:asciiTheme="minorEastAsia" w:hAnsiTheme="minorEastAsia" w:eastAsiaTheme="minorEastAsia" w:cstheme="minorEastAsia"/>
          <w:bCs/>
          <w:color w:val="auto"/>
          <w:szCs w:val="21"/>
          <w:highlight w:val="none"/>
        </w:rPr>
        <w:t xml:space="preserve">向采购人、采购代理机构提出质疑，联系人、联系电话和通讯地址等信息以采购公告中本次采购活动联系事项为准</w:t>
      </w:r>
      <w:r>
        <w:rPr>
          <w:rFonts w:hint="eastAsia" w:asciiTheme="minorEastAsia" w:hAnsiTheme="minorEastAsia" w:eastAsiaTheme="minorEastAsia" w:cstheme="minorEastAsia"/>
          <w:color w:val="auto"/>
          <w:szCs w:val="21"/>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Theme="minorEastAsia" w:hAnsiTheme="minorEastAsia" w:eastAsiaTheme="minorEastAsia" w:cstheme="minorEastAsia"/>
          <w:color w:val="auto"/>
          <w:szCs w:val="21"/>
          <w:highlight w:val="none"/>
        </w:rPr>
        <w:t xml:space="preserve">政府采购供应商质疑函范本</w:t>
      </w:r>
      <w:r>
        <w:rPr>
          <w:rFonts w:hint="eastAsia" w:asciiTheme="minorEastAsia" w:hAnsiTheme="minorEastAsia" w:eastAsiaTheme="minorEastAsia" w:cstheme="minorEastAsia"/>
          <w:color w:val="auto"/>
          <w:szCs w:val="21"/>
          <w:highlight w:val="none"/>
        </w:rPr>
        <w:fldChar w:fldCharType="end"/>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eastAsia="zh-CN"/>
        </w:rPr>
        <w:t xml:space="preserve">10.</w:t>
      </w:r>
      <w:r>
        <w:rPr>
          <w:rFonts w:hint="eastAsia" w:asciiTheme="minorEastAsia" w:hAnsiTheme="minorEastAsia" w:eastAsiaTheme="minorEastAsia" w:cstheme="minorEastAsia"/>
          <w:b/>
          <w:color w:val="auto"/>
          <w:szCs w:val="21"/>
          <w:highlight w:val="none"/>
        </w:rPr>
        <w:t xml:space="preserve">投标文件的有效期</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10.1投标文件的有效期自提交投标文件的截止之日起90天，投标文件应保持有效。投标文件的有效期不明确或短于上述规定期限的，投标文件无效。</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10.2在特殊情况下，采购人可与供应商协商延长投标文件的有效期，这种要求和答复都应以书面形式进行。</w:t>
      </w:r>
      <w:r/>
    </w:p>
    <w:p>
      <w:pPr>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eastAsia="zh-CN"/>
        </w:rPr>
        <w:t xml:space="preserve">11.</w:t>
      </w:r>
      <w:r>
        <w:rPr>
          <w:rFonts w:hint="eastAsia" w:asciiTheme="minorEastAsia" w:hAnsiTheme="minorEastAsia" w:eastAsiaTheme="minorEastAsia" w:cstheme="minorEastAsia"/>
          <w:b/>
          <w:color w:val="auto"/>
          <w:szCs w:val="21"/>
          <w:highlight w:val="none"/>
        </w:rPr>
        <w:t xml:space="preserve">代理服务费：由中标人承担。</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11.1本项目代理服务费（人民币）：详见前附表。</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11.2代理服务费由中标人在领取中标通知书时一次性付清</w:t>
      </w:r>
      <w:r>
        <w:rPr>
          <w:rFonts w:hint="eastAsia" w:asciiTheme="minorEastAsia" w:hAnsiTheme="minorEastAsia" w:eastAsiaTheme="minorEastAsia" w:cstheme="minorEastAsia"/>
          <w:bCs/>
          <w:color w:val="auto"/>
          <w:szCs w:val="21"/>
          <w:highlight w:val="none"/>
          <w:lang w:eastAsia="zh-CN"/>
        </w:rPr>
        <w:t xml:space="preserve">并包</w:t>
      </w:r>
      <w:r>
        <w:rPr>
          <w:rFonts w:hint="eastAsia" w:asciiTheme="minorEastAsia" w:hAnsiTheme="minorEastAsia" w:eastAsiaTheme="minorEastAsia" w:cstheme="minorEastAsia"/>
          <w:bCs/>
          <w:color w:val="auto"/>
          <w:szCs w:val="21"/>
          <w:highlight w:val="none"/>
        </w:rPr>
        <w:t xml:space="preserve">含在其投标报价中。</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11.3中标人如果未按上述规定缴纳中标服务费，采购代理机构将保留诉讼的权利。</w:t>
      </w:r>
      <w:r/>
    </w:p>
    <w:p>
      <w:pPr>
        <w:ind w:firstLine="420"/>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 xml:space="preserve">12.</w:t>
      </w:r>
      <w:r>
        <w:rPr>
          <w:rFonts w:hint="eastAsia" w:asciiTheme="minorEastAsia" w:hAnsiTheme="minorEastAsia" w:eastAsiaTheme="minorEastAsia" w:cstheme="minorEastAsia"/>
          <w:b/>
          <w:bCs/>
          <w:color w:val="auto"/>
          <w:szCs w:val="21"/>
          <w:highlight w:val="none"/>
        </w:rPr>
        <w:t xml:space="preserve">其他事项</w:t>
      </w:r>
      <w:r/>
    </w:p>
    <w:p>
      <w:pPr>
        <w:pStyle w:val="758"/>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12.1</w:t>
      </w:r>
      <w:r>
        <w:rPr>
          <w:rFonts w:hint="eastAsia" w:asciiTheme="minorEastAsia" w:hAnsiTheme="minorEastAsia" w:eastAsiaTheme="minorEastAsia" w:cstheme="minorEastAsia"/>
          <w:color w:val="auto"/>
          <w:sz w:val="21"/>
          <w:szCs w:val="21"/>
          <w:highlight w:val="none"/>
        </w:rPr>
        <w:t xml:space="preserve">按《中华人民共和国政府采购法》及其他有关政府采购的法律法规的规定执行。</w:t>
      </w:r>
      <w:r/>
    </w:p>
    <w:p>
      <w:pPr>
        <w:numPr>
          <w:ilvl w:val="0"/>
          <w:numId w:val="6"/>
        </w:numPr>
        <w:ind w:left="0" w:firstLine="420"/>
        <w:spacing w:line="360" w:lineRule="auto"/>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eastAsia="zh-CN"/>
        </w:rPr>
        <w:t xml:space="preserve"> 其他</w:t>
      </w:r>
      <w:r>
        <w:rPr>
          <w:rFonts w:hint="eastAsia" w:asciiTheme="minorEastAsia" w:hAnsiTheme="minorEastAsia" w:eastAsiaTheme="minorEastAsia" w:cstheme="minorEastAsia"/>
          <w:b/>
          <w:bCs/>
          <w:color w:val="auto"/>
          <w:highlight w:val="none"/>
        </w:rPr>
        <w:t xml:space="preserve">政策要求：</w:t>
      </w:r>
      <w:r/>
    </w:p>
    <w:p>
      <w:pPr>
        <w:pStyle w:val="926"/>
        <w:ind w:firstLine="420"/>
        <w:spacing w:line="360" w:lineRule="auto"/>
        <w:rPr>
          <w:rFonts w:asciiTheme="minorEastAsia" w:hAnsiTheme="minorEastAsia" w:eastAsiaTheme="minorEastAsia" w:cstheme="minorEastAsia"/>
          <w:b/>
          <w:color w:val="auto"/>
          <w:szCs w:val="21"/>
          <w:highlight w:val="none"/>
        </w:rPr>
      </w:pPr>
      <w:r/>
      <w:bookmarkStart w:id="2" w:name="OLE_LINK11"/>
      <w:r/>
      <w:bookmarkStart w:id="3" w:name="OLE_LINK20"/>
      <w:r>
        <w:rPr>
          <w:rFonts w:hint="eastAsia" w:asciiTheme="minorEastAsia" w:hAnsiTheme="minorEastAsia" w:eastAsiaTheme="minorEastAsia" w:cstheme="minorEastAsia"/>
          <w:b/>
          <w:color w:val="auto"/>
          <w:szCs w:val="21"/>
          <w:highlight w:val="none"/>
          <w:lang w:val="en-US"/>
        </w:rPr>
        <w:t xml:space="preserve">13.1</w:t>
      </w:r>
      <w:r>
        <w:rPr>
          <w:rFonts w:hint="eastAsia" w:asciiTheme="minorEastAsia" w:hAnsiTheme="minorEastAsia" w:eastAsiaTheme="minorEastAsia" w:cstheme="minorEastAsia"/>
          <w:b/>
          <w:color w:val="auto"/>
          <w:szCs w:val="21"/>
          <w:highlight w:val="none"/>
        </w:rPr>
        <w:t xml:space="preserve">异常低价投标审查</w:t>
      </w:r>
      <w:bookmarkEnd w:id="2"/>
      <w:bookmarkEnd w:id="3"/>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根据财政部《关于推动解决政府采购异常低价问题的通知》（财库〔2026〕2号）规定，实施政府采购异常低价审查：</w:t>
      </w:r>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（1）评审过程中出现下列情形之一的，评审委员会应当启动异常低价投标（响应）审查程序：</w:t>
      </w:r>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①投标（响应）报价低于全部通过符合性审查供应商投标（响应）报价平均值50%的，即投标（响应）报价〈全部通过符合性审查供应商投标（响应）报价平均值×50%；</w:t>
      </w:r>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②投标（响应）报价低于通过符合性审查的次低报价供应商投标（响应）报价50%的，即投标（响应）报价〈通过符合性审查的次低报价供应商投标（响应）报价×50%；</w:t>
      </w:r>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③投标（响应）报价低于采购项目最高限价45%的，即投标（响应）报价〈采购项目最高限价×45%；</w:t>
      </w:r>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④评审委员会基于专业判断，认为供应商报价过低，有可能影响产品质量或者不能诚信履约的其他情形。</w:t>
      </w:r>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其中，属于第③项情形，供应商已随投标（响应）文件一并提交相关书面说明及必要的证明材料的，在评审现场可不再重复提交。</w:t>
      </w:r>
      <w:r/>
    </w:p>
    <w:p>
      <w:pPr>
        <w:pStyle w:val="926"/>
        <w:ind w:firstLine="420"/>
        <w:spacing w:line="360" w:lineRule="auto"/>
        <w:rPr>
          <w:rFonts w:asciiTheme="minorEastAsia" w:hAnsiTheme="minorEastAsia" w:eastAsiaTheme="minorEastAsia" w:cstheme="minorEastAsia"/>
          <w:bCs/>
          <w:color w:val="auto"/>
          <w:szCs w:val="21"/>
          <w:highlight w:val="none"/>
          <w:lang w:val="en-US"/>
        </w:rPr>
      </w:pPr>
      <w:r>
        <w:rPr>
          <w:rFonts w:hint="eastAsia" w:asciiTheme="minorEastAsia" w:hAnsiTheme="minorEastAsia" w:eastAsiaTheme="minorEastAsia" w:cstheme="minorEastAsia"/>
          <w:bCs/>
          <w:color w:val="auto"/>
          <w:szCs w:val="21"/>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56"/>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13.2中小微企业</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根据《政府采购促进中小企业发展管理办法》（财库〔2020〕46号）、《关于做好政府采购支持企业发展有关事项的通知》（苏财购〔2020〕52号）及《关于印发</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rPr>
        <w:t xml:space="preserve">苏州市政府采购促进中小企业发展实施意见</w:t>
      </w:r>
      <w:r>
        <w:rPr>
          <w:rFonts w:hint="eastAsia" w:asciiTheme="minorEastAsia" w:hAnsiTheme="minorEastAsia" w:eastAsiaTheme="minorEastAsia" w:cstheme="minorEastAsia"/>
          <w:bCs/>
          <w:color w:val="auto"/>
          <w:szCs w:val="21"/>
          <w:highlight w:val="none"/>
          <w:lang w:eastAsia="zh-CN"/>
        </w:rPr>
        <w:t xml:space="preserve">〉的通知》</w:t>
      </w:r>
      <w:r>
        <w:rPr>
          <w:rFonts w:hint="eastAsia" w:asciiTheme="minorEastAsia" w:hAnsiTheme="minorEastAsia" w:eastAsiaTheme="minorEastAsia" w:cstheme="minorEastAsia"/>
          <w:bCs/>
          <w:color w:val="auto"/>
          <w:szCs w:val="21"/>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根据《政府采购促进中小企业发展管理办法》（财库〔2020〕46号）及《中小企业划型标准规定》（工信部联企业〔2011〕300号），本采购标的对应的中小企业划分标准所属行业为：租赁和商务服务业。</w:t>
      </w:r>
      <w:r/>
    </w:p>
    <w:p>
      <w:pPr>
        <w:pStyle w:val="756"/>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13.3残疾人福利性单位</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756"/>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13.4监狱企业</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根据《关于政府采购支持监狱企业发展有关问题的通知》（财库〔2014〕68号）的相关规定</w:t>
      </w:r>
      <w:r>
        <w:rPr>
          <w:rFonts w:hint="eastAsia" w:asciiTheme="minorEastAsia" w:hAnsiTheme="minorEastAsia" w:eastAsiaTheme="minorEastAsia" w:cstheme="minorEastAsia"/>
          <w:bCs/>
          <w:color w:val="auto"/>
          <w:szCs w:val="21"/>
          <w:highlight w:val="none"/>
          <w:lang w:eastAsia="zh-CN"/>
        </w:rPr>
        <w:t xml:space="preserve">，在</w:t>
      </w:r>
      <w:r>
        <w:rPr>
          <w:rFonts w:hint="eastAsia" w:asciiTheme="minorEastAsia" w:hAnsiTheme="minorEastAsia" w:eastAsiaTheme="minorEastAsia" w:cstheme="minorEastAsia"/>
          <w:bCs/>
          <w:color w:val="auto"/>
          <w:szCs w:val="21"/>
          <w:highlight w:val="none"/>
        </w:rPr>
        <w:t xml:space="preserve">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pStyle w:val="756"/>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13.5绿色采购</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本次拟采购的产品不属于政府强制采购节能产品。根据《关于调整优化节能产品、环境标志产品政府采购执行机制的通知》（财库〔2019〕9号）等相关文件的规定，对属于《节能产品政府采购品目清单》中强制采购范围内产品的，投标人须提供由国家确定的认证机构出具的、处于有效期之内的节能产品认证证书，上述品目清单可通过“中国政府采购网”（http</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rPr>
        <w:t xml:space="preserve">//www.ccgp.gov.cn）查询</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rPr>
        <w:t xml:space="preserve">并在投标文件中提供由国家确定的认证机构出具的、处于有效期之内的节能产品认证证书扫描件，否则视为未实质性响应。</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（3）为助力打好污染防治攻坚战，推广使用绿色包装，根据财政部办公厅、生态环境部办公厅、国家邮政局办公室关于印发《商品包装政府采购需求标准（试行）</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rPr>
        <w:t xml:space="preserve">快递包装政府采购需求标准（试行）》的通知（财办库〔2020〕123 号文）文件规定，投标人提供产品及相关快递服务的包装应符合标准要求。</w:t>
      </w:r>
      <w:r/>
    </w:p>
    <w:p>
      <w:pPr>
        <w:pStyle w:val="756"/>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13.6本国产品（本次不涉及）</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本项目对采购本国产品给予政策支持：</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（3）供应商需按照招标文件的要求提供《关于符合本国产品标准的声明函》（以下简称《声明函》），如不提供将不享受本国产品价格评审优惠。</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6"/>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13.7关于对参与投标人信用记录的政府采购要求</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采购代理机构会在接收投标文件截止时间后，登录信用中国网站（www.creditchina.gov.cn/）和中国政府采购网（www.ccgp.gov.cn/）查询投标人的信用记录，并将查询结果递交评标委员会。</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投标人若在经营活动中受到罚款的，请携带相关地方、部门对较大数额认定标准的证明材料，与投标文件一并提交。若无法提供，则可能承担投标无效等相应不利后果。</w:t>
      </w:r>
      <w:r/>
    </w:p>
    <w:p>
      <w:pPr>
        <w:pStyle w:val="756"/>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对存在失信信息的投标人，由失信投标人进行确认。同时，采购代理机构工作人员应根据评标委员会确认的失信信息，登录到相关来源网站页面进行复核并打印，作为证据留存。</w:t>
      </w:r>
      <w:r/>
    </w:p>
    <w:p>
      <w:pPr>
        <w:rPr>
          <w:rFonts w:ascii="宋体" w:hAnsi="宋体" w:cs="宋体"/>
          <w:bCs/>
          <w:color w:val="auto"/>
          <w:szCs w:val="21"/>
          <w:highlight w:val="none"/>
        </w:rPr>
      </w:pPr>
      <w:r>
        <w:rPr>
          <w:rFonts w:ascii="宋体" w:hAnsi="宋体" w:cs="宋体"/>
          <w:bCs/>
          <w:color w:val="auto"/>
          <w:szCs w:val="21"/>
          <w:highlight w:val="none"/>
        </w:rPr>
      </w:r>
      <w:r/>
    </w:p>
    <w:p>
      <w:pPr>
        <w:pStyle w:val="756"/>
        <w:rPr>
          <w:rFonts w:hAnsi="宋体" w:cs="宋体"/>
          <w:bCs/>
          <w:color w:val="auto"/>
          <w:szCs w:val="21"/>
          <w:highlight w:val="none"/>
        </w:rPr>
      </w:pPr>
      <w:r>
        <w:rPr>
          <w:rFonts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pStyle w:val="756"/>
        <w:rPr>
          <w:rFonts w:hAnsi="宋体" w:cs="宋体"/>
          <w:bCs/>
          <w:color w:val="auto"/>
          <w:szCs w:val="21"/>
          <w:highlight w:val="none"/>
        </w:rPr>
      </w:pPr>
      <w:r>
        <w:rPr>
          <w:rFonts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pStyle w:val="756"/>
        <w:rPr>
          <w:rFonts w:hAnsi="宋体" w:cs="宋体"/>
          <w:bCs/>
          <w:color w:val="auto"/>
          <w:szCs w:val="21"/>
          <w:highlight w:val="none"/>
        </w:rPr>
      </w:pPr>
      <w:r>
        <w:rPr>
          <w:rFonts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pStyle w:val="756"/>
        <w:rPr>
          <w:rFonts w:hAnsi="宋体" w:cs="宋体"/>
          <w:bCs/>
          <w:color w:val="auto"/>
          <w:szCs w:val="21"/>
          <w:highlight w:val="none"/>
        </w:rPr>
      </w:pPr>
      <w:r>
        <w:rPr>
          <w:rFonts w:hAnsi="宋体" w:cs="宋体"/>
          <w:bCs/>
          <w:color w:val="auto"/>
          <w:szCs w:val="21"/>
          <w:highlight w:val="none"/>
        </w:rPr>
      </w:r>
      <w:r/>
    </w:p>
    <w:p>
      <w:pPr>
        <w:pStyle w:val="756"/>
        <w:ind w:firstLine="0"/>
        <w:rPr>
          <w:color w:val="auto"/>
          <w:highlight w:val="none"/>
        </w:rPr>
      </w:pPr>
      <w:r>
        <w:rPr>
          <w:color w:val="auto"/>
          <w:highlight w:val="none"/>
        </w:rPr>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第三章 投标文件格式</w:t>
      </w:r>
      <w:r/>
    </w:p>
    <w:p>
      <w:pPr>
        <w:pStyle w:val="92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1.</w:t>
      </w:r>
      <w:r>
        <w:rPr>
          <w:rFonts w:hint="eastAsia" w:hAnsi="宋体" w:eastAsia="宋体" w:cs="宋体"/>
          <w:color w:val="auto"/>
          <w:sz w:val="21"/>
          <w:szCs w:val="21"/>
          <w:highlight w:val="none"/>
        </w:rPr>
        <w:t xml:space="preserve">投标函</w:t>
      </w:r>
      <w:r/>
    </w:p>
    <w:p>
      <w:pPr>
        <w:pStyle w:val="928"/>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8"/>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投标函</w:t>
      </w:r>
      <w:r/>
    </w:p>
    <w:p>
      <w:pPr>
        <w:spacing w:beforeAutospacing="1"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苏州捷信招投标咨询有限公司</w:t>
      </w:r>
      <w:r/>
    </w:p>
    <w:p>
      <w:pPr>
        <w:pStyle w:val="748"/>
        <w:ind w:left="0" w:right="0" w:firstLine="420"/>
        <w:spacing w:before="0" w:after="0"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我方全面研究了项目招标文件，决定参加贵单位组织项目编号为</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号投标。</w:t>
      </w:r>
      <w:r/>
    </w:p>
    <w:p>
      <w:pPr>
        <w:pStyle w:val="748"/>
        <w:ind w:left="0" w:right="0" w:firstLine="420"/>
        <w:spacing w:before="0" w:after="0"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1.我方自愿按照招标文件规定的各项要求向采购人提供所需服务。</w:t>
      </w:r>
      <w:r/>
    </w:p>
    <w:p>
      <w:pPr>
        <w:pStyle w:val="748"/>
        <w:ind w:left="0" w:right="0" w:firstLine="420"/>
        <w:spacing w:before="0" w:after="0" w:line="360" w:lineRule="auto"/>
        <w:tabs>
          <w:tab w:val="left" w:pos="0" w:leader="none"/>
        </w:tabs>
        <w:rPr>
          <w:rFonts w:ascii="宋体" w:hAnsi="宋体" w:cs="宋体"/>
          <w:b/>
          <w:bCs/>
          <w:color w:val="auto"/>
          <w:szCs w:val="21"/>
          <w:highlight w:val="none"/>
        </w:rPr>
      </w:pPr>
      <w:r>
        <w:rPr>
          <w:rFonts w:hint="eastAsia" w:ascii="宋体" w:hAnsi="宋体" w:cs="宋体"/>
          <w:color w:val="auto"/>
          <w:szCs w:val="21"/>
          <w:highlight w:val="none"/>
        </w:rPr>
        <w:t xml:space="preserve">2.一旦我方中标，我们将严格履行招标文件中规定的每一项要求，按期、按质、按量履行合同的义务。</w:t>
      </w:r>
      <w:r/>
    </w:p>
    <w:p>
      <w:pPr>
        <w:pStyle w:val="748"/>
        <w:ind w:left="0" w:right="0" w:firstLine="420"/>
        <w:spacing w:before="0" w:after="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3.我们已详细审查全部招标文件，包括更正文件（如有），对招标文件及更正公告（如有）无任何异议。我们完全理解并同意放弃对这方面有不明及误解的</w:t>
      </w:r>
      <w:r>
        <w:rPr>
          <w:rFonts w:hint="eastAsia" w:ascii="宋体" w:hAnsi="宋体" w:cs="宋体"/>
          <w:color w:val="auto"/>
          <w:szCs w:val="21"/>
          <w:highlight w:val="none"/>
          <w:lang w:eastAsia="zh-CN"/>
        </w:rPr>
        <w:t xml:space="preserve">权利</w:t>
      </w:r>
      <w:r>
        <w:rPr>
          <w:rFonts w:hint="eastAsia" w:ascii="宋体" w:hAnsi="宋体" w:cs="宋体"/>
          <w:color w:val="auto"/>
          <w:szCs w:val="21"/>
          <w:highlight w:val="none"/>
        </w:rPr>
        <w:t xml:space="preserve">。</w:t>
      </w:r>
      <w:r/>
    </w:p>
    <w:p>
      <w:pPr>
        <w:pStyle w:val="748"/>
        <w:ind w:left="0" w:right="0" w:firstLine="420"/>
        <w:spacing w:before="0" w:after="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4.我们同意按招标文件中的规定，本投标书的有效期限为自投标截止之日起</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 xml:space="preserve">天。</w:t>
      </w:r>
      <w:r/>
    </w:p>
    <w:p>
      <w:pPr>
        <w:pStyle w:val="748"/>
        <w:ind w:left="0" w:right="0" w:firstLine="420"/>
        <w:spacing w:before="0" w:after="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5.我们愿意提供招标采购单位在招标文件中要求的所有资料。</w:t>
      </w:r>
      <w:r/>
    </w:p>
    <w:p>
      <w:pPr>
        <w:pStyle w:val="748"/>
        <w:ind w:left="0" w:right="0" w:firstLine="420"/>
        <w:spacing w:before="0" w:after="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6.我们愿意遵守招标公告及招标文件中所列的收费标准。</w:t>
      </w:r>
      <w:r/>
    </w:p>
    <w:p>
      <w:pPr>
        <w:pStyle w:val="748"/>
        <w:ind w:left="0" w:right="0" w:firstLine="420"/>
        <w:spacing w:before="0" w:after="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pStyle w:val="748"/>
        <w:ind w:left="0" w:right="0" w:firstLine="420"/>
        <w:spacing w:before="0" w:after="0"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8.我方愿意提供贵单位可能另外要求的，与投标有关的文件资料，并保证我方已提供和将要提供的文件资料是真实、准确的。</w:t>
      </w:r>
      <w:r/>
    </w:p>
    <w:p>
      <w:pPr>
        <w:pStyle w:val="748"/>
        <w:ind w:left="0" w:right="0" w:firstLine="420"/>
        <w:spacing w:before="0" w:after="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9.供应商与其他单位存在控股、管理关系情况表</w:t>
      </w:r>
      <w:r/>
    </w:p>
    <w:tbl>
      <w:tblPr>
        <w:tblStyle w:val="724"/>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5755"/>
        <w:gridCol w:w="4197"/>
      </w:tblGrid>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供应商与其他单位存在控股、管理关系的单位名称</w:t>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控股、管理关系情况说明</w:t>
            </w:r>
            <w:r/>
          </w:p>
        </w:tc>
      </w:tr>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r>
    </w:tbl>
    <w:p>
      <w:pPr>
        <w:pStyle w:val="748"/>
        <w:ind w:left="0" w:right="0" w:firstLine="420"/>
        <w:spacing w:before="0" w:after="0" w:line="360" w:lineRule="auto"/>
        <w:rPr>
          <w:rFonts w:ascii="宋体" w:hAnsi="宋体" w:cs="宋体"/>
          <w:color w:val="auto"/>
          <w:szCs w:val="21"/>
          <w:highlight w:val="none"/>
        </w:rPr>
      </w:pPr>
      <w:r>
        <w:rPr>
          <w:rFonts w:hint="eastAsia" w:ascii="宋体" w:hAnsi="宋体" w:cs="宋体"/>
          <w:color w:val="auto"/>
          <w:szCs w:val="21"/>
          <w:highlight w:val="none"/>
        </w:rPr>
        <w:t xml:space="preserve">所有有关招标文件的函电，请按下列地址联系：</w:t>
      </w:r>
      <w:r/>
    </w:p>
    <w:p>
      <w:pPr>
        <w:pStyle w:val="748"/>
        <w:ind w:left="480" w:right="0" w:firstLine="527"/>
        <w:spacing w:before="0" w:after="0" w:line="360" w:lineRule="auto"/>
        <w:tabs>
          <w:tab w:val="left" w:pos="0" w:leader="none"/>
        </w:tabs>
        <w:rPr>
          <w:rFonts w:ascii="宋体" w:hAnsi="宋体" w:cs="宋体"/>
          <w:color w:val="auto"/>
          <w:szCs w:val="21"/>
          <w:highlight w:val="none"/>
        </w:rPr>
      </w:pPr>
      <w:r>
        <w:rPr>
          <w:rFonts w:hint="eastAsia" w:ascii="宋体" w:hAnsi="宋体" w:cs="宋体"/>
          <w:b/>
          <w:bCs/>
          <w:color w:val="auto"/>
          <w:szCs w:val="21"/>
          <w:highlight w:val="none"/>
        </w:rPr>
        <w:t xml:space="preserve">投标单位名称（加盖CA电子公章）</w:t>
      </w:r>
      <w:r>
        <w:rPr>
          <w:rFonts w:hint="eastAsia" w:ascii="宋体" w:hAnsi="宋体" w:cs="宋体"/>
          <w:color w:val="auto"/>
          <w:szCs w:val="21"/>
          <w:highlight w:val="none"/>
        </w:rPr>
        <w:t xml:space="preserve">    联系人：</w:t>
      </w:r>
      <w:r/>
    </w:p>
    <w:p>
      <w:pPr>
        <w:pStyle w:val="748"/>
        <w:ind w:left="480" w:right="0" w:firstLine="525"/>
        <w:spacing w:before="0" w:after="0"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地址：                             邮政编码：</w:t>
      </w:r>
      <w:r/>
    </w:p>
    <w:p>
      <w:pPr>
        <w:pStyle w:val="748"/>
        <w:ind w:left="480" w:right="0" w:firstLine="525"/>
        <w:spacing w:before="0" w:after="0"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联系电话：                        </w:t>
      </w:r>
      <w:r/>
    </w:p>
    <w:p>
      <w:pPr>
        <w:pStyle w:val="748"/>
        <w:ind w:left="480" w:right="0" w:firstLine="525"/>
        <w:spacing w:before="0" w:after="0"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邮箱：</w:t>
      </w:r>
      <w:r/>
    </w:p>
    <w:p>
      <w:pPr>
        <w:pStyle w:val="748"/>
        <w:ind w:left="480" w:right="0" w:firstLine="525"/>
        <w:spacing w:before="0" w:after="0"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开户名称：</w:t>
      </w:r>
      <w:r/>
    </w:p>
    <w:p>
      <w:pPr>
        <w:pStyle w:val="748"/>
        <w:ind w:left="480" w:right="0" w:firstLine="525"/>
        <w:spacing w:before="0" w:after="0"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开户银行：</w:t>
      </w:r>
      <w:r/>
    </w:p>
    <w:p>
      <w:pPr>
        <w:pStyle w:val="748"/>
        <w:ind w:left="480" w:right="0" w:firstLine="525"/>
        <w:spacing w:before="0" w:after="0"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pStyle w:val="748"/>
        <w:ind w:left="480" w:right="0" w:firstLine="525"/>
        <w:spacing w:before="0" w:after="0" w:line="360" w:lineRule="auto"/>
        <w:tabs>
          <w:tab w:val="left" w:pos="0" w:leader="none"/>
        </w:tabs>
        <w:rPr>
          <w:rFonts w:ascii="宋体" w:hAnsi="宋体" w:cs="宋体"/>
          <w:color w:val="auto"/>
          <w:szCs w:val="21"/>
          <w:highlight w:val="none"/>
        </w:rPr>
      </w:pPr>
      <w:r>
        <w:rPr>
          <w:rFonts w:ascii="宋体" w:hAnsi="宋体" w:cs="宋体"/>
          <w:color w:val="auto"/>
          <w:szCs w:val="21"/>
          <w:highlight w:val="none"/>
        </w:rPr>
      </w:r>
      <w:r/>
    </w:p>
    <w:p>
      <w:pPr>
        <w:pStyle w:val="748"/>
        <w:ind w:left="480" w:right="0" w:firstLine="525"/>
        <w:spacing w:before="0" w:after="0" w:line="360" w:lineRule="auto"/>
        <w:tabs>
          <w:tab w:val="left" w:pos="0" w:leader="none"/>
        </w:tabs>
        <w:rPr>
          <w:rFonts w:ascii="宋体" w:hAnsi="宋体" w:cs="宋体"/>
          <w:b/>
          <w:bCs/>
          <w:color w:val="auto"/>
          <w:szCs w:val="21"/>
          <w:highlight w:val="none"/>
        </w:rPr>
      </w:pPr>
      <w:r>
        <w:rPr>
          <w:rFonts w:hint="eastAsia" w:ascii="宋体" w:hAnsi="宋体" w:cs="宋体"/>
          <w:color w:val="auto"/>
          <w:szCs w:val="21"/>
          <w:highlight w:val="none"/>
        </w:rPr>
        <w:t xml:space="preserve">日期：         年     月     日</w:t>
      </w:r>
      <w:r/>
    </w:p>
    <w:p>
      <w:pPr>
        <w:pStyle w:val="928"/>
        <w:numPr>
          <w:ilvl w:val="0"/>
          <w:numId w:val="7"/>
        </w:numP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（投标人）法定代表人授权委托书</w:t>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法定代表人授权委托书</w:t>
      </w:r>
      <w:r/>
    </w:p>
    <w:p>
      <w:pPr>
        <w:pStyle w:val="758"/>
        <w:ind w:firstLine="48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姓名）系（单位名称）的法定代表人，现授权委托（单位名称）的（姓名）为我公司代理人，并以本公司的名义在号（采购编号）采购项目的开标、评标和合同签订过程中所签署的一切文件和处理与这有关的一切事务，我公司均予以承认。</w:t>
      </w:r>
      <w:r/>
    </w:p>
    <w:p>
      <w:pPr>
        <w:pStyle w:val="758"/>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758"/>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代理人无转委托权。特此委托。</w:t>
      </w:r>
      <w:r/>
    </w:p>
    <w:p>
      <w:pPr>
        <w:pStyle w:val="92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投标人（单位盖章）：</w:t>
      </w:r>
      <w:r/>
    </w:p>
    <w:p>
      <w:pPr>
        <w:pStyle w:val="758"/>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法定代表人：（签字或盖章）</w:t>
      </w:r>
      <w:r/>
    </w:p>
    <w:p>
      <w:pPr>
        <w:pStyle w:val="758"/>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代理人：（签字或盖章）</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758"/>
        <w:ind w:firstLine="48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注：本授权委托书仅限于法人性质投标人投标，投标文件中必须提供法定代表人和代理人身份证扫描件。非法人性质投标人投标，授权委托书格式自拟，但必须同时提供受托双方身份证扫描件。</w:t>
      </w:r>
      <w:r/>
    </w:p>
    <w:p>
      <w:pPr>
        <w:pStyle w:val="75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29"/>
        <w:spacing w:line="360" w:lineRule="auto"/>
        <w:rPr>
          <w:rFonts w:hAnsi="宋体" w:eastAsia="宋体" w:cs="宋体"/>
          <w:b/>
          <w:color w:val="auto"/>
          <w:sz w:val="21"/>
          <w:szCs w:val="21"/>
          <w:highlight w:val="none"/>
        </w:rPr>
      </w:pPr>
      <w:r>
        <w:rPr>
          <w:rFonts w:hint="eastAsia" w:hAnsi="宋体" w:eastAsia="宋体" w:cs="宋体"/>
          <w:color w:val="auto"/>
          <w:sz w:val="21"/>
          <w:szCs w:val="21"/>
          <w:highlight w:val="none"/>
        </w:rPr>
        <w:br w:type="page" w:clear="all"/>
      </w:r>
      <w:r>
        <w:rPr>
          <w:rFonts w:hint="eastAsia" w:hAnsi="宋体" w:eastAsia="宋体" w:cs="宋体"/>
          <w:color w:val="auto"/>
          <w:sz w:val="21"/>
          <w:szCs w:val="21"/>
          <w:highlight w:val="none"/>
          <w:lang w:eastAsia="zh-CN"/>
        </w:rPr>
        <w:t xml:space="preserve">3.</w:t>
      </w:r>
      <w:r>
        <w:rPr>
          <w:rFonts w:hint="eastAsia" w:hAnsi="宋体" w:eastAsia="宋体" w:cs="宋体"/>
          <w:b/>
          <w:color w:val="auto"/>
          <w:sz w:val="21"/>
          <w:szCs w:val="21"/>
          <w:highlight w:val="none"/>
        </w:rPr>
        <w:t xml:space="preserve">开标一览表</w:t>
      </w:r>
      <w:r/>
    </w:p>
    <w:p>
      <w:pPr>
        <w:pStyle w:val="929"/>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开标一览表</w:t>
      </w:r>
      <w:r/>
    </w:p>
    <w:tbl>
      <w:tblPr>
        <w:tblStyle w:val="72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01"/>
        <w:gridCol w:w="4789"/>
        <w:gridCol w:w="4666"/>
      </w:tblGrid>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66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投标单价</w:t>
            </w:r>
            <w:r/>
          </w:p>
        </w:tc>
      </w:tr>
      <w:tr>
        <w:trPr>
          <w:jc w:val="center"/>
          <w:trHeight w:val="969"/>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66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89"/>
        </w:trPr>
        <w:tc>
          <w:tcPr>
            <w:gridSpan w:val="3"/>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服务期限：</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是否小微企业 : □中型   □小型   □微型   □否</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是否残疾人或监狱企业：□是    □否</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bl>
    <w:p>
      <w:pPr>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44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80"/>
        <w:jc w:val="left"/>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注：1.上述报价包含一切由供方承担的费用，各投标单位可参照上述格式自制《响应报价表》。</w:t>
      </w:r>
      <w:r>
        <w:rPr>
          <w:rFonts w:hint="eastAsia" w:asciiTheme="minorEastAsia" w:hAnsiTheme="minorEastAsia" w:eastAsiaTheme="minorEastAsia" w:cstheme="minorEastAsia"/>
          <w:color w:val="auto"/>
          <w:highlight w:val="none"/>
        </w:rPr>
        <w:t xml:space="preserve">遇到法律法规规定的最低工资调整，其中人工费用相应浮动，由供应商自行承担。</w:t>
      </w:r>
      <w:r/>
    </w:p>
    <w:p>
      <w:pPr>
        <w:ind w:firstLine="420"/>
        <w:spacing w:line="44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bookmarkStart w:id="4" w:name="_Hlk169187766"/>
      <w:r>
        <w:rPr>
          <w:rFonts w:hint="eastAsia" w:asciiTheme="minorEastAsia" w:hAnsiTheme="minorEastAsia" w:eastAsiaTheme="minorEastAsia" w:cstheme="minorEastAsia"/>
          <w:color w:val="auto"/>
          <w:highlight w:val="none"/>
        </w:rPr>
        <w:t xml:space="preserve">本项目按单价报价，最高限价不超过</w:t>
      </w:r>
      <w:r>
        <w:rPr>
          <w:rFonts w:hint="eastAsia" w:asciiTheme="minorEastAsia" w:hAnsiTheme="minorEastAsia" w:eastAsiaTheme="minorEastAsia" w:cstheme="minorEastAsia"/>
          <w:color w:val="auto"/>
          <w:highlight w:val="none"/>
          <w:lang w:eastAsia="zh-CN"/>
        </w:rPr>
        <w:t xml:space="preserve">3685</w:t>
      </w:r>
      <w:r>
        <w:rPr>
          <w:rFonts w:hint="eastAsia" w:asciiTheme="minorEastAsia" w:hAnsiTheme="minorEastAsia" w:eastAsiaTheme="minorEastAsia" w:cstheme="minorEastAsia"/>
          <w:color w:val="auto"/>
          <w:highlight w:val="none"/>
        </w:rPr>
        <w:t xml:space="preserve">元/件，项目根据实际产生的公证件数结算，最终结算金额不超过项目预算金额。</w:t>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r/>
    </w:p>
    <w:p>
      <w:pPr>
        <w:ind w:firstLine="420"/>
        <w:spacing w:line="440" w:lineRule="exact"/>
        <w:rPr>
          <w:rFonts w:cs="宋体"/>
          <w:color w:val="auto"/>
          <w:highlight w:val="none"/>
        </w:rPr>
      </w:pPr>
      <w:r>
        <w:rPr>
          <w:rFonts w:cs="宋体"/>
          <w:color w:val="auto"/>
          <w:highlight w:val="none"/>
        </w:rPr>
      </w:r>
      <w:bookmarkEnd w:id="4"/>
      <w:r/>
    </w:p>
    <w:p>
      <w:pPr>
        <w:rPr>
          <w:rFonts w:ascii="宋体" w:hAnsi="宋体" w:cs="宋体"/>
          <w:b/>
          <w:color w:val="auto"/>
          <w:szCs w:val="21"/>
          <w:highlight w:val="none"/>
        </w:rPr>
      </w:pPr>
      <w:r>
        <w:rPr>
          <w:rFonts w:ascii="宋体" w:hAnsi="宋体" w:cs="宋体"/>
          <w:b/>
          <w:color w:val="auto"/>
          <w:szCs w:val="21"/>
          <w:highlight w:val="none"/>
        </w:rPr>
      </w:r>
      <w:r/>
    </w:p>
    <w:p>
      <w:pPr>
        <w:pStyle w:val="768"/>
        <w:numPr>
          <w:ilvl w:val="0"/>
          <w:numId w:val="7"/>
        </w:numPr>
        <w:rPr>
          <w:rFonts w:ascii="宋体" w:hAnsi="宋体" w:cs="宋体"/>
          <w:b/>
          <w:bCs/>
          <w:color w:val="auto"/>
          <w:szCs w:val="21"/>
          <w:highlight w:val="none"/>
        </w:rPr>
      </w:pPr>
      <w:r>
        <w:rPr>
          <w:rFonts w:hint="eastAsia" w:ascii="宋体" w:hAnsi="宋体" w:cs="宋体"/>
          <w:b/>
          <w:bCs/>
          <w:color w:val="auto"/>
          <w:szCs w:val="21"/>
          <w:highlight w:val="none"/>
        </w:rPr>
        <w:t xml:space="preserve">公开分项报价</w:t>
      </w:r>
      <w:r/>
    </w:p>
    <w:p>
      <w:pPr>
        <w:jc w:val="center"/>
        <w:spacing w:before="100" w:beforeAutospacing="1" w:after="100" w:afterAutospacing="1" w:line="480" w:lineRule="auto"/>
        <w:rPr>
          <w:rFonts w:ascii="宋体" w:hAnsi="宋体"/>
          <w:b/>
          <w:color w:val="auto"/>
          <w:szCs w:val="21"/>
          <w:highlight w:val="none"/>
        </w:rPr>
      </w:pPr>
      <w:r>
        <w:rPr>
          <w:rFonts w:hint="eastAsia" w:ascii="宋体" w:hAnsi="宋体"/>
          <w:b/>
          <w:color w:val="auto"/>
          <w:szCs w:val="21"/>
          <w:highlight w:val="none"/>
        </w:rPr>
        <w:t xml:space="preserve">公开分项报价</w:t>
      </w:r>
      <w:r/>
    </w:p>
    <w:p>
      <w:pPr>
        <w:pStyle w:val="729"/>
        <w:ind w:firstLine="0"/>
        <w:jc w:val="right"/>
        <w:rPr>
          <w:rFonts w:ascii="宋体" w:hAnsi="宋体"/>
          <w:color w:val="auto"/>
          <w:szCs w:val="21"/>
          <w:highlight w:val="none"/>
        </w:rPr>
      </w:pPr>
      <w:r>
        <w:rPr>
          <w:rFonts w:hint="eastAsia" w:ascii="宋体" w:hAnsi="宋体"/>
          <w:color w:val="auto"/>
          <w:szCs w:val="21"/>
          <w:highlight w:val="none"/>
        </w:rPr>
        <w:t xml:space="preserve">单位：元（人民币）</w:t>
      </w:r>
      <w:r/>
    </w:p>
    <w:tbl>
      <w:tblPr>
        <w:tblStyle w:val="724"/>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26"/>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合计</w:t>
            </w:r>
            <w:r>
              <w:rPr>
                <w:rFonts w:hint="eastAsia" w:ascii="宋体" w:hAnsi="宋体" w:cs="宋体"/>
                <w:color w:val="auto"/>
                <w:szCs w:val="21"/>
                <w:highlight w:val="none"/>
              </w:rPr>
              <w:t xml:space="preserve">：              元（大写：                 ）</w:t>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tcPr>
          <w:p>
            <w:pPr>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本采购包中提供的符合本国产品标准的产品成本之和占该采购包提供的全部产品成本之和的比例为</w:t>
            </w:r>
            <w:r>
              <w:rPr>
                <w:rFonts w:hint="eastAsia" w:ascii="宋体" w:hAnsi="宋体" w:cs="宋体"/>
                <w:b/>
                <w:bCs/>
                <w:color w:val="auto"/>
                <w:szCs w:val="21"/>
                <w:highlight w:val="none"/>
                <w:lang w:eastAsia="zh-CN"/>
              </w:rPr>
              <w:t xml:space="preserve"> %（不涉及）。</w:t>
            </w:r>
            <w:r/>
          </w:p>
        </w:tc>
      </w:tr>
    </w:tbl>
    <w:p>
      <w:pPr>
        <w:pStyle w:val="730"/>
        <w:rPr>
          <w:color w:val="auto"/>
          <w:highlight w:val="none"/>
        </w:rPr>
      </w:pPr>
      <w:r>
        <w:rPr>
          <w:color w:val="auto"/>
          <w:highlight w:val="none"/>
        </w:rPr>
      </w:r>
      <w:r/>
    </w:p>
    <w:p>
      <w:pPr>
        <w:rPr>
          <w:color w:val="auto"/>
          <w:highlight w:val="none"/>
        </w:rPr>
      </w:pPr>
      <w:r>
        <w:rPr>
          <w:color w:val="auto"/>
          <w:highlight w:val="none"/>
        </w:rPr>
      </w:r>
      <w:r/>
    </w:p>
    <w:p>
      <w:pPr>
        <w:ind w:firstLine="5880"/>
        <w:spacing w:line="440" w:lineRule="exact"/>
        <w:rPr>
          <w:rFonts w:ascii="宋体" w:hAnsi="宋体"/>
          <w:color w:val="auto"/>
          <w:szCs w:val="21"/>
          <w:highlight w:val="none"/>
        </w:rPr>
      </w:pPr>
      <w:r>
        <w:rPr>
          <w:rFonts w:hint="eastAsia" w:ascii="宋体" w:hAnsi="宋体"/>
          <w:color w:val="auto"/>
          <w:szCs w:val="21"/>
          <w:highlight w:val="none"/>
        </w:rPr>
        <w:t xml:space="preserve">投标单位名称（加盖CA电子公章）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日    期：     年     月    日</w:t>
      </w:r>
      <w:r/>
    </w:p>
    <w:p>
      <w:pPr>
        <w:pStyle w:val="730"/>
        <w:rPr>
          <w:color w:val="auto"/>
          <w:highlight w:val="none"/>
        </w:rPr>
      </w:pPr>
      <w:r>
        <w:rPr>
          <w:color w:val="auto"/>
          <w:highlight w:val="none"/>
        </w:rPr>
      </w:r>
      <w:r/>
    </w:p>
    <w:p>
      <w:pPr>
        <w:rPr>
          <w:color w:val="auto"/>
          <w:highlight w:val="none"/>
        </w:rPr>
      </w:pPr>
      <w:r>
        <w:rPr>
          <w:color w:val="auto"/>
          <w:highlight w:val="none"/>
        </w:rPr>
      </w:r>
      <w:r/>
    </w:p>
    <w:p>
      <w:pPr>
        <w:pStyle w:val="947"/>
        <w:spacing w:line="360" w:lineRule="auto"/>
        <w:widowControl/>
        <w:rPr>
          <w:rFonts w:hint="default" w:hAnsi="宋体" w:cs="宋体"/>
          <w:b/>
          <w:color w:val="auto"/>
          <w:highlight w:val="none"/>
        </w:rPr>
      </w:pPr>
      <w:r>
        <w:rPr>
          <w:rFonts w:hAnsi="宋体" w:cs="宋体"/>
          <w:color w:val="auto"/>
          <w:highlight w:val="none"/>
        </w:rPr>
        <w:t xml:space="preserve">注：1.请投标单位按照上述格式分析投标单价，本项投标报价需与开标一览表一致。</w:t>
      </w:r>
      <w:r/>
    </w:p>
    <w:p>
      <w:pPr>
        <w:pStyle w:val="930"/>
        <w:spacing w:line="360" w:lineRule="auto"/>
        <w:rPr>
          <w:rFonts w:cs="宋体"/>
          <w:b/>
          <w:bCs/>
          <w:color w:val="auto"/>
          <w:szCs w:val="21"/>
          <w:highlight w:val="none"/>
        </w:rPr>
        <w:sectPr>
          <w:footnotePr/>
          <w:endnotePr/>
          <w:type w:val="nextPage"/>
          <w:pgSz w:w="11906" w:h="16838" w:orient="portrait"/>
          <w:pgMar w:top="1440" w:right="1083" w:bottom="1440" w:left="1083" w:header="850" w:footer="992" w:gutter="0"/>
          <w:cols w:num="1" w:sep="0" w:space="0" w:equalWidth="1"/>
          <w:docGrid w:linePitch="360"/>
        </w:sectPr>
      </w:pPr>
      <w:r>
        <w:rPr>
          <w:rFonts w:cs="宋体"/>
          <w:b/>
          <w:bCs/>
          <w:color w:val="auto"/>
          <w:szCs w:val="21"/>
          <w:highlight w:val="none"/>
        </w:rPr>
      </w:r>
      <w:r/>
    </w:p>
    <w:p>
      <w:pPr>
        <w:pStyle w:val="930"/>
        <w:ind w:left="-6"/>
        <w:spacing w:line="360" w:lineRule="auto"/>
        <w:rPr>
          <w:rFonts w:cs="宋体"/>
          <w:b/>
          <w:bCs/>
          <w:color w:val="auto"/>
          <w:szCs w:val="21"/>
          <w:highlight w:val="none"/>
        </w:rPr>
      </w:pPr>
      <w:r>
        <w:rPr>
          <w:rFonts w:hint="eastAsia" w:cs="宋体"/>
          <w:b/>
          <w:bCs/>
          <w:color w:val="auto"/>
          <w:szCs w:val="21"/>
          <w:highlight w:val="none"/>
          <w:lang w:eastAsia="zh-CN"/>
        </w:rPr>
        <w:t xml:space="preserve">5.</w:t>
      </w:r>
      <w:r>
        <w:rPr>
          <w:rFonts w:hint="eastAsia" w:cs="宋体"/>
          <w:b/>
          <w:bCs/>
          <w:color w:val="auto"/>
          <w:szCs w:val="21"/>
          <w:highlight w:val="none"/>
        </w:rPr>
        <w:t xml:space="preserve">关于资格文件的声明函</w:t>
      </w:r>
      <w:r/>
    </w:p>
    <w:p>
      <w:pPr>
        <w:pStyle w:val="930"/>
        <w:spacing w:line="360" w:lineRule="auto"/>
        <w:rPr>
          <w:rFonts w:cs="宋体"/>
          <w:b/>
          <w:bCs/>
          <w:color w:val="auto"/>
          <w:szCs w:val="21"/>
          <w:highlight w:val="none"/>
        </w:rPr>
      </w:pPr>
      <w:r>
        <w:rPr>
          <w:rFonts w:cs="宋体"/>
          <w:b/>
          <w:bCs/>
          <w:color w:val="auto"/>
          <w:szCs w:val="21"/>
          <w:highlight w:val="none"/>
        </w:rPr>
      </w:r>
      <w:r/>
    </w:p>
    <w:p>
      <w:pPr>
        <w:pStyle w:val="930"/>
        <w:jc w:val="center"/>
        <w:spacing w:line="360" w:lineRule="auto"/>
        <w:rPr>
          <w:rFonts w:cs="宋体"/>
          <w:color w:val="auto"/>
          <w:szCs w:val="21"/>
          <w:highlight w:val="none"/>
        </w:rPr>
      </w:pPr>
      <w:r>
        <w:rPr>
          <w:rFonts w:hint="eastAsia" w:cs="宋体"/>
          <w:b/>
          <w:bCs/>
          <w:color w:val="auto"/>
          <w:szCs w:val="21"/>
          <w:highlight w:val="none"/>
        </w:rPr>
        <w:t xml:space="preserve">关于资格文件的声明函</w:t>
      </w:r>
      <w:r/>
    </w:p>
    <w:p>
      <w:pPr>
        <w:pStyle w:val="92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苏州捷信招投标咨询有限公司：</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本公司愿就由贵公司组织实施的编号为</w:t>
      </w:r>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92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投标人（单位盖章）：</w:t>
      </w:r>
      <w:r/>
    </w:p>
    <w:p>
      <w:pPr>
        <w:pStyle w:val="92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法定代表人或代理人（签字或盖章）：</w:t>
      </w:r>
      <w:r/>
    </w:p>
    <w:p>
      <w:pPr>
        <w:pStyle w:val="92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日期：     年     月     日</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748"/>
        <w:ind w:left="0" w:firstLine="0"/>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项目组人员配备一览表</w:t>
      </w:r>
      <w:r/>
    </w:p>
    <w:p>
      <w:pPr>
        <w:pStyle w:val="748"/>
        <w:ind w:left="0" w:firstLine="0"/>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项目组人员配备一览表</w:t>
      </w:r>
      <w:r/>
    </w:p>
    <w:tbl>
      <w:tblPr>
        <w:tblStyle w:val="724"/>
        <w:tblW w:w="4951"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4"/>
        <w:gridCol w:w="812"/>
        <w:gridCol w:w="812"/>
        <w:gridCol w:w="812"/>
        <w:gridCol w:w="2689"/>
        <w:gridCol w:w="2033"/>
        <w:gridCol w:w="1886"/>
      </w:tblGrid>
      <w:tr>
        <w:trPr>
          <w:trHeight w:val="182"/>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pStyle w:val="737"/>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364" w:type="pct"/>
            <w:vAlign w:val="center"/>
            <w:textDirection w:val="lrTb"/>
            <w:noWrap w:val="false"/>
          </w:tcPr>
          <w:p>
            <w:pPr>
              <w:pStyle w:val="737"/>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身份证号</w:t>
            </w:r>
            <w:r/>
          </w:p>
        </w:tc>
        <w:tc>
          <w:tcPr>
            <w:tcBorders>
              <w:top w:val="single" w:color="auto" w:sz="4" w:space="0"/>
              <w:left w:val="single" w:color="auto" w:sz="4" w:space="0"/>
              <w:bottom w:val="single" w:color="auto" w:sz="4" w:space="0"/>
              <w:right w:val="single" w:color="auto" w:sz="4" w:space="0"/>
            </w:tcBorders>
            <w:tcW w:w="1031" w:type="pct"/>
            <w:vAlign w:val="center"/>
            <w:textDirection w:val="lrTb"/>
            <w:noWrap w:val="false"/>
          </w:tcPr>
          <w:p>
            <w:pPr>
              <w:pStyle w:val="737"/>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资格证书号</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737"/>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从事本工作时间</w:t>
            </w:r>
            <w:r/>
          </w:p>
        </w:tc>
      </w:tr>
      <w:tr>
        <w:trPr>
          <w:trHeight w:val="452"/>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4"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1"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432"/>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4"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1"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432"/>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4"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1"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432"/>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4"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1"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432"/>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4"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1"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737"/>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940"/>
        <w:spacing w:line="360" w:lineRule="auto"/>
        <w:widowControl/>
        <w:rPr>
          <w:rFonts w:hint="default" w:hAnsi="宋体" w:cs="宋体"/>
          <w:color w:val="auto"/>
          <w:highlight w:val="none"/>
        </w:rPr>
      </w:pPr>
      <w:r>
        <w:rPr>
          <w:rFonts w:hAnsi="宋体" w:cs="宋体"/>
          <w:color w:val="auto"/>
          <w:highlight w:val="none"/>
        </w:rPr>
        <w:t xml:space="preserve">投标单位：（单位盖章）</w:t>
      </w:r>
      <w:r/>
    </w:p>
    <w:p>
      <w:pPr>
        <w:pStyle w:val="940"/>
        <w:spacing w:line="360" w:lineRule="auto"/>
        <w:widowControl/>
        <w:rPr>
          <w:rFonts w:hint="default" w:hAnsi="宋体" w:cs="宋体"/>
          <w:color w:val="auto"/>
          <w:highlight w:val="none"/>
        </w:rPr>
      </w:pPr>
      <w:r>
        <w:rPr>
          <w:rFonts w:hAnsi="宋体" w:cs="宋体"/>
          <w:color w:val="auto"/>
          <w:highlight w:val="none"/>
        </w:rPr>
        <w:t xml:space="preserve">法定代表人（负责人）或代理人：（签字或盖章）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48"/>
        <w:ind w:left="0" w:firstLine="0"/>
        <w:keepLines/>
        <w:keepNext/>
        <w:spacing w:before="260" w:after="260" w:line="480" w:lineRule="exact"/>
        <w:rPr>
          <w:rFonts w:ascii="宋体" w:hAnsi="宋体" w:cs="宋体"/>
          <w:bCs/>
          <w:color w:val="auto"/>
          <w:szCs w:val="21"/>
          <w:highlight w:val="none"/>
        </w:rPr>
        <w:outlineLvl w:val="1"/>
      </w:pPr>
      <w:r>
        <w:rPr>
          <w:rFonts w:hint="eastAsia" w:ascii="宋体" w:hAnsi="宋体" w:cs="宋体"/>
          <w:b/>
          <w:bCs/>
          <w:color w:val="auto"/>
          <w:szCs w:val="21"/>
          <w:highlight w:val="none"/>
          <w:lang w:eastAsia="zh-CN"/>
        </w:rPr>
        <w:t xml:space="preserve">7.</w:t>
      </w:r>
      <w:r>
        <w:rPr>
          <w:rFonts w:hint="eastAsia" w:ascii="宋体" w:hAnsi="宋体" w:cs="宋体"/>
          <w:b/>
          <w:bCs/>
          <w:color w:val="auto"/>
          <w:szCs w:val="21"/>
          <w:highlight w:val="none"/>
        </w:rPr>
        <w:t xml:space="preserve">技术服务要求偏离表</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技术服务要求偏离表</w:t>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w:t>
      </w:r>
      <w:r/>
    </w:p>
    <w:tbl>
      <w:tblPr>
        <w:tblStyle w:val="724"/>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注：1</w:t>
      </w:r>
      <w:r>
        <w:rPr>
          <w:rFonts w:hint="eastAsia" w:ascii="宋体" w:hAnsi="宋体" w:cs="宋体"/>
          <w:bCs/>
          <w:color w:val="auto"/>
          <w:szCs w:val="21"/>
          <w:highlight w:val="none"/>
          <w:lang w:eastAsia="zh-CN"/>
        </w:rPr>
        <w:t xml:space="preserve">. </w:t>
      </w:r>
      <w:r>
        <w:rPr>
          <w:rFonts w:hint="eastAsia" w:ascii="宋体" w:hAnsi="宋体" w:cs="宋体"/>
          <w:bCs/>
          <w:color w:val="auto"/>
          <w:szCs w:val="21"/>
          <w:highlight w:val="none"/>
        </w:rPr>
        <w:t xml:space="preserve">投标人应对照招标文件要求，所提供的服务与招标文件的规定有偏离的，应在此表中</w:t>
      </w:r>
      <w:r>
        <w:rPr>
          <w:rFonts w:hint="eastAsia" w:ascii="宋体" w:hAnsi="宋体" w:cs="宋体"/>
          <w:bCs/>
          <w:color w:val="auto"/>
          <w:szCs w:val="21"/>
          <w:highlight w:val="none"/>
          <w:lang w:eastAsia="zh-CN"/>
        </w:rPr>
        <w:t xml:space="preserve">声明</w:t>
      </w:r>
      <w:r>
        <w:rPr>
          <w:rFonts w:hint="eastAsia" w:ascii="宋体" w:hAnsi="宋体" w:cs="宋体"/>
          <w:bCs/>
          <w:color w:val="auto"/>
          <w:szCs w:val="21"/>
          <w:highlight w:val="none"/>
        </w:rPr>
        <w:t xml:space="preserve">与采购要求的偏差和例外。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未在上表中说明的，如在投标文件其他内容中已有文字说明的，则以已有文字说明为准，否则，将被认为完全响应招标文件的规定。</w:t>
      </w:r>
      <w:r/>
    </w:p>
    <w:p>
      <w:pPr>
        <w:pStyle w:val="730"/>
        <w:ind w:left="420"/>
        <w:widowControl/>
        <w:rPr>
          <w:color w:val="auto"/>
          <w:highlight w:val="none"/>
        </w:rPr>
      </w:pPr>
      <w:r>
        <w:rPr>
          <w:color w:val="auto"/>
          <w:highlight w:val="none"/>
        </w:rPr>
      </w:r>
      <w:r/>
    </w:p>
    <w:p>
      <w:pPr>
        <w:pStyle w:val="748"/>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投标单位：（单位盖章）</w:t>
      </w:r>
      <w:r/>
    </w:p>
    <w:p>
      <w:pPr>
        <w:pStyle w:val="748"/>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法定代表人（负责人）或代理人：（签字或盖章）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8"/>
        <w:ind w:left="0" w:firstLine="0"/>
        <w:jc w:val="left"/>
        <w:rPr>
          <w:rFonts w:ascii="宋体" w:hAnsi="宋体" w:cs="宋体"/>
          <w:b/>
          <w:color w:val="auto"/>
          <w:szCs w:val="21"/>
          <w:highlight w:val="none"/>
        </w:rPr>
        <w:outlineLvl w:val="1"/>
      </w:pPr>
      <w:r>
        <w:rPr>
          <w:rFonts w:hint="eastAsia" w:ascii="宋体" w:hAnsi="宋体" w:cs="宋体"/>
          <w:bCs/>
          <w:color w:val="auto"/>
          <w:szCs w:val="21"/>
          <w:highlight w:val="none"/>
        </w:rPr>
        <w:br w:type="page" w:clear="all"/>
      </w:r>
      <w:r>
        <w:rPr>
          <w:rFonts w:hint="eastAsia" w:ascii="宋体" w:hAnsi="宋体" w:cs="宋体"/>
          <w:bCs/>
          <w:color w:val="auto"/>
          <w:szCs w:val="21"/>
          <w:highlight w:val="none"/>
          <w:lang w:eastAsia="zh-CN"/>
        </w:rPr>
        <w:t xml:space="preserve">8.</w:t>
      </w:r>
      <w:r>
        <w:rPr>
          <w:rFonts w:hint="eastAsia" w:ascii="宋体" w:hAnsi="宋体" w:cs="宋体"/>
          <w:b/>
          <w:color w:val="auto"/>
          <w:szCs w:val="21"/>
          <w:highlight w:val="none"/>
        </w:rPr>
        <w:t xml:space="preserve">商务条款偏离表</w:t>
      </w:r>
      <w:r/>
    </w:p>
    <w:p>
      <w:pPr>
        <w:pStyle w:val="748"/>
        <w:jc w:val="left"/>
        <w:rPr>
          <w:rFonts w:ascii="宋体" w:hAnsi="宋体" w:cs="宋体"/>
          <w:b/>
          <w:color w:val="auto"/>
          <w:szCs w:val="21"/>
          <w:highlight w:val="none"/>
        </w:rPr>
      </w:pPr>
      <w:r>
        <w:rPr>
          <w:rFonts w:ascii="宋体" w:hAnsi="宋体" w:cs="宋体"/>
          <w:b/>
          <w:color w:val="auto"/>
          <w:szCs w:val="21"/>
          <w:highlight w:val="none"/>
        </w:rPr>
      </w:r>
      <w:r/>
    </w:p>
    <w:p>
      <w:pPr>
        <w:pStyle w:val="748"/>
        <w:ind w:left="0" w:firstLine="0"/>
        <w:jc w:val="center"/>
        <w:rPr>
          <w:rFonts w:ascii="宋体" w:hAnsi="宋体" w:cs="宋体"/>
          <w:color w:val="auto"/>
          <w:szCs w:val="21"/>
          <w:highlight w:val="none"/>
        </w:rPr>
      </w:pPr>
      <w:r>
        <w:rPr>
          <w:rFonts w:hint="eastAsia" w:ascii="宋体" w:hAnsi="宋体" w:cs="宋体"/>
          <w:color w:val="auto"/>
          <w:szCs w:val="21"/>
          <w:highlight w:val="none"/>
        </w:rPr>
        <w:t xml:space="preserve">商务条款偏离表</w:t>
      </w:r>
      <w:r/>
    </w:p>
    <w:p>
      <w:pPr>
        <w:pStyle w:val="748"/>
        <w:jc w:val="left"/>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w:t>
      </w:r>
      <w:r/>
    </w:p>
    <w:tbl>
      <w:tblPr>
        <w:tblStyle w:val="72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2243"/>
        <w:gridCol w:w="2802"/>
        <w:gridCol w:w="2802"/>
        <w:gridCol w:w="1281"/>
      </w:tblGrid>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bl>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748"/>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投标单位：（单位盖章）</w:t>
      </w:r>
      <w:r/>
    </w:p>
    <w:p>
      <w:pPr>
        <w:pStyle w:val="748"/>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法定代表人（负责人）或代理人：（签字或盖章）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业绩一览表</w:t>
      </w:r>
      <w:r/>
    </w:p>
    <w:p>
      <w:pPr>
        <w:pStyle w:val="748"/>
        <w:ind w:firstLine="420"/>
        <w:jc w:val="center"/>
        <w:rPr>
          <w:rFonts w:ascii="宋体" w:hAnsi="宋体" w:cs="宋体"/>
          <w:b/>
          <w:color w:val="auto"/>
          <w:szCs w:val="21"/>
          <w:highlight w:val="none"/>
        </w:rPr>
      </w:pPr>
      <w:r>
        <w:rPr>
          <w:rFonts w:ascii="宋体" w:hAnsi="宋体" w:cs="宋体"/>
          <w:b/>
          <w:color w:val="auto"/>
          <w:szCs w:val="21"/>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投标人类似业绩情况表</w:t>
      </w:r>
      <w:r/>
    </w:p>
    <w:tbl>
      <w:tblPr>
        <w:tblStyle w:val="751"/>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2"/>
        <w:gridCol w:w="1422"/>
        <w:gridCol w:w="1422"/>
        <w:gridCol w:w="1422"/>
        <w:gridCol w:w="1422"/>
        <w:gridCol w:w="1423"/>
        <w:gridCol w:w="142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w:t>
            </w:r>
            <w:r/>
          </w:p>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服务</w:t>
            </w:r>
            <w:r>
              <w:rPr>
                <w:rFonts w:hint="eastAsia" w:ascii="宋体" w:hAnsi="宋体" w:cs="宋体"/>
                <w:color w:val="auto"/>
                <w:highlight w:val="none"/>
              </w:rPr>
              <w:t xml:space="preserve">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ind w:firstLine="120"/>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pct"/>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pStyle w:val="748"/>
        <w:ind w:firstLine="420"/>
        <w:jc w:val="center"/>
        <w:rPr>
          <w:rFonts w:ascii="宋体" w:hAnsi="宋体" w:cs="宋体"/>
          <w:b/>
          <w:color w:val="auto"/>
          <w:szCs w:val="21"/>
          <w:highlight w:val="none"/>
        </w:rPr>
      </w:pPr>
      <w:r>
        <w:rPr>
          <w:rFonts w:ascii="宋体" w:hAnsi="宋体" w:cs="宋体"/>
          <w:b/>
          <w:color w:val="auto"/>
          <w:szCs w:val="21"/>
          <w:highlight w:val="none"/>
        </w:rPr>
      </w:r>
      <w:r/>
    </w:p>
    <w:p>
      <w:pPr>
        <w:ind w:firstLine="420"/>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注：需提供对应证明资料。</w:t>
      </w:r>
      <w:r/>
    </w:p>
    <w:p>
      <w:pPr>
        <w:spacing w:line="360" w:lineRule="auto"/>
        <w:rPr>
          <w:rFonts w:ascii="宋体" w:hAnsi="宋体" w:cs="Calibri"/>
          <w:color w:val="auto"/>
          <w:szCs w:val="21"/>
          <w:highlight w:val="none"/>
        </w:rPr>
      </w:pPr>
      <w:r>
        <w:rPr>
          <w:rFonts w:ascii="宋体" w:hAnsi="宋体" w:cs="Calibri"/>
          <w:color w:val="auto"/>
          <w:szCs w:val="21"/>
          <w:highlight w:val="none"/>
        </w:rPr>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投标单位（签章）：</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法定代表人或授权委托人：（签字或签章）</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投标单位情况表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单位盖章：                                       </w:t>
      </w:r>
      <w:r/>
    </w:p>
    <w:tbl>
      <w:tblPr>
        <w:tblStyle w:val="72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92"/>
        <w:gridCol w:w="912"/>
        <w:gridCol w:w="1670"/>
        <w:gridCol w:w="1441"/>
        <w:gridCol w:w="2037"/>
      </w:tblGrid>
      <w:tr>
        <w:trPr>
          <w:cantSplit/>
          <w:jc w:val="center"/>
          <w:trHeight w:val="482"/>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73"/>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ind w:firstLine="1260"/>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现有职工人数</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中高级以上职称的人数</w:t>
            </w:r>
            <w:r/>
          </w:p>
        </w:tc>
        <w:tc>
          <w:tcPr>
            <w:gridSpan w:val="2"/>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2"/>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技术负责人</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姓名     </w:t>
            </w:r>
            <w:r>
              <w:rPr>
                <w:rFonts w:hint="eastAsia" w:ascii="宋体" w:hAnsi="宋体" w:cs="宋体"/>
                <w:color w:val="auto"/>
                <w:szCs w:val="21"/>
                <w:highlight w:val="none"/>
                <w:lang w:eastAsia="zh-CN"/>
              </w:rPr>
              <w:t xml:space="preserve">姓名</w:t>
            </w:r>
            <w:r>
              <w:rPr>
                <w:rFonts w:hint="eastAsia" w:ascii="宋体" w:hAnsi="宋体" w:cs="宋体"/>
                <w:color w:val="auto"/>
                <w:szCs w:val="21"/>
                <w:highlight w:val="none"/>
              </w:rPr>
              <w:t xml:space="preserve">  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职称</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3. </w:t>
            </w:r>
            <w:r>
              <w:rPr>
                <w:rFonts w:hint="eastAsia" w:ascii="宋体" w:hAnsi="宋体" w:cs="宋体"/>
                <w:color w:val="auto"/>
                <w:szCs w:val="21"/>
                <w:highlight w:val="none"/>
              </w:rPr>
              <w:t xml:space="preserve">联系电话</w:t>
            </w:r>
            <w:r/>
          </w:p>
        </w:tc>
      </w:tr>
      <w:tr>
        <w:trPr>
          <w:cantSplit/>
          <w:jc w:val="center"/>
          <w:trHeight w:val="484"/>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财务负责人</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姓名     </w:t>
            </w:r>
            <w:r>
              <w:rPr>
                <w:rFonts w:hint="eastAsia" w:ascii="宋体" w:hAnsi="宋体" w:cs="宋体"/>
                <w:color w:val="auto"/>
                <w:szCs w:val="21"/>
                <w:highlight w:val="none"/>
                <w:lang w:eastAsia="zh-CN"/>
              </w:rPr>
              <w:t xml:space="preserve">姓名</w:t>
            </w:r>
            <w:r>
              <w:rPr>
                <w:rFonts w:hint="eastAsia" w:ascii="宋体" w:hAnsi="宋体" w:cs="宋体"/>
                <w:color w:val="auto"/>
                <w:szCs w:val="21"/>
                <w:highlight w:val="none"/>
              </w:rPr>
              <w:t xml:space="preserve">  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职称</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3. </w:t>
            </w:r>
            <w:r>
              <w:rPr>
                <w:rFonts w:hint="eastAsia" w:ascii="宋体" w:hAnsi="宋体" w:cs="宋体"/>
                <w:color w:val="auto"/>
                <w:szCs w:val="21"/>
                <w:highlight w:val="none"/>
              </w:rPr>
              <w:t xml:space="preserve">联系电话</w:t>
            </w:r>
            <w:r/>
          </w:p>
        </w:tc>
      </w:tr>
      <w:tr>
        <w:trPr>
          <w:cantSplit/>
          <w:jc w:val="center"/>
          <w:trHeight w:val="478"/>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ind w:firstLine="480"/>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年         万元；   </w:t>
            </w:r>
            <w:r/>
          </w:p>
        </w:tc>
      </w:tr>
      <w:tr>
        <w:trPr>
          <w:cantSplit/>
          <w:jc w:val="center"/>
          <w:trHeight w:val="508"/>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gridSpan w:val="2"/>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企业简历</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w:t>
            </w:r>
            <w:r/>
          </w:p>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结果）</w:t>
            </w:r>
            <w:r/>
          </w:p>
        </w:tc>
      </w:tr>
      <w:tr>
        <w:trPr>
          <w:cantSplit/>
          <w:jc w:val="center"/>
          <w:trHeight w:val="1040"/>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最近3年内主要负责人有无经济犯罪被司法机关追究的情况及说明</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4"/>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48"/>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bl>
    <w:p>
      <w:pPr>
        <w:pStyle w:val="748"/>
        <w:ind w:firstLine="420"/>
        <w:spacing w:line="360" w:lineRule="auto"/>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56"/>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56"/>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56"/>
        <w:rPr>
          <w:rFonts w:hAnsi="宋体" w:cs="宋体"/>
          <w:b/>
          <w:color w:val="auto"/>
          <w:szCs w:val="21"/>
          <w:highlight w:val="none"/>
        </w:rPr>
      </w:pPr>
      <w:r>
        <w:rPr>
          <w:rFonts w:hAnsi="宋体" w:cs="宋体"/>
          <w:b/>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numPr>
          <w:ilvl w:val="0"/>
          <w:numId w:val="8"/>
        </w:num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w:t>
      </w:r>
      <w:r/>
    </w:p>
    <w:p>
      <w:pPr>
        <w:pStyle w:val="756"/>
        <w:ind w:firstLine="0"/>
        <w:jc w:val="center"/>
        <w:rPr>
          <w:rFonts w:hAnsi="宋体" w:cs="宋体"/>
          <w:b/>
          <w:color w:val="auto"/>
          <w:szCs w:val="21"/>
          <w:highlight w:val="none"/>
        </w:rPr>
      </w:pPr>
      <w:r>
        <w:rPr>
          <w:rFonts w:hint="eastAsia" w:hAnsi="宋体" w:cs="宋体"/>
          <w:b/>
          <w:color w:val="auto"/>
          <w:szCs w:val="21"/>
          <w:highlight w:val="none"/>
        </w:rPr>
        <w:t xml:space="preserve">中小企业声明函</w:t>
      </w:r>
      <w:r/>
    </w:p>
    <w:p>
      <w:pPr>
        <w:rPr>
          <w:color w:val="auto"/>
          <w:highlight w:val="none"/>
        </w:rPr>
      </w:pPr>
      <w:r>
        <w:rPr>
          <w:color w:val="auto"/>
          <w:highlight w:val="none"/>
        </w:rPr>
      </w:r>
      <w:r/>
    </w:p>
    <w:p>
      <w:pPr>
        <w:pStyle w:val="757"/>
        <w:ind w:right="130" w:firstLine="6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w:t>
      </w:r>
      <w:r>
        <w:rPr>
          <w:rFonts w:hint="eastAsia" w:ascii="宋体" w:hAnsi="宋体" w:cs="宋体"/>
          <w:color w:val="auto"/>
          <w:szCs w:val="21"/>
          <w:highlight w:val="none"/>
          <w:lang w:eastAsia="zh-CN"/>
        </w:rPr>
        <w:t xml:space="preserve">〔2020〕</w:t>
      </w:r>
      <w:r>
        <w:rPr>
          <w:rFonts w:hint="eastAsia" w:ascii="宋体" w:hAnsi="宋体" w:cs="宋体"/>
          <w:color w:val="auto"/>
          <w:szCs w:val="21"/>
          <w:highlight w:val="none"/>
        </w:rPr>
        <w:t xml:space="preserve">46号）的规定，本公司参加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采购活动，服务全部由符合政策要求的中小企业承接。相关企业（若有联合体企业或分包单位，含联合体中的中小企业、签订分包意向协议的中小企业）的具体情况如下：</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（租赁和商务服务业）</w:t>
      </w:r>
      <w:r>
        <w:rPr>
          <w:rFonts w:hint="eastAsia" w:ascii="宋体" w:hAnsi="宋体" w:cs="宋体"/>
          <w:color w:val="auto"/>
          <w:szCs w:val="21"/>
          <w:highlight w:val="none"/>
        </w:rPr>
        <w:t xml:space="preserve">；承建企业为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，从业人员人，营业收入为万元，资产总额为万元（注），属于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（租赁和商务服务业）</w:t>
      </w:r>
      <w:r>
        <w:rPr>
          <w:rFonts w:hint="eastAsia" w:ascii="宋体" w:hAnsi="宋体" w:cs="宋体"/>
          <w:color w:val="auto"/>
          <w:szCs w:val="21"/>
          <w:highlight w:val="none"/>
        </w:rPr>
        <w:t xml:space="preserve">；承建企业为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8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备注：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val="zh-CN"/>
        </w:rPr>
        <w:t xml:space="preserve">若供应商提供的“中小企业声明函”内容不实的，属于提供虚假材料谋取中标、成交，将依照《中华人民共和国政府采购法》等国家有关规定追究相应责任。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440" w:lineRule="exact"/>
        <w:rPr>
          <w:rFonts w:ascii="宋体" w:hAnsi="宋体" w:cs="宋体"/>
          <w:b/>
          <w:color w:val="auto"/>
          <w:szCs w:val="21"/>
          <w:highlight w:val="none"/>
        </w:rPr>
        <w:outlineLvl w:val="0"/>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中标供应商为中小企业的，《中小企业声明函》将随中标结果同时公告。</w:t>
      </w:r>
      <w:r>
        <w:rPr>
          <w:rFonts w:hint="eastAsia" w:ascii="宋体" w:hAnsi="宋体" w:cs="宋体"/>
          <w:color w:val="auto"/>
          <w:szCs w:val="21"/>
          <w:highlight w:val="none"/>
        </w:rPr>
        <w:br w:type="page" w:clear="all"/>
      </w:r>
      <w:r>
        <w:rPr>
          <w:rFonts w:hint="eastAsia" w:ascii="宋体" w:hAnsi="宋体" w:cs="宋体"/>
          <w:b/>
          <w:color w:val="auto"/>
          <w:szCs w:val="21"/>
          <w:highlight w:val="none"/>
        </w:rPr>
        <w:t xml:space="preserve">附：中小企业划型标准规定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（十四）物业管理。从业人员1000人以下或营业收入5000万元以下的为中小微型企业。其中，从业人员</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spacing w:line="440" w:lineRule="exact"/>
        <w:rPr>
          <w:rFonts w:ascii="宋体" w:hAnsi="宋体" w:cs="宋体"/>
          <w:b/>
          <w:bCs/>
          <w:color w:val="auto"/>
          <w:szCs w:val="21"/>
          <w:highlight w:val="none"/>
        </w:rPr>
        <w:outlineLvl w:val="0"/>
      </w:pPr>
      <w:r>
        <w:rPr>
          <w:rFonts w:hint="eastAsia" w:ascii="宋体" w:hAnsi="宋体" w:cs="宋体"/>
          <w:color w:val="auto"/>
          <w:szCs w:val="21"/>
          <w:highlight w:val="none"/>
          <w:lang w:eastAsia="zh-CN"/>
        </w:rPr>
        <w:t xml:space="preserve">12. </w:t>
      </w:r>
      <w:r>
        <w:rPr>
          <w:rFonts w:hint="eastAsia" w:ascii="宋体" w:hAnsi="宋体" w:cs="宋体"/>
          <w:b/>
          <w:bCs/>
          <w:color w:val="auto"/>
          <w:szCs w:val="21"/>
          <w:highlight w:val="none"/>
        </w:rPr>
        <w:t xml:space="preserve">残疾人福利性单位声明函</w:t>
      </w:r>
      <w:r/>
    </w:p>
    <w:p>
      <w:pPr>
        <w:pStyle w:val="756"/>
        <w:rPr>
          <w:color w:val="auto"/>
          <w:highlight w:val="none"/>
        </w:rPr>
      </w:pPr>
      <w:r>
        <w:rPr>
          <w:color w:val="auto"/>
          <w:highlight w:val="none"/>
        </w:rPr>
      </w:r>
      <w:r/>
    </w:p>
    <w:p>
      <w:pPr>
        <w:jc w:val="center"/>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残疾人福利性单位声明函</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本单位对上述声明的真实性负责。如有虚假，将依法承担相应责任。</w:t>
      </w:r>
      <w:r/>
    </w:p>
    <w:p>
      <w:pP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pStyle w:val="758"/>
        <w:ind w:righ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758"/>
        <w:ind w:righ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pStyle w:val="758"/>
        <w:ind w:righ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numPr>
          <w:ilvl w:val="0"/>
          <w:numId w:val="0"/>
        </w:numP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lang w:val="en-US" w:eastAsia="zh-CN"/>
        </w:rPr>
        <w:t xml:space="preserve">13.</w:t>
      </w:r>
      <w:r>
        <w:rPr>
          <w:rFonts w:hint="eastAsia" w:hAnsi="宋体" w:eastAsia="宋体" w:cs="宋体"/>
          <w:b/>
          <w:bCs/>
          <w:color w:val="auto"/>
          <w:sz w:val="21"/>
          <w:szCs w:val="21"/>
          <w:highlight w:val="none"/>
        </w:rPr>
        <w:t xml:space="preserve">投标保证承诺书</w:t>
      </w:r>
      <w:r/>
    </w:p>
    <w:p>
      <w:pPr>
        <w:pStyle w:val="928"/>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投标保证承诺书</w:t>
      </w:r>
      <w:r/>
    </w:p>
    <w:p>
      <w:pPr>
        <w:pStyle w:val="928"/>
        <w:jc w:val="center"/>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苏州捷信招投标咨询有限公司：</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我（单位/本人，以下统称我单位）自愿参加项目编号</w:t>
      </w:r>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号的投标，并做出如下承诺：</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1.</w:t>
      </w:r>
      <w:r>
        <w:rPr>
          <w:rFonts w:hint="eastAsia" w:hAnsi="宋体" w:eastAsia="宋体" w:cs="宋体"/>
          <w:color w:val="auto"/>
          <w:sz w:val="21"/>
          <w:szCs w:val="21"/>
          <w:highlight w:val="none"/>
        </w:rPr>
        <w:t xml:space="preserve">除不可抗力外，我单位如果发生以下行为，将在行为发生的10个工作日内，向贵方（或采购人）支付本采购文件公布的预算金额（或最高限价）的2％作为违约赔偿金（数量不确定的单价采购按壹万元计）。</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（1）自投标截止时间至本项目发布中标公告为止，撤销投标；</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（2）中标后不依法与采购人签订合同；</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（3）中标后不按本采购文件规定向采购人提交履约保证金；</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（4）中标后不按本采购文件规定向贵方缴纳采购代理费。</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2.</w:t>
      </w:r>
      <w:r>
        <w:rPr>
          <w:rFonts w:hint="eastAsia" w:hAnsi="宋体" w:eastAsia="宋体" w:cs="宋体"/>
          <w:color w:val="auto"/>
          <w:sz w:val="21"/>
          <w:szCs w:val="21"/>
          <w:highlight w:val="none"/>
        </w:rPr>
        <w:t xml:space="preserve">我单位知晓上述行为的法律后果，承认本承诺书作为贵方（或采购人）要求我单位履行违约赔偿义务的</w:t>
      </w:r>
      <w:r>
        <w:rPr>
          <w:rFonts w:hint="eastAsia" w:hAnsi="宋体" w:eastAsia="宋体" w:cs="宋体"/>
          <w:color w:val="auto"/>
          <w:sz w:val="21"/>
          <w:szCs w:val="21"/>
          <w:highlight w:val="none"/>
          <w:lang w:eastAsia="zh-CN"/>
        </w:rPr>
        <w:t xml:space="preserve">依据</w:t>
      </w:r>
      <w:r>
        <w:rPr>
          <w:rFonts w:hint="eastAsia" w:hAnsi="宋体" w:eastAsia="宋体" w:cs="宋体"/>
          <w:color w:val="auto"/>
          <w:sz w:val="21"/>
          <w:szCs w:val="21"/>
          <w:highlight w:val="none"/>
        </w:rPr>
        <w:t xml:space="preserve">。</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电话：</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传真：                                 邮编：</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电子邮件：</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投标人（单位盖章）：</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法定代表人和代理人（签字或盖章）：</w:t>
      </w:r>
      <w:r/>
    </w:p>
    <w:p>
      <w:pPr>
        <w:pStyle w:val="928"/>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rPr>
          <w:rFonts w:ascii="宋体" w:hAnsi="宋体" w:cs="宋体"/>
          <w:color w:val="auto"/>
          <w:szCs w:val="21"/>
          <w:highlight w:val="none"/>
        </w:rPr>
      </w:pPr>
      <w:r>
        <w:rPr>
          <w:rFonts w:ascii="宋体" w:hAnsi="宋体" w:cs="宋体"/>
          <w:color w:val="auto"/>
          <w:szCs w:val="21"/>
          <w:highlight w:val="none"/>
        </w:rPr>
      </w:r>
      <w:r/>
    </w:p>
    <w:p>
      <w:pPr>
        <w:pStyle w:val="757"/>
        <w:rPr>
          <w:rFonts w:ascii="宋体" w:hAnsi="宋体" w:cs="宋体"/>
          <w:color w:val="auto"/>
          <w:szCs w:val="21"/>
          <w:highlight w:val="none"/>
        </w:rPr>
      </w:pPr>
      <w:r>
        <w:rPr>
          <w:rFonts w:ascii="宋体" w:hAnsi="宋体" w:cs="宋体"/>
          <w:color w:val="auto"/>
          <w:szCs w:val="21"/>
          <w:highlight w:val="none"/>
        </w:rPr>
      </w:r>
      <w:r/>
    </w:p>
    <w:p>
      <w:pPr>
        <w:pStyle w:val="758"/>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7"/>
        <w:rPr>
          <w:rFonts w:ascii="宋体" w:hAnsi="宋体" w:cs="宋体"/>
          <w:color w:val="auto"/>
          <w:szCs w:val="21"/>
          <w:highlight w:val="none"/>
        </w:rPr>
      </w:pPr>
      <w:r>
        <w:rPr>
          <w:rFonts w:ascii="宋体" w:hAnsi="宋体" w:cs="宋体"/>
          <w:color w:val="auto"/>
          <w:szCs w:val="21"/>
          <w:highlight w:val="none"/>
        </w:rPr>
      </w:r>
      <w:r/>
    </w:p>
    <w:p>
      <w:pPr>
        <w:pStyle w:val="758"/>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7"/>
        <w:rPr>
          <w:rFonts w:ascii="宋体" w:hAnsi="宋体" w:cs="宋体"/>
          <w:color w:val="auto"/>
          <w:szCs w:val="21"/>
          <w:highlight w:val="none"/>
        </w:rPr>
      </w:pPr>
      <w:r>
        <w:rPr>
          <w:rFonts w:ascii="宋体" w:hAnsi="宋体" w:cs="宋体"/>
          <w:color w:val="auto"/>
          <w:szCs w:val="21"/>
          <w:highlight w:val="none"/>
        </w:rPr>
      </w:r>
      <w:r/>
    </w:p>
    <w:p>
      <w:pPr>
        <w:pStyle w:val="758"/>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7"/>
        <w:rPr>
          <w:rFonts w:ascii="宋体" w:hAnsi="宋体" w:cs="宋体"/>
          <w:color w:val="auto"/>
          <w:szCs w:val="21"/>
          <w:highlight w:val="none"/>
        </w:rPr>
      </w:pPr>
      <w:r>
        <w:rPr>
          <w:rFonts w:ascii="宋体" w:hAnsi="宋体" w:cs="宋体"/>
          <w:color w:val="auto"/>
          <w:szCs w:val="21"/>
          <w:highlight w:val="none"/>
        </w:rPr>
      </w:r>
      <w:r/>
    </w:p>
    <w:p>
      <w:pPr>
        <w:pStyle w:val="758"/>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7"/>
        <w:rPr>
          <w:rFonts w:ascii="宋体" w:hAnsi="宋体" w:cs="宋体"/>
          <w:color w:val="auto"/>
          <w:szCs w:val="21"/>
          <w:highlight w:val="none"/>
        </w:rPr>
      </w:pPr>
      <w:r>
        <w:rPr>
          <w:rFonts w:ascii="宋体" w:hAnsi="宋体" w:cs="宋体"/>
          <w:color w:val="auto"/>
          <w:szCs w:val="21"/>
          <w:highlight w:val="none"/>
        </w:rPr>
      </w:r>
      <w:r/>
    </w:p>
    <w:p>
      <w:pPr>
        <w:pStyle w:val="758"/>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57"/>
        <w:rPr>
          <w:color w:val="auto"/>
          <w:highlight w:val="none"/>
        </w:rPr>
      </w:pPr>
      <w:r>
        <w:rPr>
          <w:color w:val="auto"/>
          <w:highlight w:val="none"/>
        </w:rPr>
      </w:r>
      <w:r/>
    </w:p>
    <w:p>
      <w:pPr>
        <w:pStyle w:val="758"/>
        <w:rPr>
          <w:b/>
          <w:color w:val="auto"/>
          <w:sz w:val="21"/>
          <w:szCs w:val="21"/>
          <w:highlight w:val="none"/>
        </w:rPr>
      </w:pPr>
      <w:r>
        <w:rPr>
          <w:rFonts w:hint="eastAsia" w:ascii="宋体" w:hAnsi="宋体"/>
          <w:b/>
          <w:color w:val="auto"/>
          <w:highlight w:val="none"/>
        </w:rPr>
        <w:br w:type="page" w:clear="all"/>
      </w:r>
      <w:r/>
    </w:p>
    <w:p>
      <w:pPr>
        <w:jc w:val="left"/>
        <w:spacing w:line="360" w:lineRule="auto"/>
        <w:rPr>
          <w:rFonts w:hint="default" w:ascii="宋体" w:hAnsi="宋体" w:eastAsia="宋体"/>
          <w:b/>
          <w:color w:val="auto"/>
          <w:szCs w:val="21"/>
          <w:highlight w:val="none"/>
          <w:lang w:val="en-US" w:eastAsia="zh-CN"/>
        </w:rPr>
      </w:pPr>
      <w:r/>
      <w:bookmarkStart w:id="5" w:name="_Toc5296424"/>
      <w:r>
        <w:rPr>
          <w:rFonts w:ascii="宋体" w:hAnsi="宋体"/>
          <w:b/>
          <w:color w:val="auto"/>
          <w:szCs w:val="21"/>
          <w:highlight w:val="none"/>
        </w:rPr>
        <w:t xml:space="preserve">附件1</w:t>
      </w:r>
      <w:bookmarkEnd w:id="5"/>
      <w:r>
        <w:rPr>
          <w:rFonts w:hint="eastAsia" w:ascii="宋体" w:hAnsi="宋体"/>
          <w:b/>
          <w:color w:val="auto"/>
          <w:szCs w:val="21"/>
          <w:highlight w:val="none"/>
          <w:lang w:val="en-US" w:eastAsia="zh-CN"/>
        </w:rPr>
        <w:t xml:space="preserve">4.</w:t>
      </w:r>
      <w:r/>
    </w:p>
    <w:p>
      <w:pPr>
        <w:rPr>
          <w:rFonts w:ascii="Times New Roman" w:hAnsi="Times New Roman"/>
          <w:color w:val="auto"/>
          <w:highlight w:val="none"/>
          <w:lang w:val="zh-CN"/>
        </w:rPr>
      </w:pPr>
      <w:r>
        <w:rPr>
          <w:rFonts w:ascii="Times New Roman" w:hAnsi="Times New Roman"/>
          <w:color w:val="auto"/>
          <w:highlight w:val="none"/>
          <w:lang w:val="zh-CN"/>
        </w:rPr>
      </w:r>
      <w:r/>
    </w:p>
    <w:p>
      <w:pPr>
        <w:pStyle w:val="948"/>
        <w:ind w:left="0" w:firstLine="0"/>
        <w:jc w:val="center"/>
        <w:keepLines w:val="0"/>
        <w:keepNext w:val="0"/>
        <w:spacing w:before="0" w:after="0"/>
        <w:rPr>
          <w:color w:val="auto"/>
          <w:highlight w:val="none"/>
        </w:rPr>
      </w:pPr>
      <w:r>
        <w:rPr>
          <w:rFonts w:hint="eastAsia" w:ascii="宋体" w:hAnsi="宋体" w:eastAsia="宋体" w:cs="宋体"/>
          <w:b/>
          <w:bCs/>
          <w:color w:val="auto"/>
          <w:sz w:val="21"/>
          <w:szCs w:val="21"/>
          <w:highlight w:val="none"/>
        </w:rPr>
        <w:t xml:space="preserve">关于符合本国产品标准的声明函</w:t>
      </w:r>
      <w:r/>
    </w:p>
    <w:p>
      <w:pPr>
        <w:pStyle w:val="948"/>
        <w:ind w:left="0" w:firstLine="0"/>
        <w:keepLines w:val="0"/>
        <w:keepNext w:val="0"/>
        <w:spacing w:before="0" w:after="0"/>
        <w:rPr>
          <w:color w:val="auto"/>
          <w:highlight w:val="none"/>
        </w:rPr>
      </w:pPr>
      <w:r>
        <w:rPr>
          <w:color w:val="auto"/>
          <w:highlight w:val="none"/>
        </w:rPr>
      </w:r>
      <w:r/>
    </w:p>
    <w:p>
      <w:pPr>
        <w:pStyle w:val="948"/>
        <w:ind w:left="0" w:firstLine="0"/>
        <w:keepLines w:val="0"/>
        <w:keepNext w:val="0"/>
        <w:spacing w:before="0" w:after="0" w:line="360" w:lineRule="auto"/>
        <w:widowControl/>
        <w:rPr>
          <w:color w:val="auto"/>
          <w:highlight w:val="none"/>
        </w:rPr>
      </w:pPr>
      <w:r>
        <w:rPr>
          <w:color w:val="auto"/>
          <w:highlight w:val="none"/>
        </w:rPr>
      </w:r>
      <w:r/>
    </w:p>
    <w:p>
      <w:pPr>
        <w:pStyle w:val="948"/>
        <w:ind w:left="0" w:firstLine="480"/>
        <w:keepLines w:val="0"/>
        <w:keepNext w:val="0"/>
        <w:spacing w:before="0" w:after="0" w:line="360" w:lineRule="auto"/>
        <w:widowControl/>
        <w:rPr>
          <w:color w:val="auto"/>
          <w:highlight w:val="none"/>
        </w:rPr>
      </w:pPr>
      <w:r>
        <w:rPr>
          <w:rFonts w:hint="eastAsia" w:ascii="宋体" w:hAnsi="宋体" w:eastAsia="宋体" w:cs="宋体"/>
          <w:color w:val="auto"/>
          <w:sz w:val="21"/>
          <w:szCs w:val="21"/>
          <w:highlight w:val="none"/>
        </w:rPr>
        <w:t xml:space="preserve">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948"/>
        <w:ind w:left="0" w:firstLine="420"/>
        <w:keepLines w:val="0"/>
        <w:keepNext w:val="0"/>
        <w:spacing w:before="30" w:after="3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1.</w:t>
      </w:r>
      <w:r>
        <w:rPr>
          <w:rFonts w:hint="eastAsia" w:ascii="宋体" w:hAnsi="宋体" w:eastAsia="宋体" w:cs="宋体"/>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strike/>
          <w:color w:val="auto"/>
          <w:sz w:val="21"/>
          <w:szCs w:val="21"/>
          <w:highlight w:val="none"/>
          <w:u w:val="single"/>
          <w:shd w:val="clear" w:color="auto" w:fill="ffffff"/>
        </w:rPr>
        <w:t xml:space="preserve">（规定比例）</w:t>
      </w:r>
      <w:r>
        <w:rPr>
          <w:rFonts w:hint="eastAsia" w:ascii="宋体" w:hAnsi="宋体" w:eastAsia="宋体" w:cs="宋体"/>
          <w:strike/>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（关键工序）</w:t>
      </w:r>
      <w:r>
        <w:rPr>
          <w:rFonts w:hint="eastAsia" w:ascii="宋体" w:hAnsi="宋体" w:eastAsia="宋体" w:cs="宋体"/>
          <w:strike/>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948"/>
        <w:ind w:left="0" w:firstLine="420"/>
        <w:keepLines w:val="0"/>
        <w:keepNext w:val="0"/>
        <w:spacing w:before="30" w:after="3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2.</w:t>
      </w:r>
      <w:r>
        <w:rPr>
          <w:rFonts w:hint="eastAsia" w:ascii="宋体" w:hAnsi="宋体" w:eastAsia="宋体" w:cs="宋体"/>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strike/>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strike/>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strike/>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948"/>
        <w:ind w:left="0" w:firstLine="420"/>
        <w:keepLines w:val="0"/>
        <w:keepNext w:val="0"/>
        <w:spacing w:before="30" w:after="3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w:t>
      </w:r>
      <w:r/>
    </w:p>
    <w:p>
      <w:pPr>
        <w:pStyle w:val="948"/>
        <w:ind w:left="0" w:firstLine="420"/>
        <w:keepLines w:val="0"/>
        <w:keepNext w:val="0"/>
        <w:spacing w:before="30" w:after="30" w:line="0" w:lineRule="atLeast"/>
        <w:widowControl/>
        <w:rPr>
          <w:color w:val="auto"/>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948"/>
        <w:keepLines w:val="0"/>
        <w:keepNext w:val="0"/>
        <w:spacing w:before="30" w:after="30" w:line="0" w:lineRule="atLeast"/>
        <w:widowControl/>
        <w:rPr>
          <w:color w:val="auto"/>
          <w:highlight w:val="none"/>
        </w:rPr>
      </w:pPr>
      <w:r>
        <w:rPr>
          <w:color w:val="auto"/>
          <w:highlight w:val="none"/>
        </w:rPr>
      </w:r>
      <w:r/>
    </w:p>
    <w:p>
      <w:pPr>
        <w:pStyle w:val="948"/>
        <w:ind w:left="0" w:right="480" w:firstLine="0"/>
        <w:keepLines w:val="0"/>
        <w:keepNext w:val="0"/>
        <w:spacing w:before="30" w:after="3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公司（单位）名称（盖章）：</w:t>
      </w:r>
      <w:r/>
    </w:p>
    <w:p>
      <w:pPr>
        <w:pStyle w:val="948"/>
        <w:ind w:left="0" w:firstLine="0"/>
        <w:keepLines w:val="0"/>
        <w:keepNext w:val="0"/>
        <w:spacing w:before="30" w:after="3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日期</w:t>
      </w:r>
      <w:r>
        <w:rPr>
          <w:rFonts w:hint="eastAsia" w:ascii="宋体" w:hAnsi="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shd w:val="clear" w:color="auto" w:fill="ffffff"/>
        </w:rPr>
        <w:t xml:space="preserve">年月日</w:t>
      </w:r>
      <w:r/>
    </w:p>
    <w:p>
      <w:pPr>
        <w:pStyle w:val="948"/>
        <w:keepLines w:val="0"/>
        <w:keepNext w:val="0"/>
        <w:spacing w:before="30" w:after="30" w:line="0" w:lineRule="atLeast"/>
        <w:widowControl/>
        <w:rPr>
          <w:color w:val="auto"/>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948"/>
        <w:ind w:left="0" w:firstLine="420"/>
        <w:keepLines w:val="0"/>
        <w:keepNext w:val="0"/>
        <w:spacing w:before="0" w:after="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948"/>
        <w:ind w:left="0" w:firstLine="420"/>
        <w:keepLines w:val="0"/>
        <w:keepNext w:val="0"/>
        <w:spacing w:before="0" w:after="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948"/>
        <w:ind w:left="0" w:firstLine="420"/>
        <w:keepLines w:val="0"/>
        <w:keepNext w:val="0"/>
        <w:spacing w:before="0" w:after="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948"/>
        <w:ind w:left="0" w:firstLine="420"/>
        <w:keepLines w:val="0"/>
        <w:keepNext w:val="0"/>
        <w:spacing w:before="0" w:after="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948"/>
        <w:ind w:left="0" w:firstLine="420"/>
        <w:keepLines w:val="0"/>
        <w:keepNext w:val="0"/>
        <w:spacing w:before="0" w:after="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948"/>
        <w:ind w:left="0" w:firstLine="420"/>
        <w:keepLines w:val="0"/>
        <w:keepNext w:val="0"/>
        <w:spacing w:before="0" w:after="0" w:line="360" w:lineRule="auto"/>
        <w:widowControl/>
        <w:rPr>
          <w:color w:val="auto"/>
          <w:highlight w:val="none"/>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948"/>
        <w:ind w:left="0" w:firstLine="0"/>
        <w:keepLines w:val="0"/>
        <w:keepNext w:val="0"/>
        <w:spacing w:before="0" w:after="0"/>
        <w:rPr>
          <w:color w:val="auto"/>
          <w:highlight w:val="none"/>
        </w:rPr>
      </w:pPr>
      <w:r>
        <w:rPr>
          <w:color w:val="auto"/>
          <w:highlight w:val="none"/>
        </w:rPr>
      </w:r>
      <w:r/>
    </w:p>
    <w:p>
      <w:pPr>
        <w:rPr>
          <w:b/>
          <w:color w:val="auto"/>
          <w:szCs w:val="21"/>
          <w:highlight w:val="none"/>
        </w:rPr>
      </w:pPr>
      <w:r>
        <w:rPr>
          <w:b/>
          <w:color w:val="auto"/>
          <w:szCs w:val="21"/>
          <w:highlight w:val="none"/>
        </w:rPr>
      </w:r>
      <w:r/>
    </w:p>
    <w:p>
      <w:pPr>
        <w:pStyle w:val="757"/>
        <w:rPr>
          <w:b/>
          <w:color w:val="auto"/>
          <w:szCs w:val="21"/>
          <w:highlight w:val="none"/>
        </w:rPr>
      </w:pPr>
      <w:r>
        <w:rPr>
          <w:b/>
          <w:color w:val="auto"/>
          <w:szCs w:val="21"/>
          <w:highlight w:val="none"/>
        </w:rPr>
      </w:r>
      <w:r/>
    </w:p>
    <w:p>
      <w:pPr>
        <w:pStyle w:val="758"/>
        <w:rPr>
          <w:b/>
          <w:color w:val="auto"/>
          <w:sz w:val="21"/>
          <w:szCs w:val="21"/>
          <w:highlight w:val="none"/>
        </w:rPr>
      </w:pPr>
      <w:r>
        <w:rPr>
          <w:b/>
          <w:color w:val="auto"/>
          <w:sz w:val="21"/>
          <w:szCs w:val="21"/>
          <w:highlight w:val="none"/>
        </w:rPr>
      </w:r>
      <w:r/>
    </w:p>
    <w:p>
      <w:pPr>
        <w:rPr>
          <w:b/>
          <w:color w:val="auto"/>
          <w:szCs w:val="21"/>
          <w:highlight w:val="none"/>
        </w:rPr>
      </w:pPr>
      <w:r>
        <w:rPr>
          <w:b/>
          <w:color w:val="auto"/>
          <w:szCs w:val="21"/>
          <w:highlight w:val="none"/>
        </w:rPr>
      </w:r>
      <w:r/>
    </w:p>
    <w:p>
      <w:pPr>
        <w:pStyle w:val="757"/>
        <w:rPr>
          <w:b/>
          <w:color w:val="auto"/>
          <w:szCs w:val="21"/>
          <w:highlight w:val="none"/>
        </w:rPr>
      </w:pPr>
      <w:r>
        <w:rPr>
          <w:b/>
          <w:color w:val="auto"/>
          <w:szCs w:val="21"/>
          <w:highlight w:val="none"/>
        </w:rPr>
      </w:r>
      <w:r/>
    </w:p>
    <w:p>
      <w:pPr>
        <w:pStyle w:val="758"/>
        <w:rPr>
          <w:b/>
          <w:color w:val="auto"/>
          <w:sz w:val="21"/>
          <w:szCs w:val="21"/>
          <w:highlight w:val="none"/>
        </w:rPr>
      </w:pPr>
      <w:r>
        <w:rPr>
          <w:b/>
          <w:color w:val="auto"/>
          <w:sz w:val="21"/>
          <w:szCs w:val="21"/>
          <w:highlight w:val="none"/>
        </w:rPr>
      </w:r>
      <w:r/>
    </w:p>
    <w:p>
      <w:pPr>
        <w:rPr>
          <w:b/>
          <w:color w:val="auto"/>
          <w:szCs w:val="21"/>
          <w:highlight w:val="none"/>
        </w:rPr>
      </w:pPr>
      <w:r>
        <w:rPr>
          <w:b/>
          <w:color w:val="auto"/>
          <w:szCs w:val="21"/>
          <w:highlight w:val="none"/>
        </w:rPr>
      </w:r>
      <w:r/>
    </w:p>
    <w:p>
      <w:pPr>
        <w:pStyle w:val="757"/>
        <w:rPr>
          <w:b/>
          <w:color w:val="auto"/>
          <w:szCs w:val="21"/>
          <w:highlight w:val="none"/>
        </w:rPr>
      </w:pPr>
      <w:r>
        <w:rPr>
          <w:b/>
          <w:color w:val="auto"/>
          <w:szCs w:val="21"/>
          <w:highlight w:val="none"/>
        </w:rPr>
      </w:r>
      <w:r/>
    </w:p>
    <w:p>
      <w:pPr>
        <w:pStyle w:val="758"/>
        <w:rPr>
          <w:b/>
          <w:color w:val="auto"/>
          <w:sz w:val="21"/>
          <w:szCs w:val="21"/>
          <w:highlight w:val="none"/>
        </w:rPr>
      </w:pPr>
      <w:r>
        <w:rPr>
          <w:b/>
          <w:color w:val="auto"/>
          <w:sz w:val="21"/>
          <w:szCs w:val="21"/>
          <w:highlight w:val="none"/>
        </w:rPr>
      </w:r>
      <w:r/>
    </w:p>
    <w:p>
      <w:pPr>
        <w:rPr>
          <w:b/>
          <w:color w:val="auto"/>
          <w:szCs w:val="21"/>
          <w:highlight w:val="none"/>
        </w:rPr>
      </w:pPr>
      <w:r>
        <w:rPr>
          <w:b/>
          <w:color w:val="auto"/>
          <w:szCs w:val="21"/>
          <w:highlight w:val="none"/>
        </w:rPr>
      </w:r>
      <w:r/>
    </w:p>
    <w:p>
      <w:pPr>
        <w:pStyle w:val="757"/>
        <w:rPr>
          <w:b/>
          <w:color w:val="auto"/>
          <w:szCs w:val="21"/>
          <w:highlight w:val="none"/>
        </w:rPr>
      </w:pPr>
      <w:r>
        <w:rPr>
          <w:b/>
          <w:color w:val="auto"/>
          <w:szCs w:val="21"/>
          <w:highlight w:val="none"/>
        </w:rPr>
      </w:r>
      <w:r/>
    </w:p>
    <w:p>
      <w:pPr>
        <w:jc w:val="center"/>
        <w:spacing w:line="360" w:lineRule="auto"/>
        <w:widowControl/>
        <w:rPr>
          <w:rFonts w:ascii="宋体" w:cs="宋体"/>
          <w:b/>
          <w:color w:val="auto"/>
          <w:sz w:val="32"/>
          <w:szCs w:val="32"/>
          <w:highlight w:val="none"/>
        </w:rPr>
      </w:pPr>
      <w:r>
        <w:rPr>
          <w:rFonts w:hint="eastAsia" w:ascii="宋体" w:cs="宋体"/>
          <w:b/>
          <w:color w:val="auto"/>
          <w:sz w:val="32"/>
          <w:szCs w:val="32"/>
          <w:highlight w:val="none"/>
        </w:rPr>
        <w:t xml:space="preserve">第四章采购需求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苏州捷信招投标咨询有限公司受苏州市不动产登记中心吴中分中心委托，对其要求采购的</w:t>
      </w:r>
      <w:r>
        <w:rPr>
          <w:rFonts w:hint="eastAsia" w:ascii="宋体" w:hAnsi="宋体" w:cs="宋体"/>
          <w:color w:val="auto"/>
          <w:szCs w:val="21"/>
          <w:highlight w:val="none"/>
          <w:lang w:eastAsia="zh-CN"/>
        </w:rPr>
        <w:t xml:space="preserve">购买不动产继承公证项目</w:t>
      </w:r>
      <w:r>
        <w:rPr>
          <w:rFonts w:hint="eastAsia" w:ascii="宋体" w:hAnsi="宋体" w:cs="宋体"/>
          <w:color w:val="auto"/>
          <w:szCs w:val="21"/>
          <w:highlight w:val="none"/>
        </w:rPr>
        <w:t xml:space="preserve">进行公开招标，欢迎符合资格条件和具备履约能力的供应商单位前来参与。</w:t>
      </w:r>
      <w:r/>
    </w:p>
    <w:p>
      <w:pPr>
        <w:numPr>
          <w:ilvl w:val="0"/>
          <w:numId w:val="9"/>
        </w:numPr>
        <w:ind w:firstLine="420"/>
        <w:jc w:val="left"/>
        <w:spacing w:line="360" w:lineRule="auto"/>
        <w:rPr>
          <w:rFonts w:ascii="宋体" w:hAnsi="宋体" w:cs="宋体"/>
          <w:b/>
          <w:bCs/>
          <w:color w:val="auto"/>
          <w:szCs w:val="21"/>
          <w:highlight w:val="none"/>
        </w:rPr>
      </w:pPr>
      <w:r/>
      <w:bookmarkStart w:id="6" w:name="_Toc13642116"/>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lang w:eastAsia="zh-CN"/>
        </w:rPr>
        <w:t xml:space="preserve">JSZC-320506-SZJX-G2026-0050</w:t>
      </w:r>
      <w:r/>
    </w:p>
    <w:p>
      <w:pPr>
        <w:ind w:firstLine="420"/>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二、项目名称：</w:t>
      </w:r>
      <w:r>
        <w:rPr>
          <w:rFonts w:hint="eastAsia" w:ascii="宋体" w:hAnsi="宋体" w:cs="宋体"/>
          <w:color w:val="auto"/>
          <w:szCs w:val="21"/>
          <w:highlight w:val="none"/>
          <w:lang w:eastAsia="zh-CN"/>
        </w:rPr>
        <w:t xml:space="preserve">购买不动产继承公证项目</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三、采购预算：</w:t>
      </w:r>
      <w:r>
        <w:rPr>
          <w:rFonts w:hint="eastAsia" w:ascii="宋体" w:hAnsi="宋体" w:cs="宋体"/>
          <w:color w:val="auto"/>
          <w:szCs w:val="21"/>
          <w:highlight w:val="none"/>
        </w:rPr>
        <w:t xml:space="preserve">人民币肆佰柒拾万元整（¥4700000.00）</w:t>
      </w:r>
      <w:r/>
    </w:p>
    <w:p>
      <w:pPr>
        <w:ind w:firstLine="420"/>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四、最高限价：</w:t>
      </w:r>
      <w:r>
        <w:rPr>
          <w:rFonts w:hint="eastAsia" w:asciiTheme="minorEastAsia" w:hAnsiTheme="minorEastAsia" w:eastAsiaTheme="minorEastAsia" w:cstheme="minorEastAsia"/>
          <w:color w:val="auto"/>
          <w:highlight w:val="none"/>
        </w:rPr>
        <w:t xml:space="preserve">本项目按单价报价，最高限价不超过</w:t>
      </w:r>
      <w:r>
        <w:rPr>
          <w:rFonts w:hint="eastAsia" w:asciiTheme="minorEastAsia" w:hAnsiTheme="minorEastAsia" w:eastAsiaTheme="minorEastAsia" w:cstheme="minorEastAsia"/>
          <w:color w:val="auto"/>
          <w:highlight w:val="none"/>
          <w:lang w:eastAsia="zh-CN"/>
        </w:rPr>
        <w:t xml:space="preserve">3685</w:t>
      </w:r>
      <w:r>
        <w:rPr>
          <w:rFonts w:hint="eastAsia" w:asciiTheme="minorEastAsia" w:hAnsiTheme="minorEastAsia" w:eastAsiaTheme="minorEastAsia" w:cstheme="minorEastAsia"/>
          <w:color w:val="auto"/>
          <w:highlight w:val="none"/>
        </w:rPr>
        <w:t xml:space="preserve">元/件，项目根据实际产生的公证件数结算，最终结算金额不超过项目预算金额。</w:t>
      </w:r>
      <w:r/>
    </w:p>
    <w:p>
      <w:pPr>
        <w:ind w:firstLine="420"/>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五、合同期限：</w:t>
      </w:r>
      <w:bookmarkEnd w:id="6"/>
      <w:r>
        <w:rPr>
          <w:rFonts w:hint="eastAsia" w:ascii="宋体" w:hAnsi="宋体" w:cs="宋体"/>
          <w:color w:val="auto"/>
          <w:szCs w:val="21"/>
          <w:highlight w:val="none"/>
        </w:rPr>
        <w:t xml:space="preserve">贰年（具体时间以采购人通知为准）</w:t>
      </w:r>
      <w:r/>
    </w:p>
    <w:p>
      <w:pPr>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六、采购需求：</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（一）</w:t>
      </w:r>
      <w:r>
        <w:rPr>
          <w:rFonts w:hint="eastAsia" w:ascii="宋体" w:hAnsi="宋体" w:cs="宋体"/>
          <w:color w:val="auto"/>
          <w:szCs w:val="21"/>
          <w:highlight w:val="none"/>
        </w:rPr>
        <w:t xml:space="preserve">服务时间及地点</w:t>
      </w:r>
      <w:r/>
    </w:p>
    <w:p>
      <w:pPr>
        <w:ind w:firstLine="482"/>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全日制值班，工作日上午9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00-12:00，</w:t>
      </w:r>
      <w:r>
        <w:rPr>
          <w:rFonts w:hint="eastAsia" w:ascii="宋体" w:hAnsi="宋体" w:cs="宋体"/>
          <w:color w:val="auto"/>
          <w:szCs w:val="21"/>
          <w:highlight w:val="none"/>
          <w:lang w:eastAsia="zh-CN"/>
        </w:rPr>
        <w:t xml:space="preserve">13:30</w:t>
      </w:r>
      <w:r>
        <w:rPr>
          <w:rFonts w:hint="eastAsia" w:ascii="宋体" w:hAnsi="宋体" w:cs="宋体"/>
          <w:color w:val="auto"/>
          <w:szCs w:val="21"/>
          <w:highlight w:val="none"/>
        </w:rPr>
        <w:t xml:space="preserve">-17:00（具体时间与中心工作人员保持一致）；</w:t>
      </w:r>
      <w:r/>
    </w:p>
    <w:p>
      <w:pPr>
        <w:ind w:firstLine="482"/>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服务地点：</w:t>
      </w:r>
      <w:r>
        <w:rPr>
          <w:rFonts w:hint="eastAsia" w:ascii="宋体" w:hAnsi="宋体" w:cs="宋体"/>
          <w:color w:val="auto"/>
          <w:szCs w:val="21"/>
          <w:highlight w:val="none"/>
          <w:lang w:val="en-US" w:eastAsia="zh-CN"/>
        </w:rPr>
        <w:t xml:space="preserve">中标单位提供专业场所及采购人指定场所。</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（二）</w:t>
      </w:r>
      <w:r>
        <w:rPr>
          <w:rFonts w:hint="eastAsia" w:ascii="宋体" w:hAnsi="宋体" w:cs="宋体"/>
          <w:color w:val="auto"/>
          <w:szCs w:val="21"/>
          <w:highlight w:val="none"/>
        </w:rPr>
        <w:t xml:space="preserve">服务内容和时限</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1.负责接待苏州市不动产登记中心吴中分中心交办的继承公证咨询。</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2.负责办理苏州市不动产登记中心吴中分中心交办的继承公证。</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3.对符合公证程序的上述继承事项出具继承公证书。</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4.通过咨询和初步书面审查后</w:t>
      </w:r>
      <w:r>
        <w:rPr>
          <w:rFonts w:hint="eastAsia" w:ascii="宋体" w:hAnsi="宋体" w:cs="宋体"/>
          <w:color w:val="auto"/>
          <w:szCs w:val="21"/>
          <w:highlight w:val="none"/>
          <w:lang w:eastAsia="zh-CN"/>
        </w:rPr>
        <w:t xml:space="preserve">，认为</w:t>
      </w:r>
      <w:r>
        <w:rPr>
          <w:rFonts w:hint="eastAsia" w:ascii="宋体" w:hAnsi="宋体" w:cs="宋体"/>
          <w:color w:val="auto"/>
          <w:szCs w:val="21"/>
          <w:highlight w:val="none"/>
        </w:rPr>
        <w:t xml:space="preserve">符合受理条件的案例</w:t>
      </w:r>
      <w:r>
        <w:rPr>
          <w:rFonts w:hint="eastAsia" w:ascii="宋体" w:hAnsi="宋体" w:cs="宋体"/>
          <w:color w:val="auto"/>
          <w:szCs w:val="21"/>
          <w:highlight w:val="none"/>
          <w:lang w:eastAsia="zh-CN"/>
        </w:rPr>
        <w:t xml:space="preserve">，公证</w:t>
      </w:r>
      <w:r>
        <w:rPr>
          <w:rFonts w:hint="eastAsia" w:ascii="宋体" w:hAnsi="宋体" w:cs="宋体"/>
          <w:color w:val="auto"/>
          <w:szCs w:val="21"/>
          <w:highlight w:val="none"/>
        </w:rPr>
        <w:t xml:space="preserve">机构</w:t>
      </w:r>
      <w:r>
        <w:rPr>
          <w:rFonts w:hint="eastAsia" w:ascii="宋体" w:hAnsi="宋体" w:cs="宋体"/>
          <w:color w:val="auto"/>
          <w:szCs w:val="21"/>
          <w:highlight w:val="none"/>
          <w:lang w:eastAsia="zh-CN"/>
        </w:rPr>
        <w:t xml:space="preserve">应</w:t>
      </w:r>
      <w:r>
        <w:rPr>
          <w:rFonts w:hint="eastAsia" w:ascii="宋体" w:hAnsi="宋体" w:cs="宋体"/>
          <w:color w:val="auto"/>
          <w:szCs w:val="21"/>
          <w:highlight w:val="none"/>
        </w:rPr>
        <w:t xml:space="preserve">接收申请人的材料，该日期为收件日。</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5.公证机构在收件日后原则上应该在30个工作日左右完成材料的初步核实。</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6.通过初步核实后公证机构应当立即通知所有继承人和相关人员来申办公证，原则上在15个工作日之内出具公证书，但因当事人原因无法完成的除外。</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7.从收件开始至出具公证书并交给苏州市不动产登记中心吴中分中心的最长时限不得超过不以继承公证书为登记依据的继承转移登记公示时间。</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（三）</w:t>
      </w:r>
      <w:r>
        <w:rPr>
          <w:rFonts w:hint="eastAsia" w:ascii="宋体" w:hAnsi="宋体" w:cs="宋体"/>
          <w:color w:val="auto"/>
          <w:szCs w:val="21"/>
          <w:highlight w:val="none"/>
        </w:rPr>
        <w:t xml:space="preserve">服务范围</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1.受苏州市不动产登记中心吴中分中心委托的其管辖范围内的继承公证法律服务事项。</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2.除继承人之间有争议、申请人举证不足或其他无法完成核实的情况外，苏州市不动产登记中心吴中分中心交办的继承公证均须依法办理，并依法出具公证文书。</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（四）</w:t>
      </w:r>
      <w:r>
        <w:rPr>
          <w:rFonts w:hint="eastAsia" w:ascii="宋体" w:hAnsi="宋体" w:cs="宋体"/>
          <w:color w:val="auto"/>
          <w:szCs w:val="21"/>
          <w:highlight w:val="none"/>
        </w:rPr>
        <w:t xml:space="preserve">服务基本标准</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态度热情，语言文明，举止得体，服务规范；公正廉洁，依法办事，诚实守信；处理接待事项应当尊重当事人。不得有下列行为：</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1.歧视来访人员，推诿、拖延办理来访事项；</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2.收受来访人员财物；</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3.泄露当事人隐私；</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4.遗弃、隐匿和擅自销毁来访材料；</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5.向来访人员推介特定机构和人员提供的有偿法律服务。</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（五）</w:t>
      </w:r>
      <w:r>
        <w:rPr>
          <w:rFonts w:hint="eastAsia" w:ascii="宋体" w:hAnsi="宋体" w:cs="宋体"/>
          <w:color w:val="auto"/>
          <w:szCs w:val="21"/>
          <w:highlight w:val="none"/>
        </w:rPr>
        <w:t xml:space="preserve">服务责任</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因公证机构出具公证书存在瑕疵所导致的登记错误而引发的赔偿，</w:t>
      </w:r>
      <w:r>
        <w:rPr>
          <w:rFonts w:hint="eastAsia" w:ascii="宋体" w:hAnsi="宋体" w:cs="宋体"/>
          <w:color w:val="auto"/>
          <w:szCs w:val="21"/>
          <w:highlight w:val="none"/>
          <w:lang w:eastAsia="zh-CN"/>
        </w:rPr>
        <w:t xml:space="preserve">包括但不</w:t>
      </w:r>
      <w:r>
        <w:rPr>
          <w:rFonts w:hint="eastAsia" w:ascii="宋体" w:hAnsi="宋体" w:cs="宋体"/>
          <w:color w:val="auto"/>
          <w:szCs w:val="21"/>
          <w:highlight w:val="none"/>
        </w:rPr>
        <w:t xml:space="preserve">限于法院生效的法律文书所认定的登记机构的赔偿责任及由此产生的律师费、诉讼费用</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公证机构承担。</w:t>
      </w:r>
      <w:r/>
    </w:p>
    <w:p>
      <w:pPr>
        <w:ind w:firstLine="482"/>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（六）</w:t>
      </w:r>
      <w:r>
        <w:rPr>
          <w:rFonts w:hint="eastAsia" w:ascii="宋体" w:hAnsi="宋体" w:cs="宋体"/>
          <w:color w:val="auto"/>
          <w:szCs w:val="21"/>
          <w:highlight w:val="none"/>
        </w:rPr>
        <w:t xml:space="preserve">中标数量：1家</w:t>
      </w:r>
      <w:r>
        <w:rPr>
          <w:rFonts w:hint="eastAsia" w:ascii="宋体" w:hAnsi="宋体" w:cs="宋体"/>
          <w:color w:val="auto"/>
          <w:szCs w:val="21"/>
          <w:highlight w:val="none"/>
          <w:lang w:eastAsia="zh-CN"/>
        </w:rPr>
        <w:t xml:space="preserve">。</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（七）</w:t>
      </w:r>
      <w:r>
        <w:rPr>
          <w:rFonts w:hint="eastAsia" w:ascii="宋体" w:hAnsi="宋体" w:cs="宋体"/>
          <w:color w:val="auto"/>
          <w:szCs w:val="21"/>
          <w:highlight w:val="none"/>
        </w:rPr>
        <w:t xml:space="preserve">人员要求</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投标单位所提供的公证人员没有受到过行政处罚，具有公证员助理资格证书或公证员执业证，公证员执业应当在3年以上，具有良好的沟通协调能力，责任心强。</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（八）</w:t>
      </w:r>
      <w:r>
        <w:rPr>
          <w:rFonts w:hint="eastAsia" w:ascii="宋体" w:hAnsi="宋体" w:cs="宋体"/>
          <w:color w:val="auto"/>
          <w:szCs w:val="21"/>
          <w:highlight w:val="none"/>
        </w:rPr>
        <w:t xml:space="preserve">服务费用</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服务费用是指提供公证法律服务的总费用，包括继承公证费用、调查核实所产生费用、为完成继承公证法律服务所支出的其他合理费用、劳务、制作、保险、利润、税金、报验、人员、交通、食宿、加班、验收等一切费用。</w:t>
      </w:r>
      <w:r/>
    </w:p>
    <w:p>
      <w:pPr>
        <w:ind w:firstLine="482"/>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2.服务费用以苏州市不动产登记中心吴中分中心实际收到的其委托办理的继承公证文书按件收取，每件不超过</w:t>
      </w:r>
      <w:r>
        <w:rPr>
          <w:rFonts w:hint="eastAsia" w:ascii="宋体" w:hAnsi="宋体" w:cs="宋体"/>
          <w:color w:val="auto"/>
          <w:szCs w:val="21"/>
          <w:highlight w:val="none"/>
          <w:lang w:eastAsia="zh-CN"/>
        </w:rPr>
        <w:t xml:space="preserve">3685</w:t>
      </w:r>
      <w:r>
        <w:rPr>
          <w:rFonts w:hint="eastAsia" w:ascii="宋体" w:hAnsi="宋体" w:cs="宋体"/>
          <w:color w:val="auto"/>
          <w:szCs w:val="21"/>
          <w:highlight w:val="none"/>
        </w:rPr>
        <w:t xml:space="preserve">元。招标时，单价一次报定，不得更改。</w:t>
      </w:r>
      <w:r/>
    </w:p>
    <w:p>
      <w:pPr>
        <w:ind w:firstLine="420"/>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3.付款步骤：</w:t>
      </w:r>
      <w:r/>
    </w:p>
    <w:p>
      <w:pPr>
        <w:ind w:firstLine="420"/>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（1）在签订合同后，甲方支付乙方合同金额10%的预付款项，本项目按实结算，根据实际完成的公证件数每半年结算一次</w:t>
      </w:r>
      <w:r>
        <w:rPr>
          <w:rFonts w:hint="eastAsia" w:asciiTheme="minorEastAsia" w:hAnsiTheme="minorEastAsia" w:eastAsiaTheme="minorEastAsia" w:cstheme="minorEastAsia"/>
          <w:color w:val="auto"/>
          <w:szCs w:val="21"/>
          <w:highlight w:val="none"/>
          <w:lang w:eastAsia="zh-CN"/>
        </w:rPr>
        <w:t xml:space="preserve">。</w:t>
      </w:r>
      <w:r/>
    </w:p>
    <w:p>
      <w:pPr>
        <w:ind w:firstLine="420"/>
        <w:keepLines w:val="0"/>
        <w:keepNext w:val="0"/>
        <w:pageBreakBefore w:val="0"/>
        <w:spacing w:line="360" w:lineRule="auto"/>
        <w:widowControl/>
        <w:rPr>
          <w:rStyle w:val="754"/>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（2）在签订合同时，乙方明确表示无需预付款或者主动要求降低预付款比例的，甲方可不适用上述关于预付款的规定。</w:t>
      </w:r>
      <w:r/>
    </w:p>
    <w:p>
      <w:pPr>
        <w:pStyle w:val="728"/>
        <w:ind w:firstLine="420"/>
        <w:keepLines w:val="0"/>
        <w:keepNext w:val="0"/>
        <w:pageBreakBefore w:val="0"/>
        <w:spacing w:line="360" w:lineRule="auto"/>
        <w:rPr>
          <w:rStyle w:val="754"/>
          <w:rFonts w:hint="eastAsia" w:asciiTheme="minorEastAsia" w:hAnsiTheme="minorEastAsia" w:eastAsiaTheme="minorEastAsia" w:cstheme="minorEastAsia"/>
          <w:color w:val="auto"/>
          <w:highlight w:val="none"/>
          <w:lang w:eastAsia="zh-CN"/>
        </w:rPr>
      </w:pPr>
      <w:r>
        <w:rPr>
          <w:rStyle w:val="754"/>
          <w:rFonts w:hint="eastAsia" w:asciiTheme="minorEastAsia" w:hAnsiTheme="minorEastAsia" w:eastAsiaTheme="minorEastAsia" w:cstheme="minorEastAsia"/>
          <w:color w:val="auto"/>
          <w:highlight w:val="none"/>
          <w:lang w:eastAsia="zh-CN"/>
        </w:rPr>
        <w:t xml:space="preserve">（</w:t>
      </w:r>
      <w:r>
        <w:rPr>
          <w:rStyle w:val="754"/>
          <w:rFonts w:hint="eastAsia" w:asciiTheme="minorEastAsia" w:hAnsiTheme="minorEastAsia" w:eastAsiaTheme="minorEastAsia" w:cstheme="minorEastAsia"/>
          <w:color w:val="auto"/>
          <w:highlight w:val="none"/>
          <w:lang w:val="en-US" w:eastAsia="zh-CN"/>
        </w:rPr>
        <w:t xml:space="preserve">3</w:t>
      </w:r>
      <w:r>
        <w:rPr>
          <w:rStyle w:val="754"/>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若因政府资金拨付等非甲方主观原因导致迟延的，不作为甲方逾期付款的依据。贰年最终结算总金额不超过470万元。</w:t>
      </w:r>
      <w:r/>
    </w:p>
    <w:p>
      <w:pPr>
        <w:ind w:firstLine="420"/>
        <w:keepLines w:val="0"/>
        <w:keepNext w:val="0"/>
        <w:pageBreakBefore w:val="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4.中标单位需要接受采购单位的日常业务考评，达到服务标准，具体考评方案另定。</w:t>
      </w:r>
      <w:r/>
    </w:p>
    <w:p>
      <w:pPr>
        <w:ind w:firstLine="420"/>
        <w:keepLines w:val="0"/>
        <w:keepNext w:val="0"/>
        <w:pageBreakBefore w:val="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七、综合说明</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投标单位提供的服务能够至少达到招标文件及合同等的要求，同时明确详细的服务方案。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投标单位必须承诺响应招标文件中提出的全部技术标准和服务要求，如果其中某些条款不响应时，应在文件中逐条列出，未列出的视同响应。如果不能响应全部的技术标准和服务要求，视为不实质性响应招标文件，为无效投标。</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投标单位应对所投项目的全部内容进行报价，只投其中部分内容者，其标书将被拒绝。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投标总报价一次报定，</w:t>
      </w:r>
      <w:r>
        <w:rPr>
          <w:rFonts w:hint="eastAsia" w:ascii="宋体" w:hAnsi="宋体" w:cs="宋体"/>
          <w:bCs/>
          <w:color w:val="auto"/>
          <w:szCs w:val="21"/>
          <w:highlight w:val="none"/>
          <w:lang w:val="zh-TW"/>
        </w:rPr>
        <w:t xml:space="preserve">报价</w:t>
      </w:r>
      <w:r>
        <w:rPr>
          <w:rFonts w:hint="eastAsia" w:ascii="宋体" w:hAnsi="宋体" w:cs="宋体"/>
          <w:color w:val="auto"/>
          <w:szCs w:val="21"/>
          <w:highlight w:val="none"/>
        </w:rPr>
        <w:t xml:space="preserve">包括全部履约期间的人工、材料、各种税费、利润、税金、政策性文件规定及合同包含的所有风险、责任等各项应有费用。同时，除非合同条款中另有规定，否则，投标人所报价格在合同实施期间不因市场变化因素而变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rPr>
        <w:t xml:space="preserve">中标单位对服务缺陷不予更正，采购单位有权另请其他单位更正，所发生的费用由投标单位承担。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rPr>
        <w:t xml:space="preserve">本采购文件适用</w:t>
      </w:r>
      <w:r>
        <w:rPr>
          <w:rFonts w:hint="eastAsia" w:ascii="宋体" w:hAnsi="宋体" w:cs="宋体"/>
          <w:color w:val="auto"/>
          <w:szCs w:val="21"/>
          <w:highlight w:val="none"/>
          <w:lang w:eastAsia="zh-CN"/>
        </w:rPr>
        <w:t xml:space="preserve">《苏</w:t>
      </w:r>
      <w:r>
        <w:rPr>
          <w:rFonts w:hint="eastAsia" w:ascii="宋体" w:hAnsi="宋体" w:cs="宋体"/>
          <w:color w:val="auto"/>
          <w:szCs w:val="21"/>
          <w:highlight w:val="none"/>
        </w:rPr>
        <w:t xml:space="preserve">财规</w:t>
      </w:r>
      <w:r>
        <w:rPr>
          <w:rFonts w:hint="eastAsia" w:ascii="宋体" w:hAnsi="宋体" w:cs="宋体"/>
          <w:color w:val="auto"/>
          <w:szCs w:val="21"/>
          <w:highlight w:val="none"/>
          <w:lang w:eastAsia="zh-CN"/>
        </w:rPr>
        <w:t xml:space="preserve">〔2024〕7号</w:t>
      </w:r>
      <w:r>
        <w:rPr>
          <w:rFonts w:hint="eastAsia" w:ascii="宋体" w:hAnsi="宋体" w:cs="宋体"/>
          <w:color w:val="auto"/>
          <w:szCs w:val="21"/>
          <w:highlight w:val="none"/>
        </w:rPr>
        <w:t xml:space="preserve">文件关于印发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江苏省政府采购履约验收管理办法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的通知</w:t>
      </w:r>
      <w:r>
        <w:rPr>
          <w:rFonts w:hint="eastAsia" w:ascii="宋体" w:hAnsi="宋体" w:cs="宋体"/>
          <w:color w:val="auto"/>
          <w:szCs w:val="21"/>
          <w:highlight w:val="none"/>
          <w:lang w:eastAsia="zh-CN"/>
        </w:rPr>
        <w:t xml:space="preserve">》。</w:t>
      </w:r>
      <w:r/>
    </w:p>
    <w:p>
      <w:pPr>
        <w:ind w:firstLine="420"/>
        <w:spacing w:line="360" w:lineRule="auto"/>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八、政府采购政策</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1.中小微企业</w:t>
      </w:r>
      <w:r/>
    </w:p>
    <w:p>
      <w:pPr>
        <w:ind w:firstLine="420"/>
        <w:spacing w:line="360" w:lineRule="auto"/>
        <w:tabs>
          <w:tab w:val="left" w:pos="420" w:leader="none"/>
          <w:tab w:val="left" w:pos="1260" w:leader="none"/>
          <w:tab w:val="left" w:pos="1440"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根据《政府采购促进中小企业发展管理办法》（财库〔2020〕46号）、《关于做好政府采购支持企业发展有关事项的通知》（苏财购〔2020〕52号）及《关于印发</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苏州市政府采购促进中小企业发展实施意见</w:t>
      </w:r>
      <w:r>
        <w:rPr>
          <w:rFonts w:hint="eastAsia" w:ascii="宋体" w:hAnsi="宋体" w:cs="宋体"/>
          <w:b w:val="0"/>
          <w:bCs w:val="0"/>
          <w:color w:val="auto"/>
          <w:szCs w:val="21"/>
          <w:highlight w:val="none"/>
          <w:lang w:eastAsia="zh-CN"/>
        </w:rPr>
        <w:t xml:space="preserve">〉的通知》</w:t>
      </w:r>
      <w:r>
        <w:rPr>
          <w:rFonts w:hint="eastAsia" w:ascii="宋体" w:hAnsi="宋体" w:cs="宋体"/>
          <w:b w:val="0"/>
          <w:bCs w:val="0"/>
          <w:color w:val="auto"/>
          <w:szCs w:val="21"/>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420" w:leader="none"/>
          <w:tab w:val="left" w:pos="1260" w:leader="none"/>
          <w:tab w:val="left" w:pos="1440"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60" w:lineRule="auto"/>
        <w:tabs>
          <w:tab w:val="left" w:pos="420" w:leader="none"/>
          <w:tab w:val="left" w:pos="1260" w:leader="none"/>
          <w:tab w:val="left" w:pos="1440"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根据《政府采购促进中小企业发展管理办法》（财库〔2020〕46号）及《中小企业划型标准规定》（工信部联企业〔2011〕300号），本采购标的对应的中小企业划分标准所属行业为：租赁和商务服务业。</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2.残疾人福利性单位</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3.监狱企业</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根据《关于政府采购支持监狱企业发展有关问题的通知》（财库〔2014〕68号）的相关规定</w:t>
      </w:r>
      <w:r>
        <w:rPr>
          <w:rFonts w:hint="eastAsia" w:ascii="宋体" w:hAnsi="宋体" w:cs="宋体"/>
          <w:b w:val="0"/>
          <w:bCs w:val="0"/>
          <w:color w:val="auto"/>
          <w:szCs w:val="21"/>
          <w:highlight w:val="none"/>
          <w:lang w:eastAsia="zh-CN"/>
        </w:rPr>
        <w:t xml:space="preserve">，在</w:t>
      </w:r>
      <w:r>
        <w:rPr>
          <w:rFonts w:hint="eastAsia" w:ascii="宋体" w:hAnsi="宋体" w:cs="宋体"/>
          <w:b w:val="0"/>
          <w:bCs w:val="0"/>
          <w:color w:val="auto"/>
          <w:szCs w:val="21"/>
          <w:highlight w:val="none"/>
        </w:rPr>
        <w:t xml:space="preserve">政府采购活动中，监狱企业视同小型、微型企业，享受预留份额、评审中价格扣除等促进中小企业发展的政府采购政策</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4.绿色采购</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（1）本次拟采购的产品不属于</w:t>
      </w:r>
      <w:bookmarkStart w:id="7" w:name="OLE_LINK43"/>
      <w:r/>
      <w:bookmarkStart w:id="8" w:name="OLE_LINK34"/>
      <w:r>
        <w:rPr>
          <w:rFonts w:hint="eastAsia" w:ascii="宋体" w:hAnsi="宋体" w:cs="宋体"/>
          <w:b w:val="0"/>
          <w:bCs w:val="0"/>
          <w:color w:val="auto"/>
          <w:szCs w:val="21"/>
          <w:highlight w:val="none"/>
        </w:rPr>
        <w:t xml:space="preserve">政府强制采购节能产品</w:t>
      </w:r>
      <w:bookmarkEnd w:id="7"/>
      <w:r/>
      <w:bookmarkEnd w:id="8"/>
      <w:r>
        <w:rPr>
          <w:rFonts w:hint="eastAsia" w:ascii="宋体" w:hAnsi="宋体" w:cs="宋体"/>
          <w:b w:val="0"/>
          <w:bCs w:val="0"/>
          <w:color w:val="auto"/>
          <w:szCs w:val="21"/>
          <w:highlight w:val="none"/>
        </w:rPr>
        <w:t xml:space="preserve">。根据《关于调整优化节能产品、环境标志产品政府采购执行机制的通知》（财库〔2019〕9号）等相关文件的规定，对属于《节能产品政府采购品目清单》中强制采购范围内产品的，投标人须提供由国家确定的认证机构出具的、处于有效期之内的节能产品认证证书，上述品目清单可通过“中国政府采购网”（http：//www.ccgp.gov.cn）查询</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并在投标文件中提供由国家确定的认证机构出具的、处于有效期之内的节能产品认证证书扫描件，否则视为未实质性响应。</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（3）为助力打好污染防治攻坚战，推广使用绿色包装，根据财政部办公厅、生态环境部办公厅、国家邮政局办公室关于印发《商品包装政府采购需求标准（试行）</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快递包装政府采购需求标准（试行）》的通知（财办库〔2020〕123 号文）文件规定，投标人提供产品及相关快递服务的包装应符合标准要求。</w:t>
      </w:r>
      <w:r/>
    </w:p>
    <w:p>
      <w:pPr>
        <w:pStyle w:val="948"/>
        <w:ind w:left="0" w:firstLine="420"/>
        <w:keepLines w:val="0"/>
        <w:keepNext w:val="0"/>
        <w:spacing w:before="0" w:after="0" w:line="360" w:lineRule="auto"/>
        <w:rPr>
          <w:rFonts w:eastAsia="宋体"/>
          <w:b w:val="0"/>
          <w:bCs w:val="0"/>
          <w:color w:val="auto"/>
          <w:highlight w:val="none"/>
        </w:rPr>
      </w:pPr>
      <w:r>
        <w:rPr>
          <w:rFonts w:hint="eastAsia" w:ascii="宋体" w:hAnsi="宋体" w:eastAsia="宋体" w:cs="宋体"/>
          <w:b w:val="0"/>
          <w:bCs w:val="0"/>
          <w:color w:val="auto"/>
          <w:sz w:val="21"/>
          <w:szCs w:val="21"/>
          <w:highlight w:val="none"/>
        </w:rPr>
        <w:t xml:space="preserve">5.本国产品：（本次不涉及）</w:t>
      </w:r>
      <w:r/>
    </w:p>
    <w:p>
      <w:pPr>
        <w:pStyle w:val="948"/>
        <w:ind w:left="0" w:firstLine="420"/>
        <w:keepLines w:val="0"/>
        <w:keepNext w:val="0"/>
        <w:spacing w:before="0" w:after="0" w:line="360" w:lineRule="auto"/>
        <w:rPr>
          <w:b w:val="0"/>
          <w:bCs w:val="0"/>
          <w:color w:val="auto"/>
          <w:highlight w:val="none"/>
        </w:rPr>
      </w:pPr>
      <w:r>
        <w:rPr>
          <w:rFonts w:hint="eastAsia" w:ascii="宋体" w:hAnsi="宋体" w:eastAsia="宋体" w:cs="宋体"/>
          <w:b w:val="0"/>
          <w:bCs w:val="0"/>
          <w:color w:val="auto"/>
          <w:sz w:val="21"/>
          <w:szCs w:val="21"/>
          <w:highlight w:val="none"/>
        </w:rPr>
        <w:t xml:space="preserve">5.1本项目对采购本国产品给予政策支持：</w:t>
      </w:r>
      <w:r/>
    </w:p>
    <w:p>
      <w:pPr>
        <w:pStyle w:val="948"/>
        <w:ind w:left="0" w:firstLine="420"/>
        <w:keepLines w:val="0"/>
        <w:keepNext w:val="0"/>
        <w:spacing w:before="0" w:after="0" w:line="360" w:lineRule="auto"/>
        <w:rPr>
          <w:b w:val="0"/>
          <w:bCs w:val="0"/>
          <w:color w:val="auto"/>
          <w:highlight w:val="none"/>
        </w:rPr>
      </w:pPr>
      <w:r>
        <w:rPr>
          <w:rFonts w:hint="eastAsia" w:ascii="宋体" w:hAnsi="宋体" w:eastAsia="宋体" w:cs="宋体"/>
          <w:b w:val="0"/>
          <w:bCs w:val="0"/>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948"/>
        <w:ind w:left="0" w:firstLine="420"/>
        <w:keepLines w:val="0"/>
        <w:keepNext w:val="0"/>
        <w:spacing w:before="0" w:after="0" w:line="360" w:lineRule="auto"/>
        <w:rPr>
          <w:b w:val="0"/>
          <w:bCs w:val="0"/>
          <w:color w:val="auto"/>
          <w:highlight w:val="none"/>
        </w:rPr>
      </w:pPr>
      <w:r>
        <w:rPr>
          <w:rFonts w:hint="eastAsia" w:ascii="宋体" w:hAnsi="宋体" w:eastAsia="宋体" w:cs="宋体"/>
          <w:b w:val="0"/>
          <w:bCs w:val="0"/>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48"/>
        <w:ind w:left="0" w:firstLine="420"/>
        <w:keepLines w:val="0"/>
        <w:keepNext w:val="0"/>
        <w:spacing w:before="0" w:after="0" w:line="360" w:lineRule="auto"/>
        <w:rPr>
          <w:b w:val="0"/>
          <w:bCs w:val="0"/>
          <w:color w:val="auto"/>
          <w:highlight w:val="none"/>
        </w:rPr>
      </w:pPr>
      <w:r>
        <w:rPr>
          <w:rFonts w:hint="eastAsia" w:ascii="宋体" w:hAnsi="宋体" w:eastAsia="宋体" w:cs="宋体"/>
          <w:b w:val="0"/>
          <w:bCs w:val="0"/>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948"/>
        <w:ind w:left="0" w:firstLine="420"/>
        <w:keepLines w:val="0"/>
        <w:keepNext w:val="0"/>
        <w:spacing w:before="0" w:after="0" w:line="360" w:lineRule="auto"/>
        <w:rPr>
          <w:b w:val="0"/>
          <w:bCs w:val="0"/>
          <w:color w:val="auto"/>
          <w:highlight w:val="none"/>
        </w:rPr>
      </w:pPr>
      <w:r>
        <w:rPr>
          <w:rFonts w:hint="eastAsia" w:ascii="宋体" w:hAnsi="宋体" w:eastAsia="宋体" w:cs="宋体"/>
          <w:b w:val="0"/>
          <w:bCs w:val="0"/>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48"/>
        <w:ind w:left="0" w:firstLine="420"/>
        <w:keepLines w:val="0"/>
        <w:keepNext w:val="0"/>
        <w:spacing w:before="0" w:after="0" w:line="360" w:lineRule="auto"/>
        <w:rPr>
          <w:b w:val="0"/>
          <w:bCs w:val="0"/>
          <w:color w:val="auto"/>
          <w:highlight w:val="none"/>
        </w:rPr>
      </w:pPr>
      <w:r>
        <w:rPr>
          <w:rFonts w:hint="eastAsia" w:ascii="宋体" w:hAnsi="宋体" w:eastAsia="宋体" w:cs="宋体"/>
          <w:b w:val="0"/>
          <w:bCs w:val="0"/>
          <w:color w:val="auto"/>
          <w:sz w:val="21"/>
          <w:szCs w:val="21"/>
          <w:highlight w:val="none"/>
        </w:rPr>
        <w:t xml:space="preserve">（5）评标过程中，如发现</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《声明函》内容含义不明确、同类事项与投标（响应）文件表述不一致或者有明显文字错误等</w:t>
      </w:r>
      <w:r>
        <w:rPr>
          <w:rFonts w:hint="eastAsia" w:ascii="宋体" w:hAnsi="宋体" w:eastAsia="宋体" w:cs="宋体"/>
          <w:b w:val="0"/>
          <w:bCs w:val="0"/>
          <w:color w:val="auto"/>
          <w:sz w:val="21"/>
          <w:szCs w:val="21"/>
          <w:highlight w:val="none"/>
          <w:lang w:eastAsia="zh-CN"/>
        </w:rPr>
        <w:t xml:space="preserve">情况</w:t>
      </w:r>
      <w:r>
        <w:rPr>
          <w:rFonts w:hint="eastAsia" w:ascii="宋体" w:hAnsi="宋体" w:eastAsia="宋体" w:cs="宋体"/>
          <w:b w:val="0"/>
          <w:bCs w:val="0"/>
          <w:color w:val="auto"/>
          <w:sz w:val="21"/>
          <w:szCs w:val="21"/>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8"/>
        <w:ind w:left="0" w:firstLine="420"/>
        <w:keepLines w:val="0"/>
        <w:keepNext w:val="0"/>
        <w:spacing w:before="0" w:after="0" w:line="360" w:lineRule="auto"/>
        <w:rPr>
          <w:b w:val="0"/>
          <w:bCs w:val="0"/>
          <w:color w:val="auto"/>
          <w:highlight w:val="none"/>
        </w:rPr>
      </w:pPr>
      <w:r>
        <w:rPr>
          <w:rFonts w:hint="eastAsia" w:ascii="宋体" w:hAnsi="宋体" w:eastAsia="宋体" w:cs="宋体"/>
          <w:b w:val="0"/>
          <w:bCs w:val="0"/>
          <w:color w:val="auto"/>
          <w:sz w:val="21"/>
          <w:szCs w:val="21"/>
          <w:highlight w:val="none"/>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8"/>
        <w:ind w:left="0" w:firstLine="420"/>
        <w:keepLines w:val="0"/>
        <w:keepNext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九、关于对参与投标人信用记录的政府采购要求</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1.采购代理机构会在接收投标文件截止时间后，登录信用中国网站（www.creditchina.gov.cn/）和中国政府采购网（www.ccgp.gov.cn/）查询投标人的信用记录，并将查询结果递交评标委员会。</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3.投标人若在经营活动中受到罚款的，请携带相关地方、部门对较大数额认定标准的证明材料，与投标文件一并提交。若无法提供，则可能承担投标无效等相应不利后果。</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4.对存在失信信息的投标人，由失信投标人进行确认。同时，采购代理机构工作人员应根据评标委员会确认的失信信息，登录到相关来源网站页面进行复核并打印，作为证据留存。</w:t>
      </w:r>
      <w:r/>
    </w:p>
    <w:p>
      <w:pPr>
        <w:ind w:firstLine="420"/>
        <w:spacing w:line="360" w:lineRule="auto"/>
        <w:tabs>
          <w:tab w:val="left" w:pos="567" w:leader="none"/>
        </w:tabs>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十、凡涉及招标文件的补充说明和修改，均以网上发布的通知为准。</w:t>
      </w:r>
      <w:r/>
    </w:p>
    <w:p>
      <w:pPr>
        <w:rPr>
          <w:color w:val="auto"/>
          <w:highlight w:val="none"/>
        </w:rPr>
        <w:sectPr>
          <w:footnotePr/>
          <w:endnotePr/>
          <w:type w:val="nextPage"/>
          <w:pgSz w:w="11906" w:h="16838" w:orient="portrait"/>
          <w:pgMar w:top="1440" w:right="1083" w:bottom="1440" w:left="1083" w:header="850" w:footer="992" w:gutter="0"/>
          <w:cols w:num="1" w:sep="0" w:space="0" w:equalWidth="1"/>
          <w:docGrid w:linePitch="360"/>
        </w:sectPr>
      </w:pPr>
      <w:r>
        <w:rPr>
          <w:color w:val="auto"/>
          <w:highlight w:val="none"/>
        </w:rPr>
      </w:r>
      <w:r/>
    </w:p>
    <w:p>
      <w:pPr>
        <w:contextualSpacing/>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 合同主要条款</w:t>
      </w:r>
      <w:r/>
    </w:p>
    <w:tbl>
      <w:tblPr>
        <w:tblStyle w:val="72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47"/>
        <w:gridCol w:w="4409"/>
      </w:tblGrid>
      <w:tr>
        <w:trPr>
          <w:jc w:val="center"/>
        </w:trPr>
        <w:tc>
          <w:tcPr>
            <w:tcBorders>
              <w:top w:val="none" w:color="000000" w:sz="4" w:space="0"/>
              <w:left w:val="none" w:color="000000" w:sz="4" w:space="0"/>
              <w:bottom w:val="none" w:color="000000" w:sz="4" w:space="0"/>
              <w:right w:val="none" w:color="000000" w:sz="4" w:space="0"/>
            </w:tcBorders>
            <w:tcW w:w="2786" w:type="pct"/>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甲方（采购人）：</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2214" w:type="pct"/>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单位地址：</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电话：</w:t>
            </w:r>
            <w:r/>
          </w:p>
        </w:tc>
      </w:tr>
      <w:tr>
        <w:trPr>
          <w:jc w:val="center"/>
          <w:trHeight w:val="90"/>
        </w:trPr>
        <w:tc>
          <w:tcPr>
            <w:tcBorders>
              <w:top w:val="none" w:color="000000" w:sz="4" w:space="0"/>
              <w:left w:val="none" w:color="000000" w:sz="4" w:space="0"/>
              <w:bottom w:val="none" w:color="000000" w:sz="4" w:space="0"/>
              <w:right w:val="none" w:color="000000" w:sz="4" w:space="0"/>
            </w:tcBorders>
            <w:tcW w:w="2786" w:type="pct"/>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乙方（投标人）：</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2214" w:type="pct"/>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单位地址：</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电话：</w:t>
            </w:r>
            <w:r/>
          </w:p>
        </w:tc>
      </w:tr>
    </w:tbl>
    <w:p>
      <w:pPr>
        <w:pStyle w:val="944"/>
        <w:ind w:firstLine="420"/>
        <w:jc w:val="left"/>
        <w:spacing w:line="360" w:lineRule="auto"/>
        <w:widowControl/>
        <w:rPr>
          <w:rFonts w:ascii="宋体"/>
          <w:color w:val="auto"/>
          <w:sz w:val="21"/>
          <w:szCs w:val="21"/>
          <w:highlight w:val="none"/>
        </w:rPr>
      </w:pPr>
      <w:r>
        <w:rPr>
          <w:rFonts w:hint="eastAsia" w:ascii="宋体" w:hAnsi="宋体" w:cs="宋体"/>
          <w:color w:val="auto"/>
          <w:sz w:val="21"/>
          <w:szCs w:val="21"/>
          <w:highlight w:val="none"/>
        </w:rPr>
        <w:t xml:space="preserve">依据甲方委托苏州捷信招投标咨询有限公司进行本项目政府采购号的采购结果，确定乙方为本次中标供应商，现依照招标文件、乙方的投标文件及相关文件的内容，签订本合同书。</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一、定义</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以下术语有特定的含义：</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服务是指根据合同规定乙方应承担                  </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工作和合同中规定乙方应承担的</w:t>
      </w:r>
      <w:r>
        <w:rPr>
          <w:rFonts w:hint="eastAsia" w:ascii="宋体" w:hAnsi="宋体" w:cs="宋体"/>
          <w:color w:val="auto"/>
          <w:szCs w:val="21"/>
          <w:highlight w:val="none"/>
          <w:lang w:eastAsia="zh-CN"/>
        </w:rPr>
        <w:t xml:space="preserve">其他</w:t>
      </w:r>
      <w:r>
        <w:rPr>
          <w:rFonts w:hint="eastAsia" w:ascii="宋体" w:hAnsi="宋体" w:cs="宋体"/>
          <w:color w:val="auto"/>
          <w:szCs w:val="21"/>
          <w:highlight w:val="none"/>
        </w:rPr>
        <w:t xml:space="preserve">义务。</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合同价款是指根据成交单位的响应文件和合同规定，乙方在正确地履行合同义务后甲方应支付给乙方的价款。</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甲方是指合同中明确规定的实际购买和接受服务的单位。</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乙方是指合同中规定的提供服务的单位。</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二、合同项目及期限</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2.1乙方负责                  的服务工作。</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2.2服务期限：</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2.3服务地点：根据甲方指定地点。</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三、合同总价款：大写人民币           元整，小写￥               （单价：    ）   。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四、付款方式</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1.付款步骤：</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（1）在签订合同后，甲方支付乙方合同金额10%的预付款项，本项目按实结算，根据实际完成的公证件数每半年结算一次。</w:t>
      </w:r>
      <w:r/>
    </w:p>
    <w:p>
      <w:pPr>
        <w:pStyle w:val="748"/>
        <w:ind w:left="0" w:right="0" w:firstLine="420"/>
        <w:keepLines w:val="0"/>
        <w:keepNext w:val="0"/>
        <w:pageBreakBefore w:val="0"/>
        <w:spacing w:before="0" w:after="0" w:line="360" w:lineRule="auto"/>
        <w:widowControl/>
        <w:rPr>
          <w:rStyle w:val="754"/>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（2）在签订合同时，乙方明确表示无需预付款或者主动要求降低预付款比例的，甲方可不适用上述关于预付款的规定。</w:t>
      </w:r>
      <w:r/>
    </w:p>
    <w:p>
      <w:pPr>
        <w:pStyle w:val="728"/>
        <w:ind w:firstLine="420"/>
        <w:spacing w:line="360" w:lineRule="auto"/>
        <w:widowControl/>
        <w:rPr>
          <w:rStyle w:val="754"/>
          <w:rFonts w:hint="eastAsia" w:asciiTheme="minorEastAsia" w:hAnsiTheme="minorEastAsia" w:eastAsiaTheme="minorEastAsia" w:cstheme="minorEastAsia"/>
          <w:color w:val="auto"/>
          <w:highlight w:val="none"/>
          <w:lang w:eastAsia="zh-CN"/>
        </w:rPr>
      </w:pPr>
      <w:r>
        <w:rPr>
          <w:rStyle w:val="754"/>
          <w:rFonts w:hint="eastAsia" w:asciiTheme="minorEastAsia" w:hAnsiTheme="minorEastAsia" w:eastAsiaTheme="minorEastAsia" w:cstheme="minorEastAsia"/>
          <w:color w:val="auto"/>
          <w:highlight w:val="none"/>
          <w:lang w:eastAsia="zh-CN"/>
        </w:rPr>
        <w:t xml:space="preserve">（</w:t>
      </w:r>
      <w:r>
        <w:rPr>
          <w:rStyle w:val="754"/>
          <w:rFonts w:hint="eastAsia" w:asciiTheme="minorEastAsia" w:hAnsiTheme="minorEastAsia" w:eastAsiaTheme="minorEastAsia" w:cstheme="minorEastAsia"/>
          <w:color w:val="auto"/>
          <w:highlight w:val="none"/>
          <w:lang w:val="en-US" w:eastAsia="zh-CN"/>
        </w:rPr>
        <w:t xml:space="preserve">3</w:t>
      </w:r>
      <w:r>
        <w:rPr>
          <w:rStyle w:val="754"/>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若因政府资金拨付等非甲方主观原因导致迟延的，不作为甲方逾期付款的依据。贰年最终结算总金额不超过470万元。</w:t>
      </w:r>
      <w:r/>
    </w:p>
    <w:p>
      <w:pPr>
        <w:pStyle w:val="748"/>
        <w:ind w:left="0" w:right="0" w:firstLine="420"/>
        <w:keepLines w:val="0"/>
        <w:keepNext w:val="0"/>
        <w:pageBreakBefore w:val="0"/>
        <w:spacing w:before="0" w:after="0"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pStyle w:val="748"/>
        <w:ind w:left="0" w:right="0" w:firstLine="420"/>
        <w:keepLines w:val="0"/>
        <w:keepNext w:val="0"/>
        <w:pageBreakBefore w:val="0"/>
        <w:spacing w:before="0" w:after="0"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3.账户信息</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乙方开户名称：</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开户银行：</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五、甲、乙双方的责任</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1.甲方责任：</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1.1依本合同约定按期支付合同款项；</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eastAsia="zh-CN"/>
        </w:rPr>
        <w:t xml:space="preserve">依据</w:t>
      </w:r>
      <w:r>
        <w:rPr>
          <w:rFonts w:hint="eastAsia" w:ascii="宋体" w:hAnsi="宋体" w:cs="宋体"/>
          <w:color w:val="auto"/>
          <w:szCs w:val="21"/>
          <w:highlight w:val="none"/>
        </w:rPr>
        <w:t xml:space="preserve">本合同约定及时组织验收；</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1.3协助乙方进行项目的相关协调工作及约定期限内提供相关资料以利于开展项目。</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2.乙方责任：</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乙方负责完成本次采购要求的全部服务工作，乙方应按采购文件以及合同约定的技术规范、标准</w:t>
      </w:r>
      <w:r>
        <w:rPr>
          <w:rFonts w:hint="eastAsia" w:ascii="宋体" w:hAnsi="宋体" w:cs="宋体"/>
          <w:color w:val="auto"/>
          <w:szCs w:val="21"/>
          <w:highlight w:val="none"/>
          <w:lang w:eastAsia="zh-CN"/>
        </w:rPr>
        <w:t xml:space="preserve">实施</w:t>
      </w:r>
      <w:r>
        <w:rPr>
          <w:rFonts w:hint="eastAsia" w:ascii="宋体" w:hAnsi="宋体" w:cs="宋体"/>
          <w:color w:val="auto"/>
          <w:szCs w:val="21"/>
          <w:highlight w:val="none"/>
        </w:rPr>
        <w:t xml:space="preserve">，并保证按期、保质保量完成项目的实施工作，对提交的项目质量负责。</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六、违约责任</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1.甲方违约责任：</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1.1在合同生效后，甲方无故要求解除合同的，应向乙方偿付合同总价款5%的违约金，违约金不足以补偿损失的，乙方有权要求甲方补足。</w:t>
      </w:r>
      <w:r/>
    </w:p>
    <w:p>
      <w:pPr>
        <w:pStyle w:val="748"/>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1.2甲方逾期付款的应按照逾期付款金额的每天万分之四支付逾期付款违约金，总额不</w:t>
      </w:r>
      <w:r>
        <w:rPr>
          <w:rFonts w:hint="eastAsia" w:ascii="宋体" w:hAnsi="宋体" w:cs="宋体"/>
          <w:color w:val="auto"/>
          <w:szCs w:val="21"/>
          <w:highlight w:val="none"/>
          <w:lang w:eastAsia="zh-CN"/>
        </w:rPr>
        <w:t xml:space="preserve">超过</w:t>
      </w:r>
      <w:r>
        <w:rPr>
          <w:rFonts w:hint="eastAsia" w:ascii="宋体" w:hAnsi="宋体" w:cs="宋体"/>
          <w:color w:val="auto"/>
          <w:szCs w:val="21"/>
          <w:highlight w:val="none"/>
        </w:rPr>
        <w:t xml:space="preserve">总价款的5%。</w:t>
      </w:r>
      <w:bookmarkStart w:id="9" w:name="_GoBack"/>
      <w:r/>
      <w:bookmarkEnd w:id="9"/>
      <w:r/>
      <w:r/>
    </w:p>
    <w:p>
      <w:pPr>
        <w:pStyle w:val="748"/>
        <w:ind w:firstLine="42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1.3如果甲方或第三方提供虚假材料、虚假陈述等，需承担相应法律责任。</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2.乙方的违约责任：</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2.1 在合同生效后，乙方无故要求解除合同的，应向甲方偿付合同总价款5%的违约金，违约金不足以补偿损失的，甲方有权要求乙方补足。</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2.2乙方未按合同规定的质量要求提供服务，不能完成合同时，甲方有权解除合同，乙方向甲方偿付合同总价款5%的违约金，违约金不足以补偿损失的甲方有权要求乙方补足。</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2.3乙方必须自己完成合同内容，不得自行分包，否则，甲方有权按乙方不能完成合同处理。</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2.4乙方应执行国家有关规定（如苏州最低工资标准和其他规定），负责乙方员工的生病、事故、伤残、死亡和劳务纠纷，甲方不承担任何相关责任。</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2.5乙方负有对自己员工的安全责任，甲方不承担任何相关责任。</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七、不可抗力</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2.本条所述的“不可抗力”系指那些双方无法控制，不可预见的事件，但不包括双方的违约或疏忽。这些事件包括但不限于：战争、严重火灾、洪水、台风、地震以及</w:t>
      </w:r>
      <w:r>
        <w:rPr>
          <w:rFonts w:hint="eastAsia" w:ascii="宋体" w:hAnsi="宋体" w:cs="宋体"/>
          <w:color w:val="auto"/>
          <w:szCs w:val="21"/>
          <w:highlight w:val="none"/>
          <w:lang w:eastAsia="zh-CN"/>
        </w:rPr>
        <w:t xml:space="preserve">其他</w:t>
      </w:r>
      <w:r>
        <w:rPr>
          <w:rFonts w:hint="eastAsia" w:ascii="宋体" w:hAnsi="宋体" w:cs="宋体"/>
          <w:color w:val="auto"/>
          <w:szCs w:val="21"/>
          <w:highlight w:val="none"/>
        </w:rPr>
        <w:t xml:space="preserve">双方商定的事件。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八、争端的解决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2.如果调解不成，双方中的任何一方可向人民法院提起诉讼。诉讼由合同签订地人民法院管辖。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3.诉讼费由败诉方负担。</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4.因合同部分履行引发诉讼的，在诉讼期间，除正在进行诉讼的部分外，本合同</w:t>
      </w:r>
      <w:r>
        <w:rPr>
          <w:rFonts w:hint="eastAsia" w:ascii="宋体" w:hAnsi="宋体" w:cs="宋体"/>
          <w:color w:val="auto"/>
          <w:szCs w:val="21"/>
          <w:highlight w:val="none"/>
          <w:lang w:eastAsia="zh-CN"/>
        </w:rPr>
        <w:t xml:space="preserve">的其他部分</w:t>
      </w:r>
      <w:r>
        <w:rPr>
          <w:rFonts w:hint="eastAsia" w:ascii="宋体" w:hAnsi="宋体" w:cs="宋体"/>
          <w:color w:val="auto"/>
          <w:szCs w:val="21"/>
          <w:highlight w:val="none"/>
        </w:rPr>
        <w:t xml:space="preserve">应继续执行。</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九、违约终止合同</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1.在甲方因乙方违约而按合同约定采取的任何补救措施不受影响的情况下，甲方可在下列情况下向乙方发出书面通知，提出终止部分或全部合同。</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1.1 如果乙方未能在合同规定的限期或甲方同意延长的限期内提供部分或全部服务。</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1.2 如果乙方未能履行合同规定的</w:t>
      </w:r>
      <w:r>
        <w:rPr>
          <w:rFonts w:hint="eastAsia" w:ascii="宋体" w:hAnsi="宋体" w:cs="宋体"/>
          <w:color w:val="auto"/>
          <w:szCs w:val="21"/>
          <w:highlight w:val="none"/>
          <w:lang w:eastAsia="zh-CN"/>
        </w:rPr>
        <w:t xml:space="preserve">其他</w:t>
      </w:r>
      <w:r>
        <w:rPr>
          <w:rFonts w:hint="eastAsia" w:ascii="宋体" w:hAnsi="宋体" w:cs="宋体"/>
          <w:color w:val="auto"/>
          <w:szCs w:val="21"/>
          <w:highlight w:val="none"/>
        </w:rPr>
        <w:t xml:space="preserve">任何义务。</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2.如果甲方</w:t>
      </w:r>
      <w:r>
        <w:rPr>
          <w:rFonts w:hint="eastAsia" w:ascii="宋体" w:hAnsi="宋体" w:cs="宋体"/>
          <w:color w:val="auto"/>
          <w:szCs w:val="21"/>
          <w:highlight w:val="none"/>
          <w:lang w:eastAsia="zh-CN"/>
        </w:rPr>
        <w:t xml:space="preserve">根据以上</w:t>
      </w:r>
      <w:r>
        <w:rPr>
          <w:rFonts w:hint="eastAsia" w:ascii="宋体" w:hAnsi="宋体" w:cs="宋体"/>
          <w:color w:val="auto"/>
          <w:szCs w:val="21"/>
          <w:highlight w:val="none"/>
        </w:rPr>
        <w:t xml:space="preserve">规定，终止了全部或部分合同，甲方可以依其认为适当的条件和方法购买与未提供服务类似的服务，乙方应对购买类似服务所超出的那部分费用负责。并且，乙方应继续履行合同中未终止的部分。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3.如果甲方违约，应承担相应的违约责任。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十、破产终止合同：如果乙方破产或丧失清偿能力，甲方可在任何时候以书面形式通知乙方终止合同而不给乙方补偿。该终止合同将不损害或影响甲方已经采取或将要采取任何补救措施的</w:t>
      </w:r>
      <w:r>
        <w:rPr>
          <w:rFonts w:hint="eastAsia" w:ascii="宋体" w:hAnsi="宋体" w:cs="宋体"/>
          <w:color w:val="auto"/>
          <w:szCs w:val="21"/>
          <w:highlight w:val="none"/>
          <w:lang w:eastAsia="zh-CN"/>
        </w:rPr>
        <w:t xml:space="preserve">权利</w:t>
      </w:r>
      <w:r>
        <w:rPr>
          <w:rFonts w:hint="eastAsia" w:ascii="宋体" w:hAnsi="宋体" w:cs="宋体"/>
          <w:color w:val="auto"/>
          <w:szCs w:val="21"/>
          <w:highlight w:val="none"/>
        </w:rPr>
        <w:t xml:space="preserve">。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十一、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十二、合同转让和分包：本项目不得转让和分包。</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十三、需要补充的合同条款：（根据评审过程中或者商务谈判时商定的条款和条件在订立合同时标明）。</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十四、合同生效</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1.双方签约人为各自法定代表人或被授权代表。</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2.本合同系指本文件及其附件中的所有部分，采购文件、成交单位的响应文件、成交通知书、成交单位在采购过程中的澄清和承诺等为本合同不可缺少的组成部分。</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3.本合同自甲乙双方签字盖章之日起生效。</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4.本合同壹式肆份，甲乙双方各执贰份，各份具有同等法律效力。</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5.本合同应按照中华人民共和国的现行法律进行解释。</w:t>
      </w:r>
      <w:r/>
    </w:p>
    <w:p>
      <w:pPr>
        <w:pStyle w:val="748"/>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6.合同修改：除甲乙双方签署书面修改、补充协议，并成为本合同不可分割的一部分之外，本合同条件不得有任何变化或修改。 </w:t>
      </w:r>
      <w:r/>
    </w:p>
    <w:p>
      <w:pPr>
        <w:pStyle w:val="748"/>
        <w:ind w:firstLine="420"/>
        <w:spacing w:line="360" w:lineRule="auto"/>
        <w:widowControl/>
        <w:rPr>
          <w:rFonts w:ascii="宋体" w:hAnsi="宋体" w:cs="宋体"/>
          <w:color w:val="auto"/>
          <w:szCs w:val="21"/>
          <w:highlight w:val="none"/>
        </w:rPr>
      </w:pPr>
      <w:r>
        <w:rPr>
          <w:rFonts w:ascii="宋体" w:hAnsi="宋体" w:cs="宋体"/>
          <w:color w:val="auto"/>
          <w:szCs w:val="21"/>
          <w:highlight w:val="none"/>
        </w:rPr>
      </w:r>
      <w:r/>
    </w:p>
    <w:p>
      <w:pPr>
        <w:pStyle w:val="748"/>
        <w:ind w:firstLine="420"/>
        <w:jc w:val="left"/>
        <w:spacing w:line="400" w:lineRule="exact"/>
        <w:rPr>
          <w:rFonts w:ascii="宋体" w:hAnsi="宋体"/>
          <w:color w:val="auto"/>
          <w:szCs w:val="21"/>
          <w:highlight w:val="none"/>
        </w:rPr>
      </w:pPr>
      <w:r>
        <w:rPr>
          <w:rFonts w:hint="eastAsia" w:ascii="宋体" w:hAnsi="宋体" w:cs="宋体"/>
          <w:color w:val="auto"/>
          <w:szCs w:val="21"/>
          <w:highlight w:val="none"/>
        </w:rPr>
        <w:t xml:space="preserve">甲方（盖章）：甲方代表：                       乙方（盖章）：乙方代表：</w:t>
      </w:r>
      <w:r/>
    </w:p>
    <w:p>
      <w:pPr>
        <w:pStyle w:val="748"/>
        <w:jc w:val="left"/>
        <w:spacing w:line="400" w:lineRule="exact"/>
        <w:rPr>
          <w:rFonts w:ascii="宋体" w:hAnsi="宋体" w:cs="宋体"/>
          <w:color w:val="auto"/>
          <w:szCs w:val="21"/>
          <w:highlight w:val="none"/>
        </w:rPr>
      </w:pPr>
      <w:r>
        <w:rPr>
          <w:rFonts w:ascii="宋体" w:hAnsi="宋体" w:cs="宋体"/>
          <w:color w:val="auto"/>
          <w:szCs w:val="21"/>
          <w:highlight w:val="none"/>
        </w:rPr>
      </w:r>
      <w:r/>
    </w:p>
    <w:p>
      <w:pPr>
        <w:pStyle w:val="748"/>
        <w:ind w:firstLine="420"/>
        <w:jc w:val="left"/>
        <w:spacing w:line="400" w:lineRule="exact"/>
        <w:rPr>
          <w:rFonts w:ascii="宋体" w:hAnsi="宋体" w:cs="Calibri"/>
          <w:color w:val="auto"/>
          <w:szCs w:val="21"/>
          <w:highlight w:val="none"/>
        </w:rPr>
      </w:pPr>
      <w:r>
        <w:rPr>
          <w:rFonts w:hint="eastAsia" w:ascii="宋体" w:hAnsi="宋体" w:cs="宋体"/>
          <w:color w:val="auto"/>
          <w:szCs w:val="21"/>
          <w:highlight w:val="none"/>
        </w:rPr>
        <w:t xml:space="preserve">日期： 年  月 日</w:t>
      </w:r>
      <w:r>
        <w:rPr>
          <w:rFonts w:hint="eastAsia" w:ascii="宋体" w:hAnsi="宋体" w:cs="Calibri"/>
          <w:color w:val="auto"/>
          <w:szCs w:val="21"/>
          <w:highlight w:val="none"/>
        </w:rPr>
        <w:tab/>
      </w:r>
      <w:r/>
    </w:p>
    <w:p>
      <w:pPr>
        <w:jc w:val="center"/>
        <w:rPr>
          <w:rFonts w:ascii="宋体" w:cs="宋体"/>
          <w:b/>
          <w:color w:val="auto"/>
          <w:sz w:val="32"/>
          <w:szCs w:val="32"/>
          <w:highlight w:val="none"/>
        </w:rPr>
      </w:pPr>
      <w:r>
        <w:rPr>
          <w:rFonts w:ascii="宋体" w:cs="宋体"/>
          <w:b/>
          <w:color w:val="auto"/>
          <w:sz w:val="32"/>
          <w:szCs w:val="32"/>
          <w:highlight w:val="none"/>
        </w:rPr>
      </w:r>
      <w:r/>
    </w:p>
    <w:p>
      <w:pPr>
        <w:pStyle w:val="757"/>
        <w:rPr>
          <w:rFonts w:ascii="宋体" w:cs="宋体"/>
          <w:b/>
          <w:color w:val="auto"/>
          <w:sz w:val="32"/>
          <w:szCs w:val="32"/>
          <w:highlight w:val="none"/>
        </w:rPr>
      </w:pPr>
      <w:r>
        <w:rPr>
          <w:rFonts w:ascii="宋体" w:cs="宋体"/>
          <w:b/>
          <w:color w:val="auto"/>
          <w:sz w:val="32"/>
          <w:szCs w:val="32"/>
          <w:highlight w:val="none"/>
        </w:rPr>
      </w:r>
      <w:r/>
    </w:p>
    <w:p>
      <w:pPr>
        <w:pStyle w:val="758"/>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hint="eastAsia" w:ascii="宋体" w:cs="宋体"/>
          <w:b/>
          <w:color w:val="auto"/>
          <w:sz w:val="32"/>
          <w:szCs w:val="32"/>
          <w:highlight w:val="none"/>
        </w:rPr>
        <w:t xml:space="preserve">第六章评标方法和评分标准</w:t>
      </w:r>
      <w:r/>
    </w:p>
    <w:p>
      <w:pPr>
        <w:rPr>
          <w:color w:val="auto"/>
          <w:highlight w:val="none"/>
        </w:rPr>
      </w:pPr>
      <w:r>
        <w:rPr>
          <w:color w:val="auto"/>
          <w:highlight w:val="none"/>
        </w:rPr>
      </w:r>
      <w:r/>
    </w:p>
    <w:p>
      <w:pPr>
        <w:ind w:firstLine="420"/>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一、评标办法：</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1.评标办法采用</w:t>
      </w:r>
      <w:r>
        <w:rPr>
          <w:rFonts w:hint="eastAsia" w:asciiTheme="minorEastAsia" w:hAnsiTheme="minorEastAsia" w:eastAsiaTheme="minorEastAsia" w:cstheme="minorEastAsia"/>
          <w:b/>
          <w:color w:val="auto"/>
          <w:szCs w:val="21"/>
          <w:highlight w:val="none"/>
        </w:rPr>
        <w:t xml:space="preserve">综合评分法</w:t>
      </w:r>
      <w:r>
        <w:rPr>
          <w:rFonts w:hint="eastAsia" w:asciiTheme="minorEastAsia" w:hAnsiTheme="minorEastAsia" w:eastAsiaTheme="minorEastAsia" w:cstheme="minorEastAsia"/>
          <w:color w:val="auto"/>
          <w:szCs w:val="21"/>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3.如投标人存在“苏财购〔2017〕11号”文件中所列的失信或不良行为，按照相关规定执行。关于较大数额罚款的认定按照《财政部关于</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中华人民共和国政府采购法实施条例</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第十九条第一款“较大数额罚款”具体适用问题的意见》（财库〔2022〕3 号）文件执行。</w:t>
      </w:r>
      <w:r/>
    </w:p>
    <w:p>
      <w:pPr>
        <w:ind w:firstLine="420"/>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5.针对中小型企业、残疾人福利企业和监狱企业的评审：</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苏州市政府采购促进中小企业发展实施意见</w:t>
      </w:r>
      <w:r>
        <w:rPr>
          <w:rFonts w:hint="eastAsia" w:asciiTheme="minorEastAsia" w:hAnsiTheme="minorEastAsia" w:eastAsiaTheme="minorEastAsia" w:cstheme="minorEastAsia"/>
          <w:color w:val="auto"/>
          <w:szCs w:val="21"/>
          <w:highlight w:val="none"/>
          <w:lang w:eastAsia="zh-CN"/>
        </w:rPr>
        <w:t xml:space="preserve">〉的通知》</w:t>
      </w:r>
      <w:r>
        <w:rPr>
          <w:rFonts w:hint="eastAsia" w:asciiTheme="minorEastAsia" w:hAnsiTheme="minorEastAsia" w:eastAsiaTheme="minorEastAsia" w:cstheme="minorEastAsia"/>
          <w:color w:val="auto"/>
          <w:szCs w:val="21"/>
          <w:highlight w:val="none"/>
        </w:rPr>
        <w:t xml:space="preserve">（苏财购〔2022〕16号）的有关规定，</w:t>
      </w:r>
      <w:r>
        <w:rPr>
          <w:rFonts w:hint="eastAsia" w:asciiTheme="minorEastAsia" w:hAnsiTheme="minorEastAsia" w:eastAsiaTheme="minorEastAsia" w:cstheme="minorEastAsia"/>
          <w:b/>
          <w:bCs/>
          <w:color w:val="auto"/>
          <w:szCs w:val="21"/>
          <w:highlight w:val="none"/>
        </w:rPr>
        <w:t xml:space="preserve">对于符合上述文件规定情形的小微企业、残疾人福利性单位及监狱企业报价给予20%的扣除</w:t>
      </w:r>
      <w:r>
        <w:rPr>
          <w:rFonts w:hint="eastAsia" w:asciiTheme="minorEastAsia" w:hAnsiTheme="minorEastAsia" w:eastAsiaTheme="minorEastAsia" w:cstheme="minorEastAsia"/>
          <w:color w:val="auto"/>
          <w:szCs w:val="21"/>
          <w:highlight w:val="none"/>
        </w:rPr>
        <w:t xml:space="preserve">，用扣除后的价格参与评审，如扣除后的价格为最低价的，则作为评标基准价，中标金额则以实际响应报价为准。残疾人福利性单位属于小型、微型企业的，不重复享受政策。服务类项目中供应商若使用退休人员，将不享受中小企业扶持政策。</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①填报“中小企业声明函”需严格按“工信部联企业〔2011〕300号通知中的《中小企业划型标准规定》进行。</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②若供应商提供的声明函或认定证明为虚假材料，按“政府采购法”相关规定处理并报请政府监管部门给予行政处罚。</w:t>
      </w:r>
      <w:r/>
    </w:p>
    <w:p>
      <w:pPr>
        <w:pStyle w:val="748"/>
        <w:ind w:left="0" w:right="0" w:firstLine="420"/>
        <w:spacing w:before="0" w:after="0" w:line="360" w:lineRule="auto"/>
        <w:rPr>
          <w:rFonts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rPr>
        <w:t xml:space="preserve">6.采购本国产品的支持政策</w:t>
      </w:r>
      <w:r/>
    </w:p>
    <w:p>
      <w:pPr>
        <w:pStyle w:val="748"/>
        <w:ind w:left="0" w:right="0" w:firstLine="420"/>
        <w:spacing w:before="0" w:after="0" w:line="360" w:lineRule="auto"/>
        <w:rPr>
          <w:rFonts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color w:val="auto"/>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Theme="minorEastAsia" w:hAnsiTheme="minorEastAsia" w:eastAsiaTheme="minorEastAsia" w:cstheme="minorEastAsia"/>
          <w:b/>
          <w:bCs/>
          <w:color w:val="auto"/>
          <w:szCs w:val="21"/>
          <w:highlight w:val="none"/>
          <w:u w:val="single"/>
        </w:rPr>
        <w:t xml:space="preserve">20%</w:t>
      </w:r>
      <w:r>
        <w:rPr>
          <w:rFonts w:hint="eastAsia" w:asciiTheme="minorEastAsia" w:hAnsiTheme="minorEastAsia" w:eastAsiaTheme="minorEastAsia" w:cstheme="minorEastAsia"/>
          <w:color w:val="auto"/>
          <w:szCs w:val="21"/>
          <w:highlight w:val="none"/>
        </w:rPr>
        <w:t xml:space="preserve">的价格扣除，用扣除后的价格参与评审。</w:t>
      </w:r>
      <w:r/>
    </w:p>
    <w:p>
      <w:pPr>
        <w:pStyle w:val="748"/>
        <w:ind w:left="0" w:right="0" w:firstLine="420"/>
        <w:spacing w:before="0" w:after="0" w:line="360" w:lineRule="auto"/>
        <w:rPr>
          <w:rFonts w:asciiTheme="minorEastAsia" w:hAnsiTheme="minorEastAsia" w:eastAsiaTheme="minorEastAsia" w:cstheme="minorEastAsia"/>
          <w:b w:val="0"/>
          <w:bCs w:val="0"/>
          <w:color w:val="auto"/>
          <w:szCs w:val="21"/>
          <w:highlight w:val="none"/>
        </w:rPr>
        <w:outlineLvl w:val="0"/>
      </w:pPr>
      <w:r>
        <w:rPr>
          <w:rFonts w:hint="eastAsia" w:asciiTheme="minorEastAsia" w:hAnsiTheme="minorEastAsia" w:eastAsiaTheme="minorEastAsia" w:cstheme="minorEastAsia"/>
          <w:color w:val="auto"/>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w:t>
      </w:r>
      <w:r>
        <w:rPr>
          <w:rFonts w:hint="eastAsia" w:asciiTheme="minorEastAsia" w:hAnsiTheme="minorEastAsia" w:eastAsiaTheme="minorEastAsia" w:cstheme="minorEastAsia"/>
          <w:b w:val="0"/>
          <w:bCs w:val="0"/>
          <w:color w:val="auto"/>
          <w:szCs w:val="21"/>
          <w:highlight w:val="none"/>
        </w:rPr>
        <w:t xml:space="preserve">优惠，即对该供应商提供的全部产品的总报价给予</w:t>
      </w:r>
      <w:r>
        <w:rPr>
          <w:rFonts w:hint="eastAsia" w:asciiTheme="minorEastAsia" w:hAnsiTheme="minorEastAsia" w:eastAsiaTheme="minorEastAsia" w:cstheme="minorEastAsia"/>
          <w:b w:val="0"/>
          <w:bCs w:val="0"/>
          <w:color w:val="auto"/>
          <w:szCs w:val="21"/>
          <w:highlight w:val="none"/>
          <w:u w:val="single"/>
        </w:rPr>
        <w:t xml:space="preserve">20%</w:t>
      </w:r>
      <w:r>
        <w:rPr>
          <w:rFonts w:hint="eastAsia" w:asciiTheme="minorEastAsia" w:hAnsiTheme="minorEastAsia" w:eastAsiaTheme="minorEastAsia" w:cstheme="minorEastAsia"/>
          <w:b w:val="0"/>
          <w:bCs w:val="0"/>
          <w:color w:val="auto"/>
          <w:szCs w:val="21"/>
          <w:highlight w:val="none"/>
        </w:rPr>
        <w:t xml:space="preserve">的价格扣除，用扣除后的价格参与评审。供应商未填写比例数值，或比例数值未达到</w:t>
      </w:r>
      <w:r>
        <w:rPr>
          <w:rFonts w:hint="eastAsia" w:asciiTheme="minorEastAsia" w:hAnsiTheme="minorEastAsia" w:eastAsiaTheme="minorEastAsia" w:cstheme="minorEastAsia"/>
          <w:b w:val="0"/>
          <w:bCs w:val="0"/>
          <w:color w:val="auto"/>
          <w:szCs w:val="21"/>
          <w:highlight w:val="none"/>
          <w:u w:val="single"/>
        </w:rPr>
        <w:t xml:space="preserve">80%</w:t>
      </w:r>
      <w:r>
        <w:rPr>
          <w:rFonts w:hint="eastAsia" w:asciiTheme="minorEastAsia" w:hAnsiTheme="minorEastAsia" w:eastAsiaTheme="minorEastAsia" w:cstheme="minorEastAsia"/>
          <w:b w:val="0"/>
          <w:bCs w:val="0"/>
          <w:color w:val="auto"/>
          <w:szCs w:val="21"/>
          <w:highlight w:val="none"/>
        </w:rPr>
        <w:t xml:space="preserve">的，将不享受本国产品价格评审优惠。</w:t>
      </w:r>
      <w:r/>
    </w:p>
    <w:p>
      <w:pPr>
        <w:pStyle w:val="748"/>
        <w:ind w:left="0" w:right="0" w:firstLine="420"/>
        <w:spacing w:before="0" w:after="0" w:line="360" w:lineRule="auto"/>
        <w:rPr>
          <w:rFonts w:asciiTheme="minorEastAsia" w:hAnsiTheme="minorEastAsia" w:eastAsiaTheme="minorEastAsia" w:cstheme="minorEastAsia"/>
          <w:b w:val="0"/>
          <w:bCs w:val="0"/>
          <w:color w:val="auto"/>
          <w:szCs w:val="21"/>
          <w:highlight w:val="none"/>
        </w:rPr>
        <w:outlineLvl w:val="0"/>
      </w:pPr>
      <w:r>
        <w:rPr>
          <w:rFonts w:hint="eastAsia" w:asciiTheme="minorEastAsia" w:hAnsiTheme="minorEastAsia" w:eastAsiaTheme="minorEastAsia" w:cstheme="minorEastAsia"/>
          <w:b w:val="0"/>
          <w:bCs w:val="0"/>
          <w:color w:val="auto"/>
          <w:szCs w:val="21"/>
          <w:highlight w:val="none"/>
        </w:rPr>
        <w:t xml:space="preserve">6.3供应商需按照招标文件的要求对其提供的产品出具《关于符合本国产品标准的声明函》（以下简称《声明函》），如不提供将不享受本国产品价格评审优惠。</w:t>
      </w:r>
      <w:r/>
    </w:p>
    <w:p>
      <w:pPr>
        <w:pStyle w:val="748"/>
        <w:ind w:left="0" w:right="0" w:firstLine="420"/>
        <w:spacing w:before="0" w:after="0" w:line="360" w:lineRule="auto"/>
        <w:rPr>
          <w:rFonts w:asciiTheme="minorEastAsia" w:hAnsiTheme="minorEastAsia" w:eastAsiaTheme="minorEastAsia" w:cstheme="minorEastAsia"/>
          <w:b w:val="0"/>
          <w:bCs w:val="0"/>
          <w:color w:val="auto"/>
          <w:szCs w:val="21"/>
          <w:highlight w:val="none"/>
        </w:rPr>
        <w:outlineLvl w:val="0"/>
      </w:pPr>
      <w:r>
        <w:rPr>
          <w:rFonts w:hint="eastAsia" w:asciiTheme="minorEastAsia" w:hAnsiTheme="minorEastAsia" w:eastAsiaTheme="minorEastAsia" w:cstheme="minorEastAsia"/>
          <w:b w:val="0"/>
          <w:bCs w:val="0"/>
          <w:color w:val="auto"/>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pStyle w:val="748"/>
        <w:ind w:left="0" w:right="0" w:firstLine="420"/>
        <w:spacing w:before="0" w:after="0" w:line="360" w:lineRule="auto"/>
        <w:rPr>
          <w:rFonts w:asciiTheme="minorEastAsia" w:hAnsiTheme="minorEastAsia" w:eastAsiaTheme="minorEastAsia" w:cstheme="minorEastAsia"/>
          <w:b w:val="0"/>
          <w:bCs w:val="0"/>
          <w:color w:val="auto"/>
          <w:szCs w:val="21"/>
          <w:highlight w:val="none"/>
        </w:rPr>
        <w:outlineLvl w:val="0"/>
      </w:pPr>
      <w:r>
        <w:rPr>
          <w:rFonts w:hint="eastAsia" w:asciiTheme="minorEastAsia" w:hAnsiTheme="minorEastAsia" w:eastAsiaTheme="minorEastAsia" w:cstheme="minorEastAsia"/>
          <w:b w:val="0"/>
          <w:bCs w:val="0"/>
          <w:color w:val="auto"/>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7.根据财政部《关于推动解决政府采购异常低价问题的通知》（财库〔2026〕2号）规定，实施政府采购异常低价审查：</w:t>
      </w:r>
      <w:r/>
    </w:p>
    <w:p>
      <w:pPr>
        <w:ind w:firstLine="420"/>
        <w:spacing w:line="360" w:lineRule="auto"/>
        <w:widowControl/>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（1）评审过程中出现下列情形之一的，评审委员会应当启动异常低价投标（响应）审查程序：</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①投标</w:t>
      </w:r>
      <w:r>
        <w:rPr>
          <w:rFonts w:hint="eastAsia" w:asciiTheme="minorEastAsia" w:hAnsiTheme="minorEastAsia" w:eastAsiaTheme="minorEastAsia" w:cstheme="minorEastAsia"/>
          <w:color w:val="auto"/>
          <w:szCs w:val="21"/>
          <w:highlight w:val="none"/>
        </w:rPr>
        <w:t xml:space="preserve">（响应）报价低于全部通过符合性审查供应商投标（响应）报价平均值50%的，即投标（响应）报价〈全部通过符合性审查供应商投标（响应）报价平均值×50%；</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②投标（响应）报价低于通过符合性审查的次低报价供应商投标（响应）报价50%的，即投标（响应）报价〈通过符合性审查的次低报价供应商投标（响应）报价×50%；</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③投标（响应）报价低于采购项目最高限价45%的，即投标（响应）报价〈采购项目最高限价×45%；</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④评审委员会基于专业判断，认为供应商报价过低，有可能影响产品质量或者不能诚信履约的其他情形。</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firstLine="420"/>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其中，属于第③项情形，供应商已随投标（响应）文件一并提交相关书面说明及必要的证明材料的，在评审现场可不再重复提交。</w:t>
      </w:r>
      <w:r/>
    </w:p>
    <w:p>
      <w:pPr>
        <w:ind w:firstLine="420"/>
        <w:spacing w:line="360" w:lineRule="auto"/>
        <w:widowControl/>
        <w:rPr>
          <w:color w:val="auto"/>
          <w:highlight w:val="none"/>
        </w:rPr>
      </w:pPr>
      <w:r>
        <w:rPr>
          <w:rFonts w:hint="eastAsia" w:asciiTheme="minorEastAsia" w:hAnsiTheme="minorEastAsia" w:eastAsiaTheme="minorEastAsia" w:cstheme="minorEastAsia"/>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9"/>
        </w:numPr>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评分标准：</w:t>
      </w:r>
      <w:r/>
    </w:p>
    <w:p>
      <w:pPr>
        <w:ind w:firstLine="422"/>
        <w:spacing w:line="360" w:lineRule="auto"/>
        <w:rPr>
          <w:rFonts w:ascii="宋体" w:hAnsi="宋体"/>
          <w:b/>
          <w:color w:val="auto"/>
          <w:szCs w:val="21"/>
          <w:highlight w:val="none"/>
        </w:rPr>
      </w:pP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一）价格分：10分</w:t>
      </w:r>
      <w:r/>
    </w:p>
    <w:p>
      <w:pPr>
        <w:ind w:firstLine="420"/>
        <w:spacing w:line="360" w:lineRule="auto"/>
        <w:rPr>
          <w:rFonts w:ascii="宋体" w:hAnsi="宋体"/>
          <w:b/>
          <w:color w:val="auto"/>
          <w:szCs w:val="21"/>
          <w:highlight w:val="none"/>
        </w:rPr>
      </w:pPr>
      <w:r>
        <w:rPr>
          <w:rFonts w:hint="eastAsia" w:ascii="宋体" w:hAnsi="宋体"/>
          <w:color w:val="auto"/>
          <w:szCs w:val="21"/>
          <w:highlight w:val="none"/>
        </w:rPr>
        <w:t xml:space="preserve">第一步：投标报价低于或等于财政预算价格（或最高限价）的，为有效投标报价。超财政预算（或最高限价）的投标报价为无效投标报价。</w:t>
      </w:r>
      <w:r/>
    </w:p>
    <w:p>
      <w:pPr>
        <w:ind w:firstLine="420"/>
        <w:spacing w:line="360" w:lineRule="auto"/>
        <w:rPr>
          <w:rFonts w:ascii="宋体" w:hAnsi="宋体"/>
          <w:b/>
          <w:color w:val="auto"/>
          <w:szCs w:val="21"/>
          <w:highlight w:val="none"/>
        </w:rPr>
      </w:pPr>
      <w:r>
        <w:rPr>
          <w:rFonts w:hint="eastAsia" w:ascii="宋体" w:hAnsi="宋体"/>
          <w:color w:val="auto"/>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420"/>
        <w:spacing w:line="360" w:lineRule="auto"/>
        <w:rPr>
          <w:rFonts w:asciiTheme="minorEastAsia" w:hAnsiTheme="minorEastAsia" w:eastAsiaTheme="minorEastAsia" w:cstheme="minorEastAsia"/>
          <w:b/>
          <w:color w:val="auto"/>
          <w:szCs w:val="21"/>
          <w:highlight w:val="none"/>
        </w:rPr>
      </w:pPr>
      <w:r>
        <w:rPr>
          <w:rFonts w:hint="eastAsia" w:ascii="宋体" w:hAnsi="宋体"/>
          <w:color w:val="auto"/>
          <w:szCs w:val="21"/>
          <w:highlight w:val="none"/>
        </w:rPr>
        <w:t xml:space="preserve">投标报价得分＝（评标基准价/投标报价）×10％×100</w:t>
      </w:r>
      <w:r/>
    </w:p>
    <w:p>
      <w:pPr>
        <w:pStyle w:val="729"/>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二、服务方案及履约能力（</w:t>
      </w:r>
      <w:r>
        <w:rPr>
          <w:rFonts w:hint="eastAsia" w:ascii="宋体" w:hAnsi="宋体" w:cs="宋体"/>
          <w:b/>
          <w:bCs/>
          <w:color w:val="auto"/>
          <w:szCs w:val="21"/>
          <w:highlight w:val="none"/>
          <w:lang w:val="en-US" w:eastAsia="zh-CN"/>
        </w:rPr>
        <w:t xml:space="preserve">90</w:t>
      </w:r>
      <w:r>
        <w:rPr>
          <w:rFonts w:hint="eastAsia" w:ascii="宋体" w:hAnsi="宋体" w:cs="宋体"/>
          <w:b/>
          <w:bCs/>
          <w:color w:val="auto"/>
          <w:szCs w:val="21"/>
          <w:highlight w:val="none"/>
        </w:rPr>
        <w:t xml:space="preserve">分）</w:t>
      </w:r>
      <w:r/>
    </w:p>
    <w:p>
      <w:pPr>
        <w:pStyle w:val="729"/>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（一）项目相关方案比较：</w:t>
      </w:r>
      <w:r>
        <w:rPr>
          <w:rFonts w:hint="eastAsia" w:ascii="宋体" w:hAnsi="宋体" w:cs="宋体"/>
          <w:b/>
          <w:bCs/>
          <w:color w:val="auto"/>
          <w:szCs w:val="21"/>
          <w:highlight w:val="none"/>
          <w:lang w:val="en-US" w:eastAsia="zh-CN"/>
        </w:rPr>
        <w:t xml:space="preserve">53</w:t>
      </w:r>
      <w:r>
        <w:rPr>
          <w:rFonts w:hint="eastAsia" w:ascii="宋体" w:hAnsi="宋体" w:cs="宋体"/>
          <w:b/>
          <w:bCs/>
          <w:color w:val="auto"/>
          <w:szCs w:val="21"/>
          <w:highlight w:val="none"/>
        </w:rPr>
        <w:t xml:space="preserve">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1.继承公证日常工作方案（</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日常工作内容清晰明确、全面完整，整体服务方案设计符合服务要求得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分；规划内容较为清晰明确，整体方案较为全面完整，得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分；整体规划不够清晰明确，整体方案内容缺漏较多，得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分；服务方案内容描述不完整，与项目实际存在一定偏差的得1分；未提供的不得分。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2.制定工作方案与服务单位的配合密切程度（</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与相关服务单位配合密切，工作保持同步的得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分；能配合相关服务单位工作，工作基本保持同步的得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分；能基本配合相关服务单位工作，与服务单位工作不同步的得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分；服务方案内容描述不完整，与项目实际存在一定偏差的得1分；未提供的不得分。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3.内部组织机构组建、内部工作流程（</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组织机构合理，工作流程规范、概述详细，切合实际，分工明确得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分；概述较为详细，考虑较实际，能满足项目实施需要得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分；分工不太明确，基本能满足项目实施需要得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分；服务方案内容描述不完整，与项目实际存在一定偏差的得1分；未提供的不得分。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4.内部质量控制制度、内部业务档案管理制度（</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制度合理、规范、详细得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分；制度较为详细，考虑较实际，能满足项目实施需要得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分；制度有待完善，基本能满足项目实施需要的得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分；制度构建不完整，与项目实际存在一定偏差的得1分；未提供的不得分。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5.内部人事管理制度、内部财务管理制度（</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pStyle w:val="729"/>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制度合理、规范、详细得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分；制度较为详细，考虑较实际，能满足项目实施需要得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分；制度有待完善，基本能满足项目实施需要的得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分；制度构建不完整，与项目实际存在一定偏差的得1分；未提供的不得分。</w:t>
      </w:r>
      <w:r/>
    </w:p>
    <w:p>
      <w:pPr>
        <w:pStyle w:val="729"/>
        <w:numPr>
          <w:ilvl w:val="0"/>
          <w:numId w:val="10"/>
        </w:num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对工作人员的培训制度（8分）</w:t>
      </w:r>
      <w:r/>
    </w:p>
    <w:p>
      <w:pPr>
        <w:pStyle w:val="729"/>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制度合理、规范、详细得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分；制度较为详细，考虑较实际，能满足项目实施需要得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分；制度有待完善，基本能满足项目实施需要的得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分；制度构建不完整，与项目实际存在一定偏差的得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分；未提供的不得分。</w:t>
      </w:r>
      <w:r/>
    </w:p>
    <w:p>
      <w:pPr>
        <w:pStyle w:val="729"/>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（二）响应文件中承诺的针对本项目服务承诺比较：</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1.设立固定工作场所（3分）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在本项目工作区域范围内设立固定工作场所的或承诺成交后设立的得3分。提供承诺函，未提供不得分。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2.承诺服务响应方式的比较（</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承诺在规定时间内按质按量完成公证事宜，不造成任何法律风险得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分。提供承诺函并加盖投标单位盖章，格式自拟，未提供不得分。</w:t>
      </w:r>
      <w:r/>
    </w:p>
    <w:p>
      <w:pPr>
        <w:pStyle w:val="729"/>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（三）人员配置比较：2</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1.拟投入本项目的公证员（12分）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拟投入本项目的公证员或公证员助理，每增加一人得3分，最高得12分。须提供日常承担服务任务的公证员或公证员助理执业证扫描件，未提供不得分。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2.值班点配备的公证人员（6分）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每额外配备1名公证处工作人员，得3分，最高得6分。须提供承担服务任务的公证员或公证员助理执业证扫描件，未提供不得分。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3.拟投入本项目的主要负责人工作经验比较（</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主要负责人有2年及以上不动产继承公证相关工作经验的得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分；有1年（含）至2年（不包含）不动产继承公证相关工作经验的得2分；有不足1年不动产继承公证相关工作经验的得1分； 提供公证员办理的公证书等有效证明材料，未提供的不得分。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4.拟投入本项目的工作人员职称比较（3分）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工作人员中每有1名三级公证员得3分，每有1名四级公证员得1分，最高得3分。提供有效的专业技术职务资格证明材料，不提供不得分。</w:t>
      </w:r>
      <w:r/>
    </w:p>
    <w:p>
      <w:pPr>
        <w:pStyle w:val="729"/>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（四）类似项目业绩：6分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年1月1日之后（以合同签订日期为准）有类似公证项目经验，每有1个得3分，最高6分。提供完整合同扫描件，不提供不得分。</w:t>
      </w:r>
      <w:r/>
    </w:p>
    <w:p>
      <w:pPr>
        <w:pStyle w:val="729"/>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pStyle w:val="926"/>
        <w:ind w:firstLine="420"/>
        <w:spacing w:line="360" w:lineRule="auto"/>
        <w:tabs>
          <w:tab w:val="left" w:pos="1125" w:leader="none"/>
        </w:tabs>
        <w:rPr>
          <w:rFonts w:ascii="宋体" w:hAnsi="宋体" w:cs="宋体"/>
          <w:color w:val="auto"/>
          <w:szCs w:val="21"/>
          <w:highlight w:val="none"/>
          <w:lang w:val="en-US"/>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en-US"/>
        </w:rPr>
        <w:t xml:space="preserve">投标单位针对评分内容提供对应材料并作出相关说明，所提供的相关材料缺失、不符或不提供者，有关评分内容不得分。评标未尽事宜由评标委员会根据有关规定讨论决定。</w:t>
      </w:r>
      <w:r>
        <w:rPr>
          <w:rFonts w:hint="eastAsia" w:ascii="宋体" w:hAnsi="宋体" w:cs="宋体"/>
          <w:color w:val="auto"/>
          <w:szCs w:val="21"/>
          <w:highlight w:val="none"/>
        </w:rPr>
        <w:t xml:space="preserve">扫描件须清晰可辨，如因扫描件模糊，造成无法辨认，该项不得分。</w:t>
      </w:r>
      <w:r/>
    </w:p>
    <w:p>
      <w:pPr>
        <w:pStyle w:val="72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报价超过采购预算的不得中标。</w:t>
      </w:r>
      <w:r/>
    </w:p>
    <w:p>
      <w:pPr>
        <w:pStyle w:val="729"/>
        <w:ind w:firstLine="420"/>
        <w:jc w:val="left"/>
        <w:spacing w:line="360" w:lineRule="auto"/>
        <w:rPr>
          <w:rFonts w:ascii="宋体" w:hAnsi="宋体" w:cs="宋体"/>
          <w:color w:val="auto"/>
          <w:sz w:val="24"/>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付款步骤、服务期限如有负偏离的不得中标。</w:t>
      </w:r>
      <w:r/>
    </w:p>
    <w:sectPr>
      <w:headerReference w:type="default" r:id="rId10"/>
      <w:footerReference w:type="default" r:id="rId12"/>
      <w:footnotePr/>
      <w:endnotePr/>
      <w:type w:val="nextPage"/>
      <w:pgSz w:w="11906" w:h="16838" w:orient="portrait"/>
      <w:pgMar w:top="1440" w:right="1083" w:bottom="1440" w:left="108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简体">
    <w:panose1 w:val="020B0503020202020204"/>
  </w:font>
  <w:font w:name="Symbol">
    <w:panose1 w:val="05050102010706020507"/>
  </w:font>
  <w:font w:name="楷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41960" cy="1625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1960" cy="162560"/>
                      </a:xfrm>
                      <a:prstGeom prst="rect">
                        <a:avLst/>
                      </a:prstGeom>
                      <a:noFill/>
                      <a:ln>
                        <a:noFill/>
                        <a:miter/>
                      </a:ln>
                    </wps:spPr>
                    <wps:txbx>
                      <w:txbxContent>
                        <w:p>
                          <w:pPr>
                            <w:pStyle w:val="738"/>
                          </w:pPr>
                          <w:r>
                            <w:t xml:space="preserve">— </w:t>
                          </w:r>
                          <w:r>
                            <w:fldChar w:fldCharType="begin"/>
                          </w:r>
                          <w:r>
                            <w:instrText xml:space="preserve"> PAGE  \* MERGEFORMAT </w:instrText>
                          </w:r>
                          <w:r>
                            <w:fldChar w:fldCharType="separate"/>
                          </w:r>
                          <w:r>
                            <w:t xml:space="preserve">36</w:t>
                          </w:r>
                          <w:r>
                            <w:fldChar w:fldCharType="end"/>
                          </w:r>
                          <w: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4.8pt;height:12.8pt;mso-wrap-distance-left:9.0pt;mso-wrap-distance-top:0.0pt;mso-wrap-distance-right:9.0pt;mso-wrap-distance-bottom:0.0pt;visibility:visible;" filled="f" stroked="f">
              <v:textbox inset="0,0,0,0">
                <w:txbxContent>
                  <w:p>
                    <w:pPr>
                      <w:pStyle w:val="738"/>
                    </w:pPr>
                    <w:r>
                      <w:t xml:space="preserve">— </w:t>
                    </w:r>
                    <w:r>
                      <w:fldChar w:fldCharType="begin"/>
                    </w:r>
                    <w:r>
                      <w:instrText xml:space="preserve"> PAGE  \* MERGEFORMAT </w:instrText>
                    </w:r>
                    <w:r>
                      <w:fldChar w:fldCharType="separate"/>
                    </w:r>
                    <w:r>
                      <w:t xml:space="preserve">36</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58"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10540" cy="1625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10540" cy="162560"/>
                      </a:xfrm>
                      <a:prstGeom prst="rect">
                        <a:avLst/>
                      </a:prstGeom>
                      <a:noFill/>
                      <a:ln>
                        <a:noFill/>
                        <a:miter/>
                      </a:ln>
                    </wps:spPr>
                    <wps:txbx>
                      <w:txbxContent>
                        <w:p>
                          <w:pPr>
                            <w:pStyle w:val="738"/>
                          </w:pPr>
                          <w:r>
                            <w:t xml:space="preserve">— </w:t>
                          </w:r>
                          <w:r>
                            <w:fldChar w:fldCharType="begin"/>
                          </w:r>
                          <w:r>
                            <w:instrText xml:space="preserve"> PAGE  \* MERGEFORMAT </w:instrText>
                          </w:r>
                          <w:r>
                            <w:fldChar w:fldCharType="separate"/>
                          </w:r>
                          <w:r>
                            <w:t xml:space="preserve">46</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0.2pt;height:12.8pt;mso-wrap-distance-left:9.0pt;mso-wrap-distance-top:0.0pt;mso-wrap-distance-right:9.0pt;mso-wrap-distance-bottom:0.0pt;visibility:visible;" filled="f" stroked="f">
              <v:textbox inset="0,0,0,0">
                <w:txbxContent>
                  <w:p>
                    <w:pPr>
                      <w:pStyle w:val="738"/>
                    </w:pPr>
                    <w:r>
                      <w:t xml:space="preserve">— </w:t>
                    </w:r>
                    <w:r>
                      <w:fldChar w:fldCharType="begin"/>
                    </w:r>
                    <w:r>
                      <w:instrText xml:space="preserve"> PAGE  \* MERGEFORMAT </w:instrText>
                    </w:r>
                    <w:r>
                      <w:fldChar w:fldCharType="separate"/>
                    </w:r>
                    <w:r>
                      <w:t xml:space="preserve">46</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Fonts w:hint="eastAsia" w:eastAsia="宋体"/>
        <w:u w:val="single"/>
        <w:lang w:eastAsia="zh-CN"/>
      </w:rPr>
    </w:pPr>
    <w:r>
      <w:rPr>
        <w:rFonts w:hint="eastAsia" w:ascii="宋体" w:hAnsi="宋体" w:cs="宋体"/>
        <w:sz w:val="18"/>
        <w:szCs w:val="18"/>
        <w:u w:val="single"/>
      </w:rPr>
      <w:t xml:space="preserve">政府采购文件                                                        </w:t>
    </w:r>
    <w:r>
      <w:rPr>
        <w:rFonts w:hint="eastAsia" w:ascii="宋体" w:hAnsi="宋体" w:cs="宋体"/>
        <w:sz w:val="18"/>
        <w:szCs w:val="18"/>
        <w:u w:val="single"/>
        <w:lang w:val="en-US" w:eastAsia="zh-CN"/>
      </w:rPr>
      <w:t xml:space="preserve">  </w:t>
    </w:r>
    <w:r>
      <w:rPr>
        <w:rFonts w:hint="eastAsia" w:ascii="宋体" w:hAnsi="宋体" w:cs="宋体"/>
        <w:sz w:val="18"/>
        <w:szCs w:val="18"/>
        <w:u w:val="single"/>
      </w:rPr>
      <w:t xml:space="preserve">项目编号：</w:t>
    </w:r>
    <w:r>
      <w:rPr>
        <w:rFonts w:hint="eastAsia" w:ascii="宋体" w:hAnsi="宋体" w:cs="宋体"/>
        <w:sz w:val="18"/>
        <w:szCs w:val="18"/>
        <w:u w:val="single"/>
        <w:lang w:eastAsia="zh-CN"/>
      </w:rPr>
      <w:t xml:space="preserve">JSZC-320506-SZJX-G2026-0050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u w:val="single"/>
      </w:rPr>
    </w:pPr>
    <w:r>
      <w:rPr>
        <w:rFonts w:hint="eastAsia"/>
        <w:u w:val="single"/>
      </w:rPr>
      <w:t xml:space="preserve">政府采购文件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07"/>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09"/>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decimal"/>
      <w:isLgl w:val="false"/>
      <w:suff w:val="tab"/>
      <w:lvlText w:val="%1."/>
      <w:lvlJc w:val="left"/>
      <w:pPr>
        <w:ind w:left="52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nothing"/>
      <w:lvlText w:val="%1、"/>
      <w:lvlJc w:val="left"/>
      <w:pPr>
        <w:ind w:left="-6"/>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chineseCounting"/>
      <w:pStyle w:val="908"/>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9"/>
  </w:num>
  <w:num w:numId="3">
    <w:abstractNumId w:val="1"/>
  </w:num>
  <w:num w:numId="4">
    <w:abstractNumId w:val="6"/>
  </w:num>
  <w:num w:numId="5">
    <w:abstractNumId w:val="8"/>
  </w:num>
  <w:num w:numId="6">
    <w:abstractNumId w:val="5"/>
  </w:num>
  <w:num w:numId="7">
    <w:abstractNumId w:val="3"/>
  </w:num>
  <w:num w:numId="8">
    <w:abstractNumId w:val="2"/>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3"/>
    <w:link w:val="714"/>
    <w:uiPriority w:val="9"/>
    <w:rPr>
      <w:rFonts w:ascii="Arial" w:hAnsi="Arial" w:eastAsia="Arial" w:cs="Arial"/>
      <w:sz w:val="40"/>
      <w:szCs w:val="40"/>
    </w:rPr>
  </w:style>
  <w:style w:type="character" w:styleId="15">
    <w:name w:val="Heading 2 Char"/>
    <w:basedOn w:val="723"/>
    <w:link w:val="715"/>
    <w:uiPriority w:val="9"/>
    <w:rPr>
      <w:rFonts w:ascii="Arial" w:hAnsi="Arial" w:eastAsia="Arial" w:cs="Arial"/>
      <w:sz w:val="34"/>
    </w:rPr>
  </w:style>
  <w:style w:type="character" w:styleId="17">
    <w:name w:val="Heading 3 Char"/>
    <w:basedOn w:val="723"/>
    <w:link w:val="716"/>
    <w:uiPriority w:val="9"/>
    <w:rPr>
      <w:rFonts w:ascii="Arial" w:hAnsi="Arial" w:eastAsia="Arial" w:cs="Arial"/>
      <w:sz w:val="30"/>
      <w:szCs w:val="30"/>
    </w:rPr>
  </w:style>
  <w:style w:type="character" w:styleId="19">
    <w:name w:val="Heading 4 Char"/>
    <w:basedOn w:val="723"/>
    <w:link w:val="717"/>
    <w:uiPriority w:val="9"/>
    <w:rPr>
      <w:rFonts w:ascii="Arial" w:hAnsi="Arial" w:eastAsia="Arial" w:cs="Arial"/>
      <w:b/>
      <w:bCs/>
      <w:sz w:val="26"/>
      <w:szCs w:val="26"/>
    </w:rPr>
  </w:style>
  <w:style w:type="character" w:styleId="21">
    <w:name w:val="Heading 5 Char"/>
    <w:basedOn w:val="723"/>
    <w:link w:val="718"/>
    <w:uiPriority w:val="9"/>
    <w:rPr>
      <w:rFonts w:ascii="Arial" w:hAnsi="Arial" w:eastAsia="Arial" w:cs="Arial"/>
      <w:b/>
      <w:bCs/>
      <w:sz w:val="24"/>
      <w:szCs w:val="24"/>
    </w:rPr>
  </w:style>
  <w:style w:type="character" w:styleId="23">
    <w:name w:val="Heading 6 Char"/>
    <w:basedOn w:val="723"/>
    <w:link w:val="719"/>
    <w:uiPriority w:val="9"/>
    <w:rPr>
      <w:rFonts w:ascii="Arial" w:hAnsi="Arial" w:eastAsia="Arial" w:cs="Arial"/>
      <w:b/>
      <w:bCs/>
      <w:sz w:val="22"/>
      <w:szCs w:val="22"/>
    </w:rPr>
  </w:style>
  <w:style w:type="character" w:styleId="25">
    <w:name w:val="Heading 7 Char"/>
    <w:basedOn w:val="723"/>
    <w:link w:val="720"/>
    <w:uiPriority w:val="9"/>
    <w:rPr>
      <w:rFonts w:ascii="Arial" w:hAnsi="Arial" w:eastAsia="Arial" w:cs="Arial"/>
      <w:b/>
      <w:bCs/>
      <w:i/>
      <w:iCs/>
      <w:sz w:val="22"/>
      <w:szCs w:val="22"/>
    </w:rPr>
  </w:style>
  <w:style w:type="character" w:styleId="27">
    <w:name w:val="Heading 8 Char"/>
    <w:basedOn w:val="723"/>
    <w:link w:val="721"/>
    <w:uiPriority w:val="9"/>
    <w:rPr>
      <w:rFonts w:ascii="Arial" w:hAnsi="Arial" w:eastAsia="Arial" w:cs="Arial"/>
      <w:i/>
      <w:iCs/>
      <w:sz w:val="22"/>
      <w:szCs w:val="22"/>
    </w:rPr>
  </w:style>
  <w:style w:type="character" w:styleId="29">
    <w:name w:val="Heading 9 Char"/>
    <w:basedOn w:val="723"/>
    <w:link w:val="722"/>
    <w:uiPriority w:val="9"/>
    <w:rPr>
      <w:rFonts w:ascii="Arial" w:hAnsi="Arial" w:eastAsia="Arial" w:cs="Arial"/>
      <w:i/>
      <w:iCs/>
      <w:sz w:val="21"/>
      <w:szCs w:val="21"/>
    </w:rPr>
  </w:style>
  <w:style w:type="character" w:styleId="34">
    <w:name w:val="Title Char"/>
    <w:basedOn w:val="723"/>
    <w:link w:val="749"/>
    <w:uiPriority w:val="10"/>
    <w:rPr>
      <w:sz w:val="48"/>
      <w:szCs w:val="48"/>
    </w:rPr>
  </w:style>
  <w:style w:type="character" w:styleId="36">
    <w:name w:val="Subtitle Char"/>
    <w:basedOn w:val="723"/>
    <w:link w:val="742"/>
    <w:uiPriority w:val="11"/>
    <w:rPr>
      <w:sz w:val="24"/>
      <w:szCs w:val="24"/>
    </w:rPr>
  </w:style>
  <w:style w:type="character" w:styleId="38">
    <w:name w:val="Quote Char"/>
    <w:link w:val="772"/>
    <w:uiPriority w:val="29"/>
    <w:rPr>
      <w:i/>
    </w:rPr>
  </w:style>
  <w:style w:type="character" w:styleId="40">
    <w:name w:val="Intense Quote Char"/>
    <w:link w:val="774"/>
    <w:uiPriority w:val="30"/>
    <w:rPr>
      <w:i/>
    </w:rPr>
  </w:style>
  <w:style w:type="character" w:styleId="42">
    <w:name w:val="Header Char"/>
    <w:basedOn w:val="723"/>
    <w:link w:val="739"/>
    <w:uiPriority w:val="99"/>
  </w:style>
  <w:style w:type="character" w:styleId="46">
    <w:name w:val="Caption Char"/>
    <w:basedOn w:val="727"/>
    <w:link w:val="738"/>
    <w:uiPriority w:val="99"/>
  </w:style>
  <w:style w:type="table" w:styleId="49">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3"/>
    <w:uiPriority w:val="99"/>
    <w:rPr>
      <w:sz w:val="18"/>
    </w:rPr>
  </w:style>
  <w:style w:type="character" w:styleId="178">
    <w:name w:val="Endnote Text Char"/>
    <w:link w:val="736"/>
    <w:uiPriority w:val="99"/>
    <w:rPr>
      <w:sz w:val="20"/>
    </w:rPr>
  </w:style>
  <w:style w:type="paragraph" w:styleId="189">
    <w:name w:val="TOC Heading"/>
    <w:uiPriority w:val="39"/>
    <w:unhideWhenUsed/>
  </w:style>
  <w:style w:type="paragraph" w:styleId="71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14">
    <w:name w:val="Heading 1"/>
    <w:basedOn w:val="713"/>
    <w:next w:val="713"/>
    <w:link w:val="759"/>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60"/>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61"/>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62"/>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63"/>
    <w:uiPriority w:val="9"/>
    <w:unhideWhenUsed/>
    <w:qFormat/>
    <w:pPr>
      <w:keepLines/>
      <w:keepNext/>
      <w:spacing w:before="320" w:after="200"/>
      <w:outlineLvl w:val="4"/>
    </w:pPr>
    <w:rPr>
      <w:rFonts w:ascii="Arial" w:hAnsi="Arial" w:eastAsia="Arial" w:cs="Arial"/>
      <w:b/>
      <w:bCs/>
      <w:sz w:val="24"/>
    </w:rPr>
  </w:style>
  <w:style w:type="paragraph" w:styleId="719">
    <w:name w:val="Heading 6"/>
    <w:basedOn w:val="713"/>
    <w:next w:val="713"/>
    <w:link w:val="764"/>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66"/>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67"/>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701"/>
      <w:spacing w:after="57"/>
    </w:pPr>
  </w:style>
  <w:style w:type="paragraph" w:styleId="726">
    <w:name w:val="Normal Indent"/>
    <w:basedOn w:val="713"/>
    <w:next w:val="713"/>
    <w:uiPriority w:val="99"/>
    <w:semiHidden/>
    <w:unhideWhenUsed/>
    <w:qFormat/>
    <w:pPr>
      <w:ind w:left="420" w:firstLine="4772"/>
    </w:pPr>
    <w:rPr>
      <w:rFonts w:ascii="Times New Roman" w:hAnsi="Times New Roman"/>
      <w:szCs w:val="21"/>
    </w:rPr>
  </w:style>
  <w:style w:type="paragraph" w:styleId="727">
    <w:name w:val="Caption"/>
    <w:basedOn w:val="713"/>
    <w:next w:val="713"/>
    <w:uiPriority w:val="35"/>
    <w:semiHidden/>
    <w:unhideWhenUsed/>
    <w:qFormat/>
    <w:pPr>
      <w:spacing w:line="276" w:lineRule="auto"/>
    </w:pPr>
    <w:rPr>
      <w:b/>
      <w:bCs/>
      <w:color w:val="4f81bd" w:themeColor="accent1"/>
      <w:sz w:val="18"/>
      <w:szCs w:val="18"/>
    </w:rPr>
  </w:style>
  <w:style w:type="paragraph" w:styleId="728">
    <w:name w:val="annotation text"/>
    <w:basedOn w:val="713"/>
    <w:link w:val="950"/>
    <w:uiPriority w:val="99"/>
    <w:semiHidden/>
    <w:unhideWhenUsed/>
    <w:qFormat/>
    <w:pPr>
      <w:jc w:val="left"/>
    </w:pPr>
  </w:style>
  <w:style w:type="paragraph" w:styleId="729">
    <w:name w:val="Body Text"/>
    <w:basedOn w:val="713"/>
    <w:uiPriority w:val="0"/>
    <w:qFormat/>
    <w:pPr>
      <w:ind w:firstLine="2560"/>
    </w:pPr>
  </w:style>
  <w:style w:type="paragraph" w:styleId="730">
    <w:name w:val="Body Text Indent"/>
    <w:basedOn w:val="713"/>
    <w:next w:val="731"/>
    <w:uiPriority w:val="99"/>
    <w:semiHidden/>
    <w:unhideWhenUsed/>
    <w:qFormat/>
    <w:pPr>
      <w:ind w:firstLine="560"/>
      <w:jc w:val="left"/>
      <w:spacing w:line="300" w:lineRule="auto"/>
    </w:pPr>
    <w:rPr>
      <w:rFonts w:ascii="Times New Roman" w:hAnsi="Times New Roman"/>
      <w:sz w:val="28"/>
      <w:szCs w:val="28"/>
    </w:rPr>
  </w:style>
  <w:style w:type="paragraph" w:styleId="731" w:customStyle="1">
    <w:name w:val="font5"/>
    <w:basedOn w:val="714"/>
    <w:uiPriority w:val="0"/>
    <w:qFormat/>
    <w:pPr>
      <w:ind w:firstLine="5120"/>
      <w:spacing w:before="280" w:after="280"/>
    </w:pPr>
    <w:rPr>
      <w:rFonts w:ascii="Times New Roman" w:hAnsi="Times New Roman" w:cs="Times New Roman"/>
    </w:rPr>
  </w:style>
  <w:style w:type="paragraph" w:styleId="732">
    <w:name w:val="toc 5"/>
    <w:basedOn w:val="713"/>
    <w:next w:val="713"/>
    <w:uiPriority w:val="39"/>
    <w:unhideWhenUsed/>
    <w:qFormat/>
    <w:pPr>
      <w:ind w:left="1134"/>
      <w:spacing w:after="57"/>
    </w:pPr>
  </w:style>
  <w:style w:type="paragraph" w:styleId="733">
    <w:name w:val="toc 3"/>
    <w:basedOn w:val="713"/>
    <w:next w:val="713"/>
    <w:uiPriority w:val="39"/>
    <w:unhideWhenUsed/>
    <w:qFormat/>
    <w:pPr>
      <w:ind w:left="567"/>
      <w:spacing w:after="57"/>
    </w:pPr>
  </w:style>
  <w:style w:type="paragraph" w:styleId="734">
    <w:name w:val="Plain Text"/>
    <w:basedOn w:val="713"/>
    <w:uiPriority w:val="99"/>
    <w:semiHidden/>
    <w:unhideWhenUsed/>
    <w:qFormat/>
    <w:rPr>
      <w:rFonts w:hint="eastAsia" w:ascii="宋体" w:hAnsi="Courier New" w:eastAsia="楷体_GB2312"/>
      <w:sz w:val="28"/>
      <w:szCs w:val="28"/>
    </w:rPr>
  </w:style>
  <w:style w:type="paragraph" w:styleId="735">
    <w:name w:val="toc 8"/>
    <w:basedOn w:val="713"/>
    <w:next w:val="713"/>
    <w:uiPriority w:val="39"/>
    <w:unhideWhenUsed/>
    <w:qFormat/>
    <w:pPr>
      <w:ind w:left="1984"/>
      <w:spacing w:after="57"/>
    </w:pPr>
  </w:style>
  <w:style w:type="paragraph" w:styleId="736">
    <w:name w:val="endnote text"/>
    <w:basedOn w:val="713"/>
    <w:link w:val="905"/>
    <w:uiPriority w:val="99"/>
    <w:semiHidden/>
    <w:unhideWhenUsed/>
    <w:qFormat/>
    <w:rPr>
      <w:sz w:val="20"/>
    </w:rPr>
  </w:style>
  <w:style w:type="paragraph" w:styleId="737">
    <w:name w:val="Balloon Text"/>
    <w:basedOn w:val="713"/>
    <w:uiPriority w:val="0"/>
    <w:qFormat/>
    <w:rPr>
      <w:sz w:val="18"/>
      <w:szCs w:val="18"/>
    </w:rPr>
  </w:style>
  <w:style w:type="paragraph" w:styleId="738">
    <w:name w:val="Footer"/>
    <w:basedOn w:val="713"/>
    <w:link w:val="778"/>
    <w:uiPriority w:val="99"/>
    <w:unhideWhenUsed/>
    <w:qFormat/>
    <w:pPr>
      <w:tabs>
        <w:tab w:val="center" w:pos="7143" w:leader="none"/>
        <w:tab w:val="right" w:pos="14287" w:leader="none"/>
      </w:tabs>
    </w:pPr>
  </w:style>
  <w:style w:type="paragraph" w:styleId="739">
    <w:name w:val="Header"/>
    <w:basedOn w:val="713"/>
    <w:link w:val="776"/>
    <w:uiPriority w:val="99"/>
    <w:unhideWhenUsed/>
    <w:qFormat/>
    <w:pPr>
      <w:tabs>
        <w:tab w:val="center" w:pos="7143" w:leader="none"/>
        <w:tab w:val="right" w:pos="14287" w:leader="none"/>
      </w:tabs>
    </w:pPr>
  </w:style>
  <w:style w:type="paragraph" w:styleId="740">
    <w:name w:val="toc 1"/>
    <w:basedOn w:val="713"/>
    <w:next w:val="713"/>
    <w:uiPriority w:val="39"/>
    <w:unhideWhenUsed/>
    <w:qFormat/>
    <w:pPr>
      <w:spacing w:after="57"/>
    </w:pPr>
  </w:style>
  <w:style w:type="paragraph" w:styleId="741">
    <w:name w:val="toc 4"/>
    <w:basedOn w:val="713"/>
    <w:next w:val="713"/>
    <w:uiPriority w:val="39"/>
    <w:unhideWhenUsed/>
    <w:qFormat/>
    <w:pPr>
      <w:ind w:left="850"/>
      <w:spacing w:after="57"/>
    </w:pPr>
  </w:style>
  <w:style w:type="paragraph" w:styleId="742">
    <w:name w:val="Subtitle"/>
    <w:basedOn w:val="713"/>
    <w:next w:val="713"/>
    <w:link w:val="771"/>
    <w:uiPriority w:val="11"/>
    <w:qFormat/>
    <w:pPr>
      <w:spacing w:before="200" w:after="200"/>
    </w:pPr>
    <w:rPr>
      <w:sz w:val="24"/>
    </w:rPr>
  </w:style>
  <w:style w:type="paragraph" w:styleId="743">
    <w:name w:val="footnote text"/>
    <w:basedOn w:val="713"/>
    <w:link w:val="904"/>
    <w:uiPriority w:val="99"/>
    <w:semiHidden/>
    <w:unhideWhenUsed/>
    <w:qFormat/>
    <w:pPr>
      <w:spacing w:after="40"/>
    </w:pPr>
    <w:rPr>
      <w:sz w:val="18"/>
    </w:rPr>
  </w:style>
  <w:style w:type="paragraph" w:styleId="744">
    <w:name w:val="toc 6"/>
    <w:basedOn w:val="713"/>
    <w:next w:val="713"/>
    <w:uiPriority w:val="39"/>
    <w:unhideWhenUsed/>
    <w:qFormat/>
    <w:pPr>
      <w:ind w:left="1417"/>
      <w:spacing w:after="57"/>
    </w:pPr>
  </w:style>
  <w:style w:type="paragraph" w:styleId="745">
    <w:name w:val="table of figures"/>
    <w:basedOn w:val="713"/>
    <w:next w:val="713"/>
    <w:uiPriority w:val="99"/>
    <w:unhideWhenUsed/>
    <w:qFormat/>
  </w:style>
  <w:style w:type="paragraph" w:styleId="746">
    <w:name w:val="toc 2"/>
    <w:basedOn w:val="713"/>
    <w:next w:val="713"/>
    <w:uiPriority w:val="39"/>
    <w:unhideWhenUsed/>
    <w:qFormat/>
    <w:pPr>
      <w:ind w:left="283"/>
      <w:spacing w:after="57"/>
    </w:pPr>
  </w:style>
  <w:style w:type="paragraph" w:styleId="747">
    <w:name w:val="toc 9"/>
    <w:basedOn w:val="713"/>
    <w:next w:val="713"/>
    <w:uiPriority w:val="39"/>
    <w:unhideWhenUsed/>
    <w:qFormat/>
    <w:pPr>
      <w:ind w:left="2268"/>
      <w:spacing w:after="57"/>
    </w:pPr>
  </w:style>
  <w:style w:type="paragraph" w:styleId="748">
    <w:name w:val="Normal (Web)"/>
    <w:basedOn w:val="713"/>
    <w:uiPriority w:val="99"/>
    <w:semiHidden/>
    <w:unhideWhenUsed/>
    <w:qFormat/>
    <w:pPr>
      <w:ind w:left="15" w:right="15" w:firstLine="4608"/>
      <w:spacing w:before="60" w:after="60" w:line="312" w:lineRule="auto"/>
    </w:pPr>
    <w:rPr>
      <w:rFonts w:ascii="Times New Roman" w:hAnsi="Times New Roman"/>
    </w:rPr>
  </w:style>
  <w:style w:type="paragraph" w:styleId="749">
    <w:name w:val="Title"/>
    <w:basedOn w:val="713"/>
    <w:next w:val="713"/>
    <w:link w:val="770"/>
    <w:uiPriority w:val="10"/>
    <w:qFormat/>
    <w:pPr>
      <w:contextualSpacing/>
      <w:spacing w:before="300" w:after="200"/>
    </w:pPr>
    <w:rPr>
      <w:sz w:val="48"/>
      <w:szCs w:val="48"/>
    </w:rPr>
  </w:style>
  <w:style w:type="paragraph" w:styleId="750">
    <w:name w:val="annotation subject"/>
    <w:basedOn w:val="728"/>
    <w:next w:val="728"/>
    <w:link w:val="951"/>
    <w:uiPriority w:val="99"/>
    <w:semiHidden/>
    <w:unhideWhenUsed/>
    <w:rPr>
      <w:b/>
      <w:bCs/>
    </w:r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rPr>
  </w:style>
  <w:style w:type="character" w:styleId="754">
    <w:name w:val="annotation reference"/>
    <w:basedOn w:val="723"/>
    <w:uiPriority w:val="99"/>
    <w:semiHidden/>
    <w:unhideWhenUsed/>
    <w:qFormat/>
    <w:rPr>
      <w:sz w:val="21"/>
      <w:szCs w:val="21"/>
    </w:rPr>
  </w:style>
  <w:style w:type="character" w:styleId="755">
    <w:name w:val="footnote reference"/>
    <w:uiPriority w:val="99"/>
    <w:unhideWhenUsed/>
    <w:qFormat/>
    <w:rPr>
      <w:vertAlign w:val="superscript"/>
    </w:rPr>
  </w:style>
  <w:style w:type="paragraph" w:styleId="756" w:customStyle="1">
    <w:name w:val="段"/>
    <w:next w:val="713"/>
    <w:uiPriority w:val="0"/>
    <w:qFormat/>
    <w:pPr>
      <w:ind w:firstLine="200"/>
      <w:jc w:val="both"/>
    </w:pPr>
    <w:rPr>
      <w:rFonts w:ascii="宋体" w:hAnsi="Calibri" w:eastAsia="宋体" w:cs="Times New Roman"/>
      <w:sz w:val="21"/>
      <w:lang w:val="en-US" w:eastAsia="zh-CN" w:bidi="ar-SA"/>
    </w:rPr>
  </w:style>
  <w:style w:type="paragraph" w:styleId="757" w:customStyle="1">
    <w:name w:val="正文文本1"/>
    <w:basedOn w:val="713"/>
    <w:next w:val="758"/>
    <w:uiPriority w:val="99"/>
    <w:unhideWhenUsed/>
    <w:qFormat/>
    <w:pPr>
      <w:spacing w:after="120"/>
    </w:pPr>
    <w:rPr>
      <w:rFonts w:ascii="Times New Roman" w:hAnsi="Times New Roman"/>
    </w:rPr>
  </w:style>
  <w:style w:type="paragraph" w:styleId="758" w:customStyle="1">
    <w:name w:val="正文缩进1"/>
    <w:basedOn w:val="713"/>
    <w:next w:val="713"/>
    <w:uiPriority w:val="99"/>
    <w:unhideWhenUsed/>
    <w:qFormat/>
    <w:pPr>
      <w:ind w:firstLine="420"/>
      <w:jc w:val="left"/>
    </w:pPr>
    <w:rPr>
      <w:rFonts w:ascii="Times New Roman" w:hAnsi="Times New Roman" w:eastAsia="楷体_GB2312"/>
      <w:sz w:val="24"/>
      <w:szCs w:val="20"/>
    </w:rPr>
  </w:style>
  <w:style w:type="character" w:styleId="759" w:customStyle="1">
    <w:name w:val="标题 1 Char1"/>
    <w:link w:val="714"/>
    <w:uiPriority w:val="9"/>
    <w:qFormat/>
    <w:rPr>
      <w:rFonts w:ascii="Arial" w:hAnsi="Arial" w:eastAsia="Arial" w:cs="Arial"/>
      <w:sz w:val="40"/>
      <w:szCs w:val="40"/>
    </w:rPr>
  </w:style>
  <w:style w:type="character" w:styleId="760" w:customStyle="1">
    <w:name w:val="标题 2 Char"/>
    <w:link w:val="715"/>
    <w:uiPriority w:val="9"/>
    <w:qFormat/>
    <w:rPr>
      <w:rFonts w:ascii="Arial" w:hAnsi="Arial" w:eastAsia="Arial" w:cs="Arial"/>
      <w:sz w:val="34"/>
    </w:rPr>
  </w:style>
  <w:style w:type="character" w:styleId="761" w:customStyle="1">
    <w:name w:val="标题 3 Char"/>
    <w:link w:val="716"/>
    <w:uiPriority w:val="9"/>
    <w:qFormat/>
    <w:rPr>
      <w:rFonts w:ascii="Arial" w:hAnsi="Arial" w:eastAsia="Arial" w:cs="Arial"/>
      <w:sz w:val="30"/>
      <w:szCs w:val="30"/>
    </w:rPr>
  </w:style>
  <w:style w:type="character" w:styleId="762" w:customStyle="1">
    <w:name w:val="标题 4 Char"/>
    <w:link w:val="717"/>
    <w:uiPriority w:val="9"/>
    <w:qFormat/>
    <w:rPr>
      <w:rFonts w:ascii="Arial" w:hAnsi="Arial" w:eastAsia="Arial" w:cs="Arial"/>
      <w:b/>
      <w:bCs/>
      <w:sz w:val="26"/>
      <w:szCs w:val="26"/>
    </w:rPr>
  </w:style>
  <w:style w:type="character" w:styleId="763" w:customStyle="1">
    <w:name w:val="标题 5 Char"/>
    <w:link w:val="718"/>
    <w:uiPriority w:val="9"/>
    <w:qFormat/>
    <w:rPr>
      <w:rFonts w:ascii="Arial" w:hAnsi="Arial" w:eastAsia="Arial" w:cs="Arial"/>
      <w:b/>
      <w:bCs/>
      <w:sz w:val="24"/>
      <w:szCs w:val="24"/>
    </w:rPr>
  </w:style>
  <w:style w:type="character" w:styleId="764" w:customStyle="1">
    <w:name w:val="标题 6 Char"/>
    <w:link w:val="719"/>
    <w:uiPriority w:val="9"/>
    <w:qFormat/>
    <w:rPr>
      <w:rFonts w:ascii="Arial" w:hAnsi="Arial" w:eastAsia="Arial" w:cs="Arial"/>
      <w:b/>
      <w:bCs/>
      <w:sz w:val="22"/>
      <w:szCs w:val="22"/>
    </w:rPr>
  </w:style>
  <w:style w:type="character" w:styleId="765" w:customStyle="1">
    <w:name w:val="标题 7 Char"/>
    <w:link w:val="720"/>
    <w:uiPriority w:val="9"/>
    <w:qFormat/>
    <w:rPr>
      <w:rFonts w:ascii="Arial" w:hAnsi="Arial" w:eastAsia="Arial" w:cs="Arial"/>
      <w:b/>
      <w:bCs/>
      <w:i/>
      <w:iCs/>
      <w:sz w:val="22"/>
      <w:szCs w:val="22"/>
    </w:rPr>
  </w:style>
  <w:style w:type="character" w:styleId="766" w:customStyle="1">
    <w:name w:val="标题 8 Char"/>
    <w:link w:val="721"/>
    <w:uiPriority w:val="9"/>
    <w:qFormat/>
    <w:rPr>
      <w:rFonts w:ascii="Arial" w:hAnsi="Arial" w:eastAsia="Arial" w:cs="Arial"/>
      <w:i/>
      <w:iCs/>
      <w:sz w:val="22"/>
      <w:szCs w:val="22"/>
    </w:rPr>
  </w:style>
  <w:style w:type="character" w:styleId="767" w:customStyle="1">
    <w:name w:val="标题 9 Char"/>
    <w:link w:val="722"/>
    <w:uiPriority w:val="9"/>
    <w:qFormat/>
    <w:rPr>
      <w:rFonts w:ascii="Arial" w:hAnsi="Arial" w:eastAsia="Arial" w:cs="Arial"/>
      <w:i/>
      <w:iCs/>
      <w:sz w:val="21"/>
      <w:szCs w:val="21"/>
    </w:rPr>
  </w:style>
  <w:style w:type="paragraph" w:styleId="768">
    <w:name w:val="List Paragraph"/>
    <w:basedOn w:val="713"/>
    <w:uiPriority w:val="34"/>
    <w:qFormat/>
    <w:pPr>
      <w:contextualSpacing/>
      <w:ind w:left="720"/>
    </w:pPr>
  </w:style>
  <w:style w:type="paragraph" w:styleId="769">
    <w:name w:val="No Spacing"/>
    <w:uiPriority w:val="1"/>
    <w:qFormat/>
    <w:rPr>
      <w:rFonts w:ascii="Times New Roman" w:hAnsi="Times New Roman" w:eastAsia="宋体" w:cs="Times New Roman"/>
      <w:lang w:val="en-US" w:eastAsia="zh-CN" w:bidi="ar-SA"/>
    </w:rPr>
  </w:style>
  <w:style w:type="character" w:styleId="770" w:customStyle="1">
    <w:name w:val="标题 Char"/>
    <w:link w:val="749"/>
    <w:uiPriority w:val="10"/>
    <w:qFormat/>
    <w:rPr>
      <w:sz w:val="48"/>
      <w:szCs w:val="48"/>
    </w:rPr>
  </w:style>
  <w:style w:type="character" w:styleId="771" w:customStyle="1">
    <w:name w:val="副标题 Char"/>
    <w:link w:val="742"/>
    <w:uiPriority w:val="11"/>
    <w:qFormat/>
    <w:rPr>
      <w:sz w:val="24"/>
      <w:szCs w:val="24"/>
    </w:rPr>
  </w:style>
  <w:style w:type="paragraph" w:styleId="772">
    <w:name w:val="Quote"/>
    <w:basedOn w:val="713"/>
    <w:next w:val="713"/>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713"/>
    <w:next w:val="713"/>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character" w:styleId="776" w:customStyle="1">
    <w:name w:val="页眉 Char1"/>
    <w:link w:val="739"/>
    <w:uiPriority w:val="99"/>
    <w:qFormat/>
  </w:style>
  <w:style w:type="character" w:styleId="777" w:customStyle="1">
    <w:name w:val="Footer Char"/>
    <w:uiPriority w:val="99"/>
    <w:qFormat/>
  </w:style>
  <w:style w:type="character" w:styleId="778" w:customStyle="1">
    <w:name w:val="页脚 Char1"/>
    <w:link w:val="738"/>
    <w:uiPriority w:val="99"/>
    <w:qFormat/>
  </w:style>
  <w:style w:type="table" w:styleId="7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脚注文本 Char"/>
    <w:link w:val="743"/>
    <w:uiPriority w:val="99"/>
    <w:qFormat/>
    <w:rPr>
      <w:sz w:val="18"/>
    </w:rPr>
  </w:style>
  <w:style w:type="character" w:styleId="905" w:customStyle="1">
    <w:name w:val="尾注文本 Char"/>
    <w:link w:val="736"/>
    <w:uiPriority w:val="99"/>
    <w:qFormat/>
    <w:rPr>
      <w:sz w:val="20"/>
    </w:rPr>
  </w:style>
  <w:style w:type="paragraph" w:styleId="906" w:customStyle="1">
    <w:name w:val="TOC 标题1"/>
    <w:uiPriority w:val="39"/>
    <w:unhideWhenUsed/>
    <w:qFormat/>
    <w:rPr>
      <w:rFonts w:ascii="Times New Roman" w:hAnsi="Times New Roman" w:eastAsia="宋体" w:cs="Times New Roman"/>
      <w:lang w:val="en-US" w:eastAsia="zh-CN" w:bidi="ar-SA"/>
    </w:rPr>
  </w:style>
  <w:style w:type="paragraph" w:styleId="907" w:customStyle="1">
    <w:name w:val="标题 111"/>
    <w:basedOn w:val="713"/>
    <w:next w:val="713"/>
    <w:link w:val="912"/>
    <w:uiPriority w:val="0"/>
    <w:qFormat/>
    <w:pPr>
      <w:numPr>
        <w:ilvl w:val="0"/>
        <w:numId w:val="1"/>
      </w:numPr>
      <w:spacing w:line="360" w:lineRule="auto"/>
      <w:outlineLvl w:val="0"/>
    </w:pPr>
    <w:rPr>
      <w:rFonts w:ascii="Times New Roman" w:hAnsi="楷体" w:eastAsia="楷体"/>
      <w:b/>
      <w:sz w:val="28"/>
      <w:szCs w:val="28"/>
    </w:rPr>
  </w:style>
  <w:style w:type="paragraph" w:styleId="908" w:customStyle="1">
    <w:name w:val="标题 21"/>
    <w:basedOn w:val="713"/>
    <w:next w:val="713"/>
    <w:uiPriority w:val="0"/>
    <w:qFormat/>
    <w:pPr>
      <w:numPr>
        <w:ilvl w:val="0"/>
        <w:numId w:val="2"/>
      </w:numPr>
      <w:spacing w:line="360" w:lineRule="auto"/>
      <w:outlineLvl w:val="1"/>
    </w:pPr>
    <w:rPr>
      <w:rFonts w:ascii="Times New Roman" w:hAnsi="Times New Roman" w:eastAsia="楷体_GB2312"/>
      <w:b/>
      <w:bCs/>
      <w:sz w:val="28"/>
      <w:szCs w:val="28"/>
    </w:rPr>
  </w:style>
  <w:style w:type="paragraph" w:styleId="909" w:customStyle="1">
    <w:name w:val="标题 311"/>
    <w:basedOn w:val="713"/>
    <w:next w:val="713"/>
    <w:uiPriority w:val="0"/>
    <w:qFormat/>
    <w:pPr>
      <w:numPr>
        <w:ilvl w:val="0"/>
        <w:numId w:val="3"/>
      </w:numPr>
      <w:spacing w:line="560" w:lineRule="exact"/>
      <w:outlineLvl w:val="2"/>
    </w:pPr>
    <w:rPr>
      <w:rFonts w:ascii="Times New Roman" w:hAnsi="Times New Roman" w:eastAsia="楷体_GB2312"/>
      <w:b/>
      <w:bCs/>
      <w:sz w:val="28"/>
      <w:szCs w:val="28"/>
    </w:rPr>
  </w:style>
  <w:style w:type="character" w:styleId="910" w:customStyle="1">
    <w:name w:val="默认段落字体11"/>
    <w:uiPriority w:val="0"/>
    <w:semiHidden/>
    <w:qFormat/>
  </w:style>
  <w:style w:type="table" w:styleId="911" w:customStyle="1">
    <w:name w:val="普通表格1"/>
    <w:uiPriority w:val="0"/>
    <w:semiHidden/>
    <w:qFormat/>
    <w:tblPr>
      <w:tblCellMar>
        <w:left w:w="0" w:type="dxa"/>
        <w:top w:w="0" w:type="dxa"/>
        <w:right w:w="0" w:type="dxa"/>
        <w:bottom w:w="0" w:type="dxa"/>
      </w:tblCellMar>
    </w:tblPr>
  </w:style>
  <w:style w:type="character" w:styleId="912" w:customStyle="1">
    <w:name w:val="标题 1 Char"/>
    <w:link w:val="907"/>
    <w:uiPriority w:val="0"/>
    <w:qFormat/>
    <w:rPr>
      <w:rFonts w:hAnsi="楷体" w:eastAsia="楷体"/>
      <w:b/>
      <w:sz w:val="28"/>
      <w:szCs w:val="28"/>
    </w:rPr>
  </w:style>
  <w:style w:type="paragraph" w:styleId="913" w:customStyle="1">
    <w:name w:val="批注文字1"/>
    <w:basedOn w:val="713"/>
    <w:uiPriority w:val="0"/>
    <w:qFormat/>
    <w:pPr>
      <w:jc w:val="left"/>
    </w:pPr>
  </w:style>
  <w:style w:type="paragraph" w:styleId="914" w:customStyle="1">
    <w:name w:val="正文文本缩进11"/>
    <w:basedOn w:val="713"/>
    <w:next w:val="713"/>
    <w:uiPriority w:val="99"/>
    <w:qFormat/>
    <w:pPr>
      <w:ind w:firstLine="425"/>
      <w:spacing w:line="360" w:lineRule="auto"/>
    </w:pPr>
    <w:rPr>
      <w:sz w:val="20"/>
    </w:rPr>
  </w:style>
  <w:style w:type="paragraph" w:styleId="915" w:customStyle="1">
    <w:name w:val="页脚11"/>
    <w:basedOn w:val="713"/>
    <w:link w:val="916"/>
    <w:uiPriority w:val="0"/>
    <w:qFormat/>
    <w:pPr>
      <w:jc w:val="left"/>
      <w:tabs>
        <w:tab w:val="center" w:pos="4153" w:leader="none"/>
        <w:tab w:val="right" w:pos="8306" w:leader="none"/>
      </w:tabs>
    </w:pPr>
    <w:rPr>
      <w:sz w:val="18"/>
      <w:szCs w:val="18"/>
    </w:rPr>
  </w:style>
  <w:style w:type="character" w:styleId="916" w:customStyle="1">
    <w:name w:val="页脚 Char"/>
    <w:basedOn w:val="910"/>
    <w:link w:val="915"/>
    <w:uiPriority w:val="0"/>
    <w:qFormat/>
    <w:rPr>
      <w:rFonts w:ascii="Calibri" w:hAnsi="Calibri"/>
      <w:sz w:val="18"/>
      <w:szCs w:val="18"/>
    </w:rPr>
  </w:style>
  <w:style w:type="paragraph" w:styleId="917" w:customStyle="1">
    <w:name w:val="页眉11"/>
    <w:basedOn w:val="713"/>
    <w:link w:val="918"/>
    <w:uiPriority w:val="0"/>
    <w:qFormat/>
    <w:pPr>
      <w:jc w:val="center"/>
      <w:tabs>
        <w:tab w:val="center" w:pos="4153" w:leader="none"/>
        <w:tab w:val="right" w:pos="8306" w:leader="none"/>
      </w:tabs>
      <w:pBdr>
        <w:bottom w:val="single" w:color="000000" w:sz="6" w:space="1"/>
      </w:pBdr>
    </w:pPr>
    <w:rPr>
      <w:sz w:val="18"/>
      <w:szCs w:val="18"/>
    </w:rPr>
  </w:style>
  <w:style w:type="character" w:styleId="918" w:customStyle="1">
    <w:name w:val="页眉 Char"/>
    <w:basedOn w:val="910"/>
    <w:link w:val="917"/>
    <w:uiPriority w:val="0"/>
    <w:qFormat/>
    <w:rPr>
      <w:rFonts w:ascii="Calibri" w:hAnsi="Calibri"/>
      <w:sz w:val="18"/>
      <w:szCs w:val="18"/>
    </w:rPr>
  </w:style>
  <w:style w:type="paragraph" w:styleId="919" w:customStyle="1">
    <w:name w:val="正文首行缩进 211"/>
    <w:basedOn w:val="914"/>
    <w:uiPriority w:val="99"/>
    <w:unhideWhenUsed/>
    <w:qFormat/>
    <w:pPr>
      <w:ind w:firstLine="420"/>
    </w:pPr>
  </w:style>
  <w:style w:type="table" w:styleId="920" w:customStyle="1">
    <w:name w:val="网格型1"/>
    <w:basedOn w:val="911"/>
    <w:uiPriority w:val="0"/>
    <w:qFormat/>
    <w:tblPr>
      <w:tblCellMar>
        <w:left w:w="0" w:type="dxa"/>
        <w:top w:w="0" w:type="dxa"/>
        <w:right w:w="0" w:type="dxa"/>
        <w:bottom w:w="0" w:type="dxa"/>
      </w:tblCellMar>
    </w:tblPr>
  </w:style>
  <w:style w:type="paragraph" w:styleId="921" w:customStyle="1">
    <w:name w:val="正文文本缩进1"/>
    <w:basedOn w:val="713"/>
    <w:next w:val="713"/>
    <w:uiPriority w:val="99"/>
    <w:unhideWhenUsed/>
    <w:qFormat/>
    <w:pPr>
      <w:ind w:left="570"/>
      <w:spacing w:line="520" w:lineRule="exact"/>
    </w:pPr>
    <w:rPr>
      <w:rFonts w:ascii="方正仿宋简体" w:eastAsia="方正仿宋简体"/>
      <w:sz w:val="24"/>
      <w:szCs w:val="22"/>
    </w:rPr>
  </w:style>
  <w:style w:type="paragraph" w:styleId="922" w:customStyle="1">
    <w:name w:val="标题 11"/>
    <w:basedOn w:val="923"/>
    <w:next w:val="713"/>
    <w:uiPriority w:val="9"/>
    <w:qFormat/>
    <w:pPr>
      <w:spacing w:before="340" w:after="330" w:line="578" w:lineRule="auto"/>
      <w:outlineLvl w:val="0"/>
    </w:pPr>
    <w:rPr>
      <w:bCs/>
      <w:sz w:val="44"/>
      <w:szCs w:val="44"/>
    </w:rPr>
  </w:style>
  <w:style w:type="paragraph" w:styleId="923" w:customStyle="1">
    <w:name w:val="标题 31"/>
    <w:basedOn w:val="713"/>
    <w:next w:val="713"/>
    <w:uiPriority w:val="9"/>
    <w:unhideWhenUsed/>
    <w:qFormat/>
    <w:pPr>
      <w:keepLines/>
      <w:keepNext/>
      <w:spacing w:before="260" w:after="260" w:line="416" w:lineRule="auto"/>
      <w:outlineLvl w:val="2"/>
    </w:pPr>
    <w:rPr>
      <w:rFonts w:ascii="Times New Roman" w:hAnsi="Times New Roman"/>
      <w:b/>
      <w:sz w:val="32"/>
      <w:szCs w:val="20"/>
    </w:rPr>
  </w:style>
  <w:style w:type="character" w:styleId="924" w:customStyle="1">
    <w:name w:val="超链接1"/>
    <w:basedOn w:val="925"/>
    <w:uiPriority w:val="99"/>
    <w:unhideWhenUsed/>
    <w:qFormat/>
    <w:rPr>
      <w:rFonts w:ascii="Calibri" w:hAnsi="Calibri" w:eastAsia="宋体" w:cs="Times New Roman"/>
      <w:sz w:val="21"/>
      <w:szCs w:val="24"/>
      <w:lang w:val="en-US" w:eastAsia="zh-CN" w:bidi="ar-SA"/>
    </w:rPr>
  </w:style>
  <w:style w:type="character" w:styleId="925" w:customStyle="1">
    <w:name w:val="默认段落字体1"/>
    <w:uiPriority w:val="1"/>
    <w:unhideWhenUsed/>
    <w:qFormat/>
  </w:style>
  <w:style w:type="paragraph" w:styleId="926" w:customStyle="1">
    <w:name w:val="首行缩进"/>
    <w:basedOn w:val="713"/>
    <w:uiPriority w:val="99"/>
    <w:qFormat/>
    <w:pPr>
      <w:ind w:firstLine="480"/>
    </w:pPr>
    <w:rPr>
      <w:rFonts w:ascii="Times New Roman" w:hAnsi="Times New Roman"/>
      <w:szCs w:val="20"/>
      <w:lang w:val="zh-CN"/>
    </w:rPr>
  </w:style>
  <w:style w:type="paragraph" w:styleId="927" w:customStyle="1">
    <w:name w:val="列出段落1"/>
    <w:basedOn w:val="713"/>
    <w:uiPriority w:val="99"/>
    <w:unhideWhenUsed/>
    <w:qFormat/>
    <w:pPr>
      <w:ind w:firstLine="420"/>
    </w:pPr>
  </w:style>
  <w:style w:type="paragraph" w:styleId="928" w:customStyle="1">
    <w:name w:val="纯文本1"/>
    <w:basedOn w:val="713"/>
    <w:uiPriority w:val="0"/>
    <w:qFormat/>
    <w:rPr>
      <w:rFonts w:ascii="宋体" w:hAnsi="Courier New" w:eastAsia="楷体_GB2312"/>
      <w:sz w:val="28"/>
      <w:szCs w:val="20"/>
    </w:rPr>
  </w:style>
  <w:style w:type="paragraph" w:styleId="929" w:customStyle="1">
    <w:name w:val="纯文本11"/>
    <w:basedOn w:val="713"/>
    <w:uiPriority w:val="99"/>
    <w:unhideWhenUsed/>
    <w:qFormat/>
    <w:pPr>
      <w:jc w:val="left"/>
      <w:widowControl/>
    </w:pPr>
    <w:rPr>
      <w:rFonts w:ascii="宋体" w:hAnsi="Courier New" w:eastAsia="楷体_GB2312"/>
      <w:sz w:val="26"/>
    </w:rPr>
  </w:style>
  <w:style w:type="paragraph" w:styleId="930" w:customStyle="1">
    <w:name w:val="Plain Text1"/>
    <w:basedOn w:val="713"/>
    <w:uiPriority w:val="99"/>
    <w:qFormat/>
    <w:rPr>
      <w:rFonts w:ascii="宋体" w:hAnsi="宋体"/>
    </w:rPr>
  </w:style>
  <w:style w:type="paragraph" w:styleId="931" w:customStyle="1">
    <w:name w:val="列出段落11"/>
    <w:basedOn w:val="713"/>
    <w:uiPriority w:val="34"/>
    <w:qFormat/>
    <w:pPr>
      <w:ind w:firstLine="420"/>
    </w:pPr>
  </w:style>
  <w:style w:type="paragraph" w:styleId="932" w:customStyle="1">
    <w:name w:val="正文首行缩进 21"/>
    <w:basedOn w:val="921"/>
    <w:uiPriority w:val="0"/>
    <w:qFormat/>
    <w:pPr>
      <w:ind w:firstLine="420"/>
    </w:pPr>
  </w:style>
  <w:style w:type="paragraph" w:styleId="933" w:customStyle="1">
    <w:name w:val="页眉1"/>
    <w:basedOn w:val="713"/>
    <w:uiPriority w:val="99"/>
    <w:unhideWhenUsed/>
    <w:qFormat/>
    <w:pPr>
      <w:jc w:val="center"/>
      <w:tabs>
        <w:tab w:val="center" w:pos="4153" w:leader="none"/>
        <w:tab w:val="right" w:pos="8306" w:leader="none"/>
      </w:tabs>
      <w:pBdr>
        <w:bottom w:val="none" w:color="000000" w:sz="0" w:space="1"/>
      </w:pBdr>
    </w:pPr>
    <w:rPr>
      <w:sz w:val="18"/>
      <w:szCs w:val="18"/>
    </w:rPr>
  </w:style>
  <w:style w:type="paragraph" w:styleId="934" w:customStyle="1">
    <w:name w:val="页脚1"/>
    <w:basedOn w:val="713"/>
    <w:uiPriority w:val="99"/>
    <w:unhideWhenUsed/>
    <w:qFormat/>
    <w:pPr>
      <w:jc w:val="left"/>
      <w:tabs>
        <w:tab w:val="center" w:pos="4153" w:leader="none"/>
        <w:tab w:val="right" w:pos="8306" w:leader="none"/>
      </w:tabs>
    </w:pPr>
    <w:rPr>
      <w:sz w:val="18"/>
      <w:szCs w:val="18"/>
    </w:rPr>
  </w:style>
  <w:style w:type="character" w:styleId="935" w:customStyle="1">
    <w:name w:val="页码1"/>
    <w:basedOn w:val="925"/>
    <w:uiPriority w:val="99"/>
    <w:unhideWhenUsed/>
    <w:qFormat/>
  </w:style>
  <w:style w:type="paragraph" w:styleId="936" w:customStyle="1">
    <w:name w:val="正文文本缩进 31"/>
    <w:basedOn w:val="713"/>
    <w:uiPriority w:val="0"/>
    <w:qFormat/>
    <w:pPr>
      <w:ind w:firstLine="480"/>
      <w:spacing w:line="400" w:lineRule="exact"/>
    </w:pPr>
    <w:rPr>
      <w:rFonts w:ascii="Times New Roman" w:hAnsi="Times New Roman"/>
    </w:rPr>
  </w:style>
  <w:style w:type="table" w:styleId="937" w:customStyle="1">
    <w:name w:val="Table Normal"/>
    <w:uiPriority w:val="0"/>
    <w:unhideWhenUsed/>
    <w:qFormat/>
    <w:tblPr>
      <w:tblCellMar>
        <w:left w:w="0" w:type="dxa"/>
        <w:top w:w="0" w:type="dxa"/>
        <w:right w:w="0" w:type="dxa"/>
        <w:bottom w:w="0" w:type="dxa"/>
      </w:tblCellMar>
    </w:tblPr>
  </w:style>
  <w:style w:type="paragraph" w:styleId="938" w:customStyle="1">
    <w:name w:val="Table Text"/>
    <w:basedOn w:val="713"/>
    <w:uiPriority w:val="0"/>
    <w:semiHidden/>
    <w:qFormat/>
    <w:rPr>
      <w:rFonts w:ascii="Arial" w:hAnsi="Arial" w:eastAsia="Arial" w:cs="Arial"/>
      <w:szCs w:val="21"/>
      <w:lang w:eastAsia="en-US"/>
    </w:rPr>
  </w:style>
  <w:style w:type="paragraph" w:styleId="939" w:customStyle="1">
    <w:name w:val="批注框文本1"/>
    <w:basedOn w:val="713"/>
    <w:uiPriority w:val="0"/>
    <w:qFormat/>
    <w:rPr>
      <w:rFonts w:ascii="Times New Roman" w:hAnsi="Times New Roman"/>
      <w:sz w:val="18"/>
      <w:szCs w:val="18"/>
    </w:rPr>
  </w:style>
  <w:style w:type="paragraph" w:styleId="940" w:customStyle="1">
    <w:name w:val="纯文本2"/>
    <w:basedOn w:val="713"/>
    <w:uiPriority w:val="0"/>
    <w:qFormat/>
    <w:rPr>
      <w:rFonts w:hint="eastAsia" w:ascii="宋体" w:hAnsi="Courier New"/>
      <w:szCs w:val="21"/>
    </w:rPr>
  </w:style>
  <w:style w:type="character" w:styleId="941" w:customStyle="1">
    <w:name w:val="15"/>
    <w:basedOn w:val="723"/>
    <w:uiPriority w:val="0"/>
    <w:qFormat/>
    <w:rPr>
      <w:rFonts w:hint="default" w:ascii="Times New Roman" w:hAnsi="Times New Roman" w:cs="Times New Roman"/>
    </w:rPr>
  </w:style>
  <w:style w:type="character" w:styleId="942" w:customStyle="1">
    <w:name w:val="10"/>
    <w:basedOn w:val="723"/>
    <w:uiPriority w:val="0"/>
    <w:qFormat/>
    <w:rPr>
      <w:rFonts w:hint="default" w:ascii="Times New Roman" w:hAnsi="Times New Roman" w:cs="Times New Roman"/>
    </w:rPr>
  </w:style>
  <w:style w:type="paragraph" w:styleId="943" w:customStyle="1">
    <w:name w:val="_Style 1"/>
    <w:basedOn w:val="713"/>
    <w:uiPriority w:val="0"/>
    <w:qFormat/>
    <w:pPr>
      <w:ind w:firstLine="420"/>
      <w:jc w:val="left"/>
      <w:widowControl/>
    </w:pPr>
    <w:rPr>
      <w:sz w:val="24"/>
    </w:rPr>
  </w:style>
  <w:style w:type="paragraph" w:styleId="944" w:customStyle="1">
    <w:name w:val="正文 A"/>
    <w:basedOn w:val="713"/>
    <w:uiPriority w:val="0"/>
    <w:qFormat/>
    <w:rPr>
      <w:color w:val="000000"/>
      <w:sz w:val="26"/>
      <w:szCs w:val="26"/>
    </w:rPr>
  </w:style>
  <w:style w:type="paragraph" w:styleId="945" w:customStyle="1">
    <w:name w:val="NormalIndent"/>
    <w:basedOn w:val="713"/>
    <w:uiPriority w:val="0"/>
    <w:qFormat/>
    <w:pPr>
      <w:ind w:firstLine="420"/>
      <w:jc w:val="left"/>
    </w:pPr>
    <w:rPr>
      <w:sz w:val="24"/>
    </w:rPr>
  </w:style>
  <w:style w:type="paragraph" w:styleId="946" w:customStyle="1">
    <w:name w:val="修订1"/>
    <w:hidden/>
    <w:uiPriority w:val="99"/>
    <w:unhideWhenUsed/>
    <w:qFormat/>
    <w:rPr>
      <w:rFonts w:ascii="Calibri" w:hAnsi="Calibri" w:eastAsia="宋体" w:cs="Times New Roman"/>
      <w:sz w:val="21"/>
      <w:szCs w:val="24"/>
      <w:lang w:val="en-US" w:eastAsia="zh-CN" w:bidi="ar-SA"/>
    </w:rPr>
  </w:style>
  <w:style w:type="paragraph" w:styleId="947" w:customStyle="1">
    <w:name w:val="纯文本111"/>
    <w:basedOn w:val="713"/>
    <w:uiPriority w:val="0"/>
    <w:qFormat/>
    <w:rPr>
      <w:rFonts w:hint="eastAsia" w:ascii="宋体" w:hAnsi="Courier New"/>
      <w:szCs w:val="21"/>
    </w:rPr>
  </w:style>
  <w:style w:type="paragraph" w:styleId="948" w:customStyle="1">
    <w:name w:val="普通(网站)1"/>
    <w:basedOn w:val="714"/>
    <w:next w:val="713"/>
    <w:uiPriority w:val="0"/>
    <w:qFormat/>
    <w:pPr>
      <w:ind w:left="200" w:firstLine="1224"/>
      <w:spacing w:before="280" w:after="280"/>
    </w:pPr>
    <w:rPr>
      <w:rFonts w:ascii="Times New Roman" w:hAnsi="Times New Roman" w:cs="Times New Roman"/>
    </w:rPr>
  </w:style>
  <w:style w:type="paragraph" w:styleId="949" w:customStyle="1">
    <w:name w:val="正文文本缩进 311"/>
    <w:basedOn w:val="713"/>
    <w:uiPriority w:val="0"/>
    <w:pPr>
      <w:ind w:firstLine="480"/>
      <w:spacing w:line="400" w:lineRule="exact"/>
    </w:pPr>
    <w:rPr>
      <w:sz w:val="24"/>
    </w:rPr>
  </w:style>
  <w:style w:type="character" w:styleId="950" w:customStyle="1">
    <w:name w:val="批注文字 Char"/>
    <w:basedOn w:val="723"/>
    <w:link w:val="728"/>
    <w:uiPriority w:val="99"/>
    <w:semiHidden/>
    <w:rPr>
      <w:rFonts w:ascii="Calibri" w:hAnsi="Calibri"/>
      <w:sz w:val="21"/>
      <w:szCs w:val="24"/>
    </w:rPr>
  </w:style>
  <w:style w:type="character" w:styleId="951" w:customStyle="1">
    <w:name w:val="批注主题 Char"/>
    <w:basedOn w:val="950"/>
    <w:link w:val="750"/>
    <w:uiPriority w:val="0"/>
  </w:style>
  <w:style w:type="numbering" w:styleId="8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477E2D-15B1-4D85-8AE8-E42C862E487B}"/>
</file>

<file path=docProps/app.xml><?xml version="1.0" encoding="utf-8"?>
<Properties xmlns="http://schemas.openxmlformats.org/officeDocument/2006/extended-properties" xmlns:vt="http://schemas.openxmlformats.org/officeDocument/2006/docPropsVTypes">
  <Application>ONLYOFFICE/7.2.1.34</Application>
  <Company>微软用户</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汪业超</cp:lastModifiedBy>
  <cp:revision>85</cp:revision>
  <dcterms:created xsi:type="dcterms:W3CDTF">2026-02-08T22:44:00Z</dcterms:created>
  <dcterms:modified xsi:type="dcterms:W3CDTF">2026-08-20T03:42:31Z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2052-12.1.26055.26055</vt:lpwstr>
  </property>
  <property fmtid="{D5CDD505-2E9C-101B-9397-08002B2CF9AE}" pid="3" name="ICV">
    <vt:lpwstr>8049E909E2AB4EBA8483232A27F697A4_13</vt:lpwstr>
  </property>
  <property fmtid="{D5CDD505-2E9C-101B-9397-08002B2CF9AE}" pid="4" name="KSOTemplateDocerSaveRecord">
    <vt:lpwstr>eyJoZGlkIjoiNDNjMzJiMzg1YTJiODZkNmY1NDMyZDIyZDk5NGQ4ODkiLCJ1c2VySWQiOiI0MzE2MjQ2ODEifQ==</vt:lpwstr>
  </property>
</Properties>
</file>