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1606" w:right="0" w:hanging="1606"/>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项目名称：江苏省扬州旅游商贸学校数字创意与新媒体实训中心工作站项目</w:t>
      </w:r>
      <w:r/>
    </w:p>
    <w:p>
      <w:pPr>
        <w:ind w:right="0"/>
        <w:jc w:val="both"/>
        <w:spacing w:before="120" w:after="120"/>
        <w:rPr>
          <w:rFonts w:hint="default" w:ascii="宋体" w:hAnsi="宋体" w:eastAsia="宋体" w:cs="宋体"/>
          <w:b/>
          <w:color w:val="000000"/>
          <w:sz w:val="3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w:t>
      </w:r>
      <w:r>
        <w:rPr>
          <w:rFonts w:hint="eastAsia" w:ascii="宋体" w:hAnsi="宋体" w:cs="宋体"/>
          <w:b/>
          <w:color w:val="000000"/>
          <w:sz w:val="32"/>
          <w:lang w:val="en-US" w:eastAsia="zh-CN"/>
        </w:rPr>
        <w:t xml:space="preserve">99</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b/>
          <w:color w:val="000000" w:themeColor="text1"/>
          <w:sz w:val="32"/>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Arial" w:hAnsi="Arial" w:cs="Arial"/>
          <w:b/>
          <w:color w:val="000000" w:themeColor="text1"/>
          <w:sz w:val="32"/>
          <w:lang w:val="en-US" w:eastAsia="zh-CN"/>
          <w14:textFill>
            <w14:solidFill>
              <w14:schemeClr w14:val="tx1"/>
            </w14:solidFill>
          </w14:textFill>
        </w:rPr>
        <w:t xml:space="preserve">08</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采购需求……………………………………31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评标方法与评标标准………………………40</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投标文件格式………………………………43</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30"/>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受江苏省扬州旅游商贸学校的委托，扬州市公共资源交易中心就江苏省扬州旅游商贸学校数字创意与新媒体实训中心工作站项目(项目编号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w:t>
      </w:r>
      <w:r>
        <w:rPr>
          <w:rFonts w:hint="eastAsia" w:ascii="宋体" w:hAnsi="宋体" w:cs="宋体"/>
          <w:color w:val="000000"/>
          <w:sz w:val="24"/>
          <w:lang w:val="en-US" w:eastAsia="zh-CN"/>
        </w:rPr>
        <w:t xml:space="preserve">99</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江苏省扬州旅游商贸学校数字创意与新媒体实训中心工作站招标项目的潜在投标人可在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22</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w:t>
      </w:r>
      <w:r>
        <w:rPr>
          <w:rFonts w:hint="eastAsia" w:ascii="宋体" w:hAnsi="宋体" w:cs="宋体"/>
          <w:color w:val="000000"/>
          <w:sz w:val="24"/>
          <w:lang w:val="en-US" w:eastAsia="zh-CN"/>
        </w:rPr>
        <w:t xml:space="preserve">99</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2.项目名称：江苏省扬州旅游商贸学校数字创意与新媒体实训中心工作站项目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43"/>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0"/>
        <w:gridCol w:w="66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2"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92.3万元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43"/>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86"/>
        <w:gridCol w:w="49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92.3万元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ascii="宋体" w:hAnsi="宋体" w:eastAsia="宋体" w:cs="宋体"/>
          <w:color w:val="000000" w:themeColor="text1"/>
          <w:sz w:val="24"/>
          <w14:textFill>
            <w14:solidFill>
              <w14:schemeClr w14:val="tx1"/>
            </w14:solidFill>
          </w14:textFill>
        </w:rPr>
        <w:t xml:space="preserve">江苏省扬州旅游商贸学校</w:t>
      </w:r>
      <w:r>
        <w:rPr>
          <w:rFonts w:hint="eastAsia" w:ascii="宋体" w:hAnsi="宋体" w:cs="宋体"/>
          <w:color w:val="000000" w:themeColor="text1"/>
          <w:sz w:val="24"/>
          <w:lang w:val="en-US" w:eastAsia="zh-CN"/>
          <w14:textFill>
            <w14:solidFill>
              <w14:schemeClr w14:val="tx1"/>
            </w14:solidFill>
          </w14:textFill>
        </w:rPr>
        <w:t xml:space="preserve">现采购</w:t>
      </w:r>
      <w:r>
        <w:rPr>
          <w:rFonts w:ascii="宋体" w:hAnsi="宋体" w:eastAsia="宋体" w:cs="宋体"/>
          <w:b w:val="0"/>
          <w:bCs w:val="0"/>
          <w:color w:val="000000" w:themeColor="text1"/>
          <w:sz w:val="24"/>
          <w14:textFill>
            <w14:solidFill>
              <w14:schemeClr w14:val="tx1"/>
            </w14:solidFill>
          </w14:textFill>
        </w:rPr>
        <w:t xml:space="preserve">数字创意与新媒体实训中心工作站</w:t>
      </w:r>
      <w:r>
        <w:rPr>
          <w:rFonts w:hint="eastAsia" w:ascii="宋体" w:hAnsi="宋体" w:cs="宋体"/>
          <w:b w:val="0"/>
          <w:bCs w:val="0"/>
          <w:color w:val="000000" w:themeColor="text1"/>
          <w:sz w:val="24"/>
          <w:lang w:val="en-US" w:eastAsia="zh-CN"/>
          <w14:textFill>
            <w14:solidFill>
              <w14:schemeClr w14:val="tx1"/>
            </w14:solidFill>
          </w14:textFill>
        </w:rPr>
        <w:t xml:space="preserve">以满足教学使用。</w:t>
      </w:r>
      <w:r>
        <w:rPr>
          <w:rFonts w:ascii="宋体" w:hAnsi="宋体" w:eastAsia="宋体" w:cs="宋体"/>
          <w:color w:val="000000"/>
          <w:sz w:val="24"/>
        </w:rPr>
        <w:t xml:space="preserve">（详细内容见本招标文件第四章）</w:t>
      </w:r>
      <w:r/>
    </w:p>
    <w:p>
      <w:pPr>
        <w:ind w:firstLine="480"/>
        <w:keepLines w:val="0"/>
        <w:keepNext w:val="0"/>
        <w:pageBreakBefore w:val="0"/>
        <w:spacing w:line="360" w:lineRule="auto"/>
        <w:widowControl w:val="off"/>
      </w:pPr>
      <w:r>
        <w:rPr>
          <w:rFonts w:ascii="宋体" w:hAnsi="宋体" w:eastAsia="宋体" w:cs="宋体"/>
          <w:color w:val="000000"/>
          <w:sz w:val="24"/>
        </w:rPr>
        <w:t xml:space="preserve">6.合同履行期限：</w:t>
      </w:r>
      <w:r>
        <w:rPr>
          <w:rFonts w:hint="eastAsia" w:ascii="宋体" w:hAnsi="宋体" w:eastAsia="宋体" w:cs="宋体"/>
          <w:sz w:val="24"/>
          <w:szCs w:val="24"/>
          <w:lang w:eastAsia="zh-CN"/>
        </w:rPr>
        <w:t xml:space="preserve">合同签订后45天内将货物送达指定地点，设备安装调试到位并提请验收。</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43"/>
        <w:tblW w:w="83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000"/>
        <w:gridCol w:w="42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43"/>
        <w:tblW w:w="748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8"/>
        <w:gridCol w:w="59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43"/>
        <w:tblW w:w="74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57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5"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single"/>
          <w14:textFill>
            <w14:solidFill>
              <w14:schemeClr w14:val="tx1"/>
            </w14:solidFill>
          </w14:textFill>
        </w:rPr>
        <w:t xml:space="preserve"> 2026年</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22</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bookmarkStart w:id="2" w:name="_GoBack"/>
      <w:r/>
      <w:bookmarkEnd w:id="2"/>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480"/>
        <w:jc w:val="both"/>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名 称：</w:t>
      </w:r>
      <w:r>
        <w:rPr>
          <w:rFonts w:hint="eastAsia" w:ascii="宋体" w:hAnsi="宋体" w:eastAsia="宋体" w:cs="宋体"/>
          <w:color w:val="000000" w:themeColor="text1"/>
          <w:sz w:val="24"/>
          <w:u w:val="single"/>
          <w14:textFill>
            <w14:solidFill>
              <w14:schemeClr w14:val="tx1"/>
            </w14:solidFill>
          </w14:textFill>
        </w:rPr>
        <w:t xml:space="preserve">江苏省扬州旅游商贸学校</w:t>
      </w:r>
      <w:r/>
    </w:p>
    <w:p>
      <w:pPr>
        <w:ind w:left="0" w:right="0" w:firstLine="480"/>
        <w:jc w:val="both"/>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地 址：</w:t>
      </w:r>
      <w:r>
        <w:rPr>
          <w:rFonts w:hint="eastAsia" w:ascii="宋体" w:hAnsi="宋体" w:eastAsia="宋体" w:cs="宋体"/>
          <w:color w:val="000000" w:themeColor="text1"/>
          <w:sz w:val="24"/>
          <w:u w:val="single"/>
          <w14:textFill>
            <w14:solidFill>
              <w14:schemeClr w14:val="tx1"/>
            </w14:solidFill>
          </w14:textFill>
        </w:rPr>
        <w:t xml:space="preserve">扬州市邗江区史可法西路15号</w:t>
      </w:r>
      <w:r/>
    </w:p>
    <w:p>
      <w:pPr>
        <w:ind w:left="0" w:right="0" w:firstLine="480"/>
        <w:jc w:val="both"/>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联系人：</w:t>
      </w:r>
      <w:r>
        <w:rPr>
          <w:rFonts w:hint="eastAsia" w:ascii="宋体" w:hAnsi="宋体" w:eastAsia="宋体" w:cs="宋体"/>
          <w:color w:val="000000" w:themeColor="text1"/>
          <w:sz w:val="24"/>
          <w:u w:val="single"/>
          <w14:textFill>
            <w14:solidFill>
              <w14:schemeClr w14:val="tx1"/>
            </w14:solidFill>
          </w14:textFill>
        </w:rPr>
        <w:t xml:space="preserve">詹扬</w:t>
      </w:r>
      <w:r/>
    </w:p>
    <w:p>
      <w:pPr>
        <w:ind w:left="0" w:right="0" w:firstLine="480"/>
        <w:jc w:val="both"/>
        <w:spacing w:before="0" w:after="0" w:line="400" w:lineRule="atLeast"/>
        <w:rPr>
          <w:rFonts w:ascii="宋体" w:hAnsi="宋体" w:eastAsia="宋体" w:cs="宋体"/>
          <w:color w:val="000000" w:themeColor="text1"/>
          <w:sz w:val="24"/>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联系方式：</w:t>
      </w:r>
      <w:r>
        <w:rPr>
          <w:rFonts w:hint="eastAsia" w:ascii="宋体" w:hAnsi="宋体" w:eastAsia="宋体" w:cs="宋体"/>
          <w:color w:val="000000" w:themeColor="text1"/>
          <w:sz w:val="24"/>
          <w:u w:val="single"/>
          <w14:textFill>
            <w14:solidFill>
              <w14:schemeClr w14:val="tx1"/>
            </w14:solidFill>
          </w14:textFill>
        </w:rPr>
        <w:t xml:space="preserve">13773585573</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hint="eastAsia" w:ascii="宋体" w:hAnsi="宋体"/>
          <w:sz w:val="24"/>
          <w:szCs w:val="24"/>
          <w:u w:val="single"/>
          <w:lang w:val="en-US" w:eastAsia="zh-CN"/>
        </w:rPr>
        <w:t xml:space="preserve">27</w:t>
      </w:r>
      <w:r>
        <w:rPr>
          <w:rFonts w:hint="eastAsia" w:ascii="宋体" w:hAnsi="宋体"/>
          <w:sz w:val="24"/>
          <w:szCs w:val="24"/>
          <w:u w:val="single"/>
        </w:rPr>
        <w:t xml:space="preserve">室</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华玲</w:t>
      </w:r>
      <w:r/>
    </w:p>
    <w:p>
      <w:pPr>
        <w:ind w:firstLine="480"/>
        <w:jc w:val="left"/>
        <w:spacing w:line="360" w:lineRule="auto"/>
        <w:widowControl/>
      </w:pPr>
      <w:r>
        <w:rPr>
          <w:rFonts w:hint="eastAsia" w:ascii="宋体" w:hAnsi="宋体" w:cs="宋体"/>
          <w:sz w:val="24"/>
          <w:szCs w:val="24"/>
        </w:rPr>
        <w:t xml:space="preserve">联系方式：</w:t>
      </w:r>
      <w:bookmarkStart w:id="0" w:name="_Toc28359087"/>
      <w:r/>
      <w:bookmarkStart w:id="1" w:name="_Toc28359010"/>
      <w:r>
        <w:rPr>
          <w:rFonts w:hint="eastAsia" w:ascii="宋体" w:hAnsi="宋体" w:cs="宋体"/>
          <w:sz w:val="24"/>
          <w:szCs w:val="24"/>
          <w:u w:val="single"/>
        </w:rPr>
        <w:t xml:space="preserve">0514-8208712</w:t>
      </w:r>
      <w:bookmarkEnd w:id="0"/>
      <w:r/>
      <w:bookmarkEnd w:id="1"/>
      <w:r>
        <w:rPr>
          <w:rFonts w:hint="eastAsia" w:ascii="宋体" w:hAnsi="宋体" w:cs="宋体"/>
          <w:sz w:val="24"/>
          <w:szCs w:val="24"/>
          <w:u w:val="single"/>
        </w:rPr>
        <w:t xml:space="preserve">0</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30"/>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 异常低价投标（响应）</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26.1.10.3投标（响应）报价低于采购项目最高限价 45% 的，即投标（响应）报价&lt;采购项目最高限价×45%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26.1.10.5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right="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984"/>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0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8"/>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分期付款：</w:t>
      </w:r>
      <w:r>
        <w:rPr>
          <w:rFonts w:hint="eastAsia" w:ascii="宋体" w:hAnsi="宋体" w:eastAsia="宋体" w:cs="宋体"/>
          <w:color w:val="000000"/>
          <w:sz w:val="21"/>
          <w:u w:val="single"/>
          <w:lang w:eastAsia="zh-CN"/>
        </w:rPr>
        <w:t xml:space="preserve">合同签订后，甲方向乙方支付合同总价30%的预付款，余款待全部设备交付安装调试完毕并经验收合格后一次性付清。上述款项，甲方</w:t>
      </w:r>
      <w:r>
        <w:rPr>
          <w:rFonts w:hint="eastAsia" w:ascii="宋体" w:hAnsi="宋体" w:cs="宋体"/>
          <w:color w:val="000000"/>
          <w:sz w:val="21"/>
          <w:u w:val="single"/>
          <w:lang w:val="en-US" w:eastAsia="zh-CN"/>
        </w:rPr>
        <w:t xml:space="preserve">自</w:t>
      </w:r>
      <w:r>
        <w:rPr>
          <w:rFonts w:hint="eastAsia" w:ascii="宋体" w:hAnsi="宋体" w:eastAsia="宋体" w:cs="宋体"/>
          <w:color w:val="000000"/>
          <w:sz w:val="21"/>
          <w:u w:val="single"/>
          <w:lang w:eastAsia="zh-CN"/>
        </w:rPr>
        <w:t xml:space="preserve">收到乙方出具的发票</w:t>
      </w:r>
      <w:r>
        <w:rPr>
          <w:rFonts w:hint="eastAsia" w:ascii="宋体" w:hAnsi="宋体" w:eastAsia="宋体" w:cs="宋体"/>
          <w:color w:val="000000"/>
          <w:sz w:val="21"/>
          <w:u w:val="single"/>
          <w:lang w:val="en-US" w:eastAsia="zh-CN"/>
        </w:rPr>
        <w:t xml:space="preserve">后10个工作</w:t>
      </w:r>
      <w:r>
        <w:rPr>
          <w:rFonts w:hint="eastAsia" w:ascii="宋体" w:hAnsi="宋体" w:eastAsia="宋体" w:cs="宋体"/>
          <w:color w:val="000000"/>
          <w:sz w:val="21"/>
          <w:u w:val="single"/>
          <w:lang w:eastAsia="zh-CN"/>
        </w:rPr>
        <w:t xml:space="preserve">日内支付。</w:t>
      </w:r>
      <w:r>
        <w:rPr>
          <w:rFonts w:ascii="宋体" w:hAnsi="宋体" w:eastAsia="宋体" w:cs="宋体"/>
          <w:color w:val="000000"/>
          <w:sz w:val="21"/>
        </w:rPr>
        <w:t xml:space="preserve">其中涉及预付款的：</w:t>
      </w:r>
      <w:r>
        <w:rPr>
          <w:rFonts w:hint="eastAsia" w:ascii="宋体" w:hAnsi="宋体" w:eastAsia="宋体" w:cs="宋体"/>
          <w:color w:val="000000"/>
          <w:sz w:val="21"/>
          <w:u w:val="single"/>
          <w:lang w:eastAsia="zh-CN"/>
        </w:rPr>
        <w:t xml:space="preserve">合同签订后，甲方向乙方支付合同总价30%的预付款。</w:t>
      </w:r>
      <w:r>
        <w:rPr>
          <w:rFonts w:ascii="宋体" w:hAnsi="宋体" w:eastAsia="宋体" w:cs="宋体"/>
          <w:color w:val="000000"/>
          <w:sz w:val="21"/>
          <w:u w:val="single"/>
        </w:rPr>
        <w:t xml:space="preserve"> </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szCs w:val="21"/>
        </w:rPr>
        <w:t xml:space="preserve">þ</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0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43"/>
        <w:tblW w:w="89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965"/>
        <w:gridCol w:w="2357"/>
        <w:gridCol w:w="3503"/>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W w:w="1087"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965"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12"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08"/>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08"/>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8"/>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43"/>
        <w:tblW w:w="823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2186"/>
        <w:gridCol w:w="4404"/>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646"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30"/>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hint="eastAsia" w:ascii="宋体" w:hAnsi="宋体" w:cs="宋体"/>
          <w:b/>
          <w:bCs/>
          <w:i/>
          <w:iCs/>
          <w:color w:val="000000" w:themeColor="text1"/>
          <w:sz w:val="24"/>
          <w:szCs w:val="24"/>
          <w:u w:val="single"/>
          <w:lang w:val="en-US" w:eastAsia="zh-CN"/>
          <w14:textFill>
            <w14:solidFill>
              <w14:schemeClr w14:val="tx1"/>
            </w14:solidFill>
          </w14:textFill>
        </w:rPr>
        <w:t xml:space="preserve">图形工作站一（非微型计算机）、图形工作站二（非微型计算机）</w:t>
      </w:r>
      <w:r>
        <w:rPr>
          <w:rFonts w:ascii="宋体" w:hAnsi="宋体" w:eastAsia="宋体" w:cs="宋体"/>
          <w:color w:val="000000" w:themeColor="text1"/>
          <w:sz w:val="24"/>
          <w14:textFill>
            <w14:solidFill>
              <w14:schemeClr w14:val="tx1"/>
            </w14:solidFill>
          </w14:textFill>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采购标的清单</w:t>
      </w:r>
      <w:r/>
    </w:p>
    <w:tbl>
      <w:tblPr>
        <w:tblStyle w:val="743"/>
        <w:tblW w:w="782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012"/>
        <w:gridCol w:w="3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工作站</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工业</w:t>
            </w:r>
            <w:r>
              <w:rPr>
                <w:rFonts w:ascii="宋体" w:hAnsi="宋体" w:eastAsia="宋体" w:cs="宋体"/>
                <w:color w:val="000000"/>
                <w:sz w:val="24"/>
              </w:rPr>
              <w:t xml:space="preserve"> </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43"/>
        <w:tblW w:w="587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42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w:t>
            </w:r>
            <w:r/>
          </w:p>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1"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1" w:type="dxa"/>
            <w:vAlign w:val="top"/>
            <w:textDirection w:val="lrTb"/>
            <w:noWrap w:val="false"/>
          </w:tcPr>
          <w:p>
            <w:pPr>
              <w:ind w:left="0" w:right="0" w:firstLine="0"/>
              <w:jc w:val="center"/>
              <w:spacing w:before="0" w:after="0"/>
              <w:rPr>
                <w:rFonts w:hint="default" w:ascii="宋体" w:hAnsi="宋体" w:eastAsia="宋体" w:cs="宋体"/>
                <w:color w:val="000000"/>
                <w:sz w:val="24"/>
                <w:szCs w:val="24"/>
                <w:highlight w:val="none"/>
                <w:lang w:val="en-US"/>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图形</w:t>
            </w:r>
            <w:r>
              <w:rPr>
                <w:rFonts w:hint="eastAsia" w:ascii="宋体" w:hAnsi="宋体" w:eastAsia="宋体" w:cs="宋体"/>
                <w:color w:val="000000"/>
                <w:sz w:val="24"/>
                <w:szCs w:val="24"/>
                <w:highlight w:val="none"/>
                <w:lang w:eastAsia="zh-CN"/>
              </w:rPr>
              <w:t xml:space="preserve">工作站</w:t>
            </w:r>
            <w:r>
              <w:rPr>
                <w:rFonts w:hint="eastAsia" w:ascii="宋体" w:hAnsi="宋体" w:cs="宋体"/>
                <w:color w:val="000000"/>
                <w:sz w:val="24"/>
                <w:szCs w:val="24"/>
                <w:highlight w:val="none"/>
                <w:lang w:val="en-US" w:eastAsia="zh-CN"/>
              </w:rPr>
              <w:t xml:space="preserve">一</w:t>
            </w:r>
            <w:r/>
          </w:p>
        </w:tc>
      </w:tr>
    </w:tbl>
    <w:p>
      <w:pPr>
        <w:ind w:left="495" w:right="0" w:hanging="495"/>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w:t>
      </w:r>
      <w:r>
        <w:rPr>
          <w:rFonts w:ascii="宋体" w:hAnsi="宋体" w:eastAsia="宋体" w:cs="宋体"/>
          <w:color w:val="000000"/>
          <w:sz w:val="24"/>
          <w:szCs w:val="24"/>
          <w14:ligatures w14:val="none"/>
        </w:rPr>
      </w:r>
      <w:r>
        <w:rPr>
          <w:rFonts w:ascii="SimSun" w:hAnsi="SimSun" w:eastAsia="SimSun" w:cs="SimSun"/>
          <w:color w:val="000000" w:themeColor="text1"/>
          <w:sz w:val="24"/>
          <w:highlight w:val="none"/>
        </w:rPr>
        <w:t xml:space="preserve">根据《国务院办公厅关于在政府采购中实施本国产品标准及相关政策的通知》（国办发〔2025〕34号）规定，</w:t>
      </w:r>
      <w:r/>
      <w:r>
        <w:rPr>
          <w:rFonts w:ascii="宋体" w:hAnsi="宋体" w:eastAsia="宋体" w:cs="宋体"/>
          <w:color w:val="000000"/>
          <w:sz w:val="24"/>
          <w:szCs w:val="24"/>
        </w:rPr>
        <w:t xml:space="preserve">本项目对采购本国产品给予政策支持，具体内容见招标文件“第五章 评标方法与评标标准”。</w:t>
      </w:r>
      <w:r/>
      <w:r/>
      <w:r>
        <w:rPr>
          <w:sz w:val="21"/>
        </w:rP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firstLine="480"/>
        <w:rPr>
          <w:rFonts w:hint="eastAsia"/>
          <w:b w:val="0"/>
          <w:bCs w:val="0"/>
          <w:color w:val="000000"/>
          <w:sz w:val="24"/>
          <w:szCs w:val="24"/>
        </w:rPr>
      </w:pPr>
      <w:r>
        <w:rPr>
          <w:rFonts w:hint="eastAsia"/>
          <w:b w:val="0"/>
          <w:bCs w:val="0"/>
          <w:color w:val="000000"/>
          <w:sz w:val="24"/>
          <w:szCs w:val="24"/>
          <w:lang w:val="en-US" w:eastAsia="zh-CN"/>
        </w:rPr>
        <w:t xml:space="preserve">1</w:t>
      </w:r>
      <w:r>
        <w:rPr>
          <w:rFonts w:hint="eastAsia"/>
          <w:b w:val="0"/>
          <w:bCs w:val="0"/>
          <w:color w:val="000000"/>
          <w:sz w:val="24"/>
          <w:szCs w:val="24"/>
          <w:lang w:eastAsia="zh-CN"/>
        </w:rPr>
        <w:t xml:space="preserve">、</w:t>
      </w:r>
      <w:r>
        <w:rPr>
          <w:rFonts w:hint="eastAsia"/>
          <w:b w:val="0"/>
          <w:bCs w:val="0"/>
          <w:color w:val="000000"/>
          <w:sz w:val="24"/>
          <w:szCs w:val="24"/>
        </w:rPr>
        <w:t xml:space="preserve">采购需求中</w:t>
      </w:r>
      <w:r>
        <w:rPr>
          <w:rFonts w:hint="eastAsia"/>
          <w:b w:val="0"/>
          <w:bCs w:val="0"/>
          <w:i/>
          <w:color w:val="000000"/>
          <w:sz w:val="24"/>
          <w:szCs w:val="24"/>
          <w:u w:val="single"/>
        </w:rPr>
        <w:t xml:space="preserve">斜体且有下划线部分</w:t>
      </w:r>
      <w:r>
        <w:rPr>
          <w:rFonts w:hint="eastAsia"/>
          <w:b w:val="0"/>
          <w:bCs w:val="0"/>
          <w:color w:val="000000"/>
          <w:sz w:val="24"/>
          <w:szCs w:val="24"/>
        </w:rPr>
        <w:t xml:space="preserve">为实质性要求，投标人需要填写</w:t>
      </w:r>
      <w:r>
        <w:rPr>
          <w:rFonts w:hint="eastAsia"/>
          <w:b/>
          <w:bCs/>
          <w:color w:val="000000"/>
          <w:sz w:val="24"/>
          <w:szCs w:val="24"/>
        </w:rPr>
        <w:t xml:space="preserve">实质性要求响应及偏离表</w:t>
      </w:r>
      <w:r>
        <w:rPr>
          <w:rFonts w:hint="eastAsia"/>
          <w:b w:val="0"/>
          <w:bCs w:val="0"/>
          <w:color w:val="000000"/>
          <w:sz w:val="24"/>
          <w:szCs w:val="24"/>
        </w:rPr>
        <w:t xml:space="preserve">，投标人必须对技术要求和商务要求中的实质性要求（斜体且有下划线部分）逐条做出明确响应。如果招标文件要求提供证明材料，投标人必须将证明材料列于该表之下。</w:t>
      </w:r>
      <w:r/>
    </w:p>
    <w:p>
      <w:pPr>
        <w:ind w:firstLine="480"/>
        <w:keepLines w:val="0"/>
        <w:keepNext w:val="0"/>
        <w:pageBreakBefore w:val="0"/>
        <w:spacing w:line="240" w:lineRule="auto"/>
        <w:widowControl w:val="off"/>
        <w:rPr>
          <w:rFonts w:ascii="宋体" w:hAnsi="宋体"/>
          <w:sz w:val="24"/>
          <w:szCs w:val="24"/>
        </w:rPr>
        <w:outlineLvl w:val="9"/>
      </w:pPr>
      <w:r>
        <w:rPr>
          <w:rFonts w:hint="eastAsia"/>
          <w:bCs/>
          <w:iCs/>
          <w:sz w:val="24"/>
          <w:szCs w:val="24"/>
          <w:lang w:val="en-US" w:eastAsia="zh-CN"/>
        </w:rPr>
        <w:t xml:space="preserve">2</w:t>
      </w:r>
      <w:r>
        <w:rPr>
          <w:rFonts w:hint="eastAsia"/>
          <w:bCs/>
          <w:iCs/>
          <w:sz w:val="24"/>
          <w:szCs w:val="24"/>
          <w:lang w:eastAsia="zh-CN"/>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keepLines w:val="0"/>
        <w:keepNext w:val="0"/>
        <w:pageBreakBefore w:val="0"/>
        <w:spacing w:line="240" w:lineRule="auto"/>
        <w:widowControl w:val="off"/>
        <w:rPr>
          <w:bCs/>
          <w:iCs/>
          <w:sz w:val="24"/>
          <w:szCs w:val="24"/>
        </w:rPr>
        <w:outlineLvl w:val="9"/>
      </w:pPr>
      <w:r>
        <w:rPr>
          <w:rFonts w:hint="eastAsia"/>
          <w:bCs/>
          <w:iCs/>
          <w:sz w:val="24"/>
          <w:szCs w:val="24"/>
          <w:lang w:val="en-US" w:eastAsia="zh-CN"/>
        </w:rPr>
        <w:t xml:space="preserve">3</w:t>
      </w:r>
      <w:r>
        <w:rPr>
          <w:rFonts w:hint="eastAsia"/>
          <w:bCs/>
          <w:iCs/>
          <w:sz w:val="24"/>
          <w:szCs w:val="24"/>
          <w:lang w:eastAsia="zh-CN"/>
        </w:rPr>
        <w:t xml:space="preserve">、</w:t>
      </w:r>
      <w:r>
        <w:rPr>
          <w:rFonts w:hint="eastAsia"/>
          <w:bCs/>
          <w:iCs/>
          <w:sz w:val="24"/>
          <w:szCs w:val="24"/>
        </w:rPr>
        <w:t xml:space="preserve">投标人需</w:t>
      </w:r>
      <w:r>
        <w:rPr>
          <w:bCs/>
          <w:iCs/>
          <w:sz w:val="24"/>
          <w:szCs w:val="24"/>
        </w:rPr>
        <w:t xml:space="preserve">对</w:t>
      </w:r>
      <w:r>
        <w:rPr>
          <w:rFonts w:hint="eastAsia"/>
          <w:bCs/>
          <w:iCs/>
          <w:sz w:val="24"/>
          <w:szCs w:val="24"/>
        </w:rPr>
        <w:t xml:space="preserve">商务要求（未加斜体</w:t>
      </w:r>
      <w:r>
        <w:rPr>
          <w:bCs/>
          <w:iCs/>
          <w:sz w:val="24"/>
          <w:szCs w:val="24"/>
        </w:rPr>
        <w:t xml:space="preserve">下划线的</w:t>
      </w:r>
      <w:r>
        <w:rPr>
          <w:rFonts w:hint="eastAsia"/>
          <w:bCs/>
          <w:iCs/>
          <w:sz w:val="24"/>
          <w:szCs w:val="24"/>
        </w:rPr>
        <w:t xml:space="preserve">非</w:t>
      </w:r>
      <w:r>
        <w:rPr>
          <w:bCs/>
          <w:iCs/>
          <w:sz w:val="24"/>
          <w:szCs w:val="24"/>
        </w:rPr>
        <w:t xml:space="preserve">实质性</w:t>
      </w:r>
      <w:r>
        <w:rPr>
          <w:rFonts w:hint="eastAsia"/>
          <w:bCs/>
          <w:iCs/>
          <w:sz w:val="24"/>
          <w:szCs w:val="24"/>
        </w:rPr>
        <w:t xml:space="preserve">要求）</w:t>
      </w:r>
      <w:r>
        <w:rPr>
          <w:bCs/>
          <w:iCs/>
          <w:sz w:val="24"/>
          <w:szCs w:val="24"/>
        </w:rPr>
        <w:t xml:space="preserve">逐条做出明确响应</w:t>
      </w:r>
      <w:r>
        <w:rPr>
          <w:rFonts w:hint="eastAsia"/>
          <w:bCs/>
          <w:iCs/>
          <w:sz w:val="24"/>
          <w:szCs w:val="24"/>
        </w:rPr>
        <w:t xml:space="preserve">。如果招标</w:t>
      </w:r>
      <w:r>
        <w:rPr>
          <w:bCs/>
          <w:iCs/>
          <w:sz w:val="24"/>
          <w:szCs w:val="24"/>
        </w:rPr>
        <w:t xml:space="preserve">文件要求提供</w:t>
      </w:r>
      <w:r>
        <w:rPr>
          <w:rFonts w:hint="eastAsia"/>
          <w:bCs/>
          <w:iCs/>
          <w:sz w:val="24"/>
          <w:szCs w:val="24"/>
        </w:rPr>
        <w:t xml:space="preserve">证明</w:t>
      </w:r>
      <w:r>
        <w:rPr>
          <w:bCs/>
          <w:iCs/>
          <w:sz w:val="24"/>
          <w:szCs w:val="24"/>
        </w:rPr>
        <w:t xml:space="preserve">材料，投标人</w:t>
      </w:r>
      <w:r>
        <w:rPr>
          <w:rFonts w:hint="eastAsia"/>
          <w:bCs/>
          <w:iCs/>
          <w:sz w:val="24"/>
          <w:szCs w:val="24"/>
        </w:rPr>
        <w:t xml:space="preserve">需</w:t>
      </w:r>
      <w:r>
        <w:rPr>
          <w:bCs/>
          <w:iCs/>
          <w:sz w:val="24"/>
          <w:szCs w:val="24"/>
        </w:rPr>
        <w:t xml:space="preserve">将证明材料</w:t>
      </w:r>
      <w:r>
        <w:rPr>
          <w:rFonts w:hint="eastAsia"/>
          <w:bCs/>
          <w:iCs/>
          <w:sz w:val="24"/>
          <w:szCs w:val="24"/>
        </w:rPr>
        <w:t xml:space="preserve">列于</w:t>
      </w:r>
      <w:r>
        <w:rPr>
          <w:rFonts w:hint="eastAsia"/>
          <w:b/>
          <w:bCs w:val="0"/>
          <w:iCs/>
          <w:sz w:val="24"/>
          <w:szCs w:val="24"/>
        </w:rPr>
        <w:t xml:space="preserve">商务要求响应及偏离表</w:t>
      </w:r>
      <w:r>
        <w:rPr>
          <w:bCs/>
          <w:iCs/>
          <w:sz w:val="24"/>
          <w:szCs w:val="24"/>
        </w:rPr>
        <w:t xml:space="preserve">之下。</w:t>
      </w:r>
      <w:r/>
    </w:p>
    <w:p>
      <w:pPr>
        <w:spacing w:line="360" w:lineRule="auto"/>
        <w:rPr>
          <w:rFonts w:hint="eastAsia" w:ascii="宋体" w:hAnsi="宋体" w:eastAsia="宋体" w:cs="宋体"/>
          <w:i/>
          <w:iCs/>
          <w:color w:val="000000"/>
          <w:sz w:val="24"/>
          <w:szCs w:val="24"/>
          <w:u w:val="single"/>
        </w:rP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i/>
          <w:iCs/>
          <w:color w:val="000000"/>
          <w:sz w:val="24"/>
          <w:u w:val="single"/>
          <w:lang w:val="en-US" w:eastAsia="zh-CN"/>
        </w:rPr>
        <w:t xml:space="preserve">4</w:t>
      </w:r>
      <w:r>
        <w:rPr>
          <w:rFonts w:hint="eastAsia" w:ascii="宋体" w:hAnsi="宋体" w:eastAsia="宋体" w:cs="宋体"/>
          <w:i/>
          <w:iCs/>
          <w:color w:val="000000"/>
          <w:sz w:val="24"/>
          <w:szCs w:val="24"/>
          <w:u w:val="single"/>
        </w:rPr>
        <w:t xml:space="preserve">、</w:t>
      </w:r>
      <w:r>
        <w:rPr>
          <w:rFonts w:hint="eastAsia" w:ascii="宋体" w:hAnsi="宋体" w:eastAsia="宋体" w:cs="宋体"/>
          <w:i/>
          <w:iCs/>
          <w:sz w:val="24"/>
          <w:szCs w:val="24"/>
          <w:u w:val="single"/>
        </w:rPr>
        <w:t xml:space="preserve">主机与显示器</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为同一品牌。</w:t>
      </w:r>
      <w:r/>
    </w:p>
    <w:p>
      <w:pPr>
        <w:numPr>
          <w:ilvl w:val="0"/>
          <w:numId w:val="0"/>
        </w:numPr>
        <w:ind w:firstLine="480"/>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5、投标人提供工作站</w:t>
      </w:r>
      <w:r>
        <w:rPr>
          <w:rFonts w:hint="eastAsia" w:ascii="宋体" w:hAnsi="宋体" w:eastAsia="宋体" w:cs="宋体"/>
          <w:i/>
          <w:iCs/>
          <w:color w:val="000000"/>
          <w:sz w:val="24"/>
          <w:szCs w:val="24"/>
          <w:u w:val="single"/>
          <w:lang w:eastAsia="zh-CN"/>
        </w:rPr>
        <w:t xml:space="preserve">处于有效期之内的3C证书</w:t>
      </w:r>
      <w:r>
        <w:rPr>
          <w:rFonts w:hint="eastAsia" w:ascii="宋体" w:hAnsi="宋体" w:eastAsia="宋体" w:cs="宋体"/>
          <w:i/>
          <w:iCs/>
          <w:color w:val="000000"/>
          <w:sz w:val="24"/>
          <w:szCs w:val="24"/>
          <w:u w:val="single"/>
          <w:lang w:val="en-US" w:eastAsia="zh-CN"/>
        </w:rPr>
        <w:t xml:space="preserve">(原件扫描上传）</w:t>
      </w:r>
      <w:r/>
    </w:p>
    <w:p>
      <w:pPr>
        <w:numPr>
          <w:ilvl w:val="0"/>
          <w:numId w:val="0"/>
        </w:numPr>
        <w:rPr>
          <w:rFonts w:hint="eastAsia" w:ascii="宋体" w:hAnsi="宋体" w:eastAsia="宋体" w:cs="宋体"/>
          <w:i/>
          <w:iCs/>
          <w:color w:val="000000" w:themeColor="text1"/>
          <w:sz w:val="24"/>
          <w:szCs w:val="24"/>
          <w:u w:val="singl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lang w:val="en-US" w:eastAsia="zh-CN"/>
          <w14:textFill>
            <w14:solidFill>
              <w14:schemeClr w14:val="tx1"/>
            </w14:solidFill>
          </w14:textFill>
        </w:rPr>
        <w:t xml:space="preserve">采购清单</w:t>
      </w:r>
      <w:r>
        <w:rPr>
          <w:rFonts w:hint="eastAsia" w:ascii="宋体" w:hAnsi="宋体" w:eastAsia="宋体" w:cs="宋体"/>
          <w:b/>
          <w:bCs/>
          <w:i w:val="0"/>
          <w:iCs w:val="0"/>
          <w:color w:val="000000" w:themeColor="text1"/>
          <w:sz w:val="24"/>
          <w:szCs w:val="24"/>
          <w:u w:val="none"/>
          <w:lang w:val="en-US" w:eastAsia="zh-CN"/>
          <w14:textFill>
            <w14:solidFill>
              <w14:schemeClr w14:val="tx1"/>
            </w14:solidFill>
          </w14:textFill>
        </w:rPr>
        <w:br/>
      </w:r>
      <w:r/>
    </w:p>
    <w:tbl>
      <w:tblPr>
        <w:tblStyle w:val="74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1900"/>
        <w:gridCol w:w="2509"/>
        <w:gridCol w:w="1834"/>
        <w:gridCol w:w="1834"/>
      </w:tblGrid>
      <w:tr>
        <w:trPr>
          <w:trHeight w:val="416"/>
        </w:trPr>
        <w:tc>
          <w:tcPr>
            <w:tcW w:w="1090"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序号</w:t>
            </w:r>
            <w:r/>
          </w:p>
        </w:tc>
        <w:tc>
          <w:tcPr>
            <w:tcW w:w="1900"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名称</w:t>
            </w:r>
            <w:r/>
          </w:p>
        </w:tc>
        <w:tc>
          <w:tcPr>
            <w:tcW w:w="2509"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配置描述</w:t>
            </w:r>
            <w:r/>
          </w:p>
        </w:tc>
        <w:tc>
          <w:tcPr>
            <w:tcW w:w="1834"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数量</w:t>
            </w:r>
            <w:r/>
          </w:p>
        </w:tc>
        <w:tc>
          <w:tcPr>
            <w:tcW w:w="1834"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单位</w:t>
            </w:r>
            <w:r/>
          </w:p>
        </w:tc>
      </w:tr>
      <w:tr>
        <w:trPr>
          <w:trHeight w:val="498"/>
        </w:trPr>
        <w:tc>
          <w:tcPr>
            <w:tcW w:w="109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1</w:t>
            </w:r>
            <w:r/>
          </w:p>
        </w:tc>
        <w:tc>
          <w:tcPr>
            <w:tcW w:w="190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图形工作站一</w:t>
            </w:r>
            <w:r/>
          </w:p>
        </w:tc>
        <w:tc>
          <w:tcPr>
            <w:tcW w:w="2509"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详见”技术指标要求“</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57</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台</w:t>
            </w:r>
            <w:r/>
          </w:p>
        </w:tc>
      </w:tr>
      <w:tr>
        <w:trPr/>
        <w:tc>
          <w:tcPr>
            <w:tcW w:w="109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2</w:t>
            </w:r>
            <w:r/>
          </w:p>
        </w:tc>
        <w:tc>
          <w:tcPr>
            <w:tcW w:w="190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图形工作站二</w:t>
            </w:r>
            <w:r/>
          </w:p>
        </w:tc>
        <w:tc>
          <w:tcPr>
            <w:tcW w:w="2509"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详见”技术指标要求“</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20</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台</w:t>
            </w:r>
            <w:r/>
          </w:p>
        </w:tc>
      </w:tr>
      <w:tr>
        <w:trPr/>
        <w:tc>
          <w:tcPr>
            <w:tcW w:w="109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3</w:t>
            </w:r>
            <w:r/>
          </w:p>
        </w:tc>
        <w:tc>
          <w:tcPr>
            <w:tcW w:w="190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管理软件</w:t>
            </w:r>
            <w:r/>
          </w:p>
        </w:tc>
        <w:tc>
          <w:tcPr>
            <w:tcW w:w="2509"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详见”技术指标要求“</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77</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套</w:t>
            </w:r>
            <w:r/>
          </w:p>
        </w:tc>
      </w:tr>
      <w:tr>
        <w:trPr>
          <w:trHeight w:val="507"/>
        </w:trPr>
        <w:tc>
          <w:tcPr>
            <w:tcW w:w="109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4</w:t>
            </w:r>
            <w:r/>
          </w:p>
        </w:tc>
        <w:tc>
          <w:tcPr>
            <w:tcW w:w="190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教学软件</w:t>
            </w:r>
            <w:r/>
          </w:p>
        </w:tc>
        <w:tc>
          <w:tcPr>
            <w:tcW w:w="2509"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详见”技术指标要求“</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77</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套</w:t>
            </w:r>
            <w:r/>
          </w:p>
        </w:tc>
      </w:tr>
    </w:tbl>
    <w:p>
      <w:pPr>
        <w:ind w:firstLine="482"/>
        <w:spacing w:line="360" w:lineRule="auto"/>
        <w:rPr>
          <w:rFonts w:hint="eastAsia" w:ascii="宋体" w:hAnsi="宋体" w:cs="宋体"/>
          <w:b/>
          <w:i w:val="0"/>
          <w:iCs/>
          <w:color w:val="000000" w:themeColor="text1"/>
          <w:sz w:val="24"/>
          <w:szCs w:val="24"/>
          <w:u w:val="none"/>
          <w:lang w:val="en-US" w:eastAsia="zh-CN"/>
          <w14:textFill>
            <w14:solidFill>
              <w14:schemeClr w14:val="tx1"/>
            </w14:solidFill>
          </w14:textFill>
        </w:rPr>
      </w:pPr>
      <w:r>
        <w:rPr>
          <w:rFonts w:hint="eastAsia" w:ascii="宋体" w:hAnsi="宋体" w:cs="宋体"/>
          <w:b/>
          <w:i w:val="0"/>
          <w:iCs/>
          <w:color w:val="000000" w:themeColor="text1"/>
          <w:sz w:val="24"/>
          <w:szCs w:val="24"/>
          <w:u w:val="none"/>
          <w:lang w:val="en-US" w:eastAsia="zh-CN"/>
          <w14:textFill>
            <w14:solidFill>
              <w14:schemeClr w14:val="tx1"/>
            </w14:solidFill>
          </w14:textFill>
        </w:rPr>
      </w:r>
      <w:r/>
    </w:p>
    <w:p>
      <w:pPr>
        <w:ind w:firstLine="482"/>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cs="宋体"/>
          <w:b/>
          <w:i w:val="0"/>
          <w:iCs/>
          <w:color w:val="000000" w:themeColor="text1"/>
          <w:sz w:val="24"/>
          <w:szCs w:val="24"/>
          <w:u w:val="none"/>
          <w:lang w:val="en-US" w:eastAsia="zh-CN"/>
          <w14:textFill>
            <w14:solidFill>
              <w14:schemeClr w14:val="tx1"/>
            </w14:solidFill>
          </w14:textFill>
        </w:rPr>
        <w:t xml:space="preserve">图形工作站一、图形工作站二</w:t>
      </w:r>
      <w:r>
        <w:rPr>
          <w:rFonts w:hint="eastAsia" w:ascii="宋体" w:hAnsi="宋体" w:eastAsia="宋体" w:cs="宋体"/>
          <w:b/>
          <w:i w:val="0"/>
          <w:iCs/>
          <w:color w:val="000000" w:themeColor="text1"/>
          <w:sz w:val="24"/>
          <w:szCs w:val="24"/>
          <w:u w:val="none"/>
          <w14:textFill>
            <w14:solidFill>
              <w14:schemeClr w14:val="tx1"/>
            </w14:solidFill>
          </w14:textFill>
        </w:rPr>
        <w:t xml:space="preserve">应符合</w:t>
      </w:r>
      <w:r>
        <w:rPr>
          <w:rFonts w:hint="eastAsia" w:ascii="宋体" w:hAnsi="宋体" w:eastAsia="宋体" w:cs="宋体"/>
          <w:b/>
          <w:i w:val="0"/>
          <w:iCs/>
          <w:color w:val="000000" w:themeColor="text1"/>
          <w:sz w:val="24"/>
          <w:szCs w:val="24"/>
          <w:u w:val="none"/>
          <w:lang w:val="en-US" w:eastAsia="zh-CN"/>
          <w14:textFill>
            <w14:solidFill>
              <w14:schemeClr w14:val="tx1"/>
            </w14:solidFill>
          </w14:textFill>
        </w:rPr>
        <w:t xml:space="preserve">财政部 工业和信息化部关于印发</w:t>
      </w:r>
      <w:r>
        <w:rPr>
          <w:rFonts w:hint="eastAsia" w:ascii="宋体" w:hAnsi="宋体" w:eastAsia="宋体" w:cs="宋体"/>
          <w:b/>
          <w:i w:val="0"/>
          <w:iCs/>
          <w:color w:val="000000" w:themeColor="text1"/>
          <w:sz w:val="24"/>
          <w:szCs w:val="24"/>
          <w:u w:val="none"/>
          <w14:textFill>
            <w14:solidFill>
              <w14:schemeClr w14:val="tx1"/>
            </w14:solidFill>
          </w14:textFill>
        </w:rPr>
        <w:t xml:space="preserve">《</w:t>
      </w:r>
      <w:r>
        <w:rPr>
          <w:rFonts w:hint="eastAsia" w:ascii="宋体" w:hAnsi="宋体" w:cs="宋体"/>
          <w:b/>
          <w:i w:val="0"/>
          <w:iCs/>
          <w:color w:val="000000" w:themeColor="text1"/>
          <w:sz w:val="24"/>
          <w:szCs w:val="24"/>
          <w:u w:val="none"/>
          <w:lang w:val="en-US" w:eastAsia="zh-CN"/>
          <w14:textFill>
            <w14:solidFill>
              <w14:schemeClr w14:val="tx1"/>
            </w14:solidFill>
          </w14:textFill>
        </w:rPr>
        <w:t xml:space="preserve">工作站</w:t>
      </w:r>
      <w:r>
        <w:rPr>
          <w:rFonts w:hint="eastAsia" w:ascii="宋体" w:hAnsi="宋体" w:eastAsia="宋体" w:cs="宋体"/>
          <w:b/>
          <w:i w:val="0"/>
          <w:iCs/>
          <w:color w:val="000000" w:themeColor="text1"/>
          <w:sz w:val="24"/>
          <w:szCs w:val="24"/>
          <w:u w:val="none"/>
          <w14:textFill>
            <w14:solidFill>
              <w14:schemeClr w14:val="tx1"/>
            </w14:solidFill>
          </w14:textFill>
        </w:rPr>
        <w:t xml:space="preserve">政府采购需求标准（2023年版）》</w:t>
      </w:r>
      <w:r>
        <w:rPr>
          <w:rFonts w:hint="eastAsia" w:ascii="宋体" w:hAnsi="宋体" w:eastAsia="宋体" w:cs="宋体"/>
          <w:b/>
          <w:i w:val="0"/>
          <w:iCs/>
          <w:color w:val="000000" w:themeColor="text1"/>
          <w:sz w:val="24"/>
          <w:szCs w:val="24"/>
          <w:u w:val="none"/>
          <w:lang w:val="en-US" w:eastAsia="zh-CN"/>
          <w14:textFill>
            <w14:solidFill>
              <w14:schemeClr w14:val="tx1"/>
            </w14:solidFill>
          </w14:textFill>
        </w:rPr>
        <w:t xml:space="preserve">的通知【财库〔2023〕3</w:t>
      </w:r>
      <w:r>
        <w:rPr>
          <w:rFonts w:hint="eastAsia" w:ascii="宋体" w:hAnsi="宋体" w:cs="宋体"/>
          <w:b/>
          <w:i w:val="0"/>
          <w:iCs/>
          <w:color w:val="000000" w:themeColor="text1"/>
          <w:sz w:val="24"/>
          <w:szCs w:val="24"/>
          <w:u w:val="none"/>
          <w:lang w:val="en-US" w:eastAsia="zh-CN"/>
          <w14:textFill>
            <w14:solidFill>
              <w14:schemeClr w14:val="tx1"/>
            </w14:solidFill>
          </w14:textFill>
        </w:rPr>
        <w:t xml:space="preserve">2</w:t>
      </w:r>
      <w:r>
        <w:rPr>
          <w:rFonts w:hint="eastAsia" w:ascii="宋体" w:hAnsi="宋体" w:eastAsia="宋体" w:cs="宋体"/>
          <w:b/>
          <w:i w:val="0"/>
          <w:iCs/>
          <w:color w:val="000000" w:themeColor="text1"/>
          <w:sz w:val="24"/>
          <w:szCs w:val="24"/>
          <w:u w:val="none"/>
          <w:lang w:val="en-US" w:eastAsia="zh-CN"/>
          <w14:textFill>
            <w14:solidFill>
              <w14:schemeClr w14:val="tx1"/>
            </w14:solidFill>
          </w14:textFill>
        </w:rPr>
        <w:t xml:space="preserve">号】中的</w:t>
      </w:r>
      <w:r>
        <w:rPr>
          <w:rFonts w:hint="eastAsia" w:ascii="宋体" w:hAnsi="宋体" w:cs="宋体"/>
          <w:b/>
          <w:i w:val="0"/>
          <w:iCs/>
          <w:color w:val="000000" w:themeColor="text1"/>
          <w:sz w:val="24"/>
          <w:szCs w:val="24"/>
          <w:u w:val="none"/>
          <w:lang w:val="en-US" w:eastAsia="zh-CN"/>
          <w14:textFill>
            <w14:solidFill>
              <w14:schemeClr w14:val="tx1"/>
            </w14:solidFill>
          </w14:textFill>
        </w:rPr>
        <w:t xml:space="preserve">工作站</w:t>
      </w:r>
      <w:r>
        <w:rPr>
          <w:rFonts w:hint="eastAsia" w:ascii="宋体" w:hAnsi="宋体" w:eastAsia="宋体" w:cs="宋体"/>
          <w:b/>
          <w:i w:val="0"/>
          <w:iCs/>
          <w:color w:val="000000" w:themeColor="text1"/>
          <w:sz w:val="24"/>
          <w:szCs w:val="24"/>
          <w:u w:val="none"/>
          <w:lang w:val="en-US" w:eastAsia="zh-CN"/>
          <w14:textFill>
            <w14:solidFill>
              <w14:schemeClr w14:val="tx1"/>
            </w14:solidFill>
          </w14:textFill>
        </w:rPr>
        <w:t xml:space="preserve">政府采购需求标准</w:t>
      </w:r>
      <w:r>
        <w:rPr>
          <w:rFonts w:hint="eastAsia" w:ascii="宋体" w:hAnsi="宋体" w:eastAsia="宋体" w:cs="宋体"/>
          <w:b/>
          <w:i w:val="0"/>
          <w:iCs/>
          <w:color w:val="000000" w:themeColor="text1"/>
          <w:sz w:val="24"/>
          <w:szCs w:val="24"/>
          <w:u w:val="none"/>
          <w14:textFill>
            <w14:solidFill>
              <w14:schemeClr w14:val="tx1"/>
            </w14:solidFill>
          </w14:textFill>
        </w:rPr>
        <w:t xml:space="preserve">。</w:t>
      </w:r>
      <w:r/>
    </w:p>
    <w:p>
      <w:pPr>
        <w:pStyle w:val="708"/>
        <w:numPr>
          <w:ilvl w:val="0"/>
          <w:numId w:val="0"/>
        </w:numPr>
        <w:rPr>
          <w:rFonts w:hint="eastAsia" w:ascii="宋体" w:hAnsi="宋体" w:eastAsia="宋体" w:cs="宋体"/>
          <w:b/>
          <w:bCs/>
          <w:sz w:val="24"/>
          <w:szCs w:val="24"/>
          <w:lang w:val="en-US" w:eastAsia="zh-CN"/>
        </w:rPr>
      </w:pPr>
      <w:r>
        <w:rPr>
          <w:rFonts w:ascii="宋体" w:hAnsi="宋体" w:eastAsia="宋体" w:cs="宋体"/>
          <w:b/>
          <w:color w:val="000000"/>
          <w:sz w:val="24"/>
        </w:rPr>
        <w:t xml:space="preserve"> </w:t>
      </w:r>
      <w:r>
        <w:rPr>
          <w:rFonts w:hint="eastAsia" w:ascii="宋体" w:hAnsi="宋体" w:eastAsia="宋体" w:cs="宋体"/>
          <w:b/>
          <w:bCs/>
          <w:sz w:val="24"/>
          <w:szCs w:val="24"/>
          <w:lang w:val="en-US" w:eastAsia="zh-CN"/>
        </w:rPr>
        <w:t xml:space="preserve">图形工作站一：数量57</w:t>
      </w:r>
      <w:r/>
    </w:p>
    <w:tbl>
      <w:tblPr>
        <w:tblStyle w:val="717"/>
        <w:tblpPr w:horzAnchor="page" w:tblpX="1712" w:vertAnchor="text" w:tblpY="600" w:leftFromText="180" w:topFromText="0" w:rightFromText="180" w:bottomFromText="0"/>
        <w:tblW w:w="9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790"/>
        <w:gridCol w:w="1570"/>
        <w:gridCol w:w="6220"/>
      </w:tblGrid>
      <w:tr>
        <w:trPr/>
        <w:tc>
          <w:tcPr>
            <w:tcW w:w="62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9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一级指标</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二级指标</w:t>
            </w:r>
            <w:r/>
          </w:p>
        </w:tc>
        <w:tc>
          <w:tcPr>
            <w:tcW w:w="622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指标要求</w:t>
            </w:r>
            <w:r/>
          </w:p>
        </w:tc>
      </w:tr>
      <w:tr>
        <w:trPr/>
        <w:tc>
          <w:tcPr>
            <w:tcW w:w="62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9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CPU</w:t>
            </w:r>
            <w:r>
              <w:rPr>
                <w:rFonts w:hint="eastAsia" w:ascii="宋体" w:hAnsi="宋体" w:eastAsia="宋体" w:cs="宋体"/>
                <w:sz w:val="24"/>
                <w:szCs w:val="24"/>
              </w:rPr>
              <w:br/>
            </w:r>
            <w:r>
              <w:rPr>
                <w:rFonts w:hint="eastAsia" w:ascii="宋体" w:hAnsi="宋体" w:eastAsia="宋体" w:cs="宋体"/>
                <w:sz w:val="24"/>
                <w:szCs w:val="24"/>
              </w:rPr>
              <w:t xml:space="preserve">规格</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CPU 信息</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配置1颗国产C86架构CPU，CPU物理核心数≥8核，CPU主频≥3.0GHz，支持超线程技术，处理器基础功耗≤70W</w:t>
            </w:r>
            <w:r/>
          </w:p>
        </w:tc>
      </w:tr>
      <w:tr>
        <w:trPr/>
        <w:tc>
          <w:tcPr>
            <w:tcW w:w="62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79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内存</w:t>
            </w:r>
            <w:r>
              <w:rPr>
                <w:rFonts w:hint="eastAsia" w:ascii="宋体" w:hAnsi="宋体" w:eastAsia="宋体" w:cs="宋体"/>
                <w:sz w:val="24"/>
                <w:szCs w:val="24"/>
              </w:rPr>
              <w:br/>
            </w:r>
            <w:r>
              <w:rPr>
                <w:rFonts w:hint="eastAsia" w:ascii="宋体" w:hAnsi="宋体" w:eastAsia="宋体" w:cs="宋体"/>
                <w:sz w:val="24"/>
                <w:szCs w:val="24"/>
              </w:rPr>
              <w:t xml:space="preserve">规格</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内存配置容量</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16</w:t>
            </w:r>
            <w:r>
              <w:rPr>
                <w:rFonts w:hint="eastAsia" w:ascii="宋体" w:hAnsi="宋体" w:eastAsia="宋体" w:cs="宋体"/>
                <w:i/>
                <w:iCs/>
                <w:sz w:val="24"/>
                <w:szCs w:val="24"/>
                <w:u w:val="single"/>
              </w:rPr>
              <w:t xml:space="preserve">GB</w:t>
            </w:r>
            <w:r/>
          </w:p>
        </w:tc>
      </w:tr>
      <w:tr>
        <w:trPr>
          <w:trHeight w:val="928"/>
        </w:trPr>
        <w:tc>
          <w:tcPr>
            <w:tcW w:w="620"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790"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主板</w:t>
            </w:r>
            <w:r>
              <w:rPr>
                <w:rFonts w:hint="eastAsia" w:ascii="宋体" w:hAnsi="宋体" w:eastAsia="宋体" w:cs="宋体"/>
                <w:sz w:val="24"/>
                <w:szCs w:val="24"/>
                <w:lang w:eastAsia="zh-CN"/>
              </w:rPr>
              <w:t xml:space="preserve">规格</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主板其他内置接口</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提供≥9个USB接口（其中前置USB3.0 Type A数量≥4个，前置TYPE C数量≥1个，后置USB3.0接口≥2个，USB2.0接口≥2个；），串口≥1个，USB接口支持有瞬间过流保护功能；VGA≥1个，HDMI≥1个,M.2 插槽≥2个；SATA接口≥4个；音频接口≥5个。</w:t>
            </w:r>
            <w:r/>
          </w:p>
        </w:tc>
      </w:tr>
      <w:tr>
        <w:trPr>
          <w:trHeight w:val="928"/>
        </w:trPr>
        <w:tc>
          <w:tcPr>
            <w:tcW w:w="620" w:type="dxa"/>
            <w:vAlign w:val="center"/>
            <w:vMerge w:val="continue"/>
            <w:textDirection w:val="lrTb"/>
            <w:noWrap w:val="false"/>
          </w:tcPr>
          <w:p>
            <w:pPr>
              <w:spacing w:after="0" w:line="288" w:lineRule="auto"/>
            </w:pPr>
            <w:r/>
            <w:r/>
          </w:p>
        </w:tc>
        <w:tc>
          <w:tcPr>
            <w:tcW w:w="790" w:type="dxa"/>
            <w:vAlign w:val="center"/>
            <w:vMerge w:val="continue"/>
            <w:textDirection w:val="lrTb"/>
            <w:noWrap w:val="false"/>
          </w:tcPr>
          <w:p>
            <w:pPr>
              <w:spacing w:after="0" w:line="288" w:lineRule="auto"/>
            </w:pPr>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i w:val="0"/>
                <w:iCs w:val="0"/>
                <w:color w:val="000000" w:themeColor="text1"/>
                <w:sz w:val="24"/>
                <w:szCs w:val="24"/>
                <w:u w:val="none"/>
                <w:lang w:val="en-US" w:eastAsia="zh-CN"/>
                <w14:textFill>
                  <w14:solidFill>
                    <w14:schemeClr w14:val="tx1"/>
                  </w14:solidFill>
                </w14:textFill>
              </w:rPr>
              <w:t xml:space="preserve">主板内置PCIe插槽数量</w:t>
            </w:r>
            <w:r/>
          </w:p>
        </w:tc>
        <w:tc>
          <w:tcPr>
            <w:tcW w:w="6220"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提供</w:t>
            </w:r>
            <w:r>
              <w:rPr>
                <w:rFonts w:hint="default" w:ascii="宋体" w:hAnsi="宋体" w:eastAsia="宋体" w:cs="宋体"/>
                <w:color w:val="000000" w:themeColor="text1"/>
                <w:sz w:val="24"/>
                <w:szCs w:val="24"/>
                <w:lang w:val="en-US" w:eastAsia="zh-CN"/>
                <w14:textFill>
                  <w14:solidFill>
                    <w14:schemeClr w14:val="tx1"/>
                  </w14:solidFill>
                </w14:textFill>
              </w:rPr>
              <w:t xml:space="preserve">1xPcle 4.0x16插槽，1xPcle 4.0x8插槽， </w:t>
            </w:r>
            <w:r/>
          </w:p>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1xPcle 4.0x1插槽</w:t>
            </w:r>
            <w:r>
              <w:rPr>
                <w:rFonts w:hint="eastAsia" w:ascii="宋体" w:hAnsi="宋体" w:cs="宋体"/>
                <w:color w:val="000000" w:themeColor="text1"/>
                <w:sz w:val="24"/>
                <w:szCs w:val="24"/>
                <w:lang w:val="en-US" w:eastAsia="zh-CN"/>
                <w14:textFill>
                  <w14:solidFill>
                    <w14:schemeClr w14:val="tx1"/>
                  </w14:solidFill>
                </w14:textFill>
              </w:rPr>
              <w:t xml:space="preserve">（提供官网链接或截图证明）</w:t>
            </w:r>
            <w:r/>
          </w:p>
        </w:tc>
      </w:tr>
      <w:tr>
        <w:trPr/>
        <w:tc>
          <w:tcPr>
            <w:tcW w:w="62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90" w:type="dxa"/>
            <w:vAlign w:val="center"/>
            <w:textDirection w:val="lrTb"/>
            <w:noWrap w:val="false"/>
          </w:tcPr>
          <w:p>
            <w:pPr>
              <w:spacing w:after="0" w:line="288"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存储设备规格</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固态存储容量</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≥512GB</w:t>
            </w:r>
            <w:r/>
          </w:p>
        </w:tc>
      </w:tr>
      <w:tr>
        <w:trPr/>
        <w:tc>
          <w:tcPr>
            <w:tcW w:w="620"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c>
          <w:tcPr>
            <w:tcW w:w="790" w:type="dxa"/>
            <w:vAlign w:val="center"/>
            <w:vMerge w:val="restart"/>
            <w:textDirection w:val="lrTb"/>
            <w:noWrap w:val="false"/>
          </w:tcPr>
          <w:p>
            <w:pPr>
              <w:spacing w:after="0" w:line="288"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显卡规格</w:t>
            </w:r>
            <w:r/>
          </w:p>
        </w:tc>
        <w:tc>
          <w:tcPr>
            <w:tcW w:w="157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独立显卡显存位宽</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配置独立显卡，显存位宽≥128 位</w:t>
            </w:r>
            <w:r/>
          </w:p>
        </w:tc>
      </w:tr>
      <w:tr>
        <w:trPr/>
        <w:tc>
          <w:tcPr>
            <w:tcW w:w="62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9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57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独立显卡显存容量</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配置独立显卡，显存容量≥1</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lang w:eastAsia="zh-CN"/>
              </w:rPr>
              <w:t xml:space="preserve">GB</w:t>
            </w:r>
            <w:r/>
          </w:p>
        </w:tc>
      </w:tr>
      <w:tr>
        <w:trPr>
          <w:trHeight w:val="860"/>
        </w:trPr>
        <w:tc>
          <w:tcPr>
            <w:tcW w:w="620"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c>
          <w:tcPr>
            <w:tcW w:w="790"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显示设备规格</w:t>
            </w:r>
            <w:r/>
          </w:p>
        </w:tc>
        <w:tc>
          <w:tcPr>
            <w:tcW w:w="157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显示屏尺寸</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≥23.8 英寸</w:t>
            </w:r>
            <w:r/>
          </w:p>
        </w:tc>
      </w:tr>
      <w:tr>
        <w:trPr>
          <w:trHeight w:val="425"/>
        </w:trPr>
        <w:tc>
          <w:tcPr>
            <w:tcW w:w="62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9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570"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显示屏可视角度</w:t>
            </w:r>
            <w:r/>
          </w:p>
        </w:tc>
        <w:tc>
          <w:tcPr>
            <w:tcW w:w="622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显示屏可视角度≥175°</w:t>
            </w:r>
            <w:r/>
          </w:p>
        </w:tc>
      </w:tr>
      <w:tr>
        <w:trPr>
          <w:trHeight w:val="425"/>
        </w:trPr>
        <w:tc>
          <w:tcPr>
            <w:tcW w:w="620" w:type="dxa"/>
            <w:vAlign w:val="center"/>
            <w:vMerge w:val="continue"/>
            <w:textDirection w:val="lrTb"/>
            <w:noWrap w:val="false"/>
          </w:tcPr>
          <w:p>
            <w:pPr>
              <w:spacing w:after="0" w:line="288"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790" w:type="dxa"/>
            <w:vAlign w:val="center"/>
            <w:vMerge w:val="continue"/>
            <w:textDirection w:val="lrTb"/>
            <w:noWrap w:val="false"/>
          </w:tcPr>
          <w:p>
            <w:pPr>
              <w:spacing w:after="0" w:line="288"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显示屏像素密度</w:t>
            </w:r>
            <w:r/>
          </w:p>
        </w:tc>
        <w:tc>
          <w:tcPr>
            <w:tcW w:w="622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120像素/英寸</w:t>
            </w:r>
            <w:r/>
          </w:p>
        </w:tc>
      </w:tr>
      <w:tr>
        <w:trPr>
          <w:trHeight w:val="860"/>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显示屏刷新率</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显示器刷新率≥85Hz</w:t>
            </w:r>
            <w:r/>
          </w:p>
        </w:tc>
      </w:tr>
      <w:tr>
        <w:trPr>
          <w:trHeight w:val="860"/>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显示屏对比度</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显示屏对比度≥1500：1</w:t>
            </w:r>
            <w:r/>
          </w:p>
        </w:tc>
      </w:tr>
      <w:tr>
        <w:trPr>
          <w:trHeight w:val="1722"/>
        </w:trPr>
        <w:tc>
          <w:tcPr>
            <w:tcW w:w="62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p>
        </w:tc>
        <w:tc>
          <w:tcPr>
            <w:tcW w:w="79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整机基础规格</w:t>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r>
            <w:r/>
          </w:p>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整机能效限定值</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产品能效限定值应达到 GB 28380-2012标准中能效等级2级及以上</w:t>
            </w:r>
            <w:r>
              <w:rPr>
                <w:rFonts w:hint="eastAsia" w:ascii="宋体" w:hAnsi="宋体" w:cs="宋体"/>
                <w:i/>
                <w:i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提供电源≥500W</w:t>
            </w:r>
            <w:r>
              <w:rPr>
                <w:rFonts w:hint="eastAsia" w:ascii="宋体" w:hAnsi="宋体" w:cs="宋体"/>
                <w:i/>
                <w:iCs/>
                <w:color w:val="000000" w:themeColor="text1"/>
                <w:sz w:val="24"/>
                <w:szCs w:val="24"/>
                <w:u w:val="single"/>
                <w:lang w:eastAsia="zh-CN"/>
                <w14:textFill>
                  <w14:solidFill>
                    <w14:schemeClr w14:val="tx1"/>
                  </w14:solidFill>
                </w14:textFill>
              </w:rPr>
              <w:t xml:space="preserve">。</w:t>
            </w:r>
            <w:r/>
          </w:p>
        </w:tc>
      </w:tr>
      <w:tr>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机箱尺寸容量</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≥16L，不超过25L，须提供全扩展标准的塔式机箱,支持全高全长双宽扩展卡，确保更大可扩展区域和更高效的散热效率。</w:t>
            </w:r>
            <w:r/>
          </w:p>
        </w:tc>
      </w:tr>
      <w:tr>
        <w:trPr>
          <w:trHeight w:val="1090"/>
        </w:trPr>
        <w:tc>
          <w:tcPr>
            <w:tcW w:w="62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p>
        </w:tc>
        <w:tc>
          <w:tcPr>
            <w:tcW w:w="79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性能</w:t>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显卡显示芯片核心频率</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1333</w:t>
            </w:r>
            <w:r>
              <w:rPr>
                <w:rFonts w:hint="eastAsia" w:ascii="宋体" w:hAnsi="宋体" w:eastAsia="宋体" w:cs="宋体"/>
                <w:i/>
                <w:iCs/>
                <w:color w:val="000000" w:themeColor="text1"/>
                <w:sz w:val="24"/>
                <w:szCs w:val="24"/>
                <w:u w:val="single"/>
                <w14:textFill>
                  <w14:solidFill>
                    <w14:schemeClr w14:val="tx1"/>
                  </w14:solidFill>
                </w14:textFill>
              </w:rPr>
              <w:t xml:space="preserve">MHz</w:t>
            </w:r>
            <w:r/>
          </w:p>
        </w:tc>
      </w:tr>
      <w:tr>
        <w:trPr>
          <w:trHeight w:val="726"/>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显存等效频率</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17000</w:t>
            </w:r>
            <w:r>
              <w:rPr>
                <w:rFonts w:hint="eastAsia" w:ascii="宋体" w:hAnsi="宋体" w:eastAsia="宋体" w:cs="宋体"/>
                <w:i/>
                <w:iCs/>
                <w:color w:val="000000" w:themeColor="text1"/>
                <w:sz w:val="24"/>
                <w:szCs w:val="24"/>
                <w:u w:val="single"/>
                <w14:textFill>
                  <w14:solidFill>
                    <w14:schemeClr w14:val="tx1"/>
                  </w14:solidFill>
                </w14:textFill>
              </w:rPr>
              <w:t xml:space="preserve">MT/s</w:t>
            </w:r>
            <w:r/>
          </w:p>
        </w:tc>
      </w:tr>
      <w:tr>
        <w:trPr>
          <w:trHeight w:val="1367"/>
        </w:trPr>
        <w:tc>
          <w:tcPr>
            <w:tcW w:w="62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p>
        </w:tc>
        <w:tc>
          <w:tcPr>
            <w:tcW w:w="790"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整机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可靠</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求</w:t>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MTBF 测试</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MTBF(m1)≥</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8</w:t>
            </w:r>
            <w:r>
              <w:rPr>
                <w:rFonts w:hint="eastAsia" w:ascii="宋体" w:hAnsi="宋体" w:eastAsia="宋体" w:cs="宋体"/>
                <w:i/>
                <w:iCs/>
                <w:color w:val="000000" w:themeColor="text1"/>
                <w:sz w:val="24"/>
                <w:szCs w:val="24"/>
                <w:u w:val="single"/>
                <w14:textFill>
                  <w14:solidFill>
                    <w14:schemeClr w14:val="tx1"/>
                  </w14:solidFill>
                </w14:textFill>
              </w:rPr>
              <w:t xml:space="preserve">0万小时</w:t>
            </w:r>
            <w:r/>
          </w:p>
        </w:tc>
      </w:tr>
      <w:tr>
        <w:trPr>
          <w:trHeight w:val="1522"/>
        </w:trPr>
        <w:tc>
          <w:tcPr>
            <w:tcW w:w="62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p>
        </w:tc>
        <w:tc>
          <w:tcPr>
            <w:tcW w:w="790"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整机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安全</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求</w:t>
            </w:r>
            <w:r/>
          </w:p>
        </w:tc>
        <w:tc>
          <w:tcPr>
            <w:tcW w:w="1570" w:type="dxa"/>
            <w:vAlign w:val="center"/>
            <w:textDirection w:val="lrTb"/>
            <w:noWrap w:val="false"/>
          </w:tcPr>
          <w:p>
            <w:pPr>
              <w:spacing w:after="0" w:line="288" w:lineRule="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USB端口管控</w:t>
            </w:r>
            <w:r/>
          </w:p>
        </w:tc>
        <w:tc>
          <w:tcPr>
            <w:tcW w:w="6220" w:type="dxa"/>
            <w:vAlign w:val="center"/>
            <w:textDirection w:val="lrTb"/>
            <w:noWrap w:val="false"/>
          </w:tcPr>
          <w:p>
            <w:pPr>
              <w:spacing w:after="0" w:line="288" w:lineRule="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USB支持BIOS下全部接口一键开关、前后置USB口分组开关；针对存储设备支持全部USB接口一键切换禁止访问模式/只读模式。</w:t>
            </w:r>
            <w:r/>
          </w:p>
        </w:tc>
      </w:tr>
      <w:tr>
        <w:trPr>
          <w:trHeight w:val="1522"/>
        </w:trPr>
        <w:tc>
          <w:tcPr>
            <w:tcW w:w="620" w:type="dxa"/>
            <w:vAlign w:val="center"/>
            <w:vMerge w:val="restart"/>
            <w:textDirection w:val="lrTb"/>
            <w:noWrap w:val="false"/>
          </w:tcPr>
          <w:p>
            <w:pPr>
              <w:spacing w:after="0" w:line="288"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p>
        </w:tc>
        <w:tc>
          <w:tcPr>
            <w:tcW w:w="79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服务</w:t>
            </w:r>
            <w:r>
              <w:rPr>
                <w:rFonts w:hint="eastAsia" w:ascii="宋体" w:hAnsi="宋体" w:eastAsia="宋体" w:cs="宋体"/>
                <w:i w:val="0"/>
                <w:iCs w:val="0"/>
                <w:color w:val="000000" w:themeColor="text1"/>
                <w:sz w:val="24"/>
                <w:szCs w:val="24"/>
                <w:u w:val="none"/>
                <w:lang w:eastAsia="zh-CN"/>
                <w14:textFill>
                  <w14:solidFill>
                    <w14:schemeClr w14:val="tx1"/>
                  </w14:solidFill>
                </w14:textFill>
              </w:rPr>
              <w:br/>
            </w: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要求</w:t>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配置检查工具</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硬件主要参数检测，优化加速，系统垃圾清理，病毒查杀，原厂驱动更新，网络测速，网络诊断，自动识别品牌型号、序列号，自动识别保修开始至截止信息。</w:t>
            </w:r>
            <w:r/>
          </w:p>
        </w:tc>
      </w:tr>
      <w:tr>
        <w:trPr>
          <w:trHeight w:val="1522"/>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厂家升级软件与扩容服务</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供应商免费提供三年上门升级部件/软件的增值服务</w:t>
            </w:r>
            <w:r/>
          </w:p>
        </w:tc>
      </w:tr>
      <w:tr>
        <w:trPr>
          <w:trHeight w:val="1169"/>
        </w:trPr>
        <w:tc>
          <w:tcPr>
            <w:gridSpan w:val="4"/>
            <w:tcW w:w="920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其他未列明参数必须满足</w:t>
            </w:r>
            <w:r>
              <w:rPr>
                <w:rFonts w:hint="eastAsia" w:ascii="宋体" w:hAnsi="宋体" w:cs="宋体"/>
                <w:bCs/>
                <w:i/>
                <w:iCs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财库〔2023〕</w:t>
            </w:r>
            <w:r>
              <w:rPr>
                <w:rFonts w:hint="eastAsia" w:ascii="宋体" w:hAnsi="宋体" w:eastAsia="宋体" w:cs="宋体"/>
                <w:bCs/>
                <w:i/>
                <w:iCs w:val="0"/>
                <w:color w:val="000000" w:themeColor="text1"/>
                <w:sz w:val="24"/>
                <w:szCs w:val="24"/>
                <w:highlight w:val="none"/>
                <w:u w:val="single"/>
                <w:lang w:val="en-US" w:eastAsia="zh-CN"/>
                <w14:textFill>
                  <w14:solidFill>
                    <w14:schemeClr w14:val="tx1"/>
                  </w14:solidFill>
                </w14:textFill>
              </w:rPr>
              <w:t xml:space="preserve">32</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号</w:t>
            </w:r>
            <w:r>
              <w:rPr>
                <w:rFonts w:hint="eastAsia" w:ascii="宋体" w:hAnsi="宋体" w:cs="宋体"/>
                <w:bCs/>
                <w:i/>
                <w:iCs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要求。</w:t>
            </w:r>
            <w:r/>
          </w:p>
        </w:tc>
      </w:tr>
    </w:tbl>
    <w:p>
      <w:pPr>
        <w:jc w:val="both"/>
        <w:spacing w:before="240" w:after="240"/>
        <w:rPr>
          <w:rFonts w:hint="eastAsia" w:ascii="宋体" w:hAnsi="宋体" w:eastAsia="宋体" w:cs="宋体"/>
          <w:color w:val="000000" w:themeColor="text1"/>
          <w:sz w:val="24"/>
          <w:szCs w:val="24"/>
          <w:highlight w:val="yellow"/>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yellow"/>
          <w:lang w:eastAsia="zh-CN"/>
          <w14:textFill>
            <w14:solidFill>
              <w14:schemeClr w14:val="tx1"/>
            </w14:solidFill>
          </w14:textFill>
        </w:rPr>
      </w:r>
      <w:r/>
    </w:p>
    <w:p>
      <w:pPr>
        <w:ind w:right="0"/>
        <w:jc w:val="left"/>
        <w:spacing w:before="120" w:after="120"/>
        <w:rPr>
          <w:rFonts w:hint="eastAsia" w:ascii="宋体" w:hAnsi="宋体" w:eastAsia="宋体" w:cs="宋体"/>
          <w:b/>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图形工作站二:数量20</w:t>
      </w:r>
      <w:r/>
    </w:p>
    <w:tbl>
      <w:tblPr>
        <w:tblStyle w:val="717"/>
        <w:tblpPr w:horzAnchor="page" w:tblpX="1712" w:vertAnchor="text" w:tblpY="600" w:leftFromText="180" w:topFromText="0" w:rightFromText="180" w:bottomFromText="0"/>
        <w:tblW w:w="91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825"/>
        <w:gridCol w:w="1564"/>
        <w:gridCol w:w="6204"/>
      </w:tblGrid>
      <w:tr>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一级指标</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二级指标</w:t>
            </w:r>
            <w:r/>
          </w:p>
        </w:tc>
        <w:tc>
          <w:tcPr>
            <w:tcW w:w="620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指标要求</w:t>
            </w:r>
            <w:r/>
          </w:p>
        </w:tc>
      </w:tr>
      <w:tr>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CPU</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规格</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CPU 信息</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配置1颗国产CPU，CPU物理核心数≥8核，CPU主频≥3.0GHz，支持超线程技术，处理器基础功耗≤70W</w:t>
            </w:r>
            <w:r/>
          </w:p>
        </w:tc>
      </w:tr>
      <w:tr>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内存</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规格</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内存配置容量</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32</w:t>
            </w:r>
            <w:r>
              <w:rPr>
                <w:rFonts w:hint="eastAsia" w:ascii="宋体" w:hAnsi="宋体" w:eastAsia="宋体" w:cs="宋体"/>
                <w:i/>
                <w:iCs/>
                <w:color w:val="000000" w:themeColor="text1"/>
                <w:sz w:val="24"/>
                <w:szCs w:val="24"/>
                <w:u w:val="single"/>
                <w14:textFill>
                  <w14:solidFill>
                    <w14:schemeClr w14:val="tx1"/>
                  </w14:solidFill>
                </w14:textFill>
              </w:rPr>
              <w:t xml:space="preserve">GB</w:t>
            </w:r>
            <w:r/>
          </w:p>
        </w:tc>
      </w:tr>
      <w:tr>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主板</w:t>
            </w:r>
            <w:r>
              <w:rPr>
                <w:rFonts w:hint="eastAsia" w:ascii="宋体" w:hAnsi="宋体" w:eastAsia="宋体" w:cs="宋体"/>
                <w:color w:val="000000" w:themeColor="text1"/>
                <w:sz w:val="24"/>
                <w:szCs w:val="24"/>
                <w:lang w:eastAsia="zh-CN"/>
                <w14:textFill>
                  <w14:solidFill>
                    <w14:schemeClr w14:val="tx1"/>
                  </w14:solidFill>
                </w14:textFill>
              </w:rPr>
              <w:t xml:space="preserve">规格</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主板其他内置接口</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提供≥9个USB接口（其中前置USB3.0 Type A数量≥4个，前置TYPE C数量≥1个，后置USB3.0接口≥2个，USB2.0接口≥2个；），串口≥1个，USB接口支持有瞬间过流保护功能；VGA≥1个，HDMI≥1个,M.2 插槽≥2个；SATA接口≥4个；音频接口≥5个。</w:t>
            </w:r>
            <w:r/>
          </w:p>
        </w:tc>
      </w:tr>
      <w:tr>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textDirection w:val="lrTb"/>
            <w:noWrap w:val="false"/>
          </w:tcPr>
          <w:p>
            <w:pPr>
              <w:spacing w:after="0" w:line="288"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存储设备规格</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固态存储容量</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≥512GB</w:t>
            </w:r>
            <w:r/>
          </w:p>
        </w:tc>
      </w:tr>
      <w:tr>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25" w:type="dxa"/>
            <w:vAlign w:val="center"/>
            <w:vMerge w:val="restart"/>
            <w:textDirection w:val="lrTb"/>
            <w:noWrap w:val="false"/>
          </w:tcPr>
          <w:p>
            <w:pPr>
              <w:spacing w:after="0" w:line="288"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显卡规格</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独立显卡显存位宽</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配置独立显卡，显存位宽≥128 位</w:t>
            </w:r>
            <w:r/>
          </w:p>
        </w:tc>
      </w:tr>
      <w:tr>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独立显卡显存容量</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配置独立显卡，显存容量≥1</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6</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GB</w:t>
            </w:r>
            <w:r/>
          </w:p>
        </w:tc>
      </w:tr>
      <w:tr>
        <w:trPr>
          <w:trHeight w:val="860"/>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p>
        </w:tc>
        <w:tc>
          <w:tcPr>
            <w:tcW w:w="825"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显示设备规格</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显示屏尺寸</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≥23.8 英寸</w:t>
            </w:r>
            <w:r/>
          </w:p>
        </w:tc>
      </w:tr>
      <w:tr>
        <w:trPr>
          <w:trHeight w:val="425"/>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shd w:val="clear" w:color="auto" w:fill="auto"/>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★显示屏可视角度</w:t>
            </w:r>
            <w:r/>
          </w:p>
        </w:tc>
        <w:tc>
          <w:tcPr>
            <w:shd w:val="clear" w:color="auto" w:fill="auto"/>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显示屏可视角度≥175°</w:t>
            </w:r>
            <w:r/>
          </w:p>
        </w:tc>
      </w:tr>
      <w:tr>
        <w:trPr>
          <w:trHeight w:val="425"/>
        </w:trPr>
        <w:tc>
          <w:tcPr>
            <w:tcW w:w="584" w:type="dxa"/>
            <w:vAlign w:val="center"/>
            <w:vMerge w:val="continue"/>
            <w:textDirection w:val="lrTb"/>
            <w:noWrap w:val="false"/>
          </w:tcPr>
          <w:p>
            <w:pPr>
              <w:spacing w:after="0" w:line="288"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25" w:type="dxa"/>
            <w:vAlign w:val="center"/>
            <w:vMerge w:val="continue"/>
            <w:textDirection w:val="lrTb"/>
            <w:noWrap w:val="false"/>
          </w:tcPr>
          <w:p>
            <w:pPr>
              <w:spacing w:after="0" w:line="288"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1564"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显示屏像素密度</w:t>
            </w:r>
            <w:r/>
          </w:p>
        </w:tc>
        <w:tc>
          <w:tcPr>
            <w:shd w:val="clear" w:color="auto" w:fill="auto"/>
            <w:tcW w:w="6204"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120像素/英寸</w:t>
            </w:r>
            <w:r/>
          </w:p>
        </w:tc>
      </w:tr>
      <w:tr>
        <w:trPr>
          <w:trHeight w:val="860"/>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显示屏刷新率</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显示器刷新率≥85Hz</w:t>
            </w:r>
            <w:r/>
          </w:p>
        </w:tc>
      </w:tr>
      <w:tr>
        <w:trPr>
          <w:trHeight w:val="860"/>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显示屏对比度</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显示屏对比度≥1500：1</w:t>
            </w:r>
            <w:r/>
          </w:p>
        </w:tc>
      </w:tr>
      <w:tr>
        <w:trPr>
          <w:trHeight w:val="1722"/>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p>
        </w:tc>
        <w:tc>
          <w:tcPr>
            <w:tcW w:w="825"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整机基础规格</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r>
            <w:r/>
          </w:p>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整机能效限定值</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产品能效限定值应达到 GB 28380-2012标准中能效等级2级及以上</w:t>
            </w:r>
            <w:r>
              <w:rPr>
                <w:rFonts w:hint="eastAsia" w:ascii="宋体" w:hAnsi="宋体" w:cs="宋体"/>
                <w:i/>
                <w:i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提供电源≥500W</w:t>
            </w:r>
            <w:r>
              <w:rPr>
                <w:rFonts w:hint="eastAsia" w:ascii="宋体" w:hAnsi="宋体" w:cs="宋体"/>
                <w:i/>
                <w:iCs/>
                <w:color w:val="000000" w:themeColor="text1"/>
                <w:sz w:val="24"/>
                <w:szCs w:val="24"/>
                <w:u w:val="single"/>
                <w:lang w:eastAsia="zh-CN"/>
                <w14:textFill>
                  <w14:solidFill>
                    <w14:schemeClr w14:val="tx1"/>
                  </w14:solidFill>
                </w14:textFill>
              </w:rPr>
              <w:t xml:space="preserve">。</w:t>
            </w:r>
            <w:r/>
          </w:p>
        </w:tc>
      </w:tr>
      <w:tr>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机箱尺寸容量</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≥16L，不超过25L，须提供全扩展标准的塔式机箱,支持全高全长双宽扩展卡，确保更大可扩展区域和更高效的散热效率。</w:t>
            </w:r>
            <w:r/>
          </w:p>
        </w:tc>
      </w:tr>
      <w:tr>
        <w:trPr>
          <w:trHeight w:val="1634"/>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p>
        </w:tc>
        <w:tc>
          <w:tcPr>
            <w:tcW w:w="825"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性能</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显卡显示芯片核心频率</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≥2310MHz</w:t>
            </w:r>
            <w:r/>
          </w:p>
        </w:tc>
      </w:tr>
      <w:tr>
        <w:trPr>
          <w:trHeight w:val="726"/>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显存等效频率</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≥2666MT/s</w:t>
            </w:r>
            <w:r/>
          </w:p>
        </w:tc>
      </w:tr>
      <w:tr>
        <w:trPr>
          <w:trHeight w:val="1341"/>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整机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可靠</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求</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MTBF 测试</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MTBF(m1)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80</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万小时</w:t>
            </w:r>
            <w:r/>
          </w:p>
        </w:tc>
      </w:tr>
      <w:tr>
        <w:trPr>
          <w:trHeight w:val="1685"/>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w:t>
            </w:r>
            <w:r/>
          </w:p>
        </w:tc>
        <w:tc>
          <w:tcPr>
            <w:tcW w:w="825" w:type="dxa"/>
            <w:vAlign w:val="center"/>
            <w:vMerge w:val="restart"/>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服务</w:t>
            </w:r>
            <w:r>
              <w:rPr>
                <w:rFonts w:hint="eastAsia" w:ascii="宋体" w:hAnsi="宋体" w:eastAsia="宋体" w:cs="宋体"/>
                <w:i w:val="0"/>
                <w:iCs w:val="0"/>
                <w:color w:val="000000" w:themeColor="text1"/>
                <w:sz w:val="24"/>
                <w:szCs w:val="24"/>
                <w:u w:val="none"/>
                <w:lang w:eastAsia="zh-CN"/>
                <w14:textFill>
                  <w14:solidFill>
                    <w14:schemeClr w14:val="tx1"/>
                  </w14:solidFill>
                </w14:textFill>
              </w:rPr>
              <w:br/>
            </w: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要求</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配置检查工具</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硬件主要参数检测，优化加速，系统垃圾清理，病毒查杀，原厂驱动更新，网络测速，网络诊断，自动识别品牌型号、序列号，自动识别保修开始至截止信息。</w:t>
            </w:r>
            <w:r/>
          </w:p>
        </w:tc>
      </w:tr>
      <w:tr>
        <w:trPr>
          <w:trHeight w:val="1522"/>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厂家升级软件与扩容服务</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供应商</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免费提供三年上门升级部件/软件的增值服务</w:t>
            </w:r>
            <w:r/>
          </w:p>
        </w:tc>
      </w:tr>
      <w:tr>
        <w:trPr>
          <w:trHeight w:val="1522"/>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整机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安全</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求</w:t>
            </w:r>
            <w:r/>
          </w:p>
        </w:tc>
        <w:tc>
          <w:tcPr>
            <w:tcW w:w="1564" w:type="dxa"/>
            <w:vAlign w:val="center"/>
            <w:textDirection w:val="lrTb"/>
            <w:noWrap w:val="false"/>
          </w:tcPr>
          <w:p>
            <w:pPr>
              <w:spacing w:after="0" w:line="288" w:lineRule="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USB端口管控</w:t>
            </w:r>
            <w:r/>
          </w:p>
        </w:tc>
        <w:tc>
          <w:tcPr>
            <w:tcW w:w="6204" w:type="dxa"/>
            <w:vAlign w:val="center"/>
            <w:textDirection w:val="lrTb"/>
            <w:noWrap w:val="false"/>
          </w:tcPr>
          <w:p>
            <w:pPr>
              <w:spacing w:after="0" w:line="288" w:lineRule="auto"/>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USB支持BIOS下全部接口一键开关、前后置USB口分组开关；针对存储设备支持全部USB接口一键切换禁止访问模式/只读模式。</w:t>
            </w:r>
            <w:r/>
          </w:p>
        </w:tc>
      </w:tr>
      <w:tr>
        <w:trPr>
          <w:trHeight w:val="1116"/>
        </w:trPr>
        <w:tc>
          <w:tcPr>
            <w:gridSpan w:val="4"/>
            <w:tcW w:w="9177"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其他未列明参数必须满足</w:t>
            </w:r>
            <w:r>
              <w:rPr>
                <w:rFonts w:hint="eastAsia" w:ascii="宋体" w:hAnsi="宋体" w:cs="宋体"/>
                <w:bCs/>
                <w:i/>
                <w:iCs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财库〔2023〕</w:t>
            </w:r>
            <w:r>
              <w:rPr>
                <w:rFonts w:hint="eastAsia" w:ascii="宋体" w:hAnsi="宋体" w:eastAsia="宋体" w:cs="宋体"/>
                <w:bCs/>
                <w:i/>
                <w:iCs w:val="0"/>
                <w:color w:val="000000" w:themeColor="text1"/>
                <w:sz w:val="24"/>
                <w:szCs w:val="24"/>
                <w:highlight w:val="none"/>
                <w:u w:val="single"/>
                <w:lang w:val="en-US" w:eastAsia="zh-CN"/>
                <w14:textFill>
                  <w14:solidFill>
                    <w14:schemeClr w14:val="tx1"/>
                  </w14:solidFill>
                </w14:textFill>
              </w:rPr>
              <w:t xml:space="preserve">32</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号</w:t>
            </w:r>
            <w:r>
              <w:rPr>
                <w:rFonts w:hint="eastAsia" w:ascii="宋体" w:hAnsi="宋体" w:cs="宋体"/>
                <w:bCs/>
                <w:i/>
                <w:iCs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要求。</w:t>
            </w:r>
            <w:r/>
          </w:p>
        </w:tc>
      </w:tr>
    </w:tbl>
    <w:p>
      <w:pPr>
        <w:jc w:val="both"/>
        <w:spacing w:before="240" w:after="240"/>
        <w:rPr>
          <w:rFonts w:hint="default" w:ascii="宋体" w:hAnsi="宋体" w:cs="宋体"/>
          <w:b/>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lang w:val="en-US" w:eastAsia="zh-CN"/>
          <w14:textFill>
            <w14:solidFill>
              <w14:schemeClr w14:val="tx1"/>
            </w14:solidFill>
          </w14:textFill>
        </w:rPr>
        <w:t xml:space="preserve">软件：数量77套</w:t>
      </w:r>
      <w:r/>
    </w:p>
    <w:tbl>
      <w:tblPr>
        <w:tblStyle w:val="717"/>
        <w:tblpPr w:horzAnchor="page" w:tblpX="1712" w:vertAnchor="text" w:tblpY="600" w:leftFromText="180" w:topFromText="0" w:rightFromText="180" w:bottomFromText="0"/>
        <w:tblW w:w="85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70"/>
        <w:gridCol w:w="6220"/>
      </w:tblGrid>
      <w:tr>
        <w:trPr>
          <w:trHeight w:val="1522"/>
        </w:trPr>
        <w:tc>
          <w:tcPr>
            <w:shd w:val="clear" w:color="auto" w:fill="auto"/>
            <w:tcW w:w="790" w:type="dxa"/>
            <w:vAlign w:val="center"/>
            <w:vMerge w:val="restart"/>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t xml:space="preserve">要求</w:t>
            </w:r>
            <w:r/>
          </w:p>
        </w:tc>
        <w:tc>
          <w:tcPr>
            <w:shd w:val="clear" w:color="auto" w:fill="auto"/>
            <w:tcW w:w="1570"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t xml:space="preserve">管理软件</w:t>
            </w:r>
            <w:r/>
          </w:p>
        </w:tc>
        <w:tc>
          <w:tcPr>
            <w:tcW w:w="62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1.同时支持Legacy与UEFI两种方式启动系统，支持管理维护双网卡、双硬盘，支持NVME，M.2新型高速固态硬盘。</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可充分利用学校现有网络，支持在镜像下发时进行组内网络探测与网速传输测试，支持镜像下发时的策略设置，更新镜像时锁定终端屏幕和更新时隐藏下载窗口；支持系统镜像下发后自动执行关机、重启等操作。（提供此功能界面截图证明）</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.同时支持手拉手和广播两种镜像下载模式。支持边用边载的背景载入功能，可在正常上课的同时完成缓存载入，同一网络机器可互相分享数据，大幅减少网络传输中的重复数据，可以大幅提高传输效率。</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当学校网络带宽有限时，可支持在管理集群内将主服务器内镜像提前下发至IO服务器，通过IO服务器分发镜像，实现数据分流，提升局域网内镜像的更新速度。（提供此功能界面截图证明）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为避免网络端口被占用而引起的教学环境不可用的问题，云桌面管理平台支持对服务器使用的网络端口进行检测，并通过检测结果帮助管理员快速分析和解决问题。（提供此功能界面截图证明）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eastAsia="zh-CN"/>
                <w14:textFill>
                  <w14:solidFill>
                    <w14:schemeClr w14:val="tx1"/>
                  </w14:solidFill>
                </w14:textFill>
              </w:rPr>
              <w:t xml:space="preserve">为及时了解教学设备的使用情况，为未来设备增补、扩容等需求提供数据支撑，云桌面平台支持通过移动端查看数据统计分析情况，以图表形式展现设备在线时长和设备开机率；支持按分组在线设备数量进行Top5排行。（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eastAsia="zh-CN"/>
                <w14:textFill>
                  <w14:solidFill>
                    <w14:schemeClr w14:val="tx1"/>
                  </w14:solidFill>
                </w14:textFill>
              </w:rPr>
              <w:t xml:space="preserve">支持用户自主报障功能，即当终端遇到故障时，用户可将故障说明及照片提交至管理平台，管理员可通过管理平台进行远程协助排除故障。（提供此功能界面截图证明）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8</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.支持智能学习模式，系统可智能学习计算机的个性化配置，个性化驱动和用户的个性化设置并保存。用户进行桌面恢复时，可恢复至用户个性化快照。</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lang w:eastAsia="zh-CN"/>
                <w14:textFill>
                  <w14:solidFill>
                    <w14:schemeClr w14:val="tx1"/>
                  </w14:solidFill>
                </w14:textFill>
              </w:rPr>
              <w:t xml:space="preserve">.硬件资产管理：收集平台中所有终端硬件配置信息，包括终端名称、主板型号、CPU型号、内存容量、最近运行时间、合计运行时间、硬件变更和记录信息等。（提供第三方机构出具的检测报告）</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lang w:eastAsia="zh-CN"/>
                <w14:textFill>
                  <w14:solidFill>
                    <w14:schemeClr w14:val="tx1"/>
                  </w14:solidFill>
                </w14:textFill>
              </w:rPr>
              <w:t xml:space="preserve">.可提供网盘功能：支持用户在终端登录网盘，实现数据漫游与数据共享；支持用户将网盘中的文件分享给其他用户，其他用户可通过链接和提取码查看文件。(提供第三方机构出具的检测报告）</w:t>
            </w:r>
            <w:r/>
          </w:p>
        </w:tc>
      </w:tr>
      <w:tr>
        <w:trPr>
          <w:trHeight w:val="1522"/>
        </w:trPr>
        <w:tc>
          <w:tcPr>
            <w:shd w:val="clear" w:color="auto" w:fill="auto"/>
            <w:tcW w:w="790" w:type="dxa"/>
            <w:vAlign w:val="center"/>
            <w:vMerge w:val="continue"/>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r>
            <w:r/>
          </w:p>
        </w:tc>
        <w:tc>
          <w:tcPr>
            <w:shd w:val="clear" w:color="auto" w:fill="auto"/>
            <w:tcW w:w="1570"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教学软件</w:t>
            </w:r>
            <w:r/>
          </w:p>
        </w:tc>
        <w:tc>
          <w:tcPr>
            <w:tcW w:w="62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 屏幕录制：教师机可以将本地的操作和讲解过程录制为ASF录像文件，可以用 Windows 自带的 Media Player 直接播放。</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2.软件支持服务器端授权、在线序列号、离线文件等多种方式。</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3.屏幕广播可选择全屏或窗口方式。</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4.网络影院可将教师机播放的视频同步到学生机，支持几乎所有常见的媒体音视频格式，支持1080p高清视频。</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5.教师可指定一台学生机作为示范，由此学生代替教师示范教学。</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6.可进行分组讨论。</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7.文件收发功能，可拖拽添加文件。</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8.可设置上网、程序限制策略，可设置黑白名单不同策略。</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9.屏幕笔：教师教学使用的辅助工具，突出显示项目、添加注释，添加批注等等。</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10.教师可设置题目请学生作答。</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11.系统具备单独的班级模型管理功能，实现对班级模型的统一管理。</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12.可实现学生签到、电子点名功能。</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★13.程序限制：通过各种策略的应用，可防止学生在教学过程中打游戏，或使用QQ，MSN等聊天工具。（提供此功能界面截图证明）。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★14.分组讨论：教师可以创建多个小组进行讨论活动，并可任意选择分组加入讨论活动。同组师生支持多种方式进行交流，包括但不限于文字，表情，图片等。(提供此功能界面截图证明）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zh-CN" w:eastAsia="zh-CN"/>
                <w14:textFill>
                  <w14:solidFill>
                    <w14:schemeClr w14:val="tx1"/>
                  </w14:solidFill>
                </w14:textFill>
              </w:rPr>
              <w:t xml:space="preserve">15.远程设置：远程设置学生桌面主题、桌面背景、屏幕保护方案、学生的频道号和音量、学生端密码，是否启用进程保护，断线锁屏，热键退出等。</w:t>
            </w:r>
            <w:r>
              <w:rPr>
                <w:rFonts w:hint="eastAsia" w:ascii="宋体" w:hAnsi="宋体" w:eastAsia="宋体" w:cs="宋体"/>
                <w:color w:val="000000" w:themeColor="text1"/>
                <w:sz w:val="24"/>
                <w:szCs w:val="24"/>
                <w:lang w:eastAsia="zh-CN"/>
                <w14:textFill>
                  <w14:solidFill>
                    <w14:schemeClr w14:val="tx1"/>
                  </w14:solidFill>
                </w14:textFill>
              </w:rPr>
              <w:t xml:space="preserve">（提供此功能界面截图证明）。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zh-CN" w:eastAsia="zh-CN"/>
                <w14:textFill>
                  <w14:solidFill>
                    <w14:schemeClr w14:val="tx1"/>
                  </w14:solidFill>
                </w14:textFill>
              </w:rPr>
              <w:t xml:space="preserve">16.教学软件可实现远程开关机、远程设置、远程登录功能，可设置上网、程序限制策略，可设置黑白名单不同策略（提供此功能界面截图证明）。</w:t>
            </w:r>
            <w:r/>
          </w:p>
        </w:tc>
      </w:tr>
    </w:tbl>
    <w:p>
      <w:pPr>
        <w:jc w:val="both"/>
        <w:spacing w:before="240" w:after="240"/>
        <w:rPr>
          <w:rFonts w:hint="eastAsia" w:ascii="宋体" w:hAnsi="宋体" w:eastAsia="宋体" w:cs="宋体"/>
          <w:b/>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eastAsia="zh-CN"/>
          <w14:textFill>
            <w14:solidFill>
              <w14:schemeClr w14:val="tx1"/>
            </w14:solidFill>
          </w14:textFill>
        </w:rPr>
      </w:r>
      <w:r/>
    </w:p>
    <w:p>
      <w:pPr>
        <w:jc w:val="both"/>
        <w:spacing w:before="240" w:after="240"/>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eastAsia="zh-CN"/>
          <w14:textFill>
            <w14:solidFill>
              <w14:schemeClr w14:val="tx1"/>
            </w14:solidFill>
          </w14:textFill>
        </w:rPr>
        <w:t xml:space="preserve">三、商务要求</w:t>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1</w:t>
      </w:r>
      <w:r>
        <w:rPr>
          <w:rFonts w:hint="eastAsia" w:ascii="宋体" w:hAnsi="宋体" w:eastAsia="宋体" w:cs="宋体"/>
          <w:b/>
          <w:color w:val="000000" w:themeColor="text1"/>
          <w:sz w:val="24"/>
          <w:szCs w:val="24"/>
          <w:lang w:eastAsia="zh-CN"/>
          <w14:textFill>
            <w14:solidFill>
              <w14:schemeClr w14:val="tx1"/>
            </w14:solidFill>
          </w14:textFill>
        </w:rPr>
        <w:t xml:space="preserve">、实施要求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人员安排及供货进度安排：设立专门团队负责本次设备的采购工作，包含（但不限于）项目负责人1名，专业技术人员1名</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具有IT服务工程师证书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网络工程师</w:t>
      </w:r>
      <w:r>
        <w:rPr>
          <w:rFonts w:hint="eastAsia" w:ascii="宋体" w:hAnsi="宋体" w:eastAsia="宋体" w:cs="宋体"/>
          <w:color w:val="000000" w:themeColor="text1"/>
          <w:sz w:val="24"/>
          <w:szCs w:val="24"/>
          <w14:textFill>
            <w14:solidFill>
              <w14:schemeClr w14:val="tx1"/>
            </w14:solidFill>
          </w14:textFill>
        </w:rPr>
        <w:t xml:space="preserve">证书</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，安装调试及售后服务人员各1名，同时编写供货及安装调试各节点的时间进度安排。</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安全文明操作：为确保项目安全、有序、规范进行，中标人必须严格遵守安全文明操作要求。中标人必须将安全置于首要位置，建</w:t>
      </w:r>
      <w:r>
        <w:rPr>
          <w:rFonts w:hint="eastAsia" w:ascii="宋体" w:hAnsi="宋体" w:eastAsia="宋体" w:cs="宋体"/>
          <w:sz w:val="24"/>
          <w:szCs w:val="24"/>
          <w:lang w:eastAsia="zh-CN"/>
        </w:rPr>
        <w:t xml:space="preserve">立健全安全管理制度和应急预案，并对所有参与人员进行充分的安全教育和交底。严格遵守采购人制定的所有安全管理规定、进出登记制度、操作流程和应急预案。服从</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现场管理人员的指挥和管理。工作结束后，必须对作业区域进行彻底清扫，恢复机房洁净环境，中标人应承诺，因其施工人员违反上述安全文明规定或操作不当，造成</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人员伤亡、设备损坏、数据丢失、业务中断、机房环境污染等一切损失，均由中标人承担全部责任和赔偿责任。</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有权对违反规定的行为进行制止、处罚（如罚款、暂停作业权限），直至终止合同。</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中标人加强安全管理，对现场安全负完全责任；负责送货、安装、调试现场安全管理、环境保护管理，项目实施过程中产生的包装等废弃垃圾搬运至</w:t>
      </w:r>
      <w:r>
        <w:rPr>
          <w:rFonts w:hint="eastAsia" w:ascii="宋体" w:hAnsi="宋体" w:eastAsia="宋体" w:cs="宋体"/>
          <w:bCs/>
          <w:sz w:val="24"/>
          <w:szCs w:val="24"/>
          <w:lang w:val="en-US" w:eastAsia="zh-CN"/>
        </w:rPr>
        <w:t xml:space="preserve">采购人</w:t>
      </w:r>
      <w:r>
        <w:rPr>
          <w:rFonts w:hint="eastAsia" w:ascii="宋体" w:hAnsi="宋体" w:eastAsia="宋体" w:cs="宋体"/>
          <w:bCs/>
          <w:sz w:val="24"/>
          <w:szCs w:val="24"/>
          <w:lang w:eastAsia="zh-CN"/>
        </w:rPr>
        <w:t xml:space="preserve">指定地点并清扫现场。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（3）设备供货验货</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eastAsia="zh-CN"/>
        </w:rPr>
        <w:t xml:space="preserve">所供货物必须是全新的，原装正品，完全符合国家规定的质量标准。因产品质量或安装不当导致验收不合格，应及时处理直至验收合格，期间产生的一切费用由</w:t>
      </w:r>
      <w:r>
        <w:rPr>
          <w:rFonts w:hint="eastAsia" w:ascii="宋体" w:hAnsi="宋体" w:eastAsia="宋体" w:cs="宋体"/>
          <w:bCs/>
          <w:sz w:val="24"/>
          <w:szCs w:val="24"/>
          <w:lang w:val="en-US" w:eastAsia="zh-CN"/>
        </w:rPr>
        <w:t xml:space="preserve">中标人</w:t>
      </w:r>
      <w:r>
        <w:rPr>
          <w:rFonts w:hint="eastAsia" w:ascii="宋体" w:hAnsi="宋体" w:eastAsia="宋体" w:cs="宋体"/>
          <w:bCs/>
          <w:sz w:val="24"/>
          <w:szCs w:val="24"/>
          <w:lang w:eastAsia="zh-CN"/>
        </w:rPr>
        <w:t xml:space="preserve">承担；若二次验收不合格，采购人有权退货。采购人在此期间保留对</w:t>
      </w:r>
      <w:r>
        <w:rPr>
          <w:rFonts w:hint="eastAsia" w:ascii="宋体" w:hAnsi="宋体" w:eastAsia="宋体" w:cs="宋体"/>
          <w:bCs/>
          <w:sz w:val="24"/>
          <w:szCs w:val="24"/>
          <w:lang w:val="en-US" w:eastAsia="zh-CN"/>
        </w:rPr>
        <w:t xml:space="preserve">中标人</w:t>
      </w:r>
      <w:r>
        <w:rPr>
          <w:rFonts w:hint="eastAsia" w:ascii="宋体" w:hAnsi="宋体" w:eastAsia="宋体" w:cs="宋体"/>
          <w:bCs/>
          <w:sz w:val="24"/>
          <w:szCs w:val="24"/>
          <w:lang w:eastAsia="zh-CN"/>
        </w:rPr>
        <w:t xml:space="preserve">的索赔权利。</w:t>
      </w:r>
      <w:r>
        <w:rPr>
          <w:rFonts w:hint="eastAsia" w:ascii="宋体" w:hAnsi="宋体" w:eastAsia="宋体" w:cs="宋体"/>
          <w:bCs/>
          <w:sz w:val="24"/>
          <w:szCs w:val="24"/>
          <w:lang w:val="en-US" w:eastAsia="zh-CN"/>
        </w:rPr>
        <w:t xml:space="preserve">中</w:t>
      </w:r>
      <w:r>
        <w:rPr>
          <w:rFonts w:hint="eastAsia" w:ascii="宋体" w:hAnsi="宋体" w:eastAsia="宋体" w:cs="宋体"/>
          <w:bCs/>
          <w:sz w:val="24"/>
          <w:szCs w:val="24"/>
          <w:lang w:eastAsia="zh-CN"/>
        </w:rPr>
        <w:t xml:space="preserve">标人必须满足所有功能要求，有义务保证采购人系统的功能性和完整性。</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lang w:eastAsia="zh-CN"/>
        </w:rPr>
        <w:t xml:space="preserve">由采购人组织验收，检验不合格或不符合质量要求，</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eastAsia="zh-CN"/>
        </w:rPr>
        <w:t xml:space="preserve">除无条件退货、返工外，还应承担采购人的一切损失。</w:t>
      </w:r>
      <w:r/>
    </w:p>
    <w:p>
      <w:pPr>
        <w:numPr>
          <w:ilvl w:val="0"/>
          <w:numId w:val="14"/>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强弱电环境检查：投标人需要对现有机房进行强弱电环境检查，应安全、规范、高效地将新电脑物理安装到位，完成基础硬件连接、固件配置和操作系统部署。</w:t>
      </w:r>
      <w:r/>
    </w:p>
    <w:p>
      <w:pPr>
        <w:ind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eastAsia="zh-CN"/>
        </w:rPr>
        <w:t xml:space="preserve">交货时间、地点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lang w:eastAsia="zh-CN"/>
        </w:rPr>
        <w:t xml:space="preserve">中标</w:t>
      </w:r>
      <w:r>
        <w:rPr>
          <w:rFonts w:hint="eastAsia" w:ascii="宋体" w:hAnsi="宋体" w:eastAsia="宋体" w:cs="宋体"/>
          <w:sz w:val="24"/>
          <w:szCs w:val="24"/>
          <w:lang w:val="en-US" w:eastAsia="zh-CN"/>
        </w:rPr>
        <w:t xml:space="preserve">人</w:t>
      </w:r>
      <w:r>
        <w:rPr>
          <w:rFonts w:hint="eastAsia" w:ascii="宋体" w:hAnsi="宋体" w:cs="宋体"/>
          <w:color w:val="000000" w:themeColor="text1"/>
          <w:sz w:val="24"/>
          <w:szCs w:val="24"/>
          <w:lang w:val="en-US" w:eastAsia="zh-CN"/>
          <w14:textFill>
            <w14:solidFill>
              <w14:schemeClr w14:val="tx1"/>
            </w14:solidFill>
          </w14:textFill>
        </w:rPr>
        <w:t xml:space="preserve">自</w:t>
      </w:r>
      <w:r>
        <w:rPr>
          <w:rFonts w:hint="eastAsia" w:ascii="宋体" w:hAnsi="宋体" w:eastAsia="宋体" w:cs="宋体"/>
          <w:color w:val="000000" w:themeColor="text1"/>
          <w:sz w:val="24"/>
          <w:szCs w:val="24"/>
          <w:lang w:eastAsia="zh-CN"/>
          <w14:textFill>
            <w14:solidFill>
              <w14:schemeClr w14:val="tx1"/>
            </w14:solidFill>
          </w14:textFill>
        </w:rPr>
        <w:t xml:space="preserve">合同签订后45天内将货物送达指定地点，设备安装调试到位并提请验收。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lang w:eastAsia="zh-CN"/>
          <w14:textFill>
            <w14:solidFill>
              <w14:schemeClr w14:val="tx1"/>
            </w14:solidFill>
          </w14:textFill>
        </w:rPr>
        <w:t xml:space="preserve">负责将货物运到采购人指定地点，由</w:t>
      </w:r>
      <w:r>
        <w:rPr>
          <w:rFonts w:hint="eastAsia" w:ascii="宋体" w:hAnsi="宋体" w:eastAsia="宋体" w:cs="宋体"/>
          <w:color w:val="000000" w:themeColor="text1"/>
          <w:sz w:val="24"/>
          <w:szCs w:val="24"/>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lang w:eastAsia="zh-CN"/>
          <w14:textFill>
            <w14:solidFill>
              <w14:schemeClr w14:val="tx1"/>
            </w14:solidFill>
          </w14:textFill>
        </w:rPr>
        <w:t xml:space="preserve">负责办理运输和装卸等，费用由</w:t>
      </w:r>
      <w:r>
        <w:rPr>
          <w:rFonts w:hint="eastAsia" w:ascii="宋体" w:hAnsi="宋体" w:eastAsia="宋体" w:cs="宋体"/>
          <w:color w:val="000000" w:themeColor="text1"/>
          <w:sz w:val="24"/>
          <w:szCs w:val="24"/>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lang w:eastAsia="zh-CN"/>
          <w14:textFill>
            <w14:solidFill>
              <w14:schemeClr w14:val="tx1"/>
            </w14:solidFill>
          </w14:textFill>
        </w:rPr>
        <w:t xml:space="preserve">负责。</w:t>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w:t>
      </w:r>
      <w:r>
        <w:rPr>
          <w:rFonts w:hint="eastAsia" w:ascii="宋体" w:hAnsi="宋体" w:eastAsia="宋体" w:cs="宋体"/>
          <w:b/>
          <w:color w:val="000000" w:themeColor="text1"/>
          <w:sz w:val="24"/>
          <w:szCs w:val="24"/>
          <w:lang w:eastAsia="zh-CN"/>
          <w14:textFill>
            <w14:solidFill>
              <w14:schemeClr w14:val="tx1"/>
            </w14:solidFill>
          </w14:textFill>
        </w:rPr>
        <w:t xml:space="preserve">、售后服务要求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自验收合格后，</w:t>
      </w:r>
      <w:r>
        <w:rPr>
          <w:rFonts w:hint="eastAsia" w:ascii="宋体" w:hAnsi="宋体" w:eastAsia="宋体" w:cs="宋体"/>
          <w:sz w:val="24"/>
          <w:szCs w:val="24"/>
          <w:lang w:eastAsia="zh-CN"/>
        </w:rPr>
        <w:t xml:space="preserve">所有货物、产品提供三年或以上免费质保，在免费质量保证期内，因产品制造原因出现的任何质量问题，中标人应负责更换或维修，由此产生的一切费用由中标人承担。免费质保期满后，中标人须以市场价中最低的价格（人工费、出厂价零配件费、其他材料费等）向采购人提供相关产品设备或服务，且中标人应能保证采购人更换到原厂正宗的零部件，保证维修配件的供应和及时维修，维修价格保持不变（政策调整因素除外），投标人需自行考虑相关费用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sz w:val="24"/>
          <w:szCs w:val="24"/>
          <w:lang w:eastAsia="zh-CN"/>
        </w:rPr>
        <w:t xml:space="preserve">质保期内，</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eastAsia="zh-CN"/>
        </w:rPr>
        <w:t xml:space="preserve">接到保修请求，应在 2小时内响应，4 小时内维修人员到达现场，必要时应向采购人提供配置不低于中标机型的备用机供采购人使用，直至故障修复；</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sz w:val="24"/>
          <w:szCs w:val="24"/>
          <w:lang w:eastAsia="zh-CN"/>
        </w:rPr>
        <w:t xml:space="preserve">所投产品需具有良好的售后服务水平和完善的售后服务体系支撑，</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eastAsia="zh-CN"/>
        </w:rPr>
        <w:t xml:space="preserve">提供电话、电子邮件、远程连接等多种形式服务；</w:t>
      </w:r>
      <w:r/>
    </w:p>
    <w:p>
      <w:pPr>
        <w:ind w:firstLine="482"/>
        <w:keepLines w:val="0"/>
        <w:keepNext w:val="0"/>
        <w:pageBreakBefore w:val="0"/>
        <w:spacing w:line="360"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 xml:space="preserve">3、</w:t>
      </w:r>
      <w:r>
        <w:rPr>
          <w:rFonts w:hint="eastAsia" w:ascii="宋体" w:hAnsi="宋体" w:eastAsia="宋体" w:cs="宋体"/>
          <w:b/>
          <w:bCs w:val="0"/>
          <w:sz w:val="24"/>
          <w:szCs w:val="24"/>
          <w:lang w:eastAsia="zh-CN"/>
        </w:rPr>
        <w:t xml:space="preserve">培训要求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（1）</w:t>
      </w:r>
      <w:r>
        <w:rPr>
          <w:rFonts w:hint="eastAsia" w:ascii="宋体" w:hAnsi="宋体" w:eastAsia="宋体" w:cs="宋体"/>
          <w:sz w:val="24"/>
          <w:szCs w:val="24"/>
          <w:lang w:eastAsia="zh-CN"/>
        </w:rPr>
        <w:t xml:space="preserve">提供一份详细的培训计划，包括培训的目标、内容列表、使用的教学方法、时间安排和预期成果。</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（2）</w:t>
      </w:r>
      <w:r>
        <w:rPr>
          <w:rFonts w:hint="eastAsia" w:ascii="宋体" w:hAnsi="宋体" w:eastAsia="宋体" w:cs="宋体"/>
          <w:sz w:val="24"/>
          <w:szCs w:val="24"/>
          <w:lang w:eastAsia="zh-CN"/>
        </w:rPr>
        <w:t xml:space="preserve">培训内容包括硬件部分的简单保养维修，操作系统的安装和日常使用配置，常用软件的主要功能和使用方法，软件的一般性故障排除知识，如常见问题的解决方法、如何联系技术支持等。</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（3）</w:t>
      </w:r>
      <w:r>
        <w:rPr>
          <w:rFonts w:hint="eastAsia" w:ascii="宋体" w:hAnsi="宋体" w:eastAsia="宋体" w:cs="宋体"/>
          <w:sz w:val="24"/>
          <w:szCs w:val="24"/>
          <w:lang w:eastAsia="zh-CN"/>
        </w:rPr>
        <w:t xml:space="preserve">培训基础的网络安全基础知识，包括如何识别和防范网络攻击、病毒防护、安全浏览网页等。</w:t>
      </w:r>
      <w:r/>
    </w:p>
    <w:p>
      <w:pPr>
        <w:ind w:firstLine="48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sz w:val="24"/>
          <w:szCs w:val="24"/>
          <w:lang w:eastAsia="zh-CN"/>
        </w:rPr>
        <w:t xml:space="preserve">采用真实或模拟的教学场景，展示如何将工作站整合到教学过程中，例如使用多媒体资源增强学生的学习体验等。</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4、报价要求</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投标报价含施工人员意外伤害保险费、清单所列及施工、安装、运输、调试、集成、保洁、原厂免费质保、税金、培训、检测等与本项目相关的一切费用，本项目验收前中标</w:t>
      </w:r>
      <w:r>
        <w:rPr>
          <w:rFonts w:hint="eastAsia" w:ascii="宋体" w:hAnsi="宋体" w:cs="宋体"/>
          <w:color w:val="000000" w:themeColor="text1"/>
          <w:sz w:val="24"/>
          <w:szCs w:val="24"/>
          <w:lang w:val="en-US" w:eastAsia="zh-CN"/>
        </w:rPr>
        <w:t xml:space="preserve">人</w:t>
      </w:r>
      <w:r>
        <w:rPr>
          <w:rFonts w:hint="eastAsia" w:ascii="宋体" w:hAnsi="宋体" w:eastAsia="宋体" w:cs="宋体"/>
          <w:sz w:val="24"/>
          <w:szCs w:val="24"/>
          <w:lang w:eastAsia="zh-CN"/>
        </w:rPr>
        <w:t xml:space="preserve">承担所有货物的保管责任；本项目单项报价中含税。</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984"/>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43"/>
        <w:tblW w:w="795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43"/>
        <w:tblW w:w="792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7"/>
        <w:gridCol w:w="58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的扣除价格，用扣除后的价格参与评审。</w:t>
      </w:r>
      <w:r/>
    </w:p>
    <w:p>
      <w:pPr>
        <w:ind w:left="0"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（2）供应商需按照采购文件的要求提供相应的《中小企业声明函》。</w:t>
      </w:r>
      <w:r/>
    </w:p>
    <w:p>
      <w:pPr>
        <w:ind w:left="0" w:right="0" w:firstLine="360"/>
        <w:jc w:val="both"/>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（3）企业标准请参照《关于印发中小企业划型标准规定的通知》（工信部联企业[2011]300号）文件规定自行填写。</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2、残疾人福利单位价格扣除</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（1）本项目对残疾人福利性单位视同小型、微型企业，给予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（2）残疾人福利单位需按照采购文件的要求提供《残疾人福利性单位声明函》。</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3、监狱和戒毒企业价格扣除</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（1）本项目对监狱和戒毒企业（简称监狱企业）视同小型、微型企业，给予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（3）监狱企业标准请参照《关于政府采购支持监狱企业发展有关问题的通知》（财库〔2014〕68号）。</w:t>
      </w:r>
      <w:r/>
    </w:p>
    <w:p>
      <w:pPr>
        <w:ind w:left="0" w:right="0" w:firstLine="480"/>
        <w:jc w:val="both"/>
        <w:spacing w:before="120" w:after="12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 w:val="24"/>
          <w:highlight w:val="none"/>
          <w:u w:val="single"/>
          <w:lang w:val="en-US" w:eastAsia="zh-CN"/>
          <w14:textFill>
            <w14:solidFill>
              <w14:schemeClr w14:val="tx1"/>
            </w14:solidFill>
          </w14:textFill>
        </w:rPr>
        <w:t xml:space="preserve">4</w:t>
      </w:r>
      <w:r>
        <w:rPr>
          <w:rFonts w:ascii="宋体" w:hAnsi="宋体" w:eastAsia="宋体" w:cs="宋体"/>
          <w:color w:val="000000" w:themeColor="text1"/>
          <w:sz w:val="24"/>
          <w:highlight w:val="none"/>
          <w:u w:val="single"/>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6、联合体各方均为小型、微型企业（残疾人福利单位、监狱企业）的，联合体享受</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   7.4 供应商需在《声明函》中逐一、准确填写产品名称、厂名、生产厂址三项信息</w:t>
      </w:r>
      <w:r>
        <w:rPr>
          <w:rFonts w:ascii="SimSun" w:hAnsi="SimSun" w:eastAsia="SimSun" w:cs="SimSun"/>
          <w:color w:val="000000" w:themeColor="text1"/>
          <w:sz w:val="24"/>
          <w:highlight w:val="none"/>
        </w:rPr>
        <w:t xml:space="preserve">（《声明函》中标注“  /  ”的地方无需填写）</w:t>
      </w:r>
      <w:r>
        <w:rPr>
          <w:rFonts w:ascii="宋体" w:hAnsi="宋体" w:eastAsia="宋体" w:cs="宋体"/>
          <w:color w:val="000000"/>
          <w:sz w:val="24"/>
          <w:szCs w:val="24"/>
        </w:rPr>
        <w:t xml:space="preserve">，三项信息中任意一项未填写的视为该项产品不符合本国产品标准，不享受本国产品价格评审优惠。</w:t>
      </w:r>
      <w:r/>
      <w:r>
        <w:rPr>
          <w:sz w:val="21"/>
        </w:rP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17"/>
        <w:tblpPr w:horzAnchor="page" w:tblpX="1765" w:vertAnchor="text" w:tblpY="397" w:leftFromText="180" w:topFromText="0" w:rightFromText="180" w:bottomFromText="0"/>
        <w:tblW w:w="87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7443"/>
      </w:tblGrid>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 目</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trHeight w:val="774"/>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以满足招标文件要求的最低投标报价为评标基准价，得满分30分，其他投标报价得分=(评标基准价／其他投标报价)×30×100%。</w:t>
            </w:r>
            <w:r/>
          </w:p>
        </w:tc>
      </w:tr>
      <w:tr>
        <w:trPr>
          <w:trHeight w:val="126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技术性能</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3</w:t>
            </w:r>
            <w:r>
              <w:rPr>
                <w:rFonts w:hint="eastAsia" w:ascii="宋体" w:hAnsi="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pStyle w:val="791"/>
              <w:numPr>
                <w:ilvl w:val="0"/>
                <w:numId w:val="0"/>
              </w:numP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打“★”的为重要参数，每满足一项并提供证明材料得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分，满分3</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所投产品</w:t>
            </w:r>
            <w:r>
              <w:rPr>
                <w:rFonts w:hint="eastAsia" w:ascii="宋体" w:hAnsi="宋体" w:eastAsia="宋体" w:cs="宋体"/>
                <w:color w:val="000000" w:themeColor="text1"/>
                <w:sz w:val="24"/>
                <w:szCs w:val="24"/>
                <w14:textFill>
                  <w14:solidFill>
                    <w14:schemeClr w14:val="tx1"/>
                  </w14:solidFill>
                </w14:textFill>
              </w:rPr>
              <w:t xml:space="preserve">属于财政部、生态环境部公布的“环境标志产品品目清单”范围内的，投标人提供国家确定的认证机构出具的、处于有效期内的该环保产品认证证书，</w:t>
            </w:r>
            <w:r>
              <w:rPr>
                <w:rFonts w:hint="eastAsia" w:ascii="宋体" w:hAnsi="宋体" w:eastAsia="宋体" w:cs="宋体"/>
                <w:color w:val="000000" w:themeColor="text1"/>
                <w:sz w:val="24"/>
                <w:szCs w:val="24"/>
                <w:lang w:eastAsia="zh-CN"/>
                <w14:textFill>
                  <w14:solidFill>
                    <w14:schemeClr w14:val="tx1"/>
                  </w14:solidFill>
                </w14:textFill>
              </w:rPr>
              <w:t xml:space="preserve">得1分，机型与投标机型一致</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满分2分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提供证书原件，扫描上传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val="en-US" w:eastAsia="zh-CN"/>
                <w14:textFill>
                  <w14:solidFill>
                    <w14:schemeClr w14:val="tx1"/>
                  </w14:solidFill>
                </w14:textFill>
              </w:rPr>
              <w:t xml:space="preserve">3、为确保工作站PC在稳定性、流畅性与应用性等方面达到优化操作效果，所投产品具有国产CAD，国产3D等ISV认证</w:t>
            </w:r>
            <w:r>
              <w:rPr>
                <w:rFonts w:hint="eastAsia" w:ascii="宋体" w:hAnsi="宋体" w:eastAsia="宋体" w:cs="宋体"/>
                <w:bCs/>
                <w:color w:val="000000" w:themeColor="text1"/>
                <w:sz w:val="24"/>
                <w:szCs w:val="24"/>
                <w14:textFill>
                  <w14:solidFill>
                    <w14:schemeClr w14:val="tx1"/>
                  </w14:solidFill>
                </w14:textFill>
              </w:rPr>
              <w:t xml:space="preserve">有一个得1分，满分</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投标机型与证书检测机型一致</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提供证书原件，扫描上传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tc>
      </w:tr>
      <w:tr>
        <w:trPr>
          <w:trHeight w:val="1942"/>
        </w:trPr>
        <w:tc>
          <w:tcPr>
            <w:shd w:val="clear" w:color="auto" w:fill="auto"/>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实施方案</w:t>
            </w:r>
            <w:r/>
          </w:p>
          <w:p>
            <w:pPr>
              <w:jc w:val="center"/>
              <w:rPr>
                <w:rFonts w:hint="eastAsia" w:ascii="宋体" w:hAnsi="宋体" w:eastAsia="宋体" w:cs="宋体"/>
                <w:sz w:val="24"/>
                <w:szCs w:val="24"/>
              </w:rPr>
            </w:pPr>
            <w:r>
              <w:rPr>
                <w:rFonts w:hint="eastAsia" w:ascii="宋体" w:hAnsi="宋体" w:eastAsia="宋体" w:cs="宋体"/>
                <w:b/>
                <w:bCs/>
                <w:color w:val="000000"/>
                <w:sz w:val="24"/>
                <w:szCs w:val="24"/>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eastAsia="zh-CN"/>
              </w:rPr>
              <w:t xml:space="preserve">投标人根据采购需求，提供的项目实施方案（包括人员安排及供货进度安排、安全文明操作、设备供货验货、强弱电环境检修、</w:t>
            </w:r>
            <w:r>
              <w:rPr>
                <w:rFonts w:hint="eastAsia" w:ascii="宋体" w:hAnsi="宋体" w:eastAsia="宋体" w:cs="宋体"/>
                <w:color w:val="000000"/>
                <w:sz w:val="24"/>
                <w:szCs w:val="24"/>
                <w:highlight w:val="none"/>
                <w:lang w:val="en-US" w:eastAsia="zh-CN"/>
              </w:rPr>
              <w:t xml:space="preserve">交货时间、地点</w:t>
            </w:r>
            <w:r>
              <w:rPr>
                <w:rFonts w:hint="eastAsia" w:ascii="宋体" w:hAnsi="宋体" w:eastAsia="宋体" w:cs="宋体"/>
                <w:color w:val="000000"/>
                <w:sz w:val="24"/>
                <w:szCs w:val="24"/>
                <w:highlight w:val="none"/>
                <w:lang w:eastAsia="zh-CN"/>
              </w:rPr>
              <w:t xml:space="preserve">内容），</w:t>
            </w:r>
            <w:r>
              <w:rPr>
                <w:rFonts w:hint="eastAsia" w:ascii="宋体" w:hAnsi="宋体" w:eastAsia="宋体" w:cs="宋体"/>
                <w:color w:val="000000"/>
                <w:sz w:val="24"/>
                <w:szCs w:val="24"/>
                <w:highlight w:val="none"/>
                <w:lang w:val="en-US" w:eastAsia="zh-CN"/>
              </w:rPr>
              <w:t xml:space="preserve">方案每提供1项目符合采购要求的得1分，未提供方案或方案不符合采购要求的不得分，满分5分。</w:t>
            </w:r>
            <w:r/>
          </w:p>
        </w:tc>
      </w:tr>
      <w:tr>
        <w:trPr>
          <w:trHeight w:val="4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投标人实力（</w:t>
            </w:r>
            <w:r>
              <w:rPr>
                <w:rFonts w:hint="eastAsia" w:ascii="宋体" w:hAnsi="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sz w:val="24"/>
                <w:szCs w:val="24"/>
              </w:rPr>
              <w:t xml:space="preserve">分</w:t>
            </w:r>
            <w:r>
              <w:rPr>
                <w:rFonts w:hint="eastAsia" w:ascii="宋体" w:hAnsi="宋体" w:eastAsia="宋体" w:cs="宋体"/>
                <w:b/>
                <w:bCs/>
                <w:color w:val="000000"/>
                <w:sz w:val="24"/>
                <w:szCs w:val="24"/>
              </w:rPr>
              <w:t xml:space="preserve">）</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pStyle w:val="791"/>
              <w:numPr>
                <w:ilvl w:val="0"/>
                <w:numId w:val="0"/>
              </w:numPr>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bCs/>
                <w:sz w:val="24"/>
                <w:szCs w:val="24"/>
                <w:lang w:eastAsia="zh-CN"/>
              </w:rPr>
              <w:t xml:space="preserve">具有ISO9001质量管理体系认证证书得1分。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提供证书</w:t>
            </w:r>
            <w:r/>
          </w:p>
          <w:p>
            <w:pPr>
              <w:pStyle w:val="791"/>
              <w:numPr>
                <w:ilvl w:val="0"/>
                <w:numId w:val="0"/>
              </w:numPr>
              <w:rPr>
                <w:rFonts w:hint="eastAsia" w:ascii="宋体" w:hAnsi="宋体" w:eastAsia="宋体" w:cs="宋体"/>
                <w:bCs/>
                <w:sz w:val="24"/>
                <w:szCs w:val="24"/>
                <w:lang w:eastAsia="zh-CN"/>
              </w:rPr>
            </w:pPr>
            <w:r>
              <w:rPr>
                <w:rFonts w:hint="eastAsia" w:ascii="宋体" w:hAnsi="宋体" w:eastAsia="宋体" w:cs="宋体"/>
                <w:b/>
                <w:bCs/>
                <w:color w:val="000000"/>
                <w:sz w:val="24"/>
                <w:szCs w:val="24"/>
                <w:lang w:val="en-US" w:eastAsia="zh-CN"/>
              </w:rPr>
              <w:t xml:space="preserve">原件，扫描上传</w:t>
            </w:r>
            <w:r>
              <w:rPr>
                <w:rFonts w:hint="eastAsia" w:ascii="宋体" w:hAnsi="宋体" w:eastAsia="宋体" w:cs="宋体"/>
                <w:b/>
                <w:bCs/>
                <w:color w:val="000000"/>
                <w:sz w:val="24"/>
                <w:szCs w:val="24"/>
                <w:lang w:eastAsia="zh-CN"/>
              </w:rPr>
              <w:t xml:space="preserve">）</w:t>
            </w:r>
            <w:r/>
          </w:p>
          <w:p>
            <w:pPr>
              <w:pStyle w:val="791"/>
              <w:numPr>
                <w:ilvl w:val="0"/>
                <w:numId w:val="0"/>
              </w:numPr>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2、</w:t>
            </w:r>
            <w:r>
              <w:rPr>
                <w:rFonts w:hint="eastAsia" w:ascii="宋体" w:hAnsi="宋体" w:eastAsia="宋体" w:cs="宋体"/>
                <w:color w:val="000000"/>
                <w:sz w:val="24"/>
                <w:szCs w:val="24"/>
                <w:lang w:eastAsia="zh-CN"/>
              </w:rPr>
              <w:t xml:space="preserve">投标人</w:t>
            </w:r>
            <w:r>
              <w:rPr>
                <w:rFonts w:hint="eastAsia" w:ascii="宋体" w:hAnsi="宋体" w:eastAsia="宋体" w:cs="宋体"/>
                <w:bCs/>
                <w:sz w:val="24"/>
                <w:szCs w:val="24"/>
                <w:lang w:eastAsia="zh-CN"/>
              </w:rPr>
              <w:t xml:space="preserve">具有ISO27001信息安全管理体系认证证书得1分。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提</w:t>
            </w:r>
            <w:r/>
          </w:p>
          <w:p>
            <w:pPr>
              <w:pStyle w:val="791"/>
              <w:numPr>
                <w:ilvl w:val="0"/>
                <w:numId w:val="0"/>
              </w:numP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供证书原件，扫描上传</w:t>
            </w:r>
            <w:r>
              <w:rPr>
                <w:rFonts w:hint="eastAsia" w:ascii="宋体" w:hAnsi="宋体" w:eastAsia="宋体" w:cs="宋体"/>
                <w:b/>
                <w:bCs/>
                <w:color w:val="000000"/>
                <w:sz w:val="24"/>
                <w:szCs w:val="24"/>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Cs/>
                <w:color w:val="auto"/>
                <w:sz w:val="24"/>
                <w:szCs w:val="24"/>
              </w:rPr>
              <w:suppressLineNumbers w:val="0"/>
            </w:pPr>
            <w:r>
              <w:rPr>
                <w:rFonts w:hint="eastAsia" w:ascii="宋体" w:hAnsi="宋体" w:cs="宋体"/>
                <w:b w:val="0"/>
                <w:bCs w:val="0"/>
                <w:color w:val="000000" w:themeColor="text1"/>
                <w:sz w:val="24"/>
                <w:szCs w:val="24"/>
                <w:lang w:val="en-US" w:eastAsia="zh-CN"/>
                <w14:textFill>
                  <w14:solidFill>
                    <w14:schemeClr w14:val="tx1"/>
                  </w14:solidFill>
                </w14:textFill>
              </w:rPr>
              <w:t xml:space="preserve">3、</w:t>
            </w:r>
            <w:r>
              <w:rPr>
                <w:rFonts w:hint="eastAsia" w:ascii="宋体" w:hAnsi="宋体" w:cs="宋体"/>
                <w:sz w:val="24"/>
                <w:szCs w:val="24"/>
                <w:highlight w:val="none"/>
              </w:rPr>
              <w:t xml:space="preserve">拟投入本项目的专业技术人员具有IT服务工程师证书</w:t>
            </w:r>
            <w:r>
              <w:rPr>
                <w:rFonts w:hint="eastAsia" w:ascii="宋体" w:hAnsi="宋体" w:cs="宋体"/>
                <w:sz w:val="24"/>
                <w:szCs w:val="24"/>
                <w:highlight w:val="none"/>
                <w:lang w:val="en-US" w:eastAsia="zh-CN"/>
              </w:rPr>
              <w:t xml:space="preserve">、</w:t>
            </w:r>
            <w:r>
              <w:rPr>
                <w:rFonts w:hint="eastAsia" w:ascii="宋体" w:hAnsi="宋体" w:cs="宋体"/>
                <w:color w:val="auto"/>
                <w:sz w:val="24"/>
                <w:szCs w:val="24"/>
                <w:lang w:val="en-US" w:eastAsia="zh-CN"/>
              </w:rPr>
              <w:t xml:space="preserve">网络工程师</w:t>
            </w:r>
            <w:r>
              <w:rPr>
                <w:rFonts w:hint="eastAsia" w:ascii="宋体" w:hAnsi="宋体" w:eastAsia="宋体" w:cs="宋体"/>
                <w:color w:val="auto"/>
                <w:sz w:val="24"/>
                <w:szCs w:val="24"/>
              </w:rPr>
              <w:t xml:space="preserve">证书</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有1个得1.5分，满分3</w:t>
            </w:r>
            <w:r>
              <w:rPr>
                <w:rFonts w:hint="eastAsia" w:ascii="宋体" w:hAnsi="宋体" w:eastAsia="宋体" w:cs="宋体"/>
                <w:color w:val="auto"/>
                <w:sz w:val="24"/>
                <w:szCs w:val="24"/>
              </w:rPr>
              <w:t xml:space="preserve">分</w:t>
            </w:r>
            <w:r>
              <w:rPr>
                <w:rFonts w:hint="eastAsia" w:ascii="宋体" w:hAnsi="宋体" w:eastAsia="宋体" w:cs="宋体"/>
                <w:bCs/>
                <w:color w:val="auto"/>
                <w:sz w:val="24"/>
                <w:szCs w:val="24"/>
              </w:rPr>
              <w:t xml:space="preserve">。</w:t>
            </w:r>
            <w:r/>
          </w:p>
          <w:p>
            <w:pPr>
              <w:ind w:left="0" w:right="0"/>
              <w:jc w:val="left"/>
              <w:keepLines w:val="0"/>
              <w:keepNext w:val="0"/>
              <w:spacing w:before="0" w:beforeAutospacing="0" w:after="0" w:afterAutospacing="0"/>
              <w:widowControl/>
              <w:rPr>
                <w:rFonts w:hint="eastAsia" w:ascii="宋体" w:hAnsi="宋体" w:eastAsia="宋体" w:cs="宋体"/>
                <w:bCs/>
                <w:sz w:val="24"/>
                <w:szCs w:val="24"/>
                <w:lang w:eastAsia="zh-CN"/>
              </w:rPr>
              <w:suppressLineNumbers w:val="0"/>
            </w:pPr>
            <w:r>
              <w:rPr>
                <w:rFonts w:hint="eastAsia" w:ascii="宋体" w:hAnsi="宋体" w:eastAsia="宋体" w:cs="宋体"/>
                <w:b/>
                <w:bCs w:val="0"/>
                <w:sz w:val="24"/>
                <w:szCs w:val="24"/>
                <w:lang w:eastAsia="zh-CN"/>
              </w:rPr>
              <w:t xml:space="preserve">（提供证书及投标人近三个月</w:t>
            </w:r>
            <w:r>
              <w:rPr>
                <w:rFonts w:hint="eastAsia" w:ascii="宋体" w:hAnsi="宋体" w:eastAsia="宋体" w:cs="宋体"/>
                <w:b/>
                <w:bCs w:val="0"/>
                <w:sz w:val="24"/>
                <w:szCs w:val="24"/>
                <w:lang w:val="en-US" w:eastAsia="zh-CN"/>
              </w:rPr>
              <w:t xml:space="preserve">内</w:t>
            </w:r>
            <w:r>
              <w:rPr>
                <w:rFonts w:hint="eastAsia" w:ascii="宋体" w:hAnsi="宋体" w:eastAsia="宋体" w:cs="宋体"/>
                <w:b/>
                <w:bCs w:val="0"/>
                <w:sz w:val="24"/>
                <w:szCs w:val="24"/>
                <w:lang w:eastAsia="zh-CN"/>
              </w:rPr>
              <w:t xml:space="preserve">任意一个月为其缴纳社保的证明材料，扫描上传）</w:t>
            </w:r>
            <w:r/>
          </w:p>
        </w:tc>
      </w:tr>
      <w:tr>
        <w:trPr>
          <w:trHeight w:val="835"/>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业绩</w:t>
            </w:r>
            <w:r/>
          </w:p>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年1月1日至今所投类似项目业绩，每提供1个得2分，满分1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w:t>
            </w:r>
            <w:r>
              <w:rPr>
                <w:rFonts w:hint="eastAsia" w:ascii="宋体" w:hAnsi="宋体" w:eastAsia="宋体" w:cs="宋体"/>
                <w:b/>
                <w:bCs/>
                <w:color w:val="000000"/>
                <w:sz w:val="24"/>
                <w:szCs w:val="24"/>
              </w:rPr>
              <w:t xml:space="preserve">（提供合同</w:t>
            </w:r>
            <w:r>
              <w:rPr>
                <w:rFonts w:hint="eastAsia" w:ascii="宋体" w:hAnsi="宋体" w:eastAsia="宋体" w:cs="宋体"/>
                <w:b/>
                <w:bCs/>
                <w:color w:val="000000"/>
                <w:sz w:val="24"/>
                <w:szCs w:val="24"/>
                <w:lang w:val="en-US" w:eastAsia="zh-CN"/>
              </w:rPr>
              <w:t xml:space="preserve">原件，扫描上传</w:t>
            </w:r>
            <w:r>
              <w:rPr>
                <w:rFonts w:hint="eastAsia" w:ascii="宋体" w:hAnsi="宋体" w:eastAsia="宋体" w:cs="宋体"/>
                <w:b/>
                <w:bCs/>
                <w:color w:val="000000"/>
                <w:sz w:val="24"/>
                <w:szCs w:val="24"/>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w:t>
            </w:r>
            <w:r/>
          </w:p>
          <w:p>
            <w:pPr>
              <w:jc w:val="center"/>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12</w:t>
            </w:r>
            <w:r>
              <w:rPr>
                <w:rFonts w:hint="eastAsia" w:ascii="宋体" w:hAnsi="宋体" w:eastAsia="宋体" w:cs="宋体"/>
                <w:b/>
                <w:bCs/>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1、提供售后服务方案（含报修响应处理、备品备件等），其中售后服务方案优于采购需求的得5分，售后服务方案</w:t>
            </w:r>
            <w:r>
              <w:rPr>
                <w:rFonts w:hint="eastAsia" w:ascii="宋体" w:hAnsi="宋体" w:eastAsia="宋体" w:cs="宋体"/>
                <w:color w:val="000000"/>
                <w:sz w:val="24"/>
                <w:szCs w:val="24"/>
                <w:lang w:val="en-US" w:eastAsia="zh-CN"/>
              </w:rPr>
              <w:t xml:space="preserve">符合</w:t>
            </w:r>
            <w:r>
              <w:rPr>
                <w:rFonts w:hint="eastAsia" w:ascii="宋体" w:hAnsi="宋体" w:eastAsia="宋体" w:cs="宋体"/>
                <w:color w:val="000000"/>
                <w:sz w:val="24"/>
                <w:szCs w:val="24"/>
                <w:lang w:eastAsia="zh-CN"/>
              </w:rPr>
              <w:t xml:space="preserve">采购需求的得3分，售后服务方案不</w:t>
            </w:r>
            <w:r>
              <w:rPr>
                <w:rFonts w:hint="eastAsia" w:ascii="宋体" w:hAnsi="宋体" w:eastAsia="宋体" w:cs="宋体"/>
                <w:color w:val="000000"/>
                <w:sz w:val="24"/>
                <w:szCs w:val="24"/>
                <w:lang w:val="en-US" w:eastAsia="zh-CN"/>
              </w:rPr>
              <w:t xml:space="preserve">符合</w:t>
            </w:r>
            <w:r>
              <w:rPr>
                <w:rFonts w:hint="eastAsia" w:ascii="宋体" w:hAnsi="宋体" w:eastAsia="宋体" w:cs="宋体"/>
                <w:color w:val="000000"/>
                <w:sz w:val="24"/>
                <w:szCs w:val="24"/>
                <w:lang w:eastAsia="zh-CN"/>
              </w:rPr>
              <w:t xml:space="preserve">采购需求</w:t>
            </w:r>
            <w:r>
              <w:rPr>
                <w:rFonts w:hint="eastAsia" w:ascii="宋体" w:hAnsi="宋体" w:eastAsia="宋体" w:cs="宋体"/>
                <w:color w:val="000000"/>
                <w:sz w:val="24"/>
                <w:szCs w:val="24"/>
                <w:lang w:val="en-US" w:eastAsia="zh-CN"/>
              </w:rPr>
              <w:t xml:space="preserve">或未提供</w:t>
            </w:r>
            <w:r>
              <w:rPr>
                <w:rFonts w:hint="eastAsia" w:ascii="宋体" w:hAnsi="宋体" w:eastAsia="宋体" w:cs="宋体"/>
                <w:color w:val="000000"/>
                <w:sz w:val="24"/>
                <w:szCs w:val="24"/>
                <w:lang w:eastAsia="zh-CN"/>
              </w:rPr>
              <w:t xml:space="preserve">的不得分。</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2、提供对设备及操作系统的使用培训</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lang w:eastAsia="zh-CN"/>
              </w:rPr>
              <w:t xml:space="preserve">（含操作、保养、维修等方面等），其中培训方案优于采购需求的得5分，培训方案</w:t>
            </w:r>
            <w:r>
              <w:rPr>
                <w:rFonts w:hint="eastAsia" w:ascii="宋体" w:hAnsi="宋体" w:eastAsia="宋体" w:cs="宋体"/>
                <w:color w:val="000000"/>
                <w:sz w:val="24"/>
                <w:szCs w:val="24"/>
                <w:lang w:val="en-US" w:eastAsia="zh-CN"/>
              </w:rPr>
              <w:t xml:space="preserve">符合</w:t>
            </w:r>
            <w:r>
              <w:rPr>
                <w:rFonts w:hint="eastAsia" w:ascii="宋体" w:hAnsi="宋体" w:eastAsia="宋体" w:cs="宋体"/>
                <w:color w:val="000000"/>
                <w:sz w:val="24"/>
                <w:szCs w:val="24"/>
                <w:lang w:eastAsia="zh-CN"/>
              </w:rPr>
              <w:t xml:space="preserve">采购需求的得3分，培训方案不</w:t>
            </w:r>
            <w:r>
              <w:rPr>
                <w:rFonts w:hint="eastAsia" w:ascii="宋体" w:hAnsi="宋体" w:eastAsia="宋体" w:cs="宋体"/>
                <w:color w:val="000000"/>
                <w:sz w:val="24"/>
                <w:szCs w:val="24"/>
                <w:lang w:val="en-US" w:eastAsia="zh-CN"/>
              </w:rPr>
              <w:t xml:space="preserve">符合</w:t>
            </w:r>
            <w:r>
              <w:rPr>
                <w:rFonts w:hint="eastAsia" w:ascii="宋体" w:hAnsi="宋体" w:eastAsia="宋体" w:cs="宋体"/>
                <w:color w:val="000000"/>
                <w:sz w:val="24"/>
                <w:szCs w:val="24"/>
                <w:lang w:eastAsia="zh-CN"/>
              </w:rPr>
              <w:t xml:space="preserve">采购需求</w:t>
            </w:r>
            <w:r>
              <w:rPr>
                <w:rFonts w:hint="eastAsia" w:ascii="宋体" w:hAnsi="宋体" w:eastAsia="宋体" w:cs="宋体"/>
                <w:color w:val="000000"/>
                <w:sz w:val="24"/>
                <w:szCs w:val="24"/>
                <w:lang w:val="en-US" w:eastAsia="zh-CN"/>
              </w:rPr>
              <w:t xml:space="preserve">或未提供</w:t>
            </w:r>
            <w:r>
              <w:rPr>
                <w:rFonts w:hint="eastAsia" w:ascii="宋体" w:hAnsi="宋体" w:eastAsia="宋体" w:cs="宋体"/>
                <w:color w:val="000000"/>
                <w:sz w:val="24"/>
                <w:szCs w:val="24"/>
                <w:lang w:eastAsia="zh-CN"/>
              </w:rPr>
              <w:t xml:space="preserve">的不得分。</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3、原厂售后服务通过符合GB/T27922《商品售后服务评价体系》标准的认证，五星级得2分，四星级得1分。</w:t>
            </w:r>
            <w:r>
              <w:rPr>
                <w:rFonts w:hint="eastAsia" w:ascii="宋体" w:hAnsi="宋体" w:eastAsia="宋体" w:cs="宋体"/>
                <w:b/>
                <w:bCs/>
                <w:sz w:val="24"/>
                <w:szCs w:val="24"/>
                <w:lang w:eastAsia="zh-CN"/>
              </w:rPr>
              <w:t xml:space="preserve">（提供符合性证书或国家市场监督管理总局官网截图证明）。</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30"/>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43"/>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43"/>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SimSun" w:hAnsi="SimSun" w:eastAsia="SimSun" w:cs="SimSun"/>
          <w:color w:val="000000" w:themeColor="text1"/>
          <w:sz w:val="24"/>
          <w:highlight w:val="none"/>
        </w:rPr>
        <w:t xml:space="preserve">投标总报价”数额为各“分项总价”之和。</w:t>
      </w:r>
      <w:r>
        <w:rPr>
          <w:color w:val="000000" w:themeColor="text1"/>
          <w:highlight w:val="none"/>
        </w:rPr>
      </w:r>
      <w:r>
        <w:rPr>
          <w:color w:val="000000" w:themeColor="text1"/>
          <w:sz w:val="21"/>
          <w:highlight w:val="none"/>
        </w:rP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43"/>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43"/>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18"/>
        <w:rPr>
          <w:rFonts w:ascii="宋体" w:hAnsi="宋体" w:eastAsia="宋体" w:cs="宋体"/>
          <w:b/>
          <w:color w:val="000000"/>
          <w:sz w:val="24"/>
        </w:rPr>
      </w:pPr>
      <w:r>
        <w:rPr>
          <w:rFonts w:ascii="宋体" w:hAnsi="宋体" w:eastAsia="宋体" w:cs="宋体"/>
          <w:b/>
          <w:color w:val="000000"/>
          <w:sz w:val="24"/>
        </w:rPr>
      </w:r>
      <w:r/>
    </w:p>
    <w:p>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43"/>
        <w:tblW w:w="77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0"/>
        <w:gridCol w:w="39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617"/>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43"/>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r>
        <w:rPr>
          <w:rFonts w:ascii="宋体" w:hAnsi="宋体" w:eastAsia="宋体" w:cs="宋体"/>
          <w:color w:val="000000"/>
          <w:sz w:val="24"/>
          <w:szCs w:val="24"/>
        </w:rPr>
      </w:r>
      <w:r/>
      <w:r>
        <w:rPr>
          <w:rFonts w:ascii="SimSun" w:hAnsi="SimSun" w:eastAsia="SimSun" w:cs="SimSun"/>
          <w:sz w:val="24"/>
        </w:rP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rFonts w:ascii="SimSun" w:hAnsi="SimSun" w:eastAsia="SimSun" w:cs="SimSun"/>
          <w:color w:val="000000"/>
          <w:sz w:val="24"/>
          <w:highlight w:val="white"/>
        </w:rPr>
        <w:t xml:space="preserve">6.《声明函》中标注“  /  ”的地方无需填写。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43"/>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2846670</wp:posOffset>
              </wp:positionH>
              <wp:positionV relativeFrom="paragraph">
                <wp:posOffset>-5715</wp:posOffset>
              </wp:positionV>
              <wp:extent cx="165333" cy="153339"/>
              <wp:effectExtent l="3175" t="3175" r="3175" b="3175"/>
              <wp:wrapNone/>
              <wp:docPr id="1" name="文本框 15"/>
              <wp:cNvGraphicFramePr/>
              <a:graphic xmlns:a="http://schemas.openxmlformats.org/drawingml/2006/main">
                <a:graphicData uri="http://schemas.microsoft.com/office/word/2010/wordprocessingShape">
                  <wps:wsp>
                    <wps:cNvPr id="0" name=""/>
                    <wps:cNvSpPr txBox="1"/>
                    <wps:spPr bwMode="auto">
                      <a:xfrm flipH="0" flipV="0">
                        <a:off x="0" y="0"/>
                        <a:ext cx="16533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24.1pt;mso-position-horizontal:absolute;mso-position-vertical-relative:text;margin-top:-0.4pt;mso-position-vertical:absolute;width:13.0pt;height:12.1pt;mso-wrap-distance-left:9.0pt;mso-wrap-distance-top:0.0pt;mso-wrap-distance-right:9.0pt;mso-wrap-distance-bottom:0.0pt;v-text-anchor:top;visibility:visible;" filled="f" stroked="f" strokeweight="0.50pt">
              <v:textbox inset="0,0,0,0">
                <w:txbxContent>
                  <w:p>
                    <w:pPr>
                      <w:pStyle w:val="7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6"/>
      <w:isLgl w:val="false"/>
      <w:suff w:val="nothing"/>
      <w:lvlText w:val=""/>
      <w:lvlJc w:val="left"/>
      <w:pPr>
        <w:ind w:left="0" w:firstLine="0"/>
      </w:pPr>
      <w:rPr>
        <w:rFonts w:hint="eastAsia"/>
      </w:rPr>
    </w:lvl>
    <w:lvl w:ilvl="6">
      <w:start w:val="1"/>
      <w:numFmt w:val="decimal"/>
      <w:pStyle w:val="937"/>
      <w:isLgl w:val="false"/>
      <w:suff w:val="nothing"/>
      <w:lvlText w:val=""/>
      <w:lvlJc w:val="left"/>
      <w:pPr>
        <w:ind w:left="0" w:firstLine="0"/>
      </w:pPr>
      <w:rPr>
        <w:rFonts w:hint="eastAsia"/>
      </w:rPr>
    </w:lvl>
    <w:lvl w:ilvl="7">
      <w:start w:val="1"/>
      <w:numFmt w:val="decimal"/>
      <w:pStyle w:val="938"/>
      <w:isLgl w:val="false"/>
      <w:suff w:val="nothing"/>
      <w:lvlText w:val=""/>
      <w:lvlJc w:val="left"/>
      <w:pPr>
        <w:ind w:left="0" w:firstLine="0"/>
      </w:pPr>
      <w:rPr>
        <w:rFonts w:hint="eastAsia"/>
      </w:rPr>
    </w:lvl>
    <w:lvl w:ilvl="8">
      <w:start w:val="1"/>
      <w:numFmt w:val="decimal"/>
      <w:pStyle w:val="939"/>
      <w:isLgl w:val="false"/>
      <w:suff w:val="nothing"/>
      <w:lvlText w:val=""/>
      <w:lvlJc w:val="left"/>
      <w:pPr>
        <w:ind w:left="0" w:firstLine="0"/>
      </w:pPr>
      <w:rPr>
        <w:rFonts w:hint="eastAsia"/>
      </w:rPr>
    </w:lvl>
  </w:abstractNum>
  <w:abstractNum w:abstractNumId="5">
    <w:multiLevelType w:val="hybridMultilevel"/>
    <w:lvl w:ilvl="0">
      <w:start w:val="1"/>
      <w:numFmt w:val="bullet"/>
      <w:pStyle w:val="72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82"/>
    <w:uiPriority w:val="9"/>
    <w:qFormat/>
    <w:pPr>
      <w:keepLines/>
      <w:keepNext/>
      <w:spacing w:before="480" w:after="200"/>
      <w:outlineLvl w:val="0"/>
    </w:pPr>
    <w:rPr>
      <w:rFonts w:ascii="Arial" w:hAnsi="Arial" w:eastAsia="黑体" w:cs="Arial"/>
      <w:sz w:val="44"/>
      <w:szCs w:val="40"/>
    </w:rPr>
  </w:style>
  <w:style w:type="paragraph" w:styleId="708">
    <w:name w:val="Heading 2"/>
    <w:basedOn w:val="706"/>
    <w:next w:val="706"/>
    <w:link w:val="783"/>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84"/>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85"/>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8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87"/>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89"/>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90"/>
    <w:uiPriority w:val="9"/>
    <w:unhideWhenUsed/>
    <w:qFormat/>
    <w:pPr>
      <w:keepLines/>
      <w:keepNext/>
      <w:spacing w:before="320" w:after="200"/>
      <w:outlineLvl w:val="8"/>
    </w:pPr>
    <w:rPr>
      <w:rFonts w:ascii="Arial" w:hAnsi="Arial" w:eastAsia="Arial" w:cs="Arial"/>
      <w:i/>
      <w:iCs/>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Layout w:type="fixed"/>
      <w:tblCellMar>
        <w:left w:w="108" w:type="dxa"/>
        <w:top w:w="0" w:type="dxa"/>
        <w:right w:w="108" w:type="dxa"/>
        <w:bottom w:w="0" w:type="dxa"/>
      </w:tblCellMar>
    </w:tblPr>
  </w:style>
  <w:style w:type="paragraph" w:styleId="718">
    <w:name w:val="toc 2"/>
    <w:basedOn w:val="706"/>
    <w:next w:val="706"/>
    <w:uiPriority w:val="39"/>
    <w:unhideWhenUsed/>
    <w:qFormat/>
    <w:pPr>
      <w:ind w:left="283"/>
      <w:spacing w:after="57"/>
    </w:pPr>
  </w:style>
  <w:style w:type="paragraph" w:styleId="719">
    <w:name w:val="toc 7"/>
    <w:basedOn w:val="706"/>
    <w:next w:val="706"/>
    <w:uiPriority w:val="39"/>
    <w:unhideWhenUsed/>
    <w:qFormat/>
    <w:pPr>
      <w:ind w:left="1701"/>
      <w:spacing w:after="57"/>
    </w:pPr>
  </w:style>
  <w:style w:type="paragraph" w:styleId="720">
    <w:name w:val="Normal Indent"/>
    <w:basedOn w:val="706"/>
    <w:uiPriority w:val="0"/>
    <w:unhideWhenUsed/>
    <w:qFormat/>
    <w:pPr>
      <w:ind w:firstLine="420"/>
    </w:pPr>
    <w:rPr>
      <w:rFonts w:ascii="Times New Roman" w:hAnsi="Times New Roman"/>
    </w:r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6"/>
    <w:uiPriority w:val="0"/>
    <w:qFormat/>
    <w:rPr>
      <w:rFonts w:ascii="楷体_GB2312" w:hAnsi="Arial" w:eastAsia="楷体_GB2312"/>
      <w:sz w:val="28"/>
      <w:szCs w:val="28"/>
    </w:rPr>
  </w:style>
  <w:style w:type="paragraph" w:styleId="723">
    <w:name w:val="List Bullet 2"/>
    <w:basedOn w:val="706"/>
    <w:uiPriority w:val="99"/>
    <w:semiHidden/>
    <w:unhideWhenUsed/>
    <w:qFormat/>
    <w:pPr>
      <w:numPr>
        <w:ilvl w:val="0"/>
        <w:numId w:val="1"/>
      </w:numPr>
    </w:pPr>
  </w:style>
  <w:style w:type="paragraph" w:styleId="724">
    <w:name w:val="index 4"/>
    <w:basedOn w:val="706"/>
    <w:next w:val="706"/>
    <w:uiPriority w:val="0"/>
    <w:qFormat/>
    <w:pPr>
      <w:ind w:left="600" w:firstLine="200"/>
      <w:spacing w:line="360" w:lineRule="auto"/>
    </w:pPr>
    <w:rPr>
      <w:rFonts w:ascii="等线" w:hAnsi="等线" w:eastAsia="等线"/>
      <w:sz w:val="24"/>
      <w:szCs w:val="24"/>
    </w:rPr>
  </w:style>
  <w:style w:type="paragraph" w:styleId="725">
    <w:name w:val="toc 5"/>
    <w:basedOn w:val="706"/>
    <w:next w:val="706"/>
    <w:uiPriority w:val="39"/>
    <w:unhideWhenUsed/>
    <w:qFormat/>
    <w:pPr>
      <w:ind w:left="1134"/>
      <w:spacing w:after="57"/>
    </w:pPr>
  </w:style>
  <w:style w:type="paragraph" w:styleId="726">
    <w:name w:val="toc 3"/>
    <w:basedOn w:val="706"/>
    <w:next w:val="706"/>
    <w:uiPriority w:val="39"/>
    <w:unhideWhenUsed/>
    <w:qFormat/>
    <w:pPr>
      <w:ind w:left="567"/>
      <w:spacing w:after="57"/>
    </w:pPr>
  </w:style>
  <w:style w:type="paragraph" w:styleId="727">
    <w:name w:val="toc 8"/>
    <w:basedOn w:val="706"/>
    <w:next w:val="706"/>
    <w:uiPriority w:val="39"/>
    <w:unhideWhenUsed/>
    <w:qFormat/>
    <w:pPr>
      <w:ind w:left="1984"/>
      <w:spacing w:after="57"/>
    </w:pPr>
  </w:style>
  <w:style w:type="paragraph" w:styleId="728">
    <w:name w:val="endnote text"/>
    <w:basedOn w:val="706"/>
    <w:link w:val="928"/>
    <w:uiPriority w:val="99"/>
    <w:semiHidden/>
    <w:unhideWhenUsed/>
    <w:qFormat/>
    <w:rPr>
      <w:sz w:val="20"/>
    </w:rPr>
  </w:style>
  <w:style w:type="paragraph" w:styleId="729">
    <w:name w:val="Footer"/>
    <w:basedOn w:val="706"/>
    <w:link w:val="801"/>
    <w:uiPriority w:val="99"/>
    <w:unhideWhenUsed/>
    <w:qFormat/>
    <w:pPr>
      <w:tabs>
        <w:tab w:val="center" w:pos="7143" w:leader="none"/>
        <w:tab w:val="right" w:pos="14287" w:leader="none"/>
      </w:tabs>
    </w:pPr>
  </w:style>
  <w:style w:type="paragraph" w:styleId="730">
    <w:name w:val="Header"/>
    <w:basedOn w:val="706"/>
    <w:link w:val="799"/>
    <w:uiPriority w:val="99"/>
    <w:unhideWhenUsed/>
    <w:qFormat/>
    <w:pPr>
      <w:tabs>
        <w:tab w:val="center" w:pos="7143" w:leader="none"/>
        <w:tab w:val="right" w:pos="14287" w:leader="none"/>
      </w:tabs>
    </w:pPr>
  </w:style>
  <w:style w:type="paragraph" w:styleId="731">
    <w:name w:val="toc 1"/>
    <w:basedOn w:val="706"/>
    <w:next w:val="706"/>
    <w:uiPriority w:val="39"/>
    <w:unhideWhenUsed/>
    <w:qFormat/>
    <w:pPr>
      <w:spacing w:after="57"/>
    </w:pPr>
  </w:style>
  <w:style w:type="paragraph" w:styleId="732">
    <w:name w:val="toc 4"/>
    <w:basedOn w:val="706"/>
    <w:next w:val="706"/>
    <w:uiPriority w:val="39"/>
    <w:unhideWhenUsed/>
    <w:qFormat/>
    <w:pPr>
      <w:ind w:left="850"/>
      <w:spacing w:after="57"/>
    </w:pPr>
  </w:style>
  <w:style w:type="paragraph" w:styleId="733">
    <w:name w:val="Subtitle"/>
    <w:basedOn w:val="706"/>
    <w:next w:val="706"/>
    <w:link w:val="794"/>
    <w:uiPriority w:val="11"/>
    <w:qFormat/>
    <w:pPr>
      <w:spacing w:before="200" w:after="200"/>
    </w:pPr>
    <w:rPr>
      <w:sz w:val="24"/>
      <w:szCs w:val="24"/>
    </w:rPr>
  </w:style>
  <w:style w:type="paragraph" w:styleId="734">
    <w:name w:val="footnote text"/>
    <w:basedOn w:val="706"/>
    <w:link w:val="927"/>
    <w:uiPriority w:val="99"/>
    <w:semiHidden/>
    <w:unhideWhenUsed/>
    <w:qFormat/>
    <w:pPr>
      <w:spacing w:after="40"/>
    </w:pPr>
    <w:rPr>
      <w:sz w:val="18"/>
    </w:rPr>
  </w:style>
  <w:style w:type="paragraph" w:styleId="735">
    <w:name w:val="toc 6"/>
    <w:basedOn w:val="706"/>
    <w:next w:val="706"/>
    <w:uiPriority w:val="39"/>
    <w:unhideWhenUsed/>
    <w:qFormat/>
    <w:pPr>
      <w:ind w:left="1417"/>
      <w:spacing w:after="57"/>
    </w:pPr>
  </w:style>
  <w:style w:type="paragraph" w:styleId="736">
    <w:name w:val="table of figures"/>
    <w:basedOn w:val="706"/>
    <w:next w:val="706"/>
    <w:uiPriority w:val="99"/>
    <w:unhideWhenUsed/>
    <w:qFormat/>
  </w:style>
  <w:style w:type="paragraph" w:styleId="737">
    <w:name w:val="toc 9"/>
    <w:basedOn w:val="706"/>
    <w:next w:val="706"/>
    <w:uiPriority w:val="39"/>
    <w:unhideWhenUsed/>
    <w:qFormat/>
    <w:pPr>
      <w:ind w:left="2268"/>
      <w:spacing w:after="57"/>
    </w:pPr>
  </w:style>
  <w:style w:type="paragraph" w:styleId="738">
    <w:name w:val="Normal (Web)"/>
    <w:basedOn w:val="706"/>
    <w:uiPriority w:val="0"/>
    <w:qFormat/>
    <w:rPr>
      <w:sz w:val="24"/>
    </w:rPr>
  </w:style>
  <w:style w:type="paragraph" w:styleId="739">
    <w:name w:val="Title"/>
    <w:basedOn w:val="706"/>
    <w:next w:val="706"/>
    <w:link w:val="793"/>
    <w:uiPriority w:val="10"/>
    <w:qFormat/>
    <w:pPr>
      <w:contextualSpacing/>
      <w:spacing w:before="300" w:after="200"/>
    </w:pPr>
    <w:rPr>
      <w:sz w:val="48"/>
      <w:szCs w:val="48"/>
    </w:r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4" w:customStyle="1">
    <w:name w:val="Default"/>
    <w:next w:val="706"/>
    <w:uiPriority w:val="0"/>
    <w:qFormat/>
    <w:pPr>
      <w:widowControl w:val="off"/>
    </w:pPr>
    <w:rPr>
      <w:rFonts w:hint="default" w:ascii="宋体" w:hAnsi="Times New Roman" w:eastAsia="宋体" w:cs="宋体"/>
      <w:color w:val="000000"/>
      <w:sz w:val="24"/>
      <w:szCs w:val="24"/>
      <w:lang w:val="en-US" w:eastAsia="zh-CN" w:bidi="ar-SA"/>
    </w:rPr>
  </w:style>
  <w:style w:type="character" w:styleId="745" w:customStyle="1">
    <w:name w:val="Heading 1 Char"/>
    <w:basedOn w:val="716"/>
    <w:uiPriority w:val="9"/>
    <w:qFormat/>
    <w:rPr>
      <w:rFonts w:ascii="Arial" w:hAnsi="Arial" w:eastAsia="Arial" w:cs="Arial"/>
      <w:sz w:val="40"/>
      <w:szCs w:val="40"/>
    </w:rPr>
  </w:style>
  <w:style w:type="character" w:styleId="746" w:customStyle="1">
    <w:name w:val="Heading 2 Char"/>
    <w:basedOn w:val="716"/>
    <w:uiPriority w:val="9"/>
    <w:qFormat/>
    <w:rPr>
      <w:rFonts w:ascii="Arial" w:hAnsi="Arial" w:eastAsia="Arial" w:cs="Arial"/>
      <w:sz w:val="34"/>
    </w:rPr>
  </w:style>
  <w:style w:type="character" w:styleId="747" w:customStyle="1">
    <w:name w:val="Heading 3 Char"/>
    <w:basedOn w:val="716"/>
    <w:uiPriority w:val="9"/>
    <w:qFormat/>
    <w:rPr>
      <w:rFonts w:ascii="Arial" w:hAnsi="Arial" w:eastAsia="Arial" w:cs="Arial"/>
      <w:sz w:val="30"/>
      <w:szCs w:val="30"/>
    </w:rPr>
  </w:style>
  <w:style w:type="character" w:styleId="748" w:customStyle="1">
    <w:name w:val="Heading 4 Char"/>
    <w:basedOn w:val="716"/>
    <w:uiPriority w:val="9"/>
    <w:qFormat/>
    <w:rPr>
      <w:rFonts w:ascii="Arial" w:hAnsi="Arial" w:eastAsia="Arial" w:cs="Arial"/>
      <w:b/>
      <w:bCs/>
      <w:sz w:val="26"/>
      <w:szCs w:val="26"/>
    </w:rPr>
  </w:style>
  <w:style w:type="character" w:styleId="749" w:customStyle="1">
    <w:name w:val="Heading 5 Char"/>
    <w:basedOn w:val="716"/>
    <w:uiPriority w:val="9"/>
    <w:qFormat/>
    <w:rPr>
      <w:rFonts w:ascii="Arial" w:hAnsi="Arial" w:eastAsia="Arial" w:cs="Arial"/>
      <w:b/>
      <w:bCs/>
      <w:sz w:val="24"/>
      <w:szCs w:val="24"/>
    </w:rPr>
  </w:style>
  <w:style w:type="character" w:styleId="750" w:customStyle="1">
    <w:name w:val="Heading 6 Char"/>
    <w:basedOn w:val="716"/>
    <w:uiPriority w:val="9"/>
    <w:qFormat/>
    <w:rPr>
      <w:rFonts w:ascii="Arial" w:hAnsi="Arial" w:eastAsia="Arial" w:cs="Arial"/>
      <w:b/>
      <w:bCs/>
      <w:sz w:val="22"/>
      <w:szCs w:val="22"/>
    </w:rPr>
  </w:style>
  <w:style w:type="character" w:styleId="751" w:customStyle="1">
    <w:name w:val="Heading 7 Char"/>
    <w:basedOn w:val="716"/>
    <w:uiPriority w:val="9"/>
    <w:qFormat/>
    <w:rPr>
      <w:rFonts w:ascii="Arial" w:hAnsi="Arial" w:eastAsia="Arial" w:cs="Arial"/>
      <w:b/>
      <w:bCs/>
      <w:i/>
      <w:iCs/>
      <w:sz w:val="22"/>
      <w:szCs w:val="22"/>
    </w:rPr>
  </w:style>
  <w:style w:type="character" w:styleId="752" w:customStyle="1">
    <w:name w:val="Heading 8 Char"/>
    <w:basedOn w:val="716"/>
    <w:uiPriority w:val="9"/>
    <w:qFormat/>
    <w:rPr>
      <w:rFonts w:ascii="Arial" w:hAnsi="Arial" w:eastAsia="Arial" w:cs="Arial"/>
      <w:i/>
      <w:iCs/>
      <w:sz w:val="22"/>
      <w:szCs w:val="22"/>
    </w:rPr>
  </w:style>
  <w:style w:type="character" w:styleId="753" w:customStyle="1">
    <w:name w:val="Heading 9 Char"/>
    <w:basedOn w:val="716"/>
    <w:uiPriority w:val="9"/>
    <w:qFormat/>
    <w:rPr>
      <w:rFonts w:ascii="Arial" w:hAnsi="Arial" w:eastAsia="Arial" w:cs="Arial"/>
      <w:i/>
      <w:iCs/>
      <w:sz w:val="21"/>
      <w:szCs w:val="21"/>
    </w:rPr>
  </w:style>
  <w:style w:type="character" w:styleId="754" w:customStyle="1">
    <w:name w:val="Title Char"/>
    <w:basedOn w:val="716"/>
    <w:uiPriority w:val="10"/>
    <w:qFormat/>
    <w:rPr>
      <w:sz w:val="48"/>
      <w:szCs w:val="48"/>
    </w:rPr>
  </w:style>
  <w:style w:type="character" w:styleId="755" w:customStyle="1">
    <w:name w:val="Subtitle Char"/>
    <w:basedOn w:val="716"/>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Header Char"/>
    <w:basedOn w:val="716"/>
    <w:uiPriority w:val="99"/>
    <w:qFormat/>
  </w:style>
  <w:style w:type="character" w:styleId="759" w:customStyle="1">
    <w:name w:val="Caption Char"/>
    <w:uiPriority w:val="99"/>
    <w:qFormat/>
  </w:style>
  <w:style w:type="table" w:styleId="760"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1 Light"/>
    <w:basedOn w:val="717"/>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List Table 7 Colorful"/>
    <w:basedOn w:val="71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Heading"/>
    <w:uiPriority w:val="39"/>
    <w:unhideWhenUsed/>
    <w:qFormat/>
    <w:rPr>
      <w:rFonts w:hint="default" w:ascii="Times New Roman" w:hAnsi="Times New Roman" w:eastAsia="宋体" w:cs="Times New Roman"/>
    </w:rPr>
  </w:style>
  <w:style w:type="character" w:styleId="782" w:customStyle="1">
    <w:name w:val="标题 1 字符"/>
    <w:link w:val="707"/>
    <w:uiPriority w:val="9"/>
    <w:qFormat/>
    <w:rPr>
      <w:rFonts w:ascii="Arial" w:hAnsi="Arial" w:eastAsia="黑体" w:cs="Arial"/>
      <w:sz w:val="44"/>
      <w:szCs w:val="40"/>
    </w:rPr>
  </w:style>
  <w:style w:type="character" w:styleId="783" w:customStyle="1">
    <w:name w:val="标题 2 字符"/>
    <w:link w:val="708"/>
    <w:uiPriority w:val="9"/>
    <w:qFormat/>
    <w:rPr>
      <w:rFonts w:ascii="Arial" w:hAnsi="Arial" w:eastAsia="Arial" w:cs="Arial"/>
      <w:sz w:val="34"/>
    </w:rPr>
  </w:style>
  <w:style w:type="character" w:styleId="784" w:customStyle="1">
    <w:name w:val="标题 3 字符"/>
    <w:link w:val="709"/>
    <w:uiPriority w:val="9"/>
    <w:qFormat/>
    <w:rPr>
      <w:rFonts w:ascii="Arial" w:hAnsi="Arial" w:eastAsia="Arial" w:cs="Arial"/>
      <w:sz w:val="30"/>
      <w:szCs w:val="30"/>
    </w:rPr>
  </w:style>
  <w:style w:type="character" w:styleId="785" w:customStyle="1">
    <w:name w:val="标题 4 字符"/>
    <w:link w:val="710"/>
    <w:uiPriority w:val="9"/>
    <w:qFormat/>
    <w:rPr>
      <w:rFonts w:ascii="Arial" w:hAnsi="Arial" w:eastAsia="Arial" w:cs="Arial"/>
      <w:b/>
      <w:bCs/>
      <w:sz w:val="26"/>
      <w:szCs w:val="26"/>
    </w:rPr>
  </w:style>
  <w:style w:type="character" w:styleId="786" w:customStyle="1">
    <w:name w:val="标题 5 字符"/>
    <w:link w:val="711"/>
    <w:uiPriority w:val="9"/>
    <w:qFormat/>
    <w:rPr>
      <w:rFonts w:ascii="Arial" w:hAnsi="Arial" w:eastAsia="Arial" w:cs="Arial"/>
      <w:b/>
      <w:bCs/>
      <w:sz w:val="24"/>
      <w:szCs w:val="24"/>
    </w:rPr>
  </w:style>
  <w:style w:type="character" w:styleId="787" w:customStyle="1">
    <w:name w:val="标题 6 字符"/>
    <w:link w:val="712"/>
    <w:uiPriority w:val="9"/>
    <w:qFormat/>
    <w:rPr>
      <w:rFonts w:ascii="Arial" w:hAnsi="Arial" w:eastAsia="Arial" w:cs="Arial"/>
      <w:b/>
      <w:bCs/>
      <w:sz w:val="22"/>
      <w:szCs w:val="22"/>
    </w:rPr>
  </w:style>
  <w:style w:type="character" w:styleId="788" w:customStyle="1">
    <w:name w:val="标题 7 字符"/>
    <w:link w:val="713"/>
    <w:uiPriority w:val="9"/>
    <w:qFormat/>
    <w:rPr>
      <w:rFonts w:ascii="Arial" w:hAnsi="Arial" w:eastAsia="Arial" w:cs="Arial"/>
      <w:b/>
      <w:bCs/>
      <w:i/>
      <w:iCs/>
      <w:sz w:val="22"/>
      <w:szCs w:val="22"/>
    </w:rPr>
  </w:style>
  <w:style w:type="character" w:styleId="789" w:customStyle="1">
    <w:name w:val="标题 8 字符"/>
    <w:link w:val="714"/>
    <w:uiPriority w:val="9"/>
    <w:qFormat/>
    <w:rPr>
      <w:rFonts w:ascii="Arial" w:hAnsi="Arial" w:eastAsia="Arial" w:cs="Arial"/>
      <w:i/>
      <w:iCs/>
      <w:sz w:val="22"/>
      <w:szCs w:val="22"/>
    </w:rPr>
  </w:style>
  <w:style w:type="character" w:styleId="790" w:customStyle="1">
    <w:name w:val="标题 9 字符"/>
    <w:link w:val="715"/>
    <w:uiPriority w:val="9"/>
    <w:qFormat/>
    <w:rPr>
      <w:rFonts w:ascii="Arial" w:hAnsi="Arial" w:eastAsia="Arial" w:cs="Arial"/>
      <w:i/>
      <w:iCs/>
      <w:sz w:val="21"/>
      <w:szCs w:val="21"/>
    </w:rPr>
  </w:style>
  <w:style w:type="paragraph" w:styleId="791">
    <w:name w:val="List Paragraph"/>
    <w:basedOn w:val="706"/>
    <w:uiPriority w:val="34"/>
    <w:qFormat/>
    <w:pPr>
      <w:contextualSpacing/>
      <w:ind w:left="720"/>
    </w:pPr>
  </w:style>
  <w:style w:type="paragraph" w:styleId="792">
    <w:name w:val="No Spacing"/>
    <w:uiPriority w:val="1"/>
    <w:qFormat/>
    <w:rPr>
      <w:rFonts w:hint="default" w:ascii="Calibri" w:hAnsi="Calibri" w:eastAsia="宋体" w:cs="Times New Roman"/>
      <w:lang w:val="en-US" w:eastAsia="zh-CN" w:bidi="ar-SA"/>
    </w:rPr>
  </w:style>
  <w:style w:type="character" w:styleId="793" w:customStyle="1">
    <w:name w:val="标题 字符"/>
    <w:link w:val="739"/>
    <w:uiPriority w:val="10"/>
    <w:qFormat/>
    <w:rPr>
      <w:sz w:val="48"/>
      <w:szCs w:val="48"/>
    </w:rPr>
  </w:style>
  <w:style w:type="character" w:styleId="794" w:customStyle="1">
    <w:name w:val="副标题 字符"/>
    <w:link w:val="733"/>
    <w:uiPriority w:val="11"/>
    <w:qFormat/>
    <w:rPr>
      <w:sz w:val="24"/>
      <w:szCs w:val="24"/>
    </w:rPr>
  </w:style>
  <w:style w:type="paragraph" w:styleId="795">
    <w:name w:val="Quote"/>
    <w:basedOn w:val="706"/>
    <w:next w:val="706"/>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706"/>
    <w:next w:val="706"/>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页眉 字符"/>
    <w:link w:val="730"/>
    <w:uiPriority w:val="99"/>
    <w:qFormat/>
  </w:style>
  <w:style w:type="character" w:styleId="800" w:customStyle="1">
    <w:name w:val="Footer Char"/>
    <w:uiPriority w:val="99"/>
    <w:qFormat/>
  </w:style>
  <w:style w:type="character" w:styleId="801" w:customStyle="1">
    <w:name w:val="页脚 字符"/>
    <w:link w:val="729"/>
    <w:uiPriority w:val="99"/>
    <w:qFormat/>
  </w:style>
  <w:style w:type="table" w:styleId="8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字符"/>
    <w:link w:val="734"/>
    <w:uiPriority w:val="99"/>
    <w:qFormat/>
    <w:rPr>
      <w:sz w:val="18"/>
    </w:rPr>
  </w:style>
  <w:style w:type="character" w:styleId="928" w:customStyle="1">
    <w:name w:val="尾注文本 字符"/>
    <w:link w:val="728"/>
    <w:uiPriority w:val="99"/>
    <w:qFormat/>
    <w:rPr>
      <w:sz w:val="20"/>
    </w:rPr>
  </w:style>
  <w:style w:type="paragraph" w:styleId="929" w:customStyle="1">
    <w:name w:val="TOC 标题1"/>
    <w:uiPriority w:val="39"/>
    <w:unhideWhenUsed/>
    <w:qFormat/>
    <w:rPr>
      <w:rFonts w:hint="default" w:ascii="Calibri" w:hAnsi="Calibri" w:eastAsia="宋体" w:cs="Times New Roman"/>
      <w:lang w:val="en-US" w:eastAsia="zh-CN" w:bidi="ar-SA"/>
    </w:rPr>
  </w:style>
  <w:style w:type="paragraph" w:styleId="930" w:customStyle="1">
    <w:name w:val="标题 11"/>
    <w:basedOn w:val="706"/>
    <w:next w:val="706"/>
    <w:link w:val="984"/>
    <w:uiPriority w:val="0"/>
    <w:qFormat/>
    <w:pPr>
      <w:jc w:val="center"/>
      <w:keepNext/>
      <w:outlineLvl w:val="0"/>
    </w:pPr>
    <w:rPr>
      <w:rFonts w:ascii="楷体_GB2312" w:hAnsi="楷体_GB2312" w:eastAsia="黑体"/>
      <w:sz w:val="44"/>
      <w:szCs w:val="28"/>
    </w:rPr>
  </w:style>
  <w:style w:type="paragraph" w:styleId="931" w:customStyle="1">
    <w:name w:val="标题 21"/>
    <w:basedOn w:val="706"/>
    <w:next w:val="706"/>
    <w:link w:val="9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标题 31"/>
    <w:basedOn w:val="706"/>
    <w:next w:val="706"/>
    <w:link w:val="966"/>
    <w:uiPriority w:val="0"/>
    <w:qFormat/>
    <w:pPr>
      <w:keepLines/>
      <w:keepNext/>
      <w:spacing w:before="260" w:after="260" w:line="416" w:lineRule="auto"/>
      <w:outlineLvl w:val="2"/>
    </w:pPr>
    <w:rPr>
      <w:b/>
      <w:bCs/>
      <w:sz w:val="32"/>
      <w:szCs w:val="32"/>
    </w:rPr>
  </w:style>
  <w:style w:type="paragraph" w:styleId="933" w:customStyle="1">
    <w:name w:val="标题 41"/>
    <w:basedOn w:val="706"/>
    <w:next w:val="934"/>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正文缩进1"/>
    <w:basedOn w:val="706"/>
    <w:next w:val="706"/>
    <w:link w:val="969"/>
    <w:uiPriority w:val="0"/>
    <w:qFormat/>
    <w:pPr>
      <w:ind w:firstLine="420"/>
    </w:pPr>
  </w:style>
  <w:style w:type="paragraph" w:styleId="935" w:customStyle="1">
    <w:name w:val="标题 51"/>
    <w:basedOn w:val="706"/>
    <w:next w:val="934"/>
    <w:link w:val="976"/>
    <w:uiPriority w:val="0"/>
    <w:qFormat/>
    <w:pPr>
      <w:keepNext/>
      <w:outlineLvl w:val="4"/>
    </w:pPr>
    <w:rPr>
      <w:rFonts w:ascii="宋体"/>
      <w:color w:val="000000"/>
      <w:sz w:val="28"/>
      <w:szCs w:val="28"/>
    </w:rPr>
  </w:style>
  <w:style w:type="paragraph" w:styleId="936" w:customStyle="1">
    <w:name w:val="标题 61"/>
    <w:basedOn w:val="706"/>
    <w:next w:val="706"/>
    <w:link w:val="955"/>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37" w:customStyle="1">
    <w:name w:val="标题 71"/>
    <w:basedOn w:val="706"/>
    <w:next w:val="706"/>
    <w:link w:val="950"/>
    <w:uiPriority w:val="0"/>
    <w:qFormat/>
    <w:pPr>
      <w:numPr>
        <w:ilvl w:val="6"/>
        <w:numId w:val="2"/>
      </w:numPr>
      <w:keepLines/>
      <w:keepNext/>
      <w:spacing w:before="240" w:after="64" w:line="320" w:lineRule="auto"/>
      <w:outlineLvl w:val="6"/>
    </w:pPr>
    <w:rPr>
      <w:b/>
      <w:bCs/>
      <w:sz w:val="24"/>
      <w:szCs w:val="24"/>
    </w:rPr>
  </w:style>
  <w:style w:type="paragraph" w:styleId="938" w:customStyle="1">
    <w:name w:val="标题 81"/>
    <w:basedOn w:val="706"/>
    <w:next w:val="706"/>
    <w:link w:val="949"/>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39" w:customStyle="1">
    <w:name w:val="标题 91"/>
    <w:basedOn w:val="706"/>
    <w:next w:val="706"/>
    <w:link w:val="986"/>
    <w:uiPriority w:val="0"/>
    <w:qFormat/>
    <w:pPr>
      <w:numPr>
        <w:ilvl w:val="8"/>
        <w:numId w:val="2"/>
      </w:numPr>
      <w:keepLines/>
      <w:keepNext/>
      <w:spacing w:before="240" w:after="64" w:line="320" w:lineRule="auto"/>
      <w:outlineLvl w:val="8"/>
    </w:pPr>
    <w:rPr>
      <w:rFonts w:ascii="Arial" w:hAnsi="Arial" w:eastAsia="黑体"/>
    </w:rPr>
  </w:style>
  <w:style w:type="character" w:styleId="940" w:customStyle="1">
    <w:name w:val="默认段落字体1"/>
    <w:uiPriority w:val="1"/>
    <w:unhideWhenUsed/>
    <w:qFormat/>
  </w:style>
  <w:style w:type="table" w:styleId="941" w:customStyle="1">
    <w:name w:val="普通表格1"/>
    <w:uiPriority w:val="99"/>
    <w:unhideWhenUsed/>
    <w:qFormat/>
    <w:tblPr>
      <w:tblLayout w:type="fixed"/>
      <w:tblCellMar>
        <w:left w:w="0" w:type="dxa"/>
        <w:top w:w="0" w:type="dxa"/>
        <w:right w:w="0" w:type="dxa"/>
        <w:bottom w:w="0" w:type="dxa"/>
      </w:tblCellMar>
    </w:tblPr>
  </w:style>
  <w:style w:type="character" w:styleId="942" w:customStyle="1">
    <w:name w:val="批注框文本 Char"/>
    <w:link w:val="943"/>
    <w:uiPriority w:val="0"/>
    <w:semiHidden/>
    <w:qFormat/>
    <w:rPr>
      <w:rFonts w:ascii="Times New Roman" w:hAnsi="Times New Roman" w:eastAsia="宋体" w:cs="Times New Roman"/>
      <w:sz w:val="18"/>
      <w:szCs w:val="18"/>
    </w:rPr>
  </w:style>
  <w:style w:type="paragraph" w:styleId="943" w:customStyle="1">
    <w:name w:val="批注框文本1"/>
    <w:basedOn w:val="706"/>
    <w:link w:val="942"/>
    <w:uiPriority w:val="0"/>
    <w:semiHidden/>
    <w:qFormat/>
    <w:rPr>
      <w:sz w:val="18"/>
      <w:szCs w:val="18"/>
    </w:rPr>
  </w:style>
  <w:style w:type="character" w:styleId="944" w:customStyle="1">
    <w:name w:val="列出段落 Char"/>
    <w:link w:val="945"/>
    <w:uiPriority w:val="0"/>
    <w:qFormat/>
    <w:rPr>
      <w:rFonts w:ascii="Calibri" w:hAnsi="Calibri"/>
      <w:sz w:val="24"/>
      <w:szCs w:val="24"/>
      <w:lang w:eastAsia="en-US" w:bidi="en-US"/>
    </w:rPr>
  </w:style>
  <w:style w:type="paragraph" w:styleId="945" w:customStyle="1">
    <w:name w:val="列出段落1"/>
    <w:basedOn w:val="706"/>
    <w:link w:val="944"/>
    <w:uiPriority w:val="0"/>
    <w:qFormat/>
    <w:pPr>
      <w:contextualSpacing/>
      <w:ind w:left="720"/>
      <w:jc w:val="left"/>
      <w:widowControl/>
    </w:pPr>
    <w:rPr>
      <w:rFonts w:ascii="Calibri" w:hAnsi="Calibri"/>
      <w:sz w:val="24"/>
      <w:szCs w:val="24"/>
      <w:lang w:eastAsia="en-US" w:bidi="en-US"/>
    </w:rPr>
  </w:style>
  <w:style w:type="character" w:styleId="946" w:customStyle="1">
    <w:name w:val="正文文本 Char"/>
    <w:link w:val="947"/>
    <w:uiPriority w:val="0"/>
    <w:qFormat/>
    <w:rPr>
      <w:rFonts w:ascii="楷体_GB2312" w:hAnsi="Arial" w:eastAsia="楷体_GB2312" w:cs="Times New Roman"/>
      <w:sz w:val="28"/>
      <w:szCs w:val="28"/>
    </w:rPr>
  </w:style>
  <w:style w:type="paragraph" w:styleId="947" w:customStyle="1">
    <w:name w:val="正文文本1"/>
    <w:basedOn w:val="948"/>
    <w:next w:val="934"/>
    <w:link w:val="946"/>
    <w:uiPriority w:val="0"/>
    <w:qFormat/>
    <w:rPr>
      <w:rFonts w:ascii="楷体_GB2312" w:hAnsi="Arial" w:eastAsia="楷体_GB2312"/>
      <w:sz w:val="28"/>
      <w:szCs w:val="28"/>
    </w:rPr>
  </w:style>
  <w:style w:type="paragraph" w:styleId="948" w:customStyle="1">
    <w:name w:val="正文1"/>
    <w:basedOn w:val="706"/>
    <w:next w:val="947"/>
    <w:uiPriority w:val="99"/>
    <w:qFormat/>
    <w:pPr>
      <w:ind w:firstLine="480"/>
      <w:spacing w:line="440" w:lineRule="exact"/>
    </w:pPr>
    <w:rPr>
      <w:rFonts w:ascii="微软雅黑" w:hAnsi="微软雅黑" w:eastAsia="微软雅黑"/>
      <w:sz w:val="24"/>
      <w:szCs w:val="20"/>
    </w:rPr>
  </w:style>
  <w:style w:type="character" w:styleId="949" w:customStyle="1">
    <w:name w:val="标题 8 Char"/>
    <w:link w:val="938"/>
    <w:uiPriority w:val="0"/>
    <w:qFormat/>
    <w:rPr>
      <w:rFonts w:ascii="Arial" w:hAnsi="Arial" w:eastAsia="黑体" w:cs="Times New Roman"/>
      <w:sz w:val="24"/>
      <w:szCs w:val="24"/>
    </w:rPr>
  </w:style>
  <w:style w:type="character" w:styleId="950" w:customStyle="1">
    <w:name w:val="标题 7 Char"/>
    <w:link w:val="937"/>
    <w:uiPriority w:val="0"/>
    <w:qFormat/>
    <w:rPr>
      <w:rFonts w:ascii="Times New Roman" w:hAnsi="Times New Roman" w:eastAsia="宋体" w:cs="Times New Roman"/>
      <w:b/>
      <w:bCs/>
      <w:sz w:val="24"/>
      <w:szCs w:val="24"/>
    </w:rPr>
  </w:style>
  <w:style w:type="character" w:styleId="951" w:customStyle="1">
    <w:name w:val="超链接1"/>
    <w:uiPriority w:val="0"/>
    <w:qFormat/>
    <w:rPr>
      <w:color w:val="0000ff"/>
      <w:u w:val="single"/>
    </w:rPr>
  </w:style>
  <w:style w:type="character" w:styleId="952" w:customStyle="1">
    <w:name w:val="正文文本 3 Char"/>
    <w:link w:val="953"/>
    <w:uiPriority w:val="0"/>
    <w:rPr>
      <w:rFonts w:ascii="仿宋_GB2312" w:hAnsi="Arial" w:eastAsia="仿宋_GB2312" w:cs="Times New Roman"/>
      <w:sz w:val="32"/>
      <w:szCs w:val="32"/>
    </w:rPr>
  </w:style>
  <w:style w:type="paragraph" w:styleId="953" w:customStyle="1">
    <w:name w:val="正文文本 31"/>
    <w:basedOn w:val="706"/>
    <w:link w:val="952"/>
    <w:uiPriority w:val="0"/>
    <w:qFormat/>
    <w:rPr>
      <w:rFonts w:ascii="仿宋_GB2312" w:hAnsi="Arial" w:eastAsia="仿宋_GB2312"/>
      <w:sz w:val="32"/>
      <w:szCs w:val="32"/>
    </w:rPr>
  </w:style>
  <w:style w:type="character" w:styleId="954" w:customStyle="1">
    <w:name w:val="font5 Char"/>
    <w:uiPriority w:val="0"/>
    <w:rPr>
      <w:rFonts w:ascii="宋体" w:hAnsi="宋体" w:eastAsia="宋体"/>
      <w:sz w:val="28"/>
      <w:szCs w:val="28"/>
      <w:lang w:val="en-US" w:eastAsia="zh-CN" w:bidi="ar-SA"/>
    </w:rPr>
  </w:style>
  <w:style w:type="character" w:styleId="955" w:customStyle="1">
    <w:name w:val="标题 6 Char"/>
    <w:link w:val="936"/>
    <w:uiPriority w:val="0"/>
    <w:rPr>
      <w:rFonts w:ascii="Arial" w:hAnsi="Arial" w:eastAsia="黑体" w:cs="Times New Roman"/>
      <w:b/>
      <w:bCs/>
      <w:sz w:val="24"/>
      <w:szCs w:val="24"/>
    </w:rPr>
  </w:style>
  <w:style w:type="character" w:styleId="956" w:customStyle="1">
    <w:name w:val="已访问的超链接1"/>
    <w:uiPriority w:val="0"/>
    <w:qFormat/>
    <w:rPr>
      <w:color w:val="800080"/>
      <w:u w:val="single"/>
    </w:rPr>
  </w:style>
  <w:style w:type="character" w:styleId="957" w:customStyle="1">
    <w:name w:val="标题 4 Char"/>
    <w:link w:val="933"/>
    <w:uiPriority w:val="0"/>
    <w:rPr>
      <w:rFonts w:ascii="Arial" w:hAnsi="Arial" w:eastAsia="黑体" w:cs="Arial"/>
      <w:b/>
      <w:bCs/>
      <w:sz w:val="28"/>
      <w:szCs w:val="28"/>
    </w:rPr>
  </w:style>
  <w:style w:type="character" w:styleId="958" w:customStyle="1">
    <w:name w:val="二级目录 Char"/>
    <w:link w:val="959"/>
    <w:uiPriority w:val="0"/>
    <w:rPr>
      <w:b/>
      <w:sz w:val="30"/>
      <w:szCs w:val="28"/>
    </w:rPr>
  </w:style>
  <w:style w:type="paragraph" w:styleId="959" w:customStyle="1">
    <w:name w:val="二级目录"/>
    <w:next w:val="706"/>
    <w:link w:val="95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60" w:customStyle="1">
    <w:name w:val="页眉 Char"/>
    <w:link w:val="961"/>
    <w:uiPriority w:val="0"/>
    <w:qFormat/>
    <w:rPr>
      <w:rFonts w:ascii="Times New Roman" w:hAnsi="Times New Roman" w:eastAsia="宋体" w:cs="Times New Roman"/>
      <w:sz w:val="18"/>
      <w:szCs w:val="18"/>
    </w:rPr>
  </w:style>
  <w:style w:type="paragraph" w:styleId="961" w:customStyle="1">
    <w:name w:val="页眉1"/>
    <w:basedOn w:val="706"/>
    <w:link w:val="960"/>
    <w:uiPriority w:val="0"/>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码1"/>
    <w:uiPriority w:val="0"/>
    <w:qFormat/>
  </w:style>
  <w:style w:type="character" w:styleId="963" w:customStyle="1">
    <w:name w:val="正文首行缩进 2 Char"/>
    <w:link w:val="964"/>
    <w:uiPriority w:val="0"/>
    <w:rPr>
      <w:rFonts w:ascii="宋体" w:hAnsi="宋体" w:eastAsia="宋体" w:cs="Times New Roman"/>
      <w:sz w:val="32"/>
      <w:szCs w:val="20"/>
    </w:rPr>
  </w:style>
  <w:style w:type="paragraph" w:styleId="964" w:customStyle="1">
    <w:name w:val="正文首行缩进 21"/>
    <w:basedOn w:val="965"/>
    <w:link w:val="963"/>
    <w:uiPriority w:val="0"/>
    <w:qFormat/>
    <w:pPr>
      <w:ind w:firstLine="420"/>
      <w:spacing w:line="360" w:lineRule="auto"/>
    </w:pPr>
    <w:rPr>
      <w:rFonts w:ascii="宋体" w:hAnsi="宋体" w:eastAsia="宋体"/>
      <w:sz w:val="21"/>
      <w:szCs w:val="20"/>
    </w:rPr>
  </w:style>
  <w:style w:type="paragraph" w:styleId="965" w:customStyle="1">
    <w:name w:val="正文文本缩进1"/>
    <w:basedOn w:val="706"/>
    <w:link w:val="981"/>
    <w:uiPriority w:val="0"/>
    <w:qFormat/>
    <w:pPr>
      <w:ind w:firstLine="645"/>
    </w:pPr>
    <w:rPr>
      <w:rFonts w:ascii="楷体_GB2312" w:eastAsia="楷体_GB2312"/>
      <w:sz w:val="32"/>
      <w:szCs w:val="32"/>
    </w:rPr>
  </w:style>
  <w:style w:type="character" w:styleId="966" w:customStyle="1">
    <w:name w:val="标题 3 Char"/>
    <w:link w:val="932"/>
    <w:uiPriority w:val="0"/>
    <w:qFormat/>
    <w:rPr>
      <w:rFonts w:ascii="Times New Roman" w:hAnsi="Times New Roman" w:eastAsia="宋体" w:cs="Times New Roman"/>
      <w:b/>
      <w:bCs/>
      <w:sz w:val="32"/>
      <w:szCs w:val="32"/>
    </w:rPr>
  </w:style>
  <w:style w:type="character" w:styleId="967" w:customStyle="1">
    <w:name w:val="批注文字 Char"/>
    <w:link w:val="968"/>
    <w:uiPriority w:val="0"/>
    <w:semiHidden/>
    <w:rPr>
      <w:rFonts w:ascii="Times New Roman" w:hAnsi="Times New Roman" w:eastAsia="宋体" w:cs="Times New Roman"/>
      <w:szCs w:val="21"/>
    </w:rPr>
  </w:style>
  <w:style w:type="paragraph" w:styleId="968" w:customStyle="1">
    <w:name w:val="批注文字1"/>
    <w:basedOn w:val="706"/>
    <w:link w:val="967"/>
    <w:uiPriority w:val="0"/>
    <w:semiHidden/>
    <w:qFormat/>
    <w:pPr>
      <w:jc w:val="left"/>
    </w:pPr>
  </w:style>
  <w:style w:type="character" w:styleId="969" w:customStyle="1">
    <w:name w:val="正文缩进 Char"/>
    <w:link w:val="934"/>
    <w:uiPriority w:val="0"/>
    <w:rPr>
      <w:rFonts w:ascii="Times New Roman" w:hAnsi="Times New Roman" w:eastAsia="宋体" w:cs="Times New Roman"/>
      <w:szCs w:val="21"/>
    </w:rPr>
  </w:style>
  <w:style w:type="character" w:styleId="970" w:customStyle="1">
    <w:name w:val="日期 Char"/>
    <w:link w:val="971"/>
    <w:uiPriority w:val="0"/>
    <w:qFormat/>
    <w:rPr>
      <w:rFonts w:ascii="Times New Roman" w:hAnsi="Times New Roman" w:eastAsia="宋体" w:cs="Times New Roman"/>
      <w:sz w:val="24"/>
      <w:szCs w:val="24"/>
    </w:rPr>
  </w:style>
  <w:style w:type="paragraph" w:styleId="971" w:customStyle="1">
    <w:name w:val="日期1"/>
    <w:basedOn w:val="706"/>
    <w:next w:val="706"/>
    <w:link w:val="970"/>
    <w:uiPriority w:val="0"/>
    <w:qFormat/>
    <w:rPr>
      <w:sz w:val="24"/>
      <w:szCs w:val="24"/>
    </w:rPr>
  </w:style>
  <w:style w:type="character" w:styleId="972" w:customStyle="1">
    <w:name w:val="要点1"/>
    <w:uiPriority w:val="0"/>
    <w:qFormat/>
    <w:rPr>
      <w:b/>
      <w:bCs/>
    </w:rPr>
  </w:style>
  <w:style w:type="character" w:styleId="973" w:customStyle="1">
    <w:name w:val="页脚 Char"/>
    <w:link w:val="974"/>
    <w:uiPriority w:val="0"/>
    <w:qFormat/>
    <w:rPr>
      <w:rFonts w:ascii="Times New Roman" w:hAnsi="Times New Roman" w:eastAsia="宋体" w:cs="Times New Roman"/>
      <w:sz w:val="18"/>
      <w:szCs w:val="18"/>
    </w:rPr>
  </w:style>
  <w:style w:type="paragraph" w:styleId="974" w:customStyle="1">
    <w:name w:val="页脚1"/>
    <w:basedOn w:val="706"/>
    <w:link w:val="973"/>
    <w:uiPriority w:val="0"/>
    <w:qFormat/>
    <w:pPr>
      <w:jc w:val="left"/>
      <w:tabs>
        <w:tab w:val="center" w:pos="4153" w:leader="none"/>
        <w:tab w:val="right" w:pos="8306" w:leader="none"/>
      </w:tabs>
    </w:pPr>
    <w:rPr>
      <w:sz w:val="18"/>
      <w:szCs w:val="18"/>
    </w:rPr>
  </w:style>
  <w:style w:type="character" w:styleId="975" w:customStyle="1">
    <w:name w:val="批注引用1"/>
    <w:uiPriority w:val="0"/>
    <w:semiHidden/>
    <w:qFormat/>
    <w:rPr>
      <w:sz w:val="21"/>
      <w:szCs w:val="21"/>
    </w:rPr>
  </w:style>
  <w:style w:type="character" w:styleId="976" w:customStyle="1">
    <w:name w:val="标题 5 Char"/>
    <w:link w:val="935"/>
    <w:uiPriority w:val="0"/>
    <w:qFormat/>
    <w:rPr>
      <w:rFonts w:ascii="宋体" w:hAnsi="Times New Roman" w:eastAsia="宋体" w:cs="Times New Roman"/>
      <w:color w:val="000000"/>
      <w:sz w:val="28"/>
      <w:szCs w:val="28"/>
    </w:rPr>
  </w:style>
  <w:style w:type="character" w:styleId="977" w:customStyle="1">
    <w:name w:val="文档结构图 Char"/>
    <w:link w:val="978"/>
    <w:uiPriority w:val="0"/>
    <w:semiHidden/>
    <w:rPr>
      <w:rFonts w:ascii="Times New Roman" w:hAnsi="Times New Roman" w:eastAsia="宋体" w:cs="Times New Roman"/>
      <w:szCs w:val="21"/>
      <w:shd w:val="clear" w:color="auto" w:fill="000080"/>
    </w:rPr>
  </w:style>
  <w:style w:type="paragraph" w:styleId="978" w:customStyle="1">
    <w:name w:val="文档结构图1"/>
    <w:basedOn w:val="706"/>
    <w:link w:val="977"/>
    <w:uiPriority w:val="0"/>
    <w:semiHidden/>
    <w:qFormat/>
    <w:pPr>
      <w:shd w:val="clear" w:color="auto" w:fill="000080"/>
    </w:pPr>
  </w:style>
  <w:style w:type="character" w:styleId="979" w:customStyle="1">
    <w:name w:val="正文文本缩进 3 Char"/>
    <w:link w:val="980"/>
    <w:uiPriority w:val="0"/>
    <w:qFormat/>
    <w:rPr>
      <w:rFonts w:ascii="Arial" w:hAnsi="Arial" w:eastAsia="仿宋_GB2312" w:cs="Arial"/>
      <w:color w:val="ffff00"/>
      <w:sz w:val="32"/>
      <w:szCs w:val="32"/>
    </w:rPr>
  </w:style>
  <w:style w:type="paragraph" w:styleId="980" w:customStyle="1">
    <w:name w:val="正文文本缩进 31"/>
    <w:basedOn w:val="706"/>
    <w:link w:val="979"/>
    <w:uiPriority w:val="0"/>
    <w:qFormat/>
    <w:pPr>
      <w:ind w:left="645" w:firstLine="645"/>
    </w:pPr>
    <w:rPr>
      <w:rFonts w:ascii="Arial" w:hAnsi="Arial" w:eastAsia="仿宋_GB2312" w:cs="Arial"/>
      <w:color w:val="ffff00"/>
      <w:sz w:val="32"/>
      <w:szCs w:val="32"/>
    </w:rPr>
  </w:style>
  <w:style w:type="character" w:styleId="981" w:customStyle="1">
    <w:name w:val="正文文本缩进 Char"/>
    <w:link w:val="965"/>
    <w:uiPriority w:val="0"/>
    <w:rPr>
      <w:rFonts w:ascii="楷体_GB2312" w:hAnsi="Times New Roman" w:eastAsia="楷体_GB2312" w:cs="Times New Roman"/>
      <w:sz w:val="32"/>
      <w:szCs w:val="32"/>
    </w:rPr>
  </w:style>
  <w:style w:type="character" w:styleId="982" w:customStyle="1">
    <w:name w:val="纯文本 Char"/>
    <w:link w:val="983"/>
    <w:uiPriority w:val="0"/>
    <w:rPr>
      <w:rFonts w:ascii="宋体" w:hAnsi="Courier New" w:eastAsia="宋体" w:cs="Courier New"/>
      <w:szCs w:val="21"/>
    </w:rPr>
  </w:style>
  <w:style w:type="paragraph" w:styleId="983" w:customStyle="1">
    <w:name w:val="纯文本1"/>
    <w:basedOn w:val="706"/>
    <w:link w:val="982"/>
    <w:uiPriority w:val="0"/>
    <w:qFormat/>
    <w:rPr>
      <w:rFonts w:ascii="宋体" w:hAnsi="Courier New" w:cs="Courier New"/>
    </w:rPr>
  </w:style>
  <w:style w:type="character" w:styleId="984" w:customStyle="1">
    <w:name w:val="标题 1 Char"/>
    <w:link w:val="930"/>
    <w:uiPriority w:val="0"/>
    <w:rPr>
      <w:rFonts w:ascii="楷体_GB2312" w:hAnsi="楷体_GB2312" w:eastAsia="黑体" w:cs="Times New Roman"/>
      <w:sz w:val="44"/>
      <w:szCs w:val="28"/>
    </w:rPr>
  </w:style>
  <w:style w:type="character" w:styleId="985" w:customStyle="1">
    <w:name w:val="标题 2 Char"/>
    <w:link w:val="931"/>
    <w:uiPriority w:val="0"/>
    <w:rPr>
      <w:rFonts w:ascii="Arial" w:hAnsi="Arial" w:eastAsia="幼圆" w:cs="Arial"/>
      <w:b/>
      <w:bCs/>
      <w:sz w:val="44"/>
      <w:szCs w:val="44"/>
    </w:rPr>
  </w:style>
  <w:style w:type="character" w:styleId="986" w:customStyle="1">
    <w:name w:val="标题 9 Char"/>
    <w:link w:val="939"/>
    <w:uiPriority w:val="0"/>
    <w:qFormat/>
    <w:rPr>
      <w:rFonts w:ascii="Arial" w:hAnsi="Arial" w:eastAsia="黑体" w:cs="Times New Roman"/>
      <w:szCs w:val="21"/>
    </w:rPr>
  </w:style>
  <w:style w:type="character" w:styleId="987" w:customStyle="1">
    <w:name w:val="正文文本缩进 2 Char"/>
    <w:link w:val="988"/>
    <w:uiPriority w:val="0"/>
    <w:rPr>
      <w:rFonts w:ascii="Arial" w:hAnsi="Arial" w:eastAsia="仿宋_GB2312" w:cs="Arial"/>
      <w:sz w:val="32"/>
      <w:szCs w:val="32"/>
    </w:rPr>
  </w:style>
  <w:style w:type="paragraph" w:styleId="988" w:customStyle="1">
    <w:name w:val="正文文本缩进 21"/>
    <w:basedOn w:val="706"/>
    <w:link w:val="987"/>
    <w:uiPriority w:val="0"/>
    <w:qFormat/>
    <w:pPr>
      <w:ind w:left="630" w:firstLine="645"/>
    </w:pPr>
    <w:rPr>
      <w:rFonts w:ascii="Arial" w:hAnsi="Arial" w:eastAsia="仿宋_GB2312" w:cs="Arial"/>
      <w:sz w:val="32"/>
      <w:szCs w:val="32"/>
    </w:rPr>
  </w:style>
  <w:style w:type="character" w:styleId="989" w:customStyle="1">
    <w:name w:val="正文文本 2 Char"/>
    <w:link w:val="990"/>
    <w:uiPriority w:val="0"/>
    <w:rPr>
      <w:rFonts w:ascii="楷体_GB2312" w:hAnsi="Times New Roman" w:eastAsia="楷体_GB2312" w:cs="Times New Roman"/>
      <w:sz w:val="28"/>
      <w:szCs w:val="28"/>
    </w:rPr>
  </w:style>
  <w:style w:type="paragraph" w:styleId="990" w:customStyle="1">
    <w:name w:val="正文文本 21"/>
    <w:basedOn w:val="706"/>
    <w:link w:val="989"/>
    <w:uiPriority w:val="0"/>
    <w:qFormat/>
    <w:pPr>
      <w:jc w:val="center"/>
      <w:widowControl/>
    </w:pPr>
    <w:rPr>
      <w:rFonts w:ascii="楷体_GB2312" w:eastAsia="楷体_GB2312"/>
      <w:sz w:val="28"/>
      <w:szCs w:val="28"/>
    </w:rPr>
  </w:style>
  <w:style w:type="character" w:styleId="991" w:customStyle="1">
    <w:name w:val="批注主题 Char"/>
    <w:link w:val="992"/>
    <w:uiPriority w:val="0"/>
    <w:semiHidden/>
    <w:qFormat/>
    <w:rPr>
      <w:rFonts w:ascii="Times New Roman" w:hAnsi="Times New Roman" w:eastAsia="宋体" w:cs="Times New Roman"/>
      <w:b/>
      <w:bCs/>
      <w:szCs w:val="21"/>
    </w:rPr>
  </w:style>
  <w:style w:type="paragraph" w:styleId="992" w:customStyle="1">
    <w:name w:val="批注主题1"/>
    <w:basedOn w:val="968"/>
    <w:next w:val="968"/>
    <w:link w:val="991"/>
    <w:uiPriority w:val="0"/>
    <w:semiHidden/>
    <w:qFormat/>
    <w:rPr>
      <w:b/>
      <w:bCs/>
    </w:rPr>
  </w:style>
  <w:style w:type="character" w:styleId="993" w:customStyle="1">
    <w:name w:val="正文首行缩进 Char"/>
    <w:link w:val="994"/>
    <w:uiPriority w:val="0"/>
    <w:rPr>
      <w:rFonts w:ascii="仿宋_GB2312" w:hAnsi="Times New Roman" w:eastAsia="仿宋_GB2312" w:cs="Times New Roman"/>
      <w:sz w:val="30"/>
      <w:szCs w:val="30"/>
    </w:rPr>
  </w:style>
  <w:style w:type="paragraph" w:styleId="994" w:customStyle="1">
    <w:name w:val="正文首行缩进1"/>
    <w:basedOn w:val="706"/>
    <w:link w:val="993"/>
    <w:uiPriority w:val="0"/>
    <w:qFormat/>
    <w:pPr>
      <w:ind w:firstLine="200"/>
      <w:spacing w:line="360" w:lineRule="auto"/>
    </w:pPr>
    <w:rPr>
      <w:rFonts w:ascii="仿宋_GB2312" w:eastAsia="仿宋_GB2312"/>
      <w:sz w:val="30"/>
      <w:szCs w:val="30"/>
    </w:rPr>
  </w:style>
  <w:style w:type="paragraph" w:styleId="995" w:customStyle="1">
    <w:name w:val="table_lines"/>
    <w:basedOn w:val="706"/>
    <w:uiPriority w:val="0"/>
    <w:pPr>
      <w:jc w:val="left"/>
      <w:widowControl/>
    </w:pPr>
    <w:rPr>
      <w:sz w:val="20"/>
      <w:szCs w:val="20"/>
      <w:lang w:val="de-DE" w:eastAsia="de-DE"/>
    </w:rPr>
  </w:style>
  <w:style w:type="paragraph" w:styleId="996" w:customStyle="1">
    <w:name w:val="Char"/>
    <w:basedOn w:val="978"/>
    <w:uiPriority w:val="0"/>
    <w:qFormat/>
    <w:rPr>
      <w:rFonts w:ascii="Tahoma" w:hAnsi="Tahoma"/>
      <w:sz w:val="24"/>
      <w:szCs w:val="24"/>
    </w:rPr>
  </w:style>
  <w:style w:type="paragraph" w:styleId="997" w:customStyle="1">
    <w:name w:val="索引 11"/>
    <w:basedOn w:val="706"/>
    <w:next w:val="706"/>
    <w:uiPriority w:val="0"/>
    <w:semiHidden/>
    <w:qFormat/>
    <w:pPr>
      <w:spacing w:line="240" w:lineRule="atLeast"/>
    </w:pPr>
    <w:rPr>
      <w:b/>
      <w:bCs/>
    </w:rPr>
  </w:style>
  <w:style w:type="paragraph" w:styleId="998" w:customStyle="1">
    <w:name w:val="目录 51"/>
    <w:basedOn w:val="706"/>
    <w:next w:val="706"/>
    <w:uiPriority w:val="0"/>
    <w:semiHidden/>
    <w:qFormat/>
    <w:pPr>
      <w:ind w:left="840"/>
      <w:jc w:val="left"/>
    </w:pPr>
  </w:style>
  <w:style w:type="paragraph" w:styleId="999" w:customStyle="1">
    <w:name w:val="Char Char Char Char"/>
    <w:basedOn w:val="978"/>
    <w:uiPriority w:val="0"/>
    <w:qFormat/>
    <w:pPr>
      <w:spacing w:line="360" w:lineRule="auto"/>
    </w:pPr>
    <w:rPr>
      <w:rFonts w:ascii="Tahoma" w:hAnsi="Tahoma"/>
      <w:sz w:val="24"/>
      <w:szCs w:val="24"/>
    </w:rPr>
  </w:style>
  <w:style w:type="paragraph" w:styleId="1000" w:customStyle="1">
    <w:name w:val="列出段落2"/>
    <w:basedOn w:val="706"/>
    <w:uiPriority w:val="0"/>
    <w:qFormat/>
    <w:pPr>
      <w:contextualSpacing/>
      <w:ind w:left="720"/>
      <w:jc w:val="left"/>
      <w:widowControl/>
    </w:pPr>
    <w:rPr>
      <w:rFonts w:ascii="Calibri" w:hAnsi="Calibri"/>
      <w:sz w:val="24"/>
      <w:szCs w:val="24"/>
      <w:lang w:eastAsia="en-US" w:bidi="en-US"/>
    </w:rPr>
  </w:style>
  <w:style w:type="paragraph" w:styleId="1001"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100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3"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1004"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目录 81"/>
    <w:basedOn w:val="706"/>
    <w:next w:val="706"/>
    <w:uiPriority w:val="0"/>
    <w:semiHidden/>
    <w:qFormat/>
    <w:pPr>
      <w:ind w:left="1470"/>
      <w:jc w:val="left"/>
    </w:pPr>
  </w:style>
  <w:style w:type="paragraph" w:styleId="1006" w:customStyle="1">
    <w:name w:val="目录 91"/>
    <w:basedOn w:val="706"/>
    <w:next w:val="706"/>
    <w:uiPriority w:val="0"/>
    <w:semiHidden/>
    <w:qFormat/>
    <w:pPr>
      <w:ind w:left="1680"/>
      <w:jc w:val="left"/>
    </w:pPr>
  </w:style>
  <w:style w:type="paragraph" w:styleId="1007" w:customStyle="1">
    <w:name w:val="Char1"/>
    <w:basedOn w:val="706"/>
    <w:uiPriority w:val="0"/>
    <w:qFormat/>
    <w:pPr>
      <w:ind w:firstLine="200"/>
      <w:tabs>
        <w:tab w:val="left" w:pos="360" w:leader="none"/>
      </w:tabs>
    </w:pPr>
    <w:rPr>
      <w:sz w:val="28"/>
      <w:szCs w:val="30"/>
    </w:rPr>
  </w:style>
  <w:style w:type="paragraph" w:styleId="1008"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1009"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1010" w:customStyle="1">
    <w:name w:val="Char Char Char Char Char Char Char Char Char Char"/>
    <w:basedOn w:val="706"/>
    <w:uiPriority w:val="0"/>
    <w:qFormat/>
    <w:pPr>
      <w:spacing w:line="360" w:lineRule="auto"/>
    </w:pPr>
    <w:rPr>
      <w:sz w:val="24"/>
      <w:szCs w:val="20"/>
    </w:rPr>
  </w:style>
  <w:style w:type="paragraph" w:styleId="1011"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table_1stline"/>
    <w:basedOn w:val="706"/>
    <w:uiPriority w:val="0"/>
    <w:qFormat/>
    <w:pPr>
      <w:jc w:val="left"/>
      <w:spacing w:before="120"/>
      <w:widowControl/>
    </w:pPr>
    <w:rPr>
      <w:bCs/>
      <w:sz w:val="20"/>
      <w:szCs w:val="20"/>
      <w:lang w:val="de-DE" w:eastAsia="de-DE"/>
    </w:rPr>
  </w:style>
  <w:style w:type="paragraph" w:styleId="1013"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4" w:customStyle="1">
    <w:name w:val="目录 31"/>
    <w:basedOn w:val="706"/>
    <w:next w:val="706"/>
    <w:uiPriority w:val="0"/>
    <w:semiHidden/>
    <w:qFormat/>
    <w:pPr>
      <w:ind w:left="420"/>
      <w:jc w:val="left"/>
    </w:pPr>
    <w:rPr>
      <w:i/>
      <w:iCs/>
      <w:szCs w:val="24"/>
    </w:rPr>
  </w:style>
  <w:style w:type="paragraph" w:styleId="1015" w:customStyle="1">
    <w:name w:val="目录 61"/>
    <w:basedOn w:val="706"/>
    <w:next w:val="706"/>
    <w:uiPriority w:val="0"/>
    <w:semiHidden/>
    <w:qFormat/>
    <w:pPr>
      <w:ind w:left="1050"/>
      <w:jc w:val="left"/>
    </w:pPr>
  </w:style>
  <w:style w:type="paragraph" w:styleId="1016" w:customStyle="1">
    <w:name w:val="目录 71"/>
    <w:basedOn w:val="706"/>
    <w:next w:val="706"/>
    <w:uiPriority w:val="0"/>
    <w:semiHidden/>
    <w:qFormat/>
    <w:pPr>
      <w:ind w:left="1260"/>
      <w:jc w:val="left"/>
    </w:pPr>
  </w:style>
  <w:style w:type="paragraph" w:styleId="1017"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1019" w:customStyle="1">
    <w:name w:val="列表 31"/>
    <w:basedOn w:val="706"/>
    <w:uiPriority w:val="0"/>
    <w:qFormat/>
    <w:pPr>
      <w:ind w:left="100" w:hanging="200"/>
    </w:pPr>
  </w:style>
  <w:style w:type="paragraph" w:styleId="1020"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1021"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1022" w:customStyle="1">
    <w:name w:val="目录 41"/>
    <w:basedOn w:val="706"/>
    <w:next w:val="706"/>
    <w:uiPriority w:val="0"/>
    <w:semiHidden/>
    <w:qFormat/>
    <w:pPr>
      <w:ind w:left="630"/>
      <w:jc w:val="left"/>
    </w:pPr>
  </w:style>
  <w:style w:type="paragraph" w:styleId="1023" w:customStyle="1">
    <w:name w:val="4"/>
    <w:basedOn w:val="706"/>
    <w:next w:val="980"/>
    <w:uiPriority w:val="0"/>
    <w:qFormat/>
    <w:pPr>
      <w:ind w:firstLine="420"/>
      <w:spacing w:line="360" w:lineRule="auto"/>
    </w:pPr>
    <w:rPr>
      <w:color w:val="ff0000"/>
      <w:sz w:val="24"/>
      <w:szCs w:val="24"/>
    </w:rPr>
  </w:style>
  <w:style w:type="paragraph" w:styleId="1024" w:customStyle="1">
    <w:name w:val="列表 21"/>
    <w:basedOn w:val="706"/>
    <w:uiPriority w:val="0"/>
    <w:qFormat/>
    <w:pPr>
      <w:ind w:left="100" w:hanging="200"/>
    </w:pPr>
  </w:style>
  <w:style w:type="paragraph" w:styleId="1025" w:customStyle="1">
    <w:name w:val="目录 21"/>
    <w:basedOn w:val="706"/>
    <w:next w:val="706"/>
    <w:uiPriority w:val="0"/>
    <w:semiHidden/>
    <w:qFormat/>
    <w:pPr>
      <w:ind w:left="210"/>
      <w:jc w:val="left"/>
    </w:pPr>
    <w:rPr>
      <w:smallCaps/>
      <w:szCs w:val="24"/>
    </w:rPr>
  </w:style>
  <w:style w:type="paragraph" w:styleId="1026" w:customStyle="1">
    <w:name w:val="Char Char Char Char1"/>
    <w:basedOn w:val="978"/>
    <w:uiPriority w:val="0"/>
    <w:qFormat/>
    <w:pPr>
      <w:spacing w:line="360" w:lineRule="auto"/>
    </w:pPr>
    <w:rPr>
      <w:rFonts w:ascii="Tahoma" w:hAnsi="Tahoma"/>
      <w:sz w:val="24"/>
      <w:szCs w:val="24"/>
    </w:rPr>
  </w:style>
  <w:style w:type="paragraph" w:styleId="1027"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1028" w:customStyle="1">
    <w:name w:val="Body Text(ch)"/>
    <w:basedOn w:val="706"/>
    <w:next w:val="947"/>
    <w:uiPriority w:val="0"/>
    <w:qFormat/>
    <w:pPr>
      <w:spacing w:after="120"/>
    </w:pPr>
    <w:rPr>
      <w:rFonts w:ascii="宋体" w:hAnsi="Arial"/>
      <w:bCs/>
      <w:iCs/>
      <w:szCs w:val="24"/>
    </w:rPr>
  </w:style>
  <w:style w:type="paragraph" w:styleId="1029" w:customStyle="1">
    <w:name w:val="列表1"/>
    <w:basedOn w:val="706"/>
    <w:uiPriority w:val="0"/>
    <w:qFormat/>
    <w:pPr>
      <w:ind w:left="200" w:hanging="200"/>
    </w:pPr>
  </w:style>
  <w:style w:type="paragraph" w:styleId="1030" w:customStyle="1">
    <w:name w:val="样式1"/>
    <w:basedOn w:val="706"/>
    <w:uiPriority w:val="0"/>
    <w:qFormat/>
    <w:pPr>
      <w:numPr>
        <w:ilvl w:val="0"/>
        <w:numId w:val="4"/>
      </w:numPr>
    </w:pPr>
    <w:rPr>
      <w:rFonts w:ascii="宋体" w:hAnsi="宋体"/>
    </w:rPr>
  </w:style>
  <w:style w:type="paragraph" w:styleId="1031"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图表目录1"/>
    <w:basedOn w:val="706"/>
    <w:next w:val="706"/>
    <w:uiPriority w:val="0"/>
    <w:semiHidden/>
    <w:qFormat/>
    <w:pPr>
      <w:ind w:left="840" w:hanging="420"/>
    </w:pPr>
  </w:style>
  <w:style w:type="paragraph" w:styleId="1034"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039"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41" w:customStyle="1">
    <w:name w:val="网格型1"/>
    <w:basedOn w:val="941"/>
    <w:uiPriority w:val="0"/>
    <w:qFormat/>
    <w:pPr>
      <w:jc w:val="both"/>
      <w:widowControl w:val="off"/>
    </w:pPr>
    <w:rPr>
      <w:rFonts w:ascii="Times New Roman" w:hAnsi="Times New Roman"/>
    </w:rPr>
    <w:tblPr/>
  </w:style>
  <w:style w:type="character" w:styleId="1042" w:customStyle="1">
    <w:name w:val="正文文本 Char1"/>
    <w:basedOn w:val="716"/>
    <w:uiPriority w:val="99"/>
    <w:semiHidden/>
    <w:qFormat/>
    <w:rPr>
      <w:rFonts w:ascii="Times New Roman" w:hAnsi="Times New Roman"/>
      <w:sz w:val="21"/>
      <w:szCs w:val="21"/>
    </w:rPr>
  </w:style>
  <w:style w:type="paragraph" w:styleId="1043" w:customStyle="1">
    <w:name w:val="正文2"/>
    <w:basedOn w:val="706"/>
    <w:uiPriority w:val="0"/>
    <w:qFormat/>
    <w:pPr>
      <w:spacing w:line="360" w:lineRule="auto"/>
      <w:tabs>
        <w:tab w:val="left" w:pos="6480" w:leader="none"/>
      </w:tabs>
    </w:pPr>
    <w:rPr>
      <w:sz w:val="24"/>
      <w:szCs w:val="24"/>
    </w:rPr>
  </w:style>
  <w:style w:type="paragraph" w:styleId="1044" w:customStyle="1">
    <w:name w:val="1 正文"/>
    <w:basedOn w:val="706"/>
    <w:uiPriority w:val="0"/>
    <w:qFormat/>
    <w:pPr>
      <w:ind w:firstLine="420"/>
      <w:spacing w:line="360" w:lineRule="auto"/>
    </w:pPr>
    <w:rPr>
      <w:rFonts w:ascii="宋体" w:hAnsi="宋体"/>
      <w:sz w:val="24"/>
      <w:szCs w:val="24"/>
    </w:rPr>
  </w:style>
  <w:style w:type="paragraph" w:styleId="1045" w:customStyle="1">
    <w:name w:val="A正文"/>
    <w:basedOn w:val="706"/>
    <w:uiPriority w:val="0"/>
    <w:qFormat/>
    <w:pPr>
      <w:ind w:firstLine="200"/>
      <w:spacing w:line="360" w:lineRule="auto"/>
    </w:pPr>
    <w:rPr>
      <w:rFonts w:cs="宋体"/>
      <w:sz w:val="24"/>
      <w:szCs w:val="28"/>
      <w:lang w:eastAsia="zh-Hans"/>
    </w:rPr>
  </w:style>
  <w:style w:type="paragraph" w:styleId="1046"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47"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49" w:customStyle="1">
    <w:name w:val="UserStyle_11"/>
    <w:uiPriority w:val="0"/>
    <w:qFormat/>
    <w:rPr>
      <w:sz w:val="21"/>
      <w:szCs w:val="21"/>
      <w:lang w:val="en-US" w:eastAsia="zh-CN" w:bidi="ar-SA"/>
    </w:rPr>
  </w:style>
  <w:style w:type="character" w:styleId="1050" w:customStyle="1">
    <w:name w:val="NormalCharacter"/>
    <w:uiPriority w:val="0"/>
    <w:qFormat/>
  </w:style>
  <w:style w:type="numbering" w:styleId="13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93</cp:revision>
  <dcterms:created xsi:type="dcterms:W3CDTF">2023-12-04T02:59:00Z</dcterms:created>
  <dcterms:modified xsi:type="dcterms:W3CDTF">2026-08-31T07:02:54Z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ies>
</file>