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Theme="minorEastAsia" w:hAnsiTheme="minorEastAsia" w:eastAsiaTheme="minorEastAsia" w:cstheme="minorEastAsia"/>
          <w:bCs/>
          <w:color w:val="auto"/>
          <w:spacing w:val="20"/>
          <w:sz w:val="44"/>
          <w:highlight w:val="none"/>
        </w:rPr>
      </w:pPr>
      <w:r>
        <w:rPr>
          <w:rFonts w:hint="eastAsia" w:asciiTheme="minorEastAsia" w:hAnsiTheme="minorEastAsia" w:eastAsiaTheme="minorEastAsia" w:cstheme="minorEastAsia"/>
          <w:bCs/>
          <w:color w:val="auto"/>
          <w:spacing w:val="20"/>
          <w:sz w:val="44"/>
          <w:highlight w:val="none"/>
          <w:lang w:val="en-US" w:eastAsia="zh-CN"/>
        </w:rPr>
        <w:t xml:space="preserve">启东市公共机构建筑能源审计和能耗基准值技术服务项目</w:t>
      </w:r>
      <w:r/>
    </w:p>
    <w:p>
      <w:pPr>
        <w:jc w:val="center"/>
        <w:rPr>
          <w:rFonts w:hint="eastAsia" w:asciiTheme="minorEastAsia" w:hAnsiTheme="minorEastAsia" w:eastAsiaTheme="minorEastAsia" w:cstheme="minorEastAsia"/>
          <w:bCs/>
          <w:color w:val="auto"/>
          <w:sz w:val="100"/>
          <w:szCs w:val="100"/>
          <w:highlight w:val="none"/>
        </w:rPr>
      </w:pPr>
      <w:r>
        <w:rPr>
          <w:rFonts w:hint="eastAsia" w:asciiTheme="minorEastAsia" w:hAnsiTheme="minorEastAsia" w:eastAsiaTheme="minorEastAsia" w:cstheme="minorEastAsia"/>
          <w:bCs/>
          <w:color w:val="auto"/>
          <w:sz w:val="100"/>
          <w:szCs w:val="100"/>
          <w:highlight w:val="none"/>
        </w:rPr>
      </w:r>
      <w:r/>
    </w:p>
    <w:p>
      <w:pPr>
        <w:jc w:val="center"/>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sz w:val="100"/>
          <w:szCs w:val="100"/>
          <w:highlight w:val="none"/>
        </w:rPr>
        <w:t xml:space="preserve">政府采购磋商文件</w:t>
      </w:r>
      <w:r/>
    </w:p>
    <w:p>
      <w:pPr>
        <w:pStyle w:val="732"/>
        <w:jc w:val="center"/>
        <w:spacing w:before="0" w:after="0" w:line="500" w:lineRule="exact"/>
        <w:rPr>
          <w:rFonts w:hint="eastAsia" w:asciiTheme="minorEastAsia" w:hAnsiTheme="minorEastAsia" w:eastAsiaTheme="minorEastAsia" w:cstheme="minorEastAsia"/>
          <w:b w:val="0"/>
          <w:color w:val="auto"/>
          <w:sz w:val="36"/>
          <w:szCs w:val="36"/>
          <w:highlight w:val="none"/>
        </w:rPr>
      </w:pPr>
      <w:r>
        <w:rPr>
          <w:rFonts w:hint="eastAsia" w:asciiTheme="minorEastAsia" w:hAnsiTheme="minorEastAsia" w:eastAsiaTheme="minorEastAsia" w:cstheme="minorEastAsia"/>
          <w:b w:val="0"/>
          <w:color w:val="auto"/>
          <w:sz w:val="36"/>
          <w:szCs w:val="36"/>
          <w:highlight w:val="none"/>
        </w:rPr>
      </w:r>
      <w:r/>
    </w:p>
    <w:p>
      <w:pPr>
        <w:pStyle w:val="732"/>
        <w:ind w:firstLine="0"/>
        <w:jc w:val="both"/>
        <w:spacing w:before="0" w:after="0" w:line="500" w:lineRule="exact"/>
        <w:rPr>
          <w:rFonts w:hint="default" w:asciiTheme="minorEastAsia" w:hAnsiTheme="minorEastAsia" w:eastAsiaTheme="minorEastAsia" w:cstheme="minorEastAsia"/>
          <w:b/>
          <w:bCs w:val="0"/>
          <w:color w:val="auto"/>
          <w:sz w:val="36"/>
          <w:szCs w:val="36"/>
          <w:highlight w:val="none"/>
          <w:lang w:val="en-US" w:eastAsia="zh-CN"/>
        </w:rPr>
      </w:pPr>
      <w:r>
        <w:rPr>
          <w:rFonts w:hint="eastAsia" w:asciiTheme="minorEastAsia" w:hAnsiTheme="minorEastAsia" w:eastAsiaTheme="minorEastAsia" w:cstheme="minorEastAsia"/>
          <w:b/>
          <w:bCs w:val="0"/>
          <w:color w:val="auto"/>
          <w:sz w:val="36"/>
          <w:szCs w:val="36"/>
          <w:highlight w:val="none"/>
        </w:rPr>
        <w:t xml:space="preserve">  项目编号</w:t>
      </w:r>
      <w:r>
        <w:rPr>
          <w:rFonts w:hint="eastAsia" w:asciiTheme="minorEastAsia" w:hAnsiTheme="minorEastAsia" w:eastAsiaTheme="minorEastAsia" w:cstheme="minorEastAsia"/>
          <w:b/>
          <w:bCs w:val="0"/>
          <w:color w:val="auto"/>
          <w:sz w:val="36"/>
          <w:szCs w:val="36"/>
          <w:highlight w:val="none"/>
          <w:lang w:eastAsia="zh-CN"/>
        </w:rPr>
        <w:t xml:space="preserve">：</w:t>
      </w:r>
      <w:r>
        <w:rPr>
          <w:rFonts w:hint="eastAsia" w:asciiTheme="minorEastAsia" w:hAnsiTheme="minorEastAsia" w:eastAsiaTheme="minorEastAsia" w:cstheme="minorEastAsia"/>
          <w:b/>
          <w:bCs w:val="0"/>
          <w:color w:val="auto"/>
          <w:sz w:val="36"/>
          <w:szCs w:val="36"/>
          <w:highlight w:val="none"/>
          <w:lang w:val="en-US" w:eastAsia="zh-CN"/>
        </w:rPr>
        <w:t xml:space="preserve">JSZC-320681-HXTH-C2026-0039</w:t>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pStyle w:val="73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3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73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Cs/>
          <w:color w:val="auto"/>
          <w:spacing w:val="20"/>
          <w:sz w:val="44"/>
          <w:highlight w:val="none"/>
        </w:rPr>
      </w:pPr>
      <w:r>
        <w:rPr>
          <w:rFonts w:hint="eastAsia" w:asciiTheme="minorEastAsia" w:hAnsiTheme="minorEastAsia" w:eastAsiaTheme="minorEastAsia" w:cstheme="minorEastAsia"/>
          <w:bCs/>
          <w:color w:val="auto"/>
          <w:spacing w:val="20"/>
          <w:sz w:val="44"/>
          <w:highlight w:val="none"/>
        </w:rPr>
        <w:t xml:space="preserve">启东市机关事务服务中心</w:t>
      </w:r>
      <w:r/>
    </w:p>
    <w:p>
      <w:pPr>
        <w:pStyle w:val="742"/>
        <w:ind w:left="0" w:right="119" w:firstLine="0"/>
        <w:spacing w:before="0" w:after="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lang w:val="en-US" w:eastAsia="zh-CN"/>
        </w:rPr>
        <w:t xml:space="preserve">2026</w:t>
      </w:r>
      <w:r>
        <w:rPr>
          <w:rFonts w:hint="eastAsia" w:asciiTheme="minorEastAsia" w:hAnsiTheme="minorEastAsia" w:eastAsiaTheme="minorEastAsia" w:cstheme="minorEastAsia"/>
          <w:color w:val="auto"/>
          <w:sz w:val="44"/>
          <w:szCs w:val="44"/>
          <w:highlight w:val="none"/>
        </w:rPr>
        <w:t xml:space="preserve">年</w:t>
      </w:r>
      <w:r>
        <w:rPr>
          <w:rFonts w:hint="eastAsia" w:asciiTheme="minorEastAsia" w:hAnsiTheme="minorEastAsia" w:eastAsiaTheme="minorEastAsia" w:cstheme="minorEastAsia"/>
          <w:color w:val="auto"/>
          <w:sz w:val="44"/>
          <w:szCs w:val="44"/>
          <w:highlight w:val="none"/>
          <w:lang w:val="en-US" w:eastAsia="zh-CN"/>
        </w:rPr>
        <w:t xml:space="preserve">09</w:t>
      </w:r>
      <w:r>
        <w:rPr>
          <w:rFonts w:hint="eastAsia" w:asciiTheme="minorEastAsia" w:hAnsiTheme="minorEastAsia" w:eastAsiaTheme="minorEastAsia" w:cstheme="minorEastAsia"/>
          <w:color w:val="auto"/>
          <w:sz w:val="44"/>
          <w:szCs w:val="44"/>
          <w:highlight w:val="none"/>
        </w:rPr>
        <w:t xml:space="preserve">月</w:t>
      </w:r>
      <w:r>
        <w:rPr>
          <w:rFonts w:hint="eastAsia" w:asciiTheme="minorEastAsia" w:hAnsiTheme="minorEastAsia" w:eastAsiaTheme="minorEastAsia" w:cstheme="minorEastAsia"/>
          <w:color w:val="auto"/>
          <w:sz w:val="44"/>
          <w:szCs w:val="44"/>
          <w:highlight w:val="none"/>
          <w:lang w:val="en-US" w:eastAsia="zh-CN"/>
        </w:rPr>
        <w:t xml:space="preserve">23</w:t>
      </w:r>
      <w:r>
        <w:rPr>
          <w:rFonts w:hint="eastAsia" w:asciiTheme="minorEastAsia" w:hAnsiTheme="minorEastAsia" w:eastAsiaTheme="minorEastAsia" w:cstheme="minorEastAsia"/>
          <w:color w:val="auto"/>
          <w:sz w:val="44"/>
          <w:szCs w:val="44"/>
          <w:highlight w:val="none"/>
        </w:rPr>
        <w:t xml:space="preserve">日</w:t>
      </w:r>
      <w:r/>
    </w:p>
    <w:p>
      <w:pPr>
        <w:ind w:left="-158"/>
        <w:spacing w:line="500" w:lineRule="exact"/>
        <w:rPr>
          <w:rFonts w:hint="eastAsia" w:asciiTheme="minorEastAsia" w:hAnsiTheme="minorEastAsia" w:eastAsiaTheme="minorEastAsia" w:cstheme="minorEastAsia"/>
          <w:b/>
          <w:color w:val="auto"/>
          <w:sz w:val="26"/>
          <w:szCs w:val="28"/>
          <w:highlight w:val="none"/>
          <w:u w:val="single"/>
        </w:rPr>
      </w:pPr>
      <w:r>
        <w:rPr>
          <w:rFonts w:hint="eastAsia" w:asciiTheme="minorEastAsia" w:hAnsiTheme="minorEastAsia" w:eastAsiaTheme="minorEastAsia" w:cstheme="minorEastAsia"/>
          <w:b/>
          <w:color w:val="auto"/>
          <w:sz w:val="26"/>
          <w:szCs w:val="28"/>
          <w:highlight w:val="none"/>
          <w:u w:val="single"/>
        </w:rPr>
        <w:t xml:space="preserve">__________________________________________________________</w:t>
      </w:r>
      <w:r/>
    </w:p>
    <w:p>
      <w:pPr>
        <w:ind w:left="-158"/>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地址：</w:t>
      </w:r>
      <w:r>
        <w:rPr>
          <w:rFonts w:hint="eastAsia" w:asciiTheme="minorEastAsia" w:hAnsiTheme="minorEastAsia" w:eastAsiaTheme="minorEastAsia" w:cstheme="minorEastAsia"/>
          <w:color w:val="auto"/>
          <w:sz w:val="32"/>
          <w:szCs w:val="32"/>
          <w:highlight w:val="none"/>
          <w:lang w:val="en-US" w:eastAsia="zh-CN"/>
        </w:rPr>
        <w:t xml:space="preserve">启东市汇龙镇世纪大道1288号</w:t>
      </w:r>
      <w:r/>
    </w:p>
    <w:p>
      <w:pPr>
        <w:ind w:left="-158"/>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邮政编码：</w:t>
      </w:r>
      <w:r>
        <w:rPr>
          <w:rFonts w:hint="eastAsia" w:asciiTheme="minorEastAsia" w:hAnsiTheme="minorEastAsia" w:eastAsiaTheme="minorEastAsia" w:cstheme="minorEastAsia"/>
          <w:color w:val="auto"/>
          <w:sz w:val="32"/>
          <w:szCs w:val="32"/>
          <w:highlight w:val="none"/>
        </w:rPr>
        <w:t xml:space="preserve">226200</w:t>
      </w:r>
      <w:r/>
    </w:p>
    <w:p>
      <w:pPr>
        <w:ind w:left="-158" w:right="-601"/>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江苏政府采购网</w:t>
      </w:r>
      <w:r/>
    </w:p>
    <w:p>
      <w:pPr>
        <w:jc w:val="center"/>
        <w:widowControl/>
        <w:rPr>
          <w:rFonts w:hint="eastAsia"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32"/>
          <w:szCs w:val="32"/>
          <w:highlight w:val="none"/>
        </w:rPr>
        <w:br w:type="page" w:clear="all"/>
      </w:r>
      <w:r>
        <w:rPr>
          <w:rFonts w:hint="eastAsia" w:asciiTheme="minorEastAsia" w:hAnsiTheme="minorEastAsia" w:eastAsiaTheme="minorEastAsia" w:cstheme="minorEastAsia"/>
          <w:color w:val="auto"/>
          <w:sz w:val="44"/>
          <w:szCs w:val="44"/>
          <w:highlight w:val="none"/>
          <w:lang w:val="zh-CN"/>
        </w:rPr>
        <w:t xml:space="preserve">目 录</w:t>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第一部分  竞争性磋商公告</w:t>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第二部分  磋商须知</w:t>
      </w:r>
      <w:r/>
    </w:p>
    <w:p>
      <w:pPr>
        <w:ind w:firstLine="537"/>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第三部分  项目需求</w:t>
      </w:r>
      <w:r/>
    </w:p>
    <w:p>
      <w:pPr>
        <w:ind w:firstLine="537"/>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第四部分  评审方法和评审标准</w:t>
      </w:r>
      <w:r/>
    </w:p>
    <w:p>
      <w:pPr>
        <w:ind w:firstLine="556"/>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第五部分  响应文件格式</w:t>
      </w:r>
      <w:r/>
    </w:p>
    <w:p>
      <w:pPr>
        <w:spacing w:line="500" w:lineRule="exact"/>
        <w:tabs>
          <w:tab w:val="left" w:pos="7740" w:leader="none"/>
        </w:tabs>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r>
      <w:r/>
    </w:p>
    <w:p>
      <w:pPr>
        <w:spacing w:line="500" w:lineRule="exact"/>
        <w:tabs>
          <w:tab w:val="left" w:pos="7740" w:leader="none"/>
        </w:tabs>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pStyle w:val="736"/>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pStyle w:val="736"/>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pStyle w:val="736"/>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jc w:val="center"/>
        <w:spacing w:line="500" w:lineRule="exact"/>
        <w:rPr>
          <w:rFonts w:hint="eastAsia" w:asciiTheme="minorEastAsia" w:hAnsiTheme="minorEastAsia" w:eastAsiaTheme="minorEastAsia" w:cstheme="minorEastAsia"/>
          <w:b/>
          <w:bCs/>
          <w:color w:val="auto"/>
          <w:sz w:val="36"/>
          <w:szCs w:val="36"/>
          <w:highlight w:val="none"/>
          <w:lang w:val="zh-CN"/>
        </w:rPr>
      </w:pPr>
      <w:r>
        <w:rPr>
          <w:rFonts w:hint="eastAsia" w:asciiTheme="minorEastAsia" w:hAnsiTheme="minorEastAsia" w:eastAsiaTheme="minorEastAsia" w:cstheme="minorEastAsia"/>
          <w:b/>
          <w:bCs/>
          <w:color w:val="auto"/>
          <w:sz w:val="36"/>
          <w:szCs w:val="36"/>
          <w:highlight w:val="none"/>
          <w:lang w:val="zh-CN"/>
        </w:rPr>
      </w:r>
      <w:r/>
    </w:p>
    <w:p>
      <w:pPr>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br w:type="page" w:clear="all"/>
      </w:r>
      <w:r/>
    </w:p>
    <w:p>
      <w:pPr>
        <w:jc w:val="center"/>
        <w:spacing w:line="500" w:lineRule="exact"/>
        <w:rPr>
          <w:rFonts w:hint="eastAsia" w:asciiTheme="minorEastAsia" w:hAnsiTheme="minorEastAsia" w:eastAsiaTheme="minorEastAsia" w:cstheme="minorEastAsia"/>
          <w:color w:val="auto"/>
          <w:sz w:val="36"/>
          <w:szCs w:val="36"/>
          <w:highlight w:val="none"/>
        </w:rPr>
        <w:outlineLvl w:val="0"/>
      </w:pPr>
      <w:r>
        <w:rPr>
          <w:rFonts w:hint="eastAsia" w:asciiTheme="minorEastAsia" w:hAnsiTheme="minorEastAsia" w:eastAsiaTheme="minorEastAsia" w:cstheme="minorEastAsia"/>
          <w:color w:val="auto"/>
          <w:sz w:val="36"/>
          <w:szCs w:val="36"/>
          <w:highlight w:val="none"/>
          <w:lang w:val="zh-CN"/>
        </w:rPr>
        <w:t xml:space="preserve">第一部分  竞争性磋商公告</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受[启东市机关事务服务中心]的委托，就[</w:t>
      </w:r>
      <w:r>
        <w:rPr>
          <w:rFonts w:hint="eastAsia" w:asciiTheme="minorEastAsia" w:hAnsiTheme="minorEastAsia" w:eastAsiaTheme="minorEastAsia" w:cstheme="minorEastAsia"/>
          <w:color w:val="auto"/>
          <w:sz w:val="28"/>
          <w:szCs w:val="28"/>
          <w:highlight w:val="none"/>
          <w:lang w:val="en-US" w:eastAsia="zh-CN"/>
        </w:rPr>
        <w:t xml:space="preserve">启东市公共机构建筑能源审计和能耗基准值技术服务项目</w:t>
      </w: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JSZC-320681-HXTH-C2026-0039</w:t>
      </w:r>
      <w:r>
        <w:rPr>
          <w:rFonts w:hint="eastAsia" w:asciiTheme="minorEastAsia" w:hAnsiTheme="minorEastAsia" w:eastAsiaTheme="minorEastAsia" w:cstheme="minorEastAsia"/>
          <w:color w:val="auto"/>
          <w:sz w:val="28"/>
          <w:szCs w:val="28"/>
          <w:highlight w:val="none"/>
        </w:rPr>
        <w:t xml:space="preserve">）进行竞争性磋商采购，欢迎符合条件的供应商参加磋商。</w:t>
      </w:r>
      <w:r/>
    </w:p>
    <w:p>
      <w:pPr>
        <w:ind w:firstLine="560"/>
        <w:spacing w:line="500" w:lineRule="exact"/>
        <w:rPr>
          <w:rFonts w:hint="eastAsia" w:asciiTheme="minorEastAsia" w:hAnsiTheme="minorEastAsia" w:eastAsiaTheme="minorEastAsia" w:cstheme="minorEastAsia"/>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asciiTheme="minorEastAsia" w:hAnsiTheme="minorEastAsia" w:eastAsiaTheme="minorEastAsia" w:cstheme="minorEastAsia"/>
          <w:color w:val="auto"/>
          <w:sz w:val="28"/>
          <w:szCs w:val="28"/>
          <w:highlight w:val="none"/>
        </w:rPr>
        <w:t xml:space="preserve">项目概况</w:t>
      </w:r>
      <w:r/>
    </w:p>
    <w:p>
      <w:pPr>
        <w:ind w:firstLine="560"/>
        <w:spacing w:after="24" w:line="500" w:lineRule="exact"/>
        <w:rPr>
          <w:rFonts w:hint="eastAsia" w:asciiTheme="minorEastAsia" w:hAnsiTheme="minorEastAsia" w:eastAsiaTheme="minorEastAsia" w:cstheme="minorEastAsia"/>
          <w:b/>
          <w:color w:val="auto"/>
          <w:spacing w:val="7"/>
          <w:sz w:val="28"/>
          <w:szCs w:val="28"/>
          <w:highlight w:val="none"/>
        </w:rPr>
        <w:pBdr>
          <w:top w:val="single" w:color="auto" w:sz="4" w:space="1"/>
          <w:left w:val="single" w:color="auto" w:sz="4" w:space="1"/>
          <w:bottom w:val="single" w:color="auto" w:sz="4" w:space="1"/>
          <w:right w:val="single" w:color="auto" w:sz="4" w:space="4"/>
        </w:pBdr>
      </w:pPr>
      <w:r/>
      <w:bookmarkStart w:id="0" w:name="_Hlk194482126"/>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启东市公共机构建筑能源审计和能耗基准值技术服务项目</w:t>
      </w:r>
      <w:r>
        <w:rPr>
          <w:rFonts w:hint="eastAsia" w:asciiTheme="minorEastAsia" w:hAnsiTheme="minorEastAsia" w:eastAsiaTheme="minorEastAsia" w:cstheme="minorEastAsia"/>
          <w:color w:val="auto"/>
          <w:sz w:val="28"/>
          <w:szCs w:val="28"/>
          <w:highlight w:val="none"/>
        </w:rPr>
        <w:t xml:space="preserve">]的</w:t>
      </w:r>
      <w:bookmarkEnd w:id="0"/>
      <w:r>
        <w:rPr>
          <w:rFonts w:hint="eastAsia" w:asciiTheme="minorEastAsia" w:hAnsiTheme="minorEastAsia" w:eastAsiaTheme="minorEastAsia" w:cstheme="minorEastAsia"/>
          <w:color w:val="auto"/>
          <w:sz w:val="28"/>
          <w:szCs w:val="28"/>
          <w:highlight w:val="none"/>
        </w:rPr>
        <w:t xml:space="preserve">潜在供应商应在江苏政府采购网获取采购文件，并于</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10</w:t>
      </w:r>
      <w:r>
        <w:rPr>
          <w:rFonts w:hint="eastAsia" w:asciiTheme="minorEastAsia" w:hAnsiTheme="minorEastAsia" w:eastAsiaTheme="minorEastAsia" w:cstheme="minorEastAsia"/>
          <w:color w:val="auto"/>
          <w:sz w:val="28"/>
          <w:szCs w:val="28"/>
          <w:highlight w:val="none"/>
        </w:rPr>
        <w:t xml:space="preserve">月</w:t>
      </w:r>
      <w:bookmarkStart w:id="126" w:name="_GoBack"/>
      <w:r/>
      <w:bookmarkEnd w:id="126"/>
      <w:r>
        <w:rPr>
          <w:rFonts w:hint="eastAsia" w:asciiTheme="minorEastAsia" w:hAnsiTheme="minorEastAsia" w:eastAsiaTheme="minorEastAsia" w:cstheme="minorEastAsia"/>
          <w:color w:val="auto"/>
          <w:sz w:val="28"/>
          <w:szCs w:val="28"/>
          <w:highlight w:val="none"/>
          <w:lang w:val="en-US" w:eastAsia="zh-CN"/>
        </w:rPr>
        <w:t xml:space="preserve">14</w:t>
      </w:r>
      <w:r>
        <w:rPr>
          <w:rFonts w:hint="eastAsia" w:asciiTheme="minorEastAsia" w:hAnsiTheme="minorEastAsia" w:eastAsiaTheme="minorEastAsia" w:cstheme="minorEastAsia"/>
          <w:color w:val="auto"/>
          <w:sz w:val="28"/>
          <w:szCs w:val="28"/>
          <w:highlight w:val="none"/>
        </w:rPr>
        <w:t xml:space="preserve">日</w:t>
      </w:r>
      <w:r>
        <w:rPr>
          <w:rFonts w:hint="eastAsia" w:asciiTheme="minorEastAsia" w:hAnsiTheme="minorEastAsia" w:eastAsiaTheme="minorEastAsia" w:cstheme="minorEastAsia"/>
          <w:color w:val="auto"/>
          <w:sz w:val="28"/>
          <w:szCs w:val="28"/>
          <w:highlight w:val="none"/>
          <w:lang w:val="en-US" w:eastAsia="zh-CN"/>
        </w:rPr>
        <w:t xml:space="preserve">0</w:t>
      </w:r>
      <w:r>
        <w:rPr>
          <w:rFonts w:hint="eastAsia" w:asciiTheme="minorEastAsia" w:hAnsiTheme="minorEastAsia" w:eastAsiaTheme="minorEastAsia" w:cstheme="minorEastAsia"/>
          <w:color w:val="auto"/>
          <w:sz w:val="28"/>
          <w:szCs w:val="28"/>
          <w:highlight w:val="none"/>
        </w:rPr>
        <w:t xml:space="preserve">9点00分（北京时间）前提交响应文件。</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一、项目基本情况</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JSZC-320681-HXTH-C2026-0039</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 xml:space="preserve">  </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rPr>
          <w:rFonts w:hint="eastAsia" w:asciiTheme="minorEastAsia" w:hAnsiTheme="minorEastAsia" w:eastAsiaTheme="minorEastAsia" w:cstheme="minorEastAsia"/>
          <w:color w:val="auto"/>
          <w:sz w:val="28"/>
          <w:szCs w:val="28"/>
          <w:highlight w:val="none"/>
          <w:lang w:val="en-US" w:eastAsia="zh-CN"/>
        </w:rPr>
        <w:t xml:space="preserve">启东市公共机构建筑能源审计和能耗基准值技术服务项目</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项目类型：</w:t>
      </w:r>
      <w:r>
        <w:rPr>
          <w:rFonts w:hint="eastAsia" w:asciiTheme="minorEastAsia" w:hAnsiTheme="minorEastAsia" w:eastAsiaTheme="minorEastAsia" w:cstheme="minorEastAsia"/>
          <w:color w:val="auto"/>
          <w:sz w:val="28"/>
          <w:szCs w:val="28"/>
          <w:highlight w:val="none"/>
          <w:lang w:val="en-US" w:eastAsia="zh-CN"/>
        </w:rPr>
        <w:t xml:space="preserve">服务</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所属行业：</w:t>
      </w:r>
      <w:r>
        <w:rPr>
          <w:rFonts w:hint="eastAsia" w:asciiTheme="minorEastAsia" w:hAnsiTheme="minorEastAsia" w:eastAsiaTheme="minorEastAsia" w:cstheme="minorEastAsia"/>
          <w:color w:val="auto"/>
          <w:sz w:val="28"/>
          <w:szCs w:val="28"/>
          <w:highlight w:val="none"/>
          <w:lang w:val="en-US" w:eastAsia="zh-CN"/>
        </w:rPr>
        <w:t xml:space="preserve">其他未列明行业  </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预算金额：</w:t>
      </w:r>
      <w:r>
        <w:rPr>
          <w:rFonts w:hint="eastAsia" w:asciiTheme="minorEastAsia" w:hAnsiTheme="minorEastAsia" w:eastAsiaTheme="minorEastAsia" w:cstheme="minorEastAsia"/>
          <w:color w:val="auto"/>
          <w:sz w:val="28"/>
          <w:szCs w:val="28"/>
          <w:highlight w:val="none"/>
          <w:lang w:val="en-US" w:eastAsia="zh-CN"/>
        </w:rPr>
        <w:t xml:space="preserve">160</w:t>
      </w:r>
      <w:r>
        <w:rPr>
          <w:rFonts w:hint="eastAsia" w:asciiTheme="minorEastAsia" w:hAnsiTheme="minorEastAsia" w:eastAsiaTheme="minorEastAsia" w:cstheme="minorEastAsia"/>
          <w:color w:val="auto"/>
          <w:sz w:val="28"/>
          <w:szCs w:val="28"/>
          <w:highlight w:val="none"/>
        </w:rPr>
        <w:t xml:space="preserve">万元</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最高限价：</w:t>
      </w:r>
      <w:r>
        <w:rPr>
          <w:rFonts w:hint="eastAsia" w:asciiTheme="minorEastAsia" w:hAnsiTheme="minorEastAsia" w:eastAsiaTheme="minorEastAsia" w:cstheme="minorEastAsia"/>
          <w:color w:val="auto"/>
          <w:sz w:val="28"/>
          <w:szCs w:val="28"/>
          <w:highlight w:val="none"/>
          <w:lang w:val="en-US" w:eastAsia="zh-CN"/>
        </w:rPr>
        <w:t xml:space="preserve">单价0.35元/平方米 </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采购需求：详见磋商文件，请仔细研究。</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合同履行期限：详见磋商文件第三部分项目需求。</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本项目是否接受联合体响应：否。</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本项目是否接受分包：否。</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二、供应商的资格要求</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1.满足《中华人民共和国政府采购法》第二十二条规定。</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2.落实政府采购政策需满足的资格要求：</w:t>
      </w:r>
      <w:r>
        <w:rPr>
          <w:rFonts w:hint="eastAsia" w:asciiTheme="minorEastAsia" w:hAnsiTheme="minorEastAsia" w:eastAsiaTheme="minorEastAsia" w:cstheme="minorEastAsia"/>
          <w:color w:val="auto"/>
          <w:sz w:val="28"/>
          <w:szCs w:val="28"/>
          <w:highlight w:val="none"/>
          <w:u w:val="none"/>
        </w:rPr>
        <w:t xml:space="preserve">本项目属于非专门面向中小企业采购的项目，无落实政府采购政策需满足的资格要求</w:t>
      </w:r>
      <w:r>
        <w:rPr>
          <w:rFonts w:hint="eastAsia" w:asciiTheme="minorEastAsia" w:hAnsiTheme="minorEastAsia" w:eastAsiaTheme="minorEastAsia" w:cstheme="minorEastAsia"/>
          <w:bCs/>
          <w:color w:val="auto"/>
          <w:sz w:val="28"/>
          <w:szCs w:val="28"/>
          <w:highlight w:val="none"/>
          <w:u w:val="none"/>
        </w:rPr>
        <w:t xml:space="preserve">。</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eastAsiaTheme="minorEastAsia" w:cstheme="minorEastAsia"/>
          <w:b/>
          <w:bCs/>
          <w:color w:val="auto"/>
          <w:sz w:val="28"/>
          <w:szCs w:val="28"/>
          <w:highlight w:val="none"/>
        </w:rPr>
        <w:t xml:space="preserve">（响应文件中无需提供证明材料）</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三、获取采购文件</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时间：自本公告发布之日起5个工作日</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地点：江苏政府采购网（网上注册登记成功后系统内免费下载）</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方式：本项目采用网上注册登记方式。</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2.潜在供应商访问“苏采云”系统的网络地址和方法：“苏采云”系统的网址：http://jszfcg.jsczt.cn/。</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5.招标代理机构（采购代理机构）将数据电文形式的采购文件加载至“苏采云”系统，供潜在供应商下载或者查阅。</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注：如潜在供应商未按上述要求操作，将自行承担所产生的风险。</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四、提交响应文件截止时间、磋商时间和地点</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i/>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10</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14</w:t>
      </w:r>
      <w:r>
        <w:rPr>
          <w:rFonts w:hint="eastAsia" w:asciiTheme="minorEastAsia" w:hAnsiTheme="minorEastAsia" w:eastAsiaTheme="minorEastAsia" w:cstheme="minorEastAsia"/>
          <w:color w:val="auto"/>
          <w:sz w:val="28"/>
          <w:szCs w:val="28"/>
          <w:highlight w:val="none"/>
        </w:rPr>
        <w:t xml:space="preserve">日</w:t>
      </w:r>
      <w:r>
        <w:rPr>
          <w:rFonts w:hint="eastAsia" w:asciiTheme="minorEastAsia" w:hAnsiTheme="minorEastAsia" w:eastAsiaTheme="minorEastAsia" w:cstheme="minorEastAsia"/>
          <w:color w:val="auto"/>
          <w:sz w:val="28"/>
          <w:szCs w:val="28"/>
          <w:highlight w:val="none"/>
          <w:lang w:val="en-US" w:eastAsia="zh-CN"/>
        </w:rPr>
        <w:t xml:space="preserve">0</w:t>
      </w:r>
      <w:r>
        <w:rPr>
          <w:rFonts w:hint="eastAsia" w:asciiTheme="minorEastAsia" w:hAnsiTheme="minorEastAsia" w:eastAsiaTheme="minorEastAsia" w:cstheme="minorEastAsia"/>
          <w:color w:val="auto"/>
          <w:sz w:val="28"/>
          <w:szCs w:val="28"/>
          <w:highlight w:val="none"/>
        </w:rPr>
        <w:t xml:space="preserve">9点00分（北京时间）</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逾时，交易系统将拒绝接受上传响应文件电子文档。</w:t>
      </w:r>
      <w:r/>
    </w:p>
    <w:p>
      <w:pPr>
        <w:ind w:firstLine="562"/>
        <w:keepLines w:val="0"/>
        <w:keepNext w:val="0"/>
        <w:pageBreakBefore w:val="0"/>
        <w:spacing w:line="480" w:lineRule="atLeast"/>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2.线上开标地点：“苏采云”系统（网址：http://jszfcg.jsczt.cn/）“开标大厅”。</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i/>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3.响应文件的解密：开标当天各供应商及时登录不见面开标大厅，响应文件递交截止时间后，采购人将在系统内公布响应</w:t>
      </w:r>
      <w:r>
        <w:rPr>
          <w:rFonts w:hint="eastAsia" w:asciiTheme="minorEastAsia" w:hAnsiTheme="minorEastAsia" w:eastAsiaTheme="minorEastAsia" w:cstheme="minorEastAsia"/>
          <w:color w:val="auto"/>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五、公告期限</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自本公告发布之日起3个工作日。</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六、其他补充事宜</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1.响应保证金：免收</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3.项目演示、样品、答辩等：无。</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七、本次磋商联系方式</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1.采购人信息</w:t>
      </w:r>
      <w:r/>
    </w:p>
    <w:p>
      <w:pPr>
        <w:ind w:firstLine="560"/>
        <w:keepLines w:val="0"/>
        <w:keepNext w:val="0"/>
        <w:pageBreakBefore w:val="0"/>
        <w:spacing w:line="480" w:lineRule="atLeas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 称：</w:t>
      </w:r>
      <w:r>
        <w:rPr>
          <w:rFonts w:hint="eastAsia" w:ascii="宋体" w:hAnsi="宋体" w:cs="宋体"/>
          <w:color w:val="auto"/>
          <w:sz w:val="28"/>
          <w:szCs w:val="28"/>
          <w:highlight w:val="none"/>
          <w:lang w:eastAsia="zh-CN"/>
        </w:rPr>
        <w:t xml:space="preserve">启东市机关事务服务中心</w:t>
      </w:r>
      <w:r>
        <w:rPr>
          <w:rFonts w:hint="eastAsia" w:ascii="宋体" w:hAnsi="宋体" w:cs="宋体"/>
          <w:color w:val="auto"/>
          <w:sz w:val="28"/>
          <w:szCs w:val="28"/>
          <w:highlight w:val="none"/>
        </w:rPr>
        <w:t xml:space="preserve">　　　　　　　　</w:t>
      </w:r>
      <w:r/>
    </w:p>
    <w:p>
      <w:pPr>
        <w:ind w:firstLine="560"/>
        <w:keepLines w:val="0"/>
        <w:keepNext w:val="0"/>
        <w:pageBreakBefore w:val="0"/>
        <w:spacing w:line="480" w:lineRule="atLeas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址：启东市汇龙镇世纪大道1288号</w:t>
      </w:r>
      <w:r/>
    </w:p>
    <w:p>
      <w:pPr>
        <w:ind w:firstLine="560"/>
        <w:keepLines w:val="0"/>
        <w:keepNext w:val="0"/>
        <w:pageBreakBefore w:val="0"/>
        <w:spacing w:line="480" w:lineRule="atLeas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倪先生</w:t>
      </w:r>
      <w:r>
        <w:rPr>
          <w:rFonts w:hint="eastAsia" w:ascii="宋体" w:hAnsi="宋体" w:cs="宋体"/>
          <w:color w:val="auto"/>
          <w:sz w:val="28"/>
          <w:szCs w:val="28"/>
          <w:highlight w:val="none"/>
        </w:rPr>
        <w:t xml:space="preserve">　　　　　　　　　　</w:t>
      </w:r>
      <w:r/>
    </w:p>
    <w:p>
      <w:pPr>
        <w:ind w:firstLine="560"/>
        <w:keepLines w:val="0"/>
        <w:keepNext w:val="0"/>
        <w:pageBreakBefore w:val="0"/>
        <w:spacing w:line="480" w:lineRule="atLeas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lang w:val="en-US" w:eastAsia="zh-CN"/>
        </w:rPr>
        <w:t xml:space="preserve">0513-83327944</w:t>
      </w:r>
      <w:r>
        <w:rPr>
          <w:rFonts w:hint="eastAsia" w:ascii="宋体" w:hAnsi="宋体" w:cs="宋体"/>
          <w:color w:val="auto"/>
          <w:sz w:val="28"/>
          <w:szCs w:val="28"/>
          <w:highlight w:val="none"/>
        </w:rPr>
        <w:t xml:space="preserve">　</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ind w:firstLine="560"/>
        <w:keepLines w:val="0"/>
        <w:keepNext w:val="0"/>
        <w:pageBreakBefore w:val="0"/>
        <w:spacing w:line="480" w:lineRule="atLeas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2.采购代理机构</w:t>
      </w:r>
      <w:r/>
    </w:p>
    <w:p>
      <w:pPr>
        <w:ind w:firstLine="560"/>
        <w:keepLines w:val="0"/>
        <w:keepNext w:val="0"/>
        <w:pageBreakBefore w:val="0"/>
        <w:spacing w:line="480" w:lineRule="atLeas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名 称：江苏天宏华信工程投资管理咨询有限公司</w:t>
      </w:r>
      <w:r/>
    </w:p>
    <w:p>
      <w:pPr>
        <w:ind w:firstLine="560"/>
        <w:keepLines w:val="0"/>
        <w:keepNext w:val="0"/>
        <w:pageBreakBefore w:val="0"/>
        <w:spacing w:line="480" w:lineRule="atLeas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地  址：启东市南苑西路1168号国动产业园2号楼402室</w:t>
      </w:r>
      <w:r/>
    </w:p>
    <w:p>
      <w:pPr>
        <w:ind w:firstLine="560"/>
        <w:keepLines w:val="0"/>
        <w:keepNext w:val="0"/>
        <w:pageBreakBefore w:val="0"/>
        <w:spacing w:line="480" w:lineRule="atLeas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联系人：</w:t>
      </w:r>
      <w:r>
        <w:rPr>
          <w:rFonts w:hint="eastAsia" w:ascii="宋体" w:hAnsi="宋体" w:cs="宋体"/>
          <w:color w:val="auto"/>
          <w:sz w:val="28"/>
          <w:szCs w:val="28"/>
          <w:highlight w:val="none"/>
          <w:lang w:eastAsia="zh-CN"/>
        </w:rPr>
        <w:t xml:space="preserve">陈佩芬</w:t>
      </w:r>
      <w:r/>
    </w:p>
    <w:p>
      <w:pPr>
        <w:ind w:firstLine="560"/>
        <w:keepLines w:val="0"/>
        <w:keepNext w:val="0"/>
        <w:pageBreakBefore w:val="0"/>
        <w:spacing w:line="480" w:lineRule="atLeas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联系方式：0513-83248588</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3.软件技术支持</w:t>
      </w:r>
      <w:r/>
    </w:p>
    <w:p>
      <w:pPr>
        <w:ind w:firstLine="560"/>
        <w:keepLines w:val="0"/>
        <w:keepNext w:val="0"/>
        <w:pageBreakBefore w:val="0"/>
        <w:spacing w:line="480" w:lineRule="atLeas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交易系统软件维护人员：0519-86722801、0519-86722806。</w:t>
      </w:r>
      <w:r/>
    </w:p>
    <w:p>
      <w:pPr>
        <w:jc w:val="center"/>
        <w:spacing w:line="500" w:lineRule="exact"/>
        <w:rPr>
          <w:rFonts w:hint="eastAsia" w:asciiTheme="minorEastAsia" w:hAnsiTheme="minorEastAsia" w:eastAsiaTheme="minorEastAsia" w:cstheme="minorEastAsia"/>
          <w:color w:val="auto"/>
          <w:sz w:val="36"/>
          <w:szCs w:val="36"/>
          <w:highlight w:val="none"/>
          <w:lang w:val="zh-CN"/>
        </w:rPr>
        <w:outlineLvl w:val="0"/>
      </w:pPr>
      <w:r/>
      <w:bookmarkStart w:id="1" w:name="_Toc16938519"/>
      <w:r/>
      <w:bookmarkStart w:id="2" w:name="_Toc20823275"/>
      <w:r/>
      <w:bookmarkStart w:id="3" w:name="_Toc120614214"/>
      <w:r/>
      <w:bookmarkStart w:id="4" w:name="_Toc513029203"/>
      <w:r>
        <w:rPr>
          <w:rFonts w:hint="eastAsia" w:asciiTheme="minorEastAsia" w:hAnsiTheme="minorEastAsia" w:eastAsiaTheme="minorEastAsia" w:cstheme="minorEastAsia"/>
          <w:color w:val="auto"/>
          <w:szCs w:val="20"/>
          <w:highlight w:val="none"/>
        </w:rPr>
        <w:br w:type="page" w:clear="all"/>
      </w:r>
      <w:r>
        <w:rPr>
          <w:rFonts w:hint="eastAsia" w:asciiTheme="minorEastAsia" w:hAnsiTheme="minorEastAsia" w:eastAsiaTheme="minorEastAsia" w:cstheme="minorEastAsia"/>
          <w:color w:val="auto"/>
          <w:sz w:val="36"/>
          <w:szCs w:val="36"/>
          <w:highlight w:val="none"/>
          <w:lang w:val="zh-CN"/>
        </w:rPr>
        <w:t xml:space="preserve">第二部分  磋商须知</w:t>
      </w:r>
      <w:bookmarkEnd w:id="1"/>
      <w:bookmarkEnd w:id="2"/>
      <w:bookmarkEnd w:id="3"/>
      <w:bookmarkEnd w:id="4"/>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5" w:name="_Toc16938553"/>
      <w:r/>
      <w:bookmarkStart w:id="6" w:name="_Toc20823309"/>
      <w:r/>
      <w:bookmarkStart w:id="7" w:name="_Toc513029237"/>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 w:name="_Hlt16619475"/>
      <w:r/>
      <w:bookmarkEnd w:id="8"/>
      <w:r/>
      <w:bookmarkStart w:id="9" w:name="_Toc458694821"/>
      <w:r/>
      <w:bookmarkStart w:id="10" w:name="_Toc513029204"/>
      <w:r/>
      <w:bookmarkStart w:id="11" w:name="_Toc16938520"/>
      <w:r/>
      <w:bookmarkStart w:id="12" w:name="_Toc20823276"/>
      <w:r>
        <w:rPr>
          <w:rFonts w:hint="eastAsia" w:ascii="宋体" w:hAnsi="宋体" w:eastAsia="宋体" w:cs="宋体"/>
          <w:color w:val="auto"/>
          <w:sz w:val="28"/>
          <w:szCs w:val="28"/>
          <w:highlight w:val="none"/>
        </w:rPr>
        <w:t xml:space="preserve">1</w:t>
      </w:r>
      <w:bookmarkEnd w:id="9"/>
      <w:r>
        <w:rPr>
          <w:rFonts w:hint="eastAsia" w:ascii="宋体" w:hAnsi="宋体" w:eastAsia="宋体" w:cs="宋体"/>
          <w:color w:val="auto"/>
          <w:sz w:val="28"/>
          <w:szCs w:val="28"/>
          <w:highlight w:val="none"/>
        </w:rPr>
        <w:t xml:space="preserve">.采购方式</w:t>
      </w:r>
      <w:bookmarkEnd w:id="10"/>
      <w:r/>
      <w:bookmarkEnd w:id="11"/>
      <w:r/>
      <w:bookmarkEnd w:id="12"/>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513029205"/>
      <w:r/>
      <w:bookmarkStart w:id="14" w:name="_Toc20823277"/>
      <w:r/>
      <w:bookmarkStart w:id="15" w:name="_Toc16938521"/>
      <w:r>
        <w:rPr>
          <w:rFonts w:hint="eastAsia" w:ascii="宋体" w:hAnsi="宋体" w:eastAsia="宋体" w:cs="宋体"/>
          <w:color w:val="auto"/>
          <w:sz w:val="28"/>
          <w:szCs w:val="28"/>
          <w:highlight w:val="none"/>
        </w:rPr>
        <w:t xml:space="preserve">2.合格的</w:t>
      </w:r>
      <w:bookmarkEnd w:id="13"/>
      <w:r/>
      <w:bookmarkEnd w:id="14"/>
      <w:r/>
      <w:bookmarkEnd w:id="15"/>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16938522"/>
      <w:r/>
      <w:bookmarkStart w:id="17" w:name="_Toc20823278"/>
      <w:r/>
      <w:bookmarkStart w:id="18" w:name="_Toc513029206"/>
      <w:r>
        <w:rPr>
          <w:rFonts w:hint="eastAsia" w:ascii="宋体" w:hAnsi="宋体" w:eastAsia="宋体" w:cs="宋体"/>
          <w:color w:val="auto"/>
          <w:sz w:val="28"/>
          <w:szCs w:val="28"/>
          <w:highlight w:val="none"/>
        </w:rPr>
        <w:t xml:space="preserve">3.适用法律</w:t>
      </w:r>
      <w:bookmarkEnd w:id="16"/>
      <w:r/>
      <w:bookmarkEnd w:id="17"/>
      <w:r/>
      <w:bookmarkEnd w:id="18"/>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9" w:name="_Toc16938523"/>
      <w:r/>
      <w:bookmarkStart w:id="20" w:name="_Toc462564067"/>
      <w:r/>
      <w:bookmarkStart w:id="21" w:name="_Toc20823279"/>
      <w:r/>
      <w:bookmarkStart w:id="22" w:name="_Toc513029207"/>
      <w:r>
        <w:rPr>
          <w:rFonts w:hint="eastAsia" w:ascii="宋体" w:hAnsi="宋体" w:eastAsia="宋体" w:cs="宋体"/>
          <w:color w:val="auto"/>
          <w:sz w:val="28"/>
          <w:szCs w:val="28"/>
          <w:highlight w:val="none"/>
        </w:rPr>
        <w:t xml:space="preserve">4.磋商费用</w:t>
      </w:r>
      <w:bookmarkEnd w:id="19"/>
      <w:r/>
      <w:bookmarkEnd w:id="20"/>
      <w:r/>
      <w:bookmarkEnd w:id="21"/>
      <w:r/>
      <w:bookmarkEnd w:id="22"/>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3" w:name="_Toc20823281"/>
      <w:r/>
      <w:bookmarkStart w:id="24" w:name="_Toc120614215"/>
      <w:r/>
      <w:bookmarkStart w:id="25" w:name="_Toc513029209"/>
      <w:r/>
      <w:bookmarkStart w:id="26" w:name="_Toc16938525"/>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3"/>
      <w:r/>
      <w:bookmarkEnd w:id="24"/>
      <w:r/>
      <w:bookmarkEnd w:id="25"/>
      <w:r/>
      <w:bookmarkEnd w:id="26"/>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20823282"/>
      <w:r/>
      <w:bookmarkStart w:id="28" w:name="_Toc16938526"/>
      <w:r/>
      <w:bookmarkStart w:id="29" w:name="_Toc513029210"/>
      <w:r>
        <w:rPr>
          <w:rFonts w:hint="eastAsia" w:ascii="宋体" w:hAnsi="宋体" w:eastAsia="宋体" w:cs="宋体"/>
          <w:color w:val="auto"/>
          <w:sz w:val="28"/>
          <w:szCs w:val="28"/>
          <w:highlight w:val="none"/>
        </w:rPr>
        <w:t xml:space="preserve">1.磋商文件构成</w:t>
      </w:r>
      <w:bookmarkEnd w:id="27"/>
      <w:r/>
      <w:bookmarkEnd w:id="28"/>
      <w:r/>
      <w:bookmarkEnd w:id="2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0" w:name="_Toc20823283"/>
      <w:r/>
      <w:bookmarkStart w:id="31" w:name="_Toc16938527"/>
      <w:r/>
      <w:bookmarkStart w:id="32" w:name="_Toc513029211"/>
      <w:r/>
      <w:bookmarkStart w:id="33" w:name="_Toc462564070"/>
      <w:r>
        <w:rPr>
          <w:rFonts w:hint="eastAsia" w:ascii="宋体" w:hAnsi="宋体" w:eastAsia="宋体" w:cs="宋体"/>
          <w:color w:val="auto"/>
          <w:sz w:val="28"/>
          <w:szCs w:val="28"/>
          <w:highlight w:val="none"/>
        </w:rPr>
        <w:t xml:space="preserve">2.磋商文件的澄清</w:t>
      </w:r>
      <w:bookmarkEnd w:id="30"/>
      <w:r/>
      <w:bookmarkEnd w:id="31"/>
      <w:r/>
      <w:bookmarkEnd w:id="32"/>
      <w:r/>
      <w:bookmarkEnd w:id="3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4" w:name="_Toc16938528"/>
      <w:r/>
      <w:bookmarkStart w:id="35" w:name="_Toc462564071"/>
      <w:r/>
      <w:bookmarkStart w:id="36" w:name="_Toc513029212"/>
      <w:r/>
      <w:bookmarkStart w:id="37" w:name="_Toc20823284"/>
      <w:r>
        <w:rPr>
          <w:rFonts w:hint="eastAsia" w:ascii="宋体" w:hAnsi="宋体" w:eastAsia="宋体" w:cs="宋体"/>
          <w:color w:val="auto"/>
          <w:sz w:val="28"/>
          <w:szCs w:val="28"/>
          <w:highlight w:val="none"/>
        </w:rPr>
        <w:t xml:space="preserve">3.磋商文件的修改</w:t>
      </w:r>
      <w:bookmarkEnd w:id="34"/>
      <w:r/>
      <w:bookmarkEnd w:id="35"/>
      <w:r/>
      <w:bookmarkEnd w:id="36"/>
      <w:r/>
      <w:bookmarkEnd w:id="3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8" w:name="_Toc513029213"/>
      <w:r/>
      <w:bookmarkStart w:id="39" w:name="_Toc16938529"/>
      <w:r/>
      <w:bookmarkStart w:id="40" w:name="_Toc462564072"/>
      <w:r/>
      <w:bookmarkStart w:id="41" w:name="_Toc20823285"/>
      <w:r/>
      <w:bookmarkStart w:id="42" w:name="_Toc120614216"/>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8"/>
      <w:r/>
      <w:bookmarkEnd w:id="39"/>
      <w:r/>
      <w:bookmarkEnd w:id="40"/>
      <w:r/>
      <w:bookmarkEnd w:id="41"/>
      <w:r/>
      <w:bookmarkEnd w:id="42"/>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3" w:name="_Toc20823286"/>
      <w:r/>
      <w:bookmarkStart w:id="44" w:name="_Toc16938530"/>
      <w:r/>
      <w:bookmarkStart w:id="45" w:name="_Toc513029214"/>
      <w:r/>
      <w:bookmarkStart w:id="46" w:name="_Toc462564073"/>
      <w:r>
        <w:rPr>
          <w:rFonts w:hint="eastAsia" w:ascii="宋体" w:hAnsi="宋体" w:eastAsia="宋体" w:cs="宋体"/>
          <w:color w:val="auto"/>
          <w:sz w:val="28"/>
          <w:szCs w:val="28"/>
          <w:highlight w:val="none"/>
        </w:rPr>
        <w:t xml:space="preserve">1.响应文件的语言及度量衡单位</w:t>
      </w:r>
      <w:bookmarkEnd w:id="43"/>
      <w:r/>
      <w:bookmarkEnd w:id="44"/>
      <w:r/>
      <w:bookmarkEnd w:id="45"/>
      <w:r/>
      <w:bookmarkEnd w:id="4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7" w:name="_Toc513029215"/>
      <w:r/>
      <w:bookmarkStart w:id="48" w:name="_Toc20823287"/>
      <w:r/>
      <w:bookmarkStart w:id="49" w:name="_Toc462564074"/>
      <w:r/>
      <w:bookmarkStart w:id="50" w:name="_Toc16938531"/>
      <w:r>
        <w:rPr>
          <w:rFonts w:hint="eastAsia" w:ascii="宋体" w:hAnsi="宋体" w:eastAsia="宋体" w:cs="宋体"/>
          <w:color w:val="auto"/>
          <w:sz w:val="28"/>
          <w:szCs w:val="28"/>
          <w:highlight w:val="none"/>
        </w:rPr>
        <w:t xml:space="preserve">2.响应文件构成</w:t>
      </w:r>
      <w:bookmarkEnd w:id="47"/>
      <w:r/>
      <w:bookmarkEnd w:id="48"/>
      <w:r/>
      <w:bookmarkEnd w:id="49"/>
      <w:r/>
      <w:bookmarkEnd w:id="5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color w:val="auto"/>
          <w:sz w:val="28"/>
          <w:szCs w:val="28"/>
          <w:highlight w:val="none"/>
        </w:rPr>
      </w:pPr>
      <w:r/>
      <w:bookmarkStart w:id="51" w:name="_Hlt26954838"/>
      <w:r/>
      <w:bookmarkEnd w:id="51"/>
      <w:r/>
      <w:bookmarkStart w:id="52" w:name="_Hlt26670360"/>
      <w:r/>
      <w:bookmarkEnd w:id="52"/>
      <w:r/>
      <w:bookmarkStart w:id="53" w:name="_Hlt26668975"/>
      <w:r/>
      <w:bookmarkEnd w:id="53"/>
      <w:r/>
      <w:bookmarkStart w:id="54" w:name="_Toc49090511"/>
      <w:r/>
      <w:bookmarkStart w:id="55" w:name="_Toc14577360"/>
      <w:r>
        <w:rPr>
          <w:rFonts w:hint="eastAsia" w:ascii="宋体" w:hAnsi="宋体" w:eastAsia="宋体" w:cs="宋体"/>
          <w:color w:val="auto"/>
          <w:sz w:val="28"/>
          <w:szCs w:val="28"/>
          <w:highlight w:val="none"/>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56" w:name="_Toc14577355"/>
      <w:r/>
      <w:bookmarkStart w:id="57" w:name="_Toc49090508"/>
      <w:r>
        <w:rPr>
          <w:rFonts w:hint="eastAsia" w:ascii="宋体" w:hAnsi="宋体" w:eastAsia="宋体" w:cs="宋体"/>
          <w:color w:val="auto"/>
          <w:sz w:val="28"/>
          <w:szCs w:val="28"/>
          <w:highlight w:val="none"/>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3.2磋商文件对证明文件无明确形式要求的，证明文件可以以文字资料、图纸和数据等形式提交。</w:t>
      </w:r>
      <w:bookmarkEnd w:id="56"/>
      <w:bookmarkEnd w:id="57"/>
      <w:r/>
    </w:p>
    <w:p>
      <w:pPr>
        <w:pageBreakBefore w:val="0"/>
        <w:spacing w:line="500" w:lineRule="exact"/>
        <w:widowControl w:val="off"/>
        <w:rPr>
          <w:rFonts w:hint="eastAsia" w:ascii="宋体" w:hAnsi="宋体" w:eastAsia="宋体" w:cs="宋体"/>
          <w:color w:val="auto"/>
          <w:sz w:val="28"/>
          <w:szCs w:val="28"/>
          <w:highlight w:val="none"/>
        </w:rPr>
      </w:pPr>
      <w:r/>
      <w:bookmarkStart w:id="58" w:name="_Hlt26954842"/>
      <w:r/>
      <w:bookmarkEnd w:id="58"/>
      <w:r/>
      <w:bookmarkStart w:id="59" w:name="_Hlt26668983"/>
      <w:r/>
      <w:bookmarkEnd w:id="59"/>
      <w:r/>
      <w:bookmarkStart w:id="60" w:name="_Hlt26670425"/>
      <w:r/>
      <w:bookmarkEnd w:id="60"/>
      <w:r/>
      <w:bookmarkStart w:id="61" w:name="_Hlt26954848"/>
      <w:r/>
      <w:bookmarkEnd w:id="61"/>
      <w:r/>
      <w:bookmarkStart w:id="62" w:name="_Hlt26954844"/>
      <w:r/>
      <w:bookmarkEnd w:id="62"/>
      <w:r/>
      <w:bookmarkStart w:id="63" w:name="_Hlt26954846"/>
      <w:r/>
      <w:bookmarkEnd w:id="63"/>
      <w:r/>
      <w:bookmarkStart w:id="64" w:name="_Hlt26670403"/>
      <w:r/>
      <w:bookmarkEnd w:id="64"/>
      <w:r/>
      <w:bookmarkStart w:id="65" w:name="_Hlt26670486"/>
      <w:r/>
      <w:bookmarkEnd w:id="65"/>
      <w:r/>
      <w:bookmarkStart w:id="66" w:name="_Hlt26670482"/>
      <w:r/>
      <w:bookmarkEnd w:id="66"/>
      <w:r/>
      <w:bookmarkStart w:id="67" w:name="_Hlt26954731"/>
      <w:r/>
      <w:bookmarkEnd w:id="67"/>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.技术部分正负偏离表、商务部分正负偏离表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.2供应商可在磋商文件中提供认为需要的其他技术文件或说明。</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.磋商响应函和磋商报价表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.1供应商应按照磋商文件中提供的格式完整、正确填写磋商响应函、磋商报价表。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54"/>
      <w:r/>
      <w:bookmarkEnd w:id="55"/>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8" w:name="_Hlt26954739"/>
      <w:r/>
      <w:bookmarkEnd w:id="68"/>
      <w:r/>
      <w:bookmarkStart w:id="69" w:name="_Hlt26954852"/>
      <w:r/>
      <w:bookmarkEnd w:id="69"/>
      <w:r/>
      <w:bookmarkStart w:id="70" w:name="_Toc120614217"/>
      <w:r/>
      <w:bookmarkStart w:id="71" w:name="_Toc20823296"/>
      <w:r/>
      <w:bookmarkStart w:id="72" w:name="_Toc513029224"/>
      <w:r/>
      <w:bookmarkStart w:id="73" w:name="_Toc16938540"/>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70"/>
      <w:r/>
      <w:bookmarkEnd w:id="71"/>
      <w:r/>
      <w:bookmarkEnd w:id="72"/>
      <w:r/>
      <w:bookmarkEnd w:id="7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4" w:name="_Toc462564084"/>
      <w:r/>
      <w:bookmarkStart w:id="75" w:name="_Toc16938541"/>
      <w:r/>
      <w:bookmarkStart w:id="76" w:name="_Toc513029225"/>
      <w:r/>
      <w:bookmarkStart w:id="77" w:name="_Toc20823297"/>
      <w:r>
        <w:rPr>
          <w:rFonts w:hint="eastAsia" w:ascii="宋体" w:hAnsi="宋体" w:eastAsia="宋体" w:cs="宋体"/>
          <w:color w:val="auto"/>
          <w:sz w:val="28"/>
          <w:szCs w:val="28"/>
          <w:highlight w:val="none"/>
        </w:rPr>
        <w:t xml:space="preserve">1.响应文件</w:t>
      </w:r>
      <w:bookmarkEnd w:id="74"/>
      <w:r/>
      <w:bookmarkEnd w:id="75"/>
      <w:r/>
      <w:bookmarkEnd w:id="76"/>
      <w:r/>
      <w:bookmarkEnd w:id="77"/>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8" w:name="_Toc20823298"/>
      <w:r/>
      <w:bookmarkStart w:id="79" w:name="_Toc16938542"/>
      <w:r/>
      <w:bookmarkStart w:id="80" w:name="_Toc513029226"/>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8"/>
      <w:r/>
      <w:bookmarkEnd w:id="79"/>
      <w:r/>
      <w:bookmarkEnd w:id="80"/>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1" w:name="_Toc513029227"/>
      <w:r/>
      <w:bookmarkStart w:id="82" w:name="_Toc20823299"/>
      <w:r/>
      <w:bookmarkStart w:id="83" w:name="_Toc16938543"/>
      <w:r>
        <w:rPr>
          <w:rFonts w:hint="eastAsia" w:ascii="宋体" w:hAnsi="宋体" w:eastAsia="宋体" w:cs="宋体"/>
          <w:color w:val="auto"/>
          <w:sz w:val="28"/>
          <w:szCs w:val="28"/>
          <w:highlight w:val="none"/>
        </w:rPr>
        <w:t xml:space="preserve">3.响应文件</w:t>
      </w:r>
      <w:bookmarkEnd w:id="81"/>
      <w:r/>
      <w:bookmarkEnd w:id="82"/>
      <w:r/>
      <w:bookmarkEnd w:id="83"/>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4" w:name="_Toc20823300"/>
      <w:r/>
      <w:bookmarkStart w:id="85" w:name="_Toc16938544"/>
      <w:r/>
      <w:bookmarkStart w:id="86" w:name="_Toc513029228"/>
      <w:r>
        <w:rPr>
          <w:rFonts w:hint="eastAsia" w:ascii="宋体" w:hAnsi="宋体" w:eastAsia="宋体" w:cs="宋体"/>
          <w:color w:val="auto"/>
          <w:sz w:val="28"/>
          <w:szCs w:val="28"/>
          <w:highlight w:val="none"/>
        </w:rPr>
        <w:t xml:space="preserve">4.响应文件的撤回和修改</w:t>
      </w:r>
      <w:bookmarkEnd w:id="84"/>
      <w:r/>
      <w:bookmarkEnd w:id="85"/>
      <w:r/>
      <w:bookmarkEnd w:id="8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7" w:name="_Toc513029230"/>
      <w:r/>
      <w:bookmarkStart w:id="88" w:name="_Toc20823302"/>
      <w:r/>
      <w:bookmarkStart w:id="89" w:name="_Toc16938546"/>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%的，即投标（响应）报价&lt;全部通过符合性审查供应商投标（响应）报价平均值×</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%的，即投标（响应）报价&lt;通过符合性审查的次低报价供应商投标（响应）报价×</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%的，即投标（响应）报价&lt;采购项目最高限价×</w:t>
      </w:r>
      <w:r>
        <w:rPr>
          <w:rFonts w:hint="eastAsia" w:ascii="宋体" w:hAnsi="宋体" w:eastAsia="宋体" w:cs="宋体"/>
          <w:bCs/>
          <w:color w:val="auto"/>
          <w:sz w:val="28"/>
          <w:szCs w:val="28"/>
          <w:highlight w:val="none"/>
          <w:lang w:val="en-US" w:eastAsia="zh-CN"/>
        </w:rPr>
        <w:t xml:space="preserve">65</w:t>
      </w:r>
      <w:r>
        <w:rPr>
          <w:rFonts w:hint="eastAsia" w:ascii="宋体" w:hAnsi="宋体" w:eastAsia="宋体" w:cs="宋体"/>
          <w:bCs/>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7"/>
      <w:bookmarkEnd w:id="88"/>
      <w:bookmarkEnd w:id="89"/>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0" w:name="_Toc16938554"/>
      <w:r/>
      <w:bookmarkStart w:id="91" w:name="_Toc20823310"/>
      <w:r>
        <w:rPr>
          <w:rFonts w:hint="eastAsia" w:ascii="宋体" w:hAnsi="宋体" w:eastAsia="宋体" w:cs="宋体"/>
          <w:color w:val="auto"/>
          <w:sz w:val="28"/>
          <w:szCs w:val="28"/>
          <w:highlight w:val="none"/>
        </w:rPr>
        <w:t xml:space="preserve">1.确定</w:t>
      </w:r>
      <w:bookmarkEnd w:id="90"/>
      <w:r/>
      <w:bookmarkEnd w:id="91"/>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2"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2"/>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3" w:name="_Toc120614220"/>
      <w:r/>
      <w:bookmarkStart w:id="94" w:name="_Toc20823308"/>
      <w:r/>
      <w:bookmarkStart w:id="95" w:name="_Toc16938552"/>
      <w:r/>
      <w:bookmarkStart w:id="96" w:name="_Toc513029236"/>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3"/>
      <w:r/>
      <w:bookmarkEnd w:id="94"/>
      <w:bookmarkEnd w:id="95"/>
      <w:bookmarkEnd w:id="96"/>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731"/>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562"/>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bookmarkEnd w:id="5"/>
      <w:bookmarkEnd w:id="6"/>
      <w:bookmarkEnd w:id="7"/>
      <w:r/>
    </w:p>
    <w:p>
      <w:pPr>
        <w:jc w:val="center"/>
        <w:spacing w:line="500" w:lineRule="exact"/>
        <w:rPr>
          <w:rFonts w:hint="eastAsia" w:asciiTheme="minorEastAsia" w:hAnsiTheme="minorEastAsia" w:eastAsiaTheme="minorEastAsia" w:cstheme="minorEastAsia"/>
          <w:color w:val="auto"/>
          <w:sz w:val="36"/>
          <w:szCs w:val="36"/>
          <w:highlight w:val="none"/>
          <w:lang w:val="zh-CN"/>
        </w:rPr>
        <w:outlineLvl w:val="0"/>
      </w:pPr>
      <w:r>
        <w:rPr>
          <w:rFonts w:hint="eastAsia" w:asciiTheme="minorEastAsia" w:hAnsiTheme="minorEastAsia" w:eastAsiaTheme="minorEastAsia" w:cstheme="minorEastAsia"/>
          <w:b/>
          <w:color w:val="auto"/>
          <w:sz w:val="28"/>
          <w:szCs w:val="28"/>
          <w:highlight w:val="none"/>
        </w:rPr>
        <w:br w:type="page" w:clear="all"/>
      </w:r>
      <w:r>
        <w:rPr>
          <w:rFonts w:hint="eastAsia" w:asciiTheme="minorEastAsia" w:hAnsiTheme="minorEastAsia" w:eastAsiaTheme="minorEastAsia" w:cstheme="minorEastAsia"/>
          <w:color w:val="auto"/>
          <w:sz w:val="36"/>
          <w:szCs w:val="36"/>
          <w:highlight w:val="none"/>
          <w:lang w:val="zh-CN"/>
        </w:rPr>
        <w:t xml:space="preserve">第三部分  项目需求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pStyle w:val="739"/>
        <w:ind w:firstLine="562"/>
        <w:keepLines w:val="0"/>
        <w:keepNext w:val="0"/>
        <w:pageBreakBefore w:val="0"/>
        <w:spacing w:before="0" w:beforeAutospacing="0" w:after="0" w:afterAutospacing="0" w:line="500" w:lineRule="exact"/>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一、服务内容：</w:t>
      </w:r>
      <w:r/>
    </w:p>
    <w:p>
      <w:pPr>
        <w:pStyle w:val="739"/>
        <w:ind w:firstLine="560"/>
        <w:keepLines w:val="0"/>
        <w:keepNext w:val="0"/>
        <w:pageBreakBefore w:val="0"/>
        <w:spacing w:before="0" w:beforeAutospacing="0" w:after="0" w:afterAutospacing="0" w:line="50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为保障我市公共机构能源费用托管科学有序推进，现需开展全市约340家公共机</w:t>
      </w:r>
      <w:r>
        <w:rPr>
          <w:rFonts w:hint="eastAsia" w:asciiTheme="minorEastAsia" w:hAnsiTheme="minorEastAsia" w:eastAsiaTheme="minorEastAsia" w:cstheme="minorEastAsia"/>
          <w:color w:val="auto"/>
          <w:sz w:val="28"/>
          <w:szCs w:val="28"/>
          <w:highlight w:val="none"/>
          <w:lang w:val="en-US" w:eastAsia="zh-CN" w:bidi="ar-SA"/>
        </w:rPr>
        <w:t xml:space="preserve">构的能源基准核定、能源审计等工作。这些机构涉及约310个独立办公区，总建筑</w:t>
      </w:r>
      <w:r>
        <w:rPr>
          <w:rFonts w:hint="eastAsia" w:ascii="宋体" w:hAnsi="宋体" w:eastAsia="宋体" w:cs="宋体"/>
          <w:color w:val="auto"/>
          <w:sz w:val="28"/>
          <w:szCs w:val="28"/>
          <w:highlight w:val="none"/>
        </w:rPr>
        <w:t xml:space="preserve">面积约330万平方米。项目建筑能源审计对象为建筑用能，类型为水、电、天然气等。工作主要包括编制建筑能源审计报告、建筑能耗基准值报告、能源费用基准值核定报告以及后期能源绩效评估等工作。</w:t>
      </w:r>
      <w:r/>
    </w:p>
    <w:tbl>
      <w:tblPr>
        <w:tblStyle w:val="734"/>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52"/>
        <w:gridCol w:w="3681"/>
        <w:gridCol w:w="1820"/>
        <w:gridCol w:w="1382"/>
        <w:gridCol w:w="1692"/>
      </w:tblGrid>
      <w:tr>
        <w:trPr>
          <w:jc w:val="center"/>
          <w:trHeight w:val="90"/>
        </w:trPr>
        <w:tc>
          <w:tcPr>
            <w:tcW w:w="457"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75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类型</w:t>
            </w:r>
            <w:r/>
          </w:p>
        </w:tc>
        <w:tc>
          <w:tcPr>
            <w:tcW w:w="3681"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进度</w:t>
            </w:r>
            <w:r>
              <w:rPr>
                <w:rFonts w:hint="eastAsia" w:ascii="宋体" w:hAnsi="宋体" w:eastAsia="宋体" w:cs="宋体"/>
                <w:b/>
                <w:bCs/>
                <w:color w:val="auto"/>
                <w:sz w:val="24"/>
                <w:szCs w:val="24"/>
                <w:highlight w:val="none"/>
              </w:rPr>
              <w:t xml:space="preserve">要求</w:t>
            </w:r>
            <w:r/>
          </w:p>
        </w:tc>
        <w:tc>
          <w:tcPr>
            <w:tcW w:w="1820"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138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工作安排</w:t>
            </w:r>
            <w:r/>
          </w:p>
        </w:tc>
        <w:tc>
          <w:tcPr>
            <w:tcW w:w="169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90"/>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一级审计</w:t>
            </w:r>
            <w:r/>
          </w:p>
        </w:tc>
        <w:tc>
          <w:tcPr>
            <w:tcW w:w="3681"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对建筑面积</w:t>
            </w:r>
            <w:r>
              <w:rPr>
                <w:rFonts w:ascii="Arial" w:hAnsi="Arial" w:eastAsia="宋体" w:cs="Arial"/>
                <w:color w:val="auto"/>
                <w:sz w:val="24"/>
                <w:szCs w:val="24"/>
                <w:highlight w:val="none"/>
              </w:rPr>
              <w:t xml:space="preserve">≤</w:t>
            </w:r>
            <w:r>
              <w:rPr>
                <w:rFonts w:hint="eastAsia" w:ascii="宋体" w:hAnsi="宋体" w:eastAsia="宋体" w:cs="宋体"/>
                <w:color w:val="auto"/>
                <w:sz w:val="24"/>
                <w:szCs w:val="24"/>
                <w:highlight w:val="none"/>
              </w:rPr>
              <w:t xml:space="preserve">1万平方米的公共机构按照《公共建筑能源审计标准》（DB32/T 3751—2020）一级深度要求开展审计。完成相关公共机构能源数据收集与验证、能源消耗分析、排除不可托管对象，</w:t>
            </w:r>
            <w:r>
              <w:rPr>
                <w:rFonts w:hint="eastAsia" w:ascii="宋体" w:hAnsi="宋体" w:eastAsia="宋体" w:cs="宋体"/>
                <w:color w:val="auto"/>
                <w:sz w:val="24"/>
                <w:szCs w:val="24"/>
                <w:highlight w:val="none"/>
                <w:lang w:val="zh-CN"/>
              </w:rPr>
              <w:t xml:space="preserve">出具能源审计初步分析报告（供</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内部评议）</w:t>
            </w:r>
            <w:r>
              <w:rPr>
                <w:rFonts w:hint="eastAsia" w:ascii="宋体" w:hAnsi="宋体" w:eastAsia="宋体" w:cs="宋体"/>
                <w:color w:val="auto"/>
                <w:sz w:val="24"/>
                <w:szCs w:val="24"/>
                <w:highlight w:val="none"/>
              </w:rPr>
              <w:t xml:space="preserve">。</w:t>
            </w:r>
            <w:r/>
          </w:p>
        </w:tc>
        <w:tc>
          <w:tcPr>
            <w:tcW w:w="1820"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约230个独立办公区（包括机关办公建筑、学校建筑、医疗卫生建筑、公共场馆建筑等类型）</w:t>
            </w:r>
            <w:r/>
          </w:p>
        </w:tc>
        <w:tc>
          <w:tcPr>
            <w:tcW w:w="138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于2026年12月15日前全部完成</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采购人可根据一级审计结果决定是否调整列入按二级深度要求开展审计。</w:t>
            </w:r>
            <w:r/>
          </w:p>
        </w:tc>
      </w:tr>
      <w:tr>
        <w:trPr>
          <w:jc w:val="center"/>
          <w:trHeight w:val="3862"/>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二级审计</w:t>
            </w:r>
            <w:r/>
          </w:p>
        </w:tc>
        <w:tc>
          <w:tcPr>
            <w:tcW w:w="3681"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对建筑面积&gt;1万平方米的公共机构按照</w:t>
            </w:r>
            <w:r>
              <w:rPr>
                <w:rFonts w:ascii="宋体" w:hAnsi="宋体" w:eastAsia="宋体" w:cs="宋体"/>
                <w:color w:val="auto"/>
                <w:sz w:val="24"/>
                <w:szCs w:val="24"/>
                <w:highlight w:val="none"/>
              </w:rPr>
              <w:t xml:space="preserve">《公共建筑能源审计标准》（DB32/T 3751—2020）二级深度要求开展审计</w:t>
            </w:r>
            <w:r>
              <w:rPr>
                <w:rFonts w:hint="eastAsia" w:ascii="宋体" w:hAnsi="宋体" w:eastAsia="宋体" w:cs="宋体"/>
                <w:color w:val="auto"/>
                <w:sz w:val="24"/>
                <w:szCs w:val="24"/>
                <w:highlight w:val="none"/>
              </w:rPr>
              <w:t xml:space="preserve">。完成能源数据与建筑信息的精准采集、验证及能耗深度分析，界定能源边界，识别能耗关键影响因素。待一级审计和二级审计全部完成后，</w:t>
            </w:r>
            <w:r>
              <w:rPr>
                <w:rFonts w:hint="eastAsia" w:ascii="宋体" w:hAnsi="宋体" w:eastAsia="宋体" w:cs="宋体"/>
                <w:color w:val="auto"/>
                <w:sz w:val="24"/>
                <w:szCs w:val="24"/>
                <w:highlight w:val="none"/>
                <w:lang w:val="zh-CN"/>
              </w:rPr>
              <w:t xml:space="preserve">出具</w:t>
            </w:r>
            <w:r>
              <w:rPr>
                <w:rFonts w:hint="eastAsia" w:ascii="宋体" w:hAnsi="宋体" w:eastAsia="宋体" w:cs="宋体"/>
                <w:color w:val="auto"/>
                <w:sz w:val="24"/>
                <w:szCs w:val="24"/>
                <w:highlight w:val="none"/>
              </w:rPr>
              <w:t xml:space="preserve">全市各公共机构</w:t>
            </w:r>
            <w:r>
              <w:rPr>
                <w:rFonts w:hint="eastAsia" w:ascii="宋体" w:hAnsi="宋体" w:eastAsia="宋体" w:cs="宋体"/>
                <w:color w:val="auto"/>
                <w:sz w:val="24"/>
                <w:szCs w:val="24"/>
                <w:highlight w:val="none"/>
                <w:lang w:val="zh-CN"/>
              </w:rPr>
              <w:t xml:space="preserve">能源审计</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val="zh-CN"/>
              </w:rPr>
              <w:t xml:space="preserve">能耗基准值核定报告、</w:t>
            </w:r>
            <w:r>
              <w:rPr>
                <w:rFonts w:hint="eastAsia" w:ascii="宋体" w:hAnsi="宋体" w:eastAsia="宋体" w:cs="宋体"/>
                <w:color w:val="auto"/>
                <w:sz w:val="24"/>
                <w:szCs w:val="24"/>
                <w:highlight w:val="none"/>
              </w:rPr>
              <w:t xml:space="preserve">能源费用基准值核定报告和整市公共机构能源审计报告、能耗基准值核定报告和能源费用基准值核定报告。</w:t>
            </w:r>
            <w:r/>
          </w:p>
        </w:tc>
        <w:tc>
          <w:tcPr>
            <w:tcW w:w="1820"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约80个独立办公区（包括机关办公建筑、学校建筑、医疗卫生建筑、公共场馆建筑等类型）</w:t>
            </w:r>
            <w:r/>
          </w:p>
        </w:tc>
        <w:tc>
          <w:tcPr>
            <w:tcW w:w="138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于2026年12月30日前全部完成</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194"/>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提交报告</w:t>
            </w:r>
            <w:r/>
          </w:p>
        </w:tc>
        <w:tc>
          <w:tcPr>
            <w:tcW w:w="3681"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提交以上经专家评审通过的各项报告</w:t>
            </w:r>
            <w:r/>
          </w:p>
        </w:tc>
        <w:tc>
          <w:tcPr>
            <w:tcW w:w="1820"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8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于2027年1月15日前完成</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804"/>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能源绩效评估</w:t>
            </w:r>
            <w:r/>
          </w:p>
        </w:tc>
        <w:tc>
          <w:tcPr>
            <w:tcW w:w="3681"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在托管期内根据采购人需要，每年对能耗基准值的动态调整与运行绩效开展专项审计，并出具书面审定意见。托管期满前一个月，根据采购人需要出具项目总体评估报告。</w:t>
            </w:r>
            <w:r/>
          </w:p>
        </w:tc>
        <w:tc>
          <w:tcPr>
            <w:tcW w:w="1820" w:type="dxa"/>
            <w:vAlign w:val="center"/>
            <w:textDirection w:val="lrTb"/>
            <w:noWrap w:val="false"/>
          </w:tcPr>
          <w:p>
            <w:pPr>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所有独立办公区（包括机关办公建筑、学校建筑、医疗卫生建筑、公共场馆建筑等类型）</w:t>
            </w:r>
            <w:r/>
          </w:p>
        </w:tc>
        <w:tc>
          <w:tcPr>
            <w:tcW w:w="1382" w:type="dxa"/>
            <w:vAlign w:val="center"/>
            <w:textDirection w:val="lrTb"/>
            <w:noWrap w:val="false"/>
          </w:tcPr>
          <w:p>
            <w:pPr>
              <w:jc w:val="cente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整个合同期内</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033"/>
        </w:trPr>
        <w:tc>
          <w:tcPr>
            <w:tcW w:w="457"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3681"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配合主管部门完成项目验收工作及为主管部门提供信息咨询服务。</w:t>
            </w:r>
            <w:r/>
          </w:p>
        </w:tc>
        <w:tc>
          <w:tcPr>
            <w:tcW w:w="182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8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整个合同期内</w:t>
            </w:r>
            <w:r/>
          </w:p>
        </w:tc>
        <w:tc>
          <w:tcPr>
            <w:tcW w:w="1692" w:type="dxa"/>
            <w:vAlign w:val="center"/>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739"/>
        <w:ind w:firstLine="562"/>
        <w:keepLines w:val="0"/>
        <w:keepNext w:val="0"/>
        <w:pageBreakBefore w:val="0"/>
        <w:spacing w:before="0" w:beforeAutospacing="0" w:after="0" w:afterAutospacing="0" w:line="480" w:lineRule="exact"/>
        <w:widowControl/>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二、</w:t>
      </w:r>
      <w:r>
        <w:rPr>
          <w:rFonts w:hint="eastAsia" w:cs="宋体"/>
          <w:b/>
          <w:bCs/>
          <w:color w:val="auto"/>
          <w:sz w:val="28"/>
          <w:szCs w:val="28"/>
          <w:highlight w:val="none"/>
          <w:lang w:val="en-US" w:eastAsia="zh-CN"/>
        </w:rPr>
        <w:t xml:space="preserve">具体服务</w:t>
      </w:r>
      <w:r>
        <w:rPr>
          <w:rFonts w:hint="eastAsia" w:ascii="宋体" w:hAnsi="宋体" w:eastAsia="宋体" w:cs="宋体"/>
          <w:b/>
          <w:bCs/>
          <w:color w:val="auto"/>
          <w:sz w:val="28"/>
          <w:szCs w:val="28"/>
          <w:highlight w:val="none"/>
        </w:rPr>
        <w:t xml:space="preserve">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依据《整县（市、区）能源费用托管工作指引》文件要求，技术成果应包</w:t>
      </w:r>
      <w:r>
        <w:rPr>
          <w:rFonts w:hint="eastAsia" w:asciiTheme="minorEastAsia" w:hAnsiTheme="minorEastAsia" w:eastAsiaTheme="minorEastAsia" w:cstheme="minorEastAsia"/>
          <w:color w:val="auto"/>
          <w:sz w:val="28"/>
          <w:szCs w:val="28"/>
          <w:highlight w:val="none"/>
          <w:lang w:val="en-US" w:eastAsia="zh-CN" w:bidi="ar-SA"/>
        </w:rPr>
        <w:t xml:space="preserve">含整市公共机构能源审计报告、整市公共机构能耗基准值核定报告、整市公共机构能源费用基准值核定报告、各公共机构能耗基准值核定报告和能源审计报告以及建筑能源托管过程中的能源绩效评估报告等，成果应满足《公共建筑能源审计标准》（DB32/T3751-2020）、《公共机构能源审计技术导则》（GB/T31342-2014）、《公共机构能源费用托管实施规程》（JS/T301—2024）、《公共机构能耗定额及计算方法》（DB32/T4001—2025）和《公共机构能源托管规程》（DB32/T4446—2023）等相关规定。</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1.建筑能源审计技术要求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1.1能源审计范围</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我市约有340家公共机构，其中市级机关及下属事业单位约124家，乡镇（街道）、园区及下属事业单位约34家，教育机构约134家，医疗机构约40家，公共场馆约8家。分布在约310个独立办公区。</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1.2能源审计内容</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（1）能源管理现状：评估现有的能源管理制度和流程。</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建筑能源审计收集信息：建筑基本信息、用能人数数据、建筑使用特点、用能系统特点等基础信息，并对数据中心（设备、暖通空调、能耗及PUE）、食堂（主要设备及运营情况）、充电桩等特定功能区域的专项设备信息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（3）能源消耗情况：收集和分析各类能源（如电、水、气等）的消耗数据。建立能耗指标体系，进行建筑能耗指标对标工作。</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（4）能源计量与统计：检查能源计量设备的配备和使用情况，确保数据的准确性和完整性。</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（5）评估内容：评估主要用能设备（如空调系统、供配电系统、照明系统、供水系统、数据中心、食堂等重点用能部位）的运行状况及效率。</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（6）节能潜力分析：查找节能潜力，改进措施，出具节能改造方案。</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1.3报告要求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提供精准的能源审计报告，包括审计目的、依据、范围、内容、数据分析、结论和建议等。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2.能耗基准值技术要求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2.1基准值确定</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根据建筑使用特点，确定建筑能耗基准值的范围，精准验证并收集能耗数据，选择基准计算方法，建立基准计算模型，确定相应的能耗基准值。</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基准期选择：选择合适的基准期，并满足《公共机构能源费用托管实施规程》JS/T 301—2024的要求。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2.2数据支持</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提供详细的能耗数据和计算过程，确保基准值的准确性。对不同类型的建筑分别确定基准值。</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2.3其他要求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查找公共机构中的特殊能耗及特殊用能情况，识别并恰当处理关键影响因素，明确能耗基准值边界。</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3.服务要求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3.1人员资质</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技术团队应由相关经验的专业人员组成，包括建筑节能、能源管理、环境工程等领域的专家和工程技术人员。项目负责人应具有中级及以上职称或同等技术水平。</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3.2数据准确性和可靠性</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在能源审计过程中，确保数据采集的准确性和可靠性，采用科学的方法进行数据分析和评估。提供详细的审计报告和能耗基准值报告，报告内容应清晰明了，结论和建议应具有可操作性。</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3.3项目进度管理</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制定详细的工作计划，包括项目进度安排、关键节点及成果、质量控制措施等。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项目成果实施内部审核和外部评审，及时发现和解决问题。确保项目按时、保质完成。</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具体节点及要求如下：</w:t>
      </w:r>
      <w:r/>
    </w:p>
    <w:p>
      <w:pPr>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br w:type="page" w:clear="all"/>
      </w:r>
      <w:r/>
    </w:p>
    <w:p>
      <w:pPr>
        <w:pStyle w:val="740"/>
        <w:rPr>
          <w:rFonts w:hint="eastAsia"/>
          <w:color w:val="auto"/>
          <w:highlight w:val="none"/>
          <w:lang w:val="en-US" w:eastAsia="zh-CN"/>
        </w:rPr>
      </w:pPr>
      <w:r>
        <w:rPr>
          <w:rFonts w:hint="eastAsia"/>
          <w:color w:val="auto"/>
          <w:highlight w:val="none"/>
          <w:lang w:val="en-US" w:eastAsia="zh-CN"/>
        </w:rPr>
      </w:r>
      <w:r/>
    </w:p>
    <w:tbl>
      <w:tblPr>
        <w:tblStyle w:val="741"/>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5802"/>
      </w:tblGrid>
      <w:tr>
        <w:trPr>
          <w:jc w:val="center"/>
          <w:trHeight w:val="463"/>
        </w:trPr>
        <w:tc>
          <w:tcPr>
            <w:tcW w:w="2523"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时间节点</w:t>
            </w:r>
            <w:r/>
          </w:p>
        </w:tc>
        <w:tc>
          <w:tcPr>
            <w:tcW w:w="580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考核成果</w:t>
            </w:r>
            <w:r/>
          </w:p>
        </w:tc>
      </w:tr>
      <w:tr>
        <w:trPr>
          <w:jc w:val="center"/>
          <w:trHeight w:val="1000"/>
        </w:trPr>
        <w:tc>
          <w:tcPr>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2026年12月30日</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出具</w:t>
            </w:r>
            <w:r>
              <w:rPr>
                <w:rFonts w:hint="eastAsia" w:ascii="宋体" w:hAnsi="宋体" w:eastAsia="宋体" w:cs="宋体"/>
                <w:color w:val="auto"/>
                <w:sz w:val="24"/>
                <w:szCs w:val="24"/>
                <w:highlight w:val="none"/>
              </w:rPr>
              <w:t xml:space="preserve">全市各公共机构</w:t>
            </w:r>
            <w:r>
              <w:rPr>
                <w:rFonts w:hint="eastAsia" w:ascii="宋体" w:hAnsi="宋体" w:eastAsia="宋体" w:cs="宋体"/>
                <w:color w:val="auto"/>
                <w:sz w:val="24"/>
                <w:szCs w:val="24"/>
                <w:highlight w:val="none"/>
                <w:lang w:val="zh-CN"/>
              </w:rPr>
              <w:t xml:space="preserve">能源审计</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val="zh-CN"/>
              </w:rPr>
              <w:t xml:space="preserve">能耗基准值核定报告、</w:t>
            </w:r>
            <w:r>
              <w:rPr>
                <w:rFonts w:hint="eastAsia" w:ascii="宋体" w:hAnsi="宋体" w:eastAsia="宋体" w:cs="宋体"/>
                <w:color w:val="auto"/>
                <w:sz w:val="24"/>
                <w:szCs w:val="24"/>
                <w:highlight w:val="none"/>
              </w:rPr>
              <w:t xml:space="preserve">能源费用基准值核定报告和整市公共机构能源审计报告、能耗基准值核定报告和能源费用基准值核定报告。</w:t>
            </w:r>
            <w:r/>
          </w:p>
        </w:tc>
      </w:tr>
      <w:tr>
        <w:trPr>
          <w:jc w:val="center"/>
          <w:trHeight w:val="889"/>
        </w:trPr>
        <w:tc>
          <w:tcPr>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2027年1月15日前</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提交以上经专家评审通过的各项报告</w:t>
            </w:r>
            <w:r/>
          </w:p>
        </w:tc>
      </w:tr>
      <w:tr>
        <w:trPr>
          <w:jc w:val="center"/>
          <w:trHeight w:val="835"/>
        </w:trPr>
        <w:tc>
          <w:tcPr>
            <w:shd w:val="clear" w:color="auto" w:fill="auto"/>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托管期内</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按照《公共机构能源托管规程》（DB32/T4446-2023），根据采购人需要，对节能效果进行评估，并出具绩效评估报告。</w:t>
            </w:r>
            <w:r/>
          </w:p>
        </w:tc>
      </w:tr>
    </w:tbl>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3.4保密、档案与知识产权</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保密：服务期及服务结束后永久保密公共机构能耗、设备、运营内部资料，未经采购人书面许可不得向第三方泄露；泄密采购人有权追究经济及法律责任。</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知识产权：本项目产出全部报告、台账、数据、档案成果知识产权归采购人所有；中标人仅拥有署名权，项目结束必须完整移交全部原始资料，不得自留用于其他项目。</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档案归档：全套纸质档案（含确认单、评审意见、勘查资料）、电子档案完整移交，满足机关事务档案归档要求，支持巡察、审计调取查阅。</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4.服务质量要求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满足采购人对质量的要求。投标人应根据整个项目周期的工作计划，向采购人提交阶段性工作成果，确保服务质量。</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4.1能耗基准值和能源费用基准值核定报告</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（1）内容要求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需详细载明建筑基础信息，包括建筑名称、地址、类型（机关办公 / 学校 / 医疗卫生 / 公共场馆等）、建筑面积、建成年代、主要用能功能区分布。</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明确能源边界，涵盖用能区域（如所有楼层、附属设施）、能源类型（电、水、气、热等）、用能设备、用能人数、用能时间、用能方式、围护结构及计量范围（一级 / 二级 / 三级计量点覆盖情况）等。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采用审计基准日前连续36个月月度能耗数据；能源价格统计近 12 个月结算账单，取月度加权平均作为基准单价；水、电、气、热按月归集原始账单数据，账单优先取自能源供应单位结算凭证，无账单时采用校验合格计量仪表读数，所有原始数据需要被各公共机构书面确认。</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能耗分析需包括总能耗、单位面积能耗等指标，结合建筑功能特点分析能耗分布规律；对标行业基准值，识别节能潜力领域（如设备低效运行、管理疏漏等）。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能耗基准值确定需采用科学方法，并说明基准值的适用条件及调整规则。</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（2）交付标准：每份报告需经专家论证通过，经投标人技术负责人审核并签字确认，加盖单位公章。</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（3）时间要求：所有独立办公区的整体能源基准报告，须于2027年1月15日前完成并提交。</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4.2能源审计报告</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（1）内容要求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全面涵盖建筑能源管理体系检查（如能源管理制度、设备运行制度）、围护结构、用能系统（空调、照明、给排水等）运行效率分析、重点用能设备（锅炉、冷水机组等）分析。</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采用现场勘查（含设备参数核对、运行状态观测）、资料核查（能源账单、设备台账、运维记录）及必要测试（如红外测温、风量检测、电压检测、水压检测）相结合的方式，识别能源浪费问题（如跑冒滴漏、设备空载运行）。</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改进方案需包含技术路径（如更换变频水泵）、预期效果等。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（2）交付标准：审计报告满足应当按照《公共机构能源审计技术导则》（GB/T 31342）、《公共建筑能源审计标准》（DB32/T 3751—2020）的有关规定执行。包含审计建筑概况、能源资源管理状况、能源资源计量及统计状况、能耗分析、能源资源利用系统分析、节能效果及潜力分析、审计结论及佐证材料。</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时间要求：按照采购人要求，须于2027年1月15日完成所有独立办公区能源审计，如因项目实际情况或采购人需求发生变化，采购人有权要求调整审计进度。中标人应根据采购人要求，相应修订审计服务计划并报请采购人审核确认后执行。</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4.3能源绩效评估报告</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（1）内容要求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需全面评估整个托管周期的能源绩效，包括总节能量、节能率、能源费用节约额、节能改造及设备更新投入情况、设备完好率、管理措施有效性等，对比托管合同目标值，分析偏差原因（如政策变动、市场因素），提出后续能源管理建议。</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（2）交付标准：报告需符合江苏省相关规定要求，包含评估背景、项目概况、数据来源、指标计算、对比分析、结论建议等，附改造前后能耗曲线、合同条款对照表等。</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（3）时间要求：在托管期内根据采购人需要，每年对能耗基准值的动态调整与运行绩效开展专项审计，并出具书面审定意见。托管期满前一个月，根据采购人需要出具项目总体评估报告。</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4.4其他服务</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（1）配合验收</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中标人负责提供验收所需的全部资料（含报告、数据及证明材料），并协助采购人召开验收会，包括汇报、答疑及按专家意见整改，确保项目符合江苏省相关验收标准，同时协助完成能源托管服务的相关验收工作。</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（2）信息咨询服务</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为采购人提供能源审计、托管相关政策解读（如最新行业标准、补贴政策）、技术咨询（如节能设备选型建议）、数据统计分析等，响应方式包括书面回复（2个工作日内）、现场讲解（提前3个工作日准备）。</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（3）交付与响应要求</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验收配合无额外费用，需全程跟进直至项目通过验收。</w:t>
      </w:r>
      <w:r/>
    </w:p>
    <w:p>
      <w:pPr>
        <w:pStyle w:val="739"/>
        <w:ind w:firstLine="562"/>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b/>
          <w:bCs/>
          <w:color w:val="auto"/>
          <w:sz w:val="28"/>
          <w:szCs w:val="28"/>
          <w:highlight w:val="none"/>
          <w:lang w:val="en-US" w:eastAsia="zh-CN" w:bidi="ar-SA"/>
        </w:rPr>
      </w:pPr>
      <w:r>
        <w:rPr>
          <w:rFonts w:hint="eastAsia" w:asciiTheme="minorEastAsia" w:hAnsiTheme="minorEastAsia" w:eastAsiaTheme="minorEastAsia" w:cstheme="minorEastAsia"/>
          <w:b/>
          <w:bCs/>
          <w:color w:val="auto"/>
          <w:sz w:val="28"/>
          <w:szCs w:val="28"/>
          <w:highlight w:val="none"/>
          <w:lang w:val="en-US" w:eastAsia="zh-CN" w:bidi="ar-SA"/>
        </w:rPr>
        <w:t xml:space="preserve">二、服务期限及地点</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1、服务期限：合同期限为10至15年，具体以最后一个公共机构的能源费用托管期结束之日为准，届时合同自动终止。（根据采购人实际需求调整）</w:t>
      </w:r>
      <w:r/>
    </w:p>
    <w:p>
      <w:pPr>
        <w:pStyle w:val="739"/>
        <w:ind w:firstLine="56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2.服务地点：采购人指定地点。</w:t>
      </w:r>
      <w:r/>
    </w:p>
    <w:p>
      <w:pPr>
        <w:pStyle w:val="739"/>
        <w:ind w:firstLine="562"/>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b/>
          <w:bCs/>
          <w:color w:val="auto"/>
          <w:sz w:val="28"/>
          <w:szCs w:val="28"/>
          <w:highlight w:val="none"/>
          <w:lang w:val="en-US" w:eastAsia="zh-CN" w:bidi="ar-SA"/>
        </w:rPr>
        <w:t xml:space="preserve">三、验收标准：</w:t>
      </w:r>
      <w:r>
        <w:rPr>
          <w:rFonts w:hint="eastAsia" w:asciiTheme="minorEastAsia" w:hAnsiTheme="minorEastAsia" w:eastAsiaTheme="minorEastAsia" w:cstheme="minorEastAsia"/>
          <w:color w:val="auto"/>
          <w:sz w:val="28"/>
          <w:szCs w:val="28"/>
          <w:highlight w:val="none"/>
          <w:lang w:val="en-US" w:eastAsia="zh-CN" w:bidi="ar-SA"/>
        </w:rPr>
        <w:t xml:space="preserve">采购人根据国家有关规定、招投标文件以及合同约定的内容组织验收。</w:t>
      </w:r>
      <w:r/>
    </w:p>
    <w:p>
      <w:pPr>
        <w:ind w:firstLine="562"/>
        <w:keepLines w:val="0"/>
        <w:keepNext w:val="0"/>
        <w:pageBreakBefore w:val="0"/>
        <w:spacing w:line="560" w:lineRule="exact"/>
        <w:rPr>
          <w:rFonts w:hint="eastAsia" w:ascii="宋体" w:hAnsi="宋体" w:eastAsia="宋体" w:cs="宋体"/>
          <w:b/>
          <w:bCs/>
          <w:color w:val="auto"/>
          <w:sz w:val="28"/>
          <w:szCs w:val="28"/>
          <w:highlight w:val="none"/>
          <w:lang w:val="zh-CN" w:eastAsia="zh-CN"/>
        </w:rPr>
      </w:pP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zh-CN" w:eastAsia="zh-CN"/>
        </w:rPr>
        <w:t xml:space="preserve">报价要求</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本合同采用固定单价合同，综合单价包含但不限于招标范围内的所有任务以及完成上述服务内容所必须的设施、材料、技术、劳务、交通、差旅、现场踏勘、现场跟踪、数据采集、报告编制费用、全周期咨询、验收配合、会务费、专家服务及评审费、管理费及相关费用、利润、措施费以及应由供应商支付的规费及税金等一切费用。供应商报价时应充分考虑现场环境以及国家政策性调整等风险因素，在合同实施期间，总价不随国家政策或法规、标准及市场因素的变化而进行调整</w:t>
      </w:r>
      <w:r>
        <w:rPr>
          <w:rFonts w:hint="eastAsia" w:asciiTheme="minorEastAsia" w:hAnsiTheme="minorEastAsia" w:eastAsiaTheme="minorEastAsia" w:cstheme="minorEastAsia"/>
          <w:color w:val="auto"/>
          <w:sz w:val="28"/>
          <w:szCs w:val="28"/>
          <w:highlight w:val="none"/>
          <w:lang w:val="zh-CN" w:eastAsia="zh-CN" w:bidi="ar-SA"/>
        </w:rPr>
        <w:t xml:space="preserve">。</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五</w:t>
      </w:r>
      <w:r>
        <w:rPr>
          <w:rFonts w:hint="eastAsia" w:asciiTheme="minorEastAsia" w:hAnsiTheme="minorEastAsia" w:eastAsiaTheme="minorEastAsia" w:cstheme="minorEastAsia"/>
          <w:b/>
          <w:bCs/>
          <w:color w:val="auto"/>
          <w:sz w:val="28"/>
          <w:szCs w:val="28"/>
          <w:highlight w:val="none"/>
        </w:rPr>
        <w:t xml:space="preserve">、采购标的的其他技术、服务等要求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六</w:t>
      </w:r>
      <w:r>
        <w:rPr>
          <w:rFonts w:hint="eastAsia" w:asciiTheme="minorEastAsia" w:hAnsiTheme="minorEastAsia" w:eastAsiaTheme="minorEastAsia" w:cstheme="minorEastAsia"/>
          <w:b/>
          <w:bCs/>
          <w:color w:val="auto"/>
          <w:sz w:val="28"/>
          <w:szCs w:val="28"/>
          <w:highlight w:val="none"/>
        </w:rPr>
        <w:t xml:space="preserve">、付款方式</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一级和二级审计结束后，凭专家论证通过的整市公共机构能源审计报告、整市公共机构能耗基准值核定报告和能源费用基准值核定报告，付至合同总金额的90%</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lang w:val="en-US" w:eastAsia="zh-CN"/>
        </w:rPr>
        <w:t xml:space="preserve">剩余10%待完成整市公共机构节能效果评估，提交最后一份项目总体评估报告后付清</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（备注：对满足合同支付条件的，采购人应当自收到发票后30日内支付资金）</w:t>
      </w:r>
      <w:r/>
    </w:p>
    <w:p>
      <w:pPr>
        <w:ind w:firstLine="562"/>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rPr>
        <w:t xml:space="preserve">合同总金额 = （一级审计总建筑面积×中标单价×30%）+（二</w:t>
      </w:r>
      <w:r>
        <w:rPr>
          <w:rFonts w:hint="eastAsia" w:asciiTheme="minorEastAsia" w:hAnsiTheme="minorEastAsia" w:eastAsiaTheme="minorEastAsia" w:cstheme="minorEastAsia"/>
          <w:b/>
          <w:bCs/>
          <w:color w:val="auto"/>
          <w:sz w:val="28"/>
          <w:szCs w:val="28"/>
          <w:highlight w:val="none"/>
          <w:lang w:val="en-US" w:eastAsia="zh-CN"/>
        </w:rPr>
        <w:t xml:space="preserve">级审计总建筑面积×中标单价×100%）。</w:t>
      </w:r>
      <w:r/>
    </w:p>
    <w:p>
      <w:pPr>
        <w:ind w:firstLine="562"/>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注明：</w:t>
      </w:r>
      <w:r/>
    </w:p>
    <w:p>
      <w:pPr>
        <w:numPr>
          <w:ilvl w:val="0"/>
          <w:numId w:val="0"/>
        </w:numPr>
        <w:ind w:left="559" w:firstLine="0"/>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bidi="ar-SA"/>
        </w:rPr>
        <w:t xml:space="preserve">1.</w:t>
      </w:r>
      <w:r>
        <w:rPr>
          <w:rFonts w:hint="eastAsia" w:asciiTheme="minorEastAsia" w:hAnsiTheme="minorEastAsia" w:eastAsiaTheme="minorEastAsia" w:cstheme="minorEastAsia"/>
          <w:b/>
          <w:bCs/>
          <w:color w:val="auto"/>
          <w:sz w:val="28"/>
          <w:szCs w:val="28"/>
          <w:highlight w:val="none"/>
          <w:lang w:val="en-US" w:eastAsia="zh-CN"/>
        </w:rPr>
        <w:t xml:space="preserve">同一公共机构，一级审计和二级审计不重复计费，以高者计费。2.由于全市公共机构建筑总面积尚未精准确定，应以审计结果为</w:t>
      </w:r>
      <w:r/>
    </w:p>
    <w:p>
      <w:pPr>
        <w:numPr>
          <w:ilvl w:val="0"/>
          <w:numId w:val="0"/>
        </w:numPr>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准。</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七</w:t>
      </w:r>
      <w:r>
        <w:rPr>
          <w:rFonts w:hint="eastAsia" w:asciiTheme="minorEastAsia" w:hAnsiTheme="minorEastAsia" w:eastAsiaTheme="minorEastAsia" w:cstheme="minorEastAsia"/>
          <w:b/>
          <w:bCs/>
          <w:color w:val="auto"/>
          <w:sz w:val="28"/>
          <w:szCs w:val="28"/>
          <w:highlight w:val="none"/>
        </w:rPr>
        <w:t xml:space="preserve">、履约保证金</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2.成交供应商全部履约合同义务，经采购单位验收合格无质量、进度等问题的，采购人在验收合格后一次性无息退还履约保证金，采购人若逾期退还履约保证金的，按照逾期部分的每日0.05%支付违约金。</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3.发生以下情况的，履约保证金不予退还或部分退还：</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Theme="minorEastAsia" w:hAnsiTheme="minorEastAsia" w:eastAsiaTheme="minorEastAsia" w:cstheme="minorEastAsia"/>
          <w:b/>
          <w:bCs w:val="0"/>
          <w:color w:val="auto"/>
          <w:sz w:val="28"/>
          <w:szCs w:val="28"/>
          <w:highlight w:val="none"/>
          <w:lang w:eastAsia="zh-CN"/>
        </w:rPr>
      </w:pPr>
      <w:r>
        <w:rPr>
          <w:rFonts w:hint="eastAsia" w:asciiTheme="minorEastAsia" w:hAnsiTheme="minorEastAsia" w:eastAsiaTheme="minorEastAsia" w:cstheme="minorEastAsia"/>
          <w:b/>
          <w:bCs w:val="0"/>
          <w:color w:val="auto"/>
          <w:sz w:val="28"/>
          <w:szCs w:val="28"/>
          <w:highlight w:val="none"/>
          <w:lang w:val="en-US" w:eastAsia="zh-CN"/>
        </w:rPr>
        <w:t xml:space="preserve">八</w:t>
      </w:r>
      <w:r>
        <w:rPr>
          <w:rFonts w:hint="eastAsia" w:asciiTheme="minorEastAsia" w:hAnsiTheme="minorEastAsia" w:eastAsiaTheme="minorEastAsia" w:cstheme="minorEastAsia"/>
          <w:b/>
          <w:bCs w:val="0"/>
          <w:color w:val="auto"/>
          <w:sz w:val="28"/>
          <w:szCs w:val="28"/>
          <w:highlight w:val="none"/>
        </w:rPr>
        <w:t xml:space="preserve">、本项目（不接受）进口产品参与</w:t>
      </w:r>
      <w:r>
        <w:rPr>
          <w:rFonts w:hint="eastAsia" w:asciiTheme="minorEastAsia" w:hAnsiTheme="minorEastAsia" w:eastAsiaTheme="minorEastAsia" w:cstheme="minorEastAsia"/>
          <w:b/>
          <w:bCs w:val="0"/>
          <w:color w:val="auto"/>
          <w:sz w:val="28"/>
          <w:szCs w:val="28"/>
          <w:highlight w:val="none"/>
          <w:lang w:eastAsia="zh-CN"/>
        </w:rPr>
        <w:t xml:space="preserve">。</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val="en-US" w:eastAsia="zh-CN"/>
        </w:rPr>
        <w:t xml:space="preserve">九</w:t>
      </w:r>
      <w:r>
        <w:rPr>
          <w:rFonts w:hint="eastAsia" w:asciiTheme="minorEastAsia" w:hAnsiTheme="minorEastAsia" w:eastAsiaTheme="minorEastAsia" w:cstheme="minorEastAsia"/>
          <w:b/>
          <w:bCs w:val="0"/>
          <w:color w:val="auto"/>
          <w:sz w:val="28"/>
          <w:szCs w:val="28"/>
          <w:highlight w:val="none"/>
        </w:rPr>
        <w:t xml:space="preserve">、合同条款</w:t>
      </w:r>
      <w:r/>
    </w:p>
    <w:p>
      <w:pPr>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委托方（甲方）：</w:t>
      </w:r>
      <w:r>
        <w:rPr>
          <w:rFonts w:hint="eastAsia" w:ascii="宋体" w:hAnsi="宋体" w:eastAsia="宋体" w:cs="宋体"/>
          <w:b/>
          <w:bCs/>
          <w:color w:val="auto"/>
          <w:sz w:val="24"/>
          <w:szCs w:val="24"/>
          <w:highlight w:val="none"/>
          <w:u w:val="single"/>
          <w:lang w:val="en-US" w:eastAsia="zh-CN"/>
        </w:rPr>
        <w:t xml:space="preserve">启东市机关事务服务中心 </w:t>
      </w:r>
      <w:r>
        <w:rPr>
          <w:rFonts w:hint="eastAsia" w:ascii="宋体" w:hAnsi="宋体" w:eastAsia="宋体" w:cs="宋体"/>
          <w:b/>
          <w:bCs/>
          <w:color w:val="auto"/>
          <w:sz w:val="24"/>
          <w:szCs w:val="24"/>
          <w:highlight w:val="none"/>
          <w:lang w:val="en-US" w:eastAsia="zh-CN"/>
        </w:rPr>
        <w:t xml:space="preserve">   </w:t>
      </w:r>
      <w:r/>
    </w:p>
    <w:p>
      <w:pPr>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受托方（乙方）：</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p>
      <w:pPr>
        <w:pStyle w:val="743"/>
        <w:ind w:left="0" w:right="0" w:firstLine="480"/>
        <w:jc w:val="left"/>
        <w:keepLines w:val="0"/>
        <w:keepNext w:val="0"/>
        <w:pageBreakBefore w:val="0"/>
        <w:spacing w:before="0" w:after="0" w:line="500" w:lineRule="exact"/>
        <w:shd w:val="clear" w:color="auto" w:fill="auto"/>
        <w:widowControl w:val="off"/>
        <w:rPr>
          <w:rFonts w:hint="eastAsia" w:ascii="宋体" w:hAnsi="宋体" w:eastAsia="宋体" w:cs="宋体"/>
          <w:color w:val="auto"/>
          <w:sz w:val="24"/>
          <w:szCs w:val="24"/>
          <w:highlight w:val="none"/>
        </w:rPr>
      </w:pPr>
      <w:r/>
      <w:bookmarkStart w:id="97" w:name="_Toc19273"/>
      <w:r/>
      <w:bookmarkStart w:id="98" w:name="_Toc28855"/>
      <w:r/>
      <w:bookmarkStart w:id="99" w:name="_Toc22967"/>
      <w:r/>
      <w:bookmarkStart w:id="100" w:name="_Toc20421"/>
      <w:r/>
      <w:bookmarkStart w:id="101" w:name="_Toc15367"/>
      <w:r>
        <w:rPr>
          <w:rFonts w:hint="eastAsia" w:ascii="宋体" w:hAnsi="宋体" w:eastAsia="宋体" w:cs="宋体"/>
          <w:color w:val="auto"/>
          <w:spacing w:val="0"/>
          <w:position w:val="0"/>
          <w:sz w:val="24"/>
          <w:szCs w:val="24"/>
          <w:highlight w:val="none"/>
        </w:rPr>
        <w:t xml:space="preserve">甲、乙双方根据</w:t>
      </w:r>
      <w:r>
        <w:rPr>
          <w:rFonts w:hint="eastAsia" w:cs="宋体"/>
          <w:color w:val="auto"/>
          <w:spacing w:val="0"/>
          <w:position w:val="0"/>
          <w:sz w:val="24"/>
          <w:szCs w:val="24"/>
          <w:highlight w:val="none"/>
          <w:u w:val="single"/>
          <w:lang w:val="en-US" w:eastAsia="zh-CN"/>
        </w:rPr>
        <w:t xml:space="preserve">启东市公共机构建筑能源审计和能耗基准值技术服务项目</w:t>
      </w:r>
      <w:r>
        <w:rPr>
          <w:rFonts w:hint="eastAsia" w:ascii="宋体" w:hAnsi="宋体" w:eastAsia="宋体" w:cs="宋体"/>
          <w:color w:val="auto"/>
          <w:spacing w:val="0"/>
          <w:position w:val="0"/>
          <w:sz w:val="24"/>
          <w:szCs w:val="24"/>
          <w:highlight w:val="none"/>
        </w:rPr>
        <w:t xml:space="preserve">招标结果和有关招、投标文件的要求，依照《中华人民共和国政府采购法》《中华人民共和国民法典》及有关法律、法规，遵循平等、自愿、公平和诚实信用的原则，双方协商一致，订立以下合同：</w:t>
      </w:r>
      <w:r/>
    </w:p>
    <w:p>
      <w:pPr>
        <w:pStyle w:val="730"/>
        <w:ind w:firstLine="562"/>
        <w:pageBreakBefore w:val="0"/>
        <w:spacing w:before="0" w:after="0" w:line="500" w:lineRule="exact"/>
        <w:widowControl w:val="off"/>
        <w:rPr>
          <w:color w:val="auto"/>
          <w:highlight w:val="none"/>
        </w:rPr>
      </w:pPr>
      <w:r>
        <w:rPr>
          <w:rFonts w:hint="eastAsia"/>
          <w:color w:val="auto"/>
          <w:sz w:val="28"/>
          <w:szCs w:val="28"/>
          <w:highlight w:val="none"/>
          <w:lang w:val="en-US" w:eastAsia="zh-CN"/>
        </w:rPr>
        <w:t xml:space="preserve">第一条</w:t>
      </w:r>
      <w:bookmarkEnd w:id="97"/>
      <w:r/>
      <w:bookmarkEnd w:id="98"/>
      <w:r/>
      <w:bookmarkEnd w:id="99"/>
      <w:r/>
      <w:bookmarkEnd w:id="100"/>
      <w:r/>
      <w:bookmarkEnd w:id="101"/>
      <w:r>
        <w:rPr>
          <w:rFonts w:hint="eastAsia"/>
          <w:color w:val="auto"/>
          <w:sz w:val="28"/>
          <w:szCs w:val="28"/>
          <w:highlight w:val="none"/>
          <w:lang w:val="en-US" w:eastAsia="zh-CN"/>
        </w:rPr>
        <w:t xml:space="preserve">  </w:t>
      </w:r>
      <w:r>
        <w:rPr>
          <w:rFonts w:hint="eastAsia"/>
          <w:color w:val="auto"/>
          <w:sz w:val="28"/>
          <w:szCs w:val="28"/>
          <w:highlight w:val="none"/>
          <w:lang w:val="zh-CN" w:eastAsia="zh-CN"/>
        </w:rPr>
        <w:t xml:space="preserve">本合同由合同文本和下列文件组成</w:t>
      </w:r>
      <w:r/>
    </w:p>
    <w:p>
      <w:pPr>
        <w:ind w:left="0" w:firstLine="480"/>
        <w:jc w:val="left"/>
        <w:keepLines w:val="0"/>
        <w:keepNext w:val="0"/>
        <w:pageBreakBefore w:val="0"/>
        <w:spacing w:line="500" w:lineRule="exact"/>
        <w:widowControl w:val="off"/>
        <w:rPr>
          <w:rFonts w:hint="eastAsia" w:ascii="宋体" w:hAnsi="宋体" w:eastAsia="宋体" w:cs="宋体"/>
          <w:color w:val="auto"/>
          <w:spacing w:val="0"/>
          <w:position w:val="0"/>
          <w:sz w:val="24"/>
          <w:szCs w:val="24"/>
          <w:highlight w:val="none"/>
          <w:u w:val="none"/>
          <w:shd w:val="clear" w:color="auto" w:fill="auto"/>
          <w:lang w:val="zh-CN" w:eastAsia="zh-CN" w:bidi="zh-CN"/>
        </w:rPr>
      </w:pP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1</w:t>
      </w:r>
      <w:r>
        <w:rPr>
          <w:rFonts w:hint="eastAsia" w:ascii="宋体" w:hAnsi="宋体" w:cs="宋体"/>
          <w:color w:val="auto"/>
          <w:spacing w:val="0"/>
          <w:position w:val="0"/>
          <w:sz w:val="24"/>
          <w:szCs w:val="24"/>
          <w:highlight w:val="none"/>
          <w:u w:val="none"/>
          <w:shd w:val="clear" w:color="auto" w:fill="auto"/>
          <w:lang w:val="en-US" w:eastAsia="zh-CN" w:bidi="zh-CN"/>
        </w:rPr>
        <w:t xml:space="preserve">.</w:t>
      </w:r>
      <w:r>
        <w:rPr>
          <w:rFonts w:hint="eastAsia" w:ascii="宋体" w:hAnsi="宋体" w:cs="宋体"/>
          <w:color w:val="auto"/>
          <w:spacing w:val="0"/>
          <w:position w:val="0"/>
          <w:sz w:val="24"/>
          <w:szCs w:val="24"/>
          <w:highlight w:val="none"/>
          <w:u w:val="none"/>
          <w:shd w:val="clear" w:color="auto" w:fill="auto"/>
          <w:lang w:val="zh-CN" w:eastAsia="zh-CN" w:bidi="zh-CN"/>
        </w:rPr>
        <w:t xml:space="preserve">磋商</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文件</w:t>
      </w:r>
      <w:r/>
    </w:p>
    <w:p>
      <w:pPr>
        <w:ind w:left="0" w:firstLine="480"/>
        <w:jc w:val="left"/>
        <w:keepLines w:val="0"/>
        <w:keepNext w:val="0"/>
        <w:pageBreakBefore w:val="0"/>
        <w:spacing w:line="500" w:lineRule="exact"/>
        <w:widowControl w:val="off"/>
        <w:rPr>
          <w:rFonts w:hint="eastAsia" w:ascii="宋体" w:hAnsi="宋体" w:eastAsia="宋体" w:cs="宋体"/>
          <w:color w:val="auto"/>
          <w:spacing w:val="0"/>
          <w:position w:val="0"/>
          <w:sz w:val="24"/>
          <w:szCs w:val="24"/>
          <w:highlight w:val="none"/>
          <w:u w:val="none"/>
          <w:shd w:val="clear" w:color="auto" w:fill="auto"/>
          <w:lang w:val="zh-CN" w:eastAsia="zh-CN" w:bidi="zh-CN"/>
        </w:rPr>
      </w:pP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2</w:t>
      </w:r>
      <w:r>
        <w:rPr>
          <w:rFonts w:hint="eastAsia" w:ascii="宋体" w:hAnsi="宋体" w:cs="宋体"/>
          <w:color w:val="auto"/>
          <w:spacing w:val="0"/>
          <w:position w:val="0"/>
          <w:sz w:val="24"/>
          <w:szCs w:val="24"/>
          <w:highlight w:val="none"/>
          <w:u w:val="none"/>
          <w:shd w:val="clear" w:color="auto" w:fill="auto"/>
          <w:lang w:val="en-US" w:eastAsia="zh-CN" w:bidi="zh-CN"/>
        </w:rPr>
        <w:t xml:space="preserve">.</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投标文件     </w:t>
      </w:r>
      <w:r/>
    </w:p>
    <w:p>
      <w:pPr>
        <w:ind w:left="0" w:firstLine="480"/>
        <w:jc w:val="left"/>
        <w:keepLines w:val="0"/>
        <w:keepNext w:val="0"/>
        <w:pageBreakBefore w:val="0"/>
        <w:spacing w:line="500" w:lineRule="exact"/>
        <w:widowControl w:val="off"/>
        <w:rPr>
          <w:rFonts w:hint="eastAsia" w:ascii="宋体" w:hAnsi="宋体" w:eastAsia="宋体" w:cs="宋体"/>
          <w:color w:val="auto"/>
          <w:spacing w:val="0"/>
          <w:position w:val="0"/>
          <w:sz w:val="24"/>
          <w:szCs w:val="24"/>
          <w:highlight w:val="none"/>
          <w:u w:val="none"/>
          <w:shd w:val="clear" w:color="auto" w:fill="auto"/>
          <w:lang w:val="zh-CN" w:eastAsia="zh-CN" w:bidi="zh-CN"/>
        </w:rPr>
      </w:pP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3</w:t>
      </w:r>
      <w:r>
        <w:rPr>
          <w:rFonts w:hint="eastAsia" w:ascii="宋体" w:hAnsi="宋体" w:cs="宋体"/>
          <w:color w:val="auto"/>
          <w:spacing w:val="0"/>
          <w:position w:val="0"/>
          <w:sz w:val="24"/>
          <w:szCs w:val="24"/>
          <w:highlight w:val="none"/>
          <w:u w:val="none"/>
          <w:shd w:val="clear" w:color="auto" w:fill="auto"/>
          <w:lang w:val="en-US" w:eastAsia="zh-CN" w:bidi="zh-CN"/>
        </w:rPr>
        <w:t xml:space="preserve">.</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中标（</w:t>
      </w:r>
      <w:r>
        <w:rPr>
          <w:rFonts w:hint="eastAsia" w:ascii="宋体" w:hAnsi="宋体" w:eastAsia="宋体" w:cs="宋体"/>
          <w:color w:val="auto"/>
          <w:spacing w:val="0"/>
          <w:position w:val="0"/>
          <w:sz w:val="24"/>
          <w:szCs w:val="24"/>
          <w:highlight w:val="none"/>
          <w:u w:val="none"/>
          <w:shd w:val="clear" w:color="auto" w:fill="auto"/>
          <w:lang w:val="en-US" w:eastAsia="zh-CN" w:bidi="zh-CN"/>
        </w:rPr>
        <w:t xml:space="preserve">成交</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）通知书     </w:t>
      </w:r>
      <w:r/>
    </w:p>
    <w:p>
      <w:pPr>
        <w:pStyle w:val="743"/>
        <w:ind w:left="0" w:right="0" w:firstLine="480"/>
        <w:jc w:val="left"/>
        <w:keepLines w:val="0"/>
        <w:keepNext w:val="0"/>
        <w:pageBreakBefore w:val="0"/>
        <w:spacing w:before="0" w:after="0" w:line="500" w:lineRule="exact"/>
        <w:shd w:val="clear" w:color="auto" w:fill="auto"/>
        <w:widowControl w:val="off"/>
        <w:rPr>
          <w:rFonts w:hint="eastAsia" w:ascii="宋体" w:hAnsi="宋体" w:eastAsia="宋体" w:cs="宋体"/>
          <w:color w:val="auto"/>
          <w:spacing w:val="0"/>
          <w:position w:val="0"/>
          <w:sz w:val="24"/>
          <w:szCs w:val="24"/>
          <w:highlight w:val="none"/>
          <w:u w:val="none"/>
          <w:shd w:val="clear" w:color="auto" w:fill="auto"/>
          <w:lang w:val="zh-CN" w:eastAsia="zh-CN" w:bidi="zh-CN"/>
        </w:rPr>
      </w:pP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4</w:t>
      </w:r>
      <w:r>
        <w:rPr>
          <w:rFonts w:hint="eastAsia" w:cs="宋体"/>
          <w:color w:val="auto"/>
          <w:spacing w:val="0"/>
          <w:position w:val="0"/>
          <w:sz w:val="24"/>
          <w:szCs w:val="24"/>
          <w:highlight w:val="none"/>
          <w:u w:val="none"/>
          <w:shd w:val="clear" w:color="auto" w:fill="auto"/>
          <w:lang w:val="en-US" w:eastAsia="zh-CN" w:bidi="zh-CN"/>
        </w:rPr>
        <w:t xml:space="preserve">.</w:t>
      </w:r>
      <w:r>
        <w:rPr>
          <w:rFonts w:hint="eastAsia" w:ascii="宋体" w:hAnsi="宋体" w:eastAsia="宋体" w:cs="宋体"/>
          <w:color w:val="auto"/>
          <w:spacing w:val="0"/>
          <w:position w:val="0"/>
          <w:sz w:val="24"/>
          <w:szCs w:val="24"/>
          <w:highlight w:val="none"/>
          <w:u w:val="none"/>
          <w:shd w:val="clear" w:color="auto" w:fill="auto"/>
          <w:lang w:val="zh-CN" w:eastAsia="zh-CN" w:bidi="zh-CN"/>
        </w:rPr>
        <w:t xml:space="preserve">乙方在评标过程中做出的书面澄清或承诺 </w:t>
      </w:r>
      <w:r/>
    </w:p>
    <w:p>
      <w:pPr>
        <w:pStyle w:val="730"/>
        <w:ind w:firstLine="562"/>
        <w:pageBreakBefore w:val="0"/>
        <w:spacing w:before="0" w:after="0" w:line="500" w:lineRule="exact"/>
        <w:widowControl w:val="off"/>
        <w:rPr>
          <w:rFonts w:hint="default"/>
          <w:color w:val="auto"/>
          <w:sz w:val="28"/>
          <w:szCs w:val="28"/>
          <w:highlight w:val="none"/>
          <w:lang w:val="en-US" w:eastAsia="zh-CN"/>
        </w:rPr>
      </w:pPr>
      <w:r>
        <w:rPr>
          <w:rFonts w:hint="eastAsia"/>
          <w:color w:val="auto"/>
          <w:sz w:val="28"/>
          <w:szCs w:val="28"/>
          <w:highlight w:val="none"/>
          <w:lang w:val="en-US" w:eastAsia="zh-CN"/>
        </w:rPr>
        <w:t xml:space="preserve">第二条  项目内容</w:t>
      </w:r>
      <w:r/>
    </w:p>
    <w:p>
      <w:pPr>
        <w:ind w:firstLine="560"/>
        <w:pageBreakBefore w:val="0"/>
        <w:spacing w:line="500" w:lineRule="exact"/>
        <w:widowControl w:val="off"/>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1.服务内容：</w:t>
      </w:r>
      <w:r/>
    </w:p>
    <w:p>
      <w:pPr>
        <w:ind w:firstLine="560"/>
        <w:pageBreakBefore w:val="0"/>
        <w:spacing w:line="5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为保障我市公共机构能源费用托管科学有序推进，现需开展全市约340家公共机构的能源基准核定、能源审计等工作。这些机构涉及约310个独立办公区，总建筑面积约330万平方米。项目建筑能源审计对象为建筑用能，类型为水、电、天然气等。工作主要包括编制建筑能源审计报告、建筑能耗基准值报告、能源费用基准值核定报告以及后期能源绩效评估等工作。</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2.技术成果清单</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乙方应提交的技术成果包括但不限于:</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整市公共机构能源审计报告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整市公共机构能耗基准值核定报告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3整市公共机构能源费用基准值核定报告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各公共机构能源审计报告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各公共机构能耗基准值核定报告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各公共机构能源费用基准值核定报告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lang w:val="en-US" w:eastAsia="zh-CN"/>
        </w:rPr>
        <w:t xml:space="preserve">能源绩效评估报告(含年度专项审计意见及项目总体评估报告)</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en-US" w:eastAsia="zh-CN"/>
        </w:rPr>
        <w:t xml:space="preserve">全套原始数据、台账、勘查资料、确认单、评审意见等档案资料</w:t>
      </w:r>
      <w:r>
        <w:rPr>
          <w:rFonts w:hint="eastAsia" w:ascii="宋体" w:hAnsi="宋体" w:cs="宋体"/>
          <w:color w:val="auto"/>
          <w:sz w:val="24"/>
          <w:szCs w:val="24"/>
          <w:highlight w:val="none"/>
          <w:lang w:val="en-US" w:eastAsia="zh-CN"/>
        </w:rPr>
        <w:t xml:space="preserve">。</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技术标准</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技术成果应满足以下标准及规定:</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《公共建筑能源审计标准》(DB32/T3751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2020)</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《公共机构能源审计技术导则》(GB/T31342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2014)</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《公共机构能源费用托管实施规程》(JS/T301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2024)</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《公共机构能耗定额及计算方法》(DB32/T4001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2025)</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《公共机构能源托管规程》(DB32/T4446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2023)</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《整县(市、区)能源费用托管工作指引》</w:t>
      </w:r>
      <w:r/>
    </w:p>
    <w:p>
      <w:pPr>
        <w:numPr>
          <w:ilvl w:val="0"/>
          <w:numId w:val="1"/>
        </w:numPr>
        <w:ind w:left="630" w:hanging="42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其他国家及江苏省相关法律法规、标准规范</w:t>
      </w:r>
      <w:r>
        <w:rPr>
          <w:rFonts w:hint="eastAsia" w:ascii="宋体" w:hAnsi="宋体" w:cs="宋体"/>
          <w:color w:val="auto"/>
          <w:sz w:val="24"/>
          <w:szCs w:val="24"/>
          <w:highlight w:val="none"/>
          <w:lang w:val="en-US" w:eastAsia="zh-CN"/>
        </w:rPr>
        <w:t xml:space="preserve">。</w:t>
      </w:r>
      <w:r/>
    </w:p>
    <w:p>
      <w:p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第三条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合同价款：</w:t>
      </w:r>
      <w:r/>
    </w:p>
    <w:p>
      <w:pPr>
        <w:ind w:firstLine="560"/>
        <w:pageBreakBefore w:val="0"/>
        <w:spacing w:line="500" w:lineRule="exact"/>
        <w:widowControl w:val="off"/>
        <w:rPr>
          <w:rFonts w:hint="eastAsia" w:ascii="宋体" w:hAnsi="宋体" w:eastAsia="宋体" w:cs="宋体"/>
          <w:color w:val="auto"/>
          <w:sz w:val="24"/>
          <w:szCs w:val="24"/>
          <w:highlight w:val="none"/>
          <w:lang w:eastAsia="zh-CN"/>
        </w:rPr>
        <w:outlineLvl w:val="2"/>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固定合同单价：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/平方米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rPr>
          <w:rFonts w:hint="eastAsia" w:ascii="宋体" w:hAnsi="宋体" w:eastAsia="宋体" w:cs="宋体"/>
          <w:color w:val="auto"/>
          <w:sz w:val="24"/>
          <w:szCs w:val="24"/>
          <w:highlight w:val="none"/>
          <w:lang w:val="en-US" w:eastAsia="zh-CN"/>
        </w:rPr>
        <w:t xml:space="preserve">每平方米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总建筑面积</w:t>
      </w:r>
      <w:r>
        <w:rPr>
          <w:rFonts w:hint="eastAsia" w:ascii="宋体" w:hAnsi="宋体" w:cs="宋体"/>
          <w:color w:val="auto"/>
          <w:sz w:val="24"/>
          <w:szCs w:val="24"/>
          <w:highlight w:val="none"/>
          <w:lang w:val="en-US" w:eastAsia="zh-CN"/>
        </w:rPr>
        <w:t xml:space="preserve">应以审计结果为准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p>
    <w:p>
      <w:pPr>
        <w:ind w:firstLine="560"/>
        <w:pageBreakBefore w:val="0"/>
        <w:spacing w:line="500" w:lineRule="exact"/>
        <w:widowControl w:val="off"/>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2.合同总金额</w:t>
      </w:r>
      <w:r/>
    </w:p>
    <w:p>
      <w:pPr>
        <w:ind w:firstLine="560"/>
        <w:pageBreakBefore w:val="0"/>
        <w:spacing w:line="500" w:lineRule="exact"/>
        <w:widowControl w:val="off"/>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合同总金额=（一级审计总建筑面积×</w:t>
      </w:r>
      <w:r>
        <w:rPr>
          <w:rFonts w:hint="eastAsia" w:ascii="宋体" w:hAnsi="宋体" w:cs="宋体"/>
          <w:color w:val="auto"/>
          <w:sz w:val="24"/>
          <w:szCs w:val="24"/>
          <w:highlight w:val="none"/>
          <w:u w:val="single"/>
          <w:lang w:val="en-US" w:eastAsia="zh-CN"/>
        </w:rPr>
        <w:t xml:space="preserve">中标单价</w:t>
      </w:r>
      <w:r>
        <w:rPr>
          <w:rFonts w:hint="eastAsia" w:ascii="宋体" w:hAnsi="宋体" w:cs="宋体"/>
          <w:color w:val="auto"/>
          <w:sz w:val="24"/>
          <w:szCs w:val="24"/>
          <w:highlight w:val="none"/>
          <w:lang w:val="en-US" w:eastAsia="zh-CN"/>
        </w:rPr>
        <w:t xml:space="preserve">×30%）+（二级审计总建筑面积×</w:t>
      </w:r>
      <w:r>
        <w:rPr>
          <w:rFonts w:hint="eastAsia" w:ascii="宋体" w:hAnsi="宋体" w:cs="宋体"/>
          <w:color w:val="auto"/>
          <w:sz w:val="24"/>
          <w:szCs w:val="24"/>
          <w:highlight w:val="none"/>
          <w:u w:val="single"/>
          <w:lang w:val="en-US" w:eastAsia="zh-CN"/>
        </w:rPr>
        <w:t xml:space="preserve">中标单价</w:t>
      </w:r>
      <w:r>
        <w:rPr>
          <w:rFonts w:hint="eastAsia" w:ascii="宋体" w:hAnsi="宋体" w:cs="宋体"/>
          <w:color w:val="auto"/>
          <w:sz w:val="24"/>
          <w:szCs w:val="24"/>
          <w:highlight w:val="none"/>
          <w:lang w:val="en-US" w:eastAsia="zh-CN"/>
        </w:rPr>
        <w:t xml:space="preserve">×100%）</w:t>
      </w:r>
      <w:r/>
    </w:p>
    <w:p>
      <w:pPr>
        <w:ind w:firstLine="560"/>
        <w:pageBreakBefore w:val="0"/>
        <w:spacing w:line="500" w:lineRule="exact"/>
        <w:widowControl w:val="off"/>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注明：</w:t>
      </w:r>
      <w:r/>
    </w:p>
    <w:p>
      <w:pPr>
        <w:ind w:firstLine="560"/>
        <w:pageBreakBefore w:val="0"/>
        <w:spacing w:line="500" w:lineRule="exact"/>
        <w:widowControl w:val="off"/>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（1）同一公共机构，一级审计和二级审计不重复计费，以高者计费。</w:t>
      </w:r>
      <w:r/>
    </w:p>
    <w:p>
      <w:pPr>
        <w:ind w:firstLine="560"/>
        <w:pageBreakBefore w:val="0"/>
        <w:spacing w:line="500" w:lineRule="exact"/>
        <w:widowControl w:val="off"/>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（2）由于全市公共机构建筑总面积尚未精准确定，应以审计结果为准。</w:t>
      </w:r>
      <w:r/>
    </w:p>
    <w:p>
      <w:pPr>
        <w:ind w:firstLine="560"/>
        <w:pageBreakBefore w:val="0"/>
        <w:spacing w:line="500" w:lineRule="exact"/>
        <w:widowControl w:val="off"/>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3.价款包含范围</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本合同采用固定单价合同，综合单价包含但不限于招标范围内的所有任务以及完成上述服务内容所必须的设施、材料、技术、劳务、交通、差旅、现场踏勘、现场跟踪、数据采集、报告编制费用、全周期咨询、验收配合、会务费、专家服务及评审费、管理费及相关费用、利润、措施费以及应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支付的规费及税金等一切费用。</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应充分考虑现场环境以及国家政策性调整等风险因素，在合同实施期间，总价不随国家政策或法规、标准及市场因素的变化而进行调整</w:t>
      </w:r>
      <w:r>
        <w:rPr>
          <w:rFonts w:hint="eastAsia" w:ascii="宋体" w:hAnsi="宋体" w:cs="宋体"/>
          <w:color w:val="auto"/>
          <w:sz w:val="24"/>
          <w:szCs w:val="24"/>
          <w:highlight w:val="none"/>
          <w:lang w:val="en-US" w:eastAsia="zh-CN"/>
        </w:rPr>
        <w:t xml:space="preserve">。</w:t>
      </w:r>
      <w:r/>
    </w:p>
    <w:p>
      <w:p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第四条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具体服务要求：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依据《整县（市、区）能源费用托管工作指引》文件要求，技术成果应包</w:t>
      </w:r>
      <w:r>
        <w:rPr>
          <w:rFonts w:hint="eastAsia" w:asciiTheme="minorEastAsia" w:hAnsiTheme="minorEastAsia" w:eastAsiaTheme="minorEastAsia" w:cstheme="minorEastAsia"/>
          <w:color w:val="auto"/>
          <w:sz w:val="24"/>
          <w:szCs w:val="24"/>
          <w:highlight w:val="none"/>
          <w:lang w:val="en-US" w:eastAsia="zh-CN" w:bidi="ar-SA"/>
        </w:rPr>
        <w:t xml:space="preserve">含整市公共机构能源审计报告、整市公共机构能耗基准值核定报告、整市公共机构能源费用基准值核定报告、各公共机构能耗基准值核定报告和能源审计报告以及建筑能源托管过程中的能源绩效评估报告等，成果应满足《公共建筑能源审计标准》（DB32/T3751-2020）、《公共机构能源审计技术导则》（GB/T31342-2014）、《公共机构能源费用托管实施规程》（JS/T301—2024）、《公共机构能耗定额及计算方法》（DB32/T4001—2025）和《公共机构能源托管规程》（DB32/T4446—2023）等相关规定。</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1.建筑能源审计技术要求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1.1能源审计范围</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我市约有340家公共机构，其中市级机关及下属事业单位约124家，乡镇（街道）、园区及下属事业单位约34家，教育机构约134家，医疗机构约40家，公共场馆约8家。分布在约310个独立办公区。</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1.2能源审计内容</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（1）能源管理现状：评估现有的能源管理制度和流程。</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建筑能源审计收集信息：建筑基本信息、用能人数数据、建筑使用特点、用能系统特点等基础信息，并对数据中心（设备、暖通空调、能耗及PUE）、食堂（主要设备及运营情况）、充电桩等特定功能区域的专项设备信息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（3）能源消耗情况：收集和分析各类能源（如电、水、气等）的消耗数据。建立能耗指标体系，进行建筑能耗指标对标工作。</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（4）能源计量与统计：检查能源计量设备的配备和使用情况，确保数据的准确性和完整性。</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（5）评估内容：评估主要用能设备（如空调系统、供配电系统、照明系统、供水系统、数据中心、食堂等重点用能部位）的运行状况及效率。</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（6）节能潜力分析：查找节能潜力，改进措施，出具节能改造方案。</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1.3报告要求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提供精准的能源审计报告，包括审计目的、依据、范围、内容、数据分析、结论和建议等。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2.能耗基准值技术要求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2.1基准值确定</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根据建筑使用特点，确定建筑能耗基准值的范围，精准验证并收集能耗数据，选择基准计算方法，建立基准计算模型，确定相应的能耗基准值。</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基准期选择：选择合适的基准期，并满足《公共机构能源费用托管实施规程》JS/T 301—2024的要求。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2.2数据支持</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提供详细的能耗数据和计算过程，确保基准值的准确性。对不同类型的建筑分别确定基准值。</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2.3其他要求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查找公共机构中的特殊能耗及特殊用能情况，识别并恰当处理关键影响因素，明确能耗基准值边界。</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3.服务要求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3.1人员资质</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技术团队应由相关经验的专业人员组成，包括建筑节能、能源管理、环境工程等领域的专家和工程技术人员。项目负责人应具有中级及以上职称或同等技术水平。</w:t>
      </w:r>
      <w:r/>
    </w:p>
    <w:tbl>
      <w:tblPr>
        <w:tblStyle w:val="741"/>
        <w:tblW w:w="8564"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356"/>
        <w:gridCol w:w="888"/>
        <w:gridCol w:w="1692"/>
        <w:gridCol w:w="2106"/>
        <w:gridCol w:w="1862"/>
      </w:tblGrid>
      <w:tr>
        <w:trPr>
          <w:trHeight w:val="458"/>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序号</w:t>
            </w:r>
            <w:r/>
          </w:p>
        </w:tc>
        <w:tc>
          <w:tcPr>
            <w:tcW w:w="1356"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岗位</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姓名</w:t>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联系电话</w:t>
            </w:r>
            <w:r/>
          </w:p>
        </w:tc>
        <w:tc>
          <w:tcPr>
            <w:tcW w:w="2106"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bidi="ar-SA"/>
              </w:rPr>
              <w:t xml:space="preserve">资质证书</w:t>
            </w:r>
            <w:r/>
          </w:p>
        </w:tc>
        <w:tc>
          <w:tcPr>
            <w:tcW w:w="186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b/>
                <w:bCs/>
                <w:color w:val="auto"/>
                <w:sz w:val="21"/>
                <w:szCs w:val="21"/>
                <w:highlight w:val="none"/>
                <w:vertAlign w:val="baseline"/>
                <w:lang w:val="en-US" w:eastAsia="zh-CN" w:bidi="ar-SA"/>
              </w:rPr>
            </w:pPr>
            <w:r>
              <w:rPr>
                <w:rFonts w:hint="eastAsia" w:ascii="宋体" w:eastAsia="宋体" w:cs="宋体"/>
                <w:b/>
                <w:bCs/>
                <w:color w:val="auto"/>
                <w:sz w:val="21"/>
                <w:szCs w:val="21"/>
                <w:highlight w:val="none"/>
                <w:vertAlign w:val="baseline"/>
                <w:lang w:val="en-US" w:eastAsia="zh-CN" w:bidi="ar-SA"/>
              </w:rPr>
              <w:t xml:space="preserve">负责的工作内容</w:t>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W w:w="1356"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eastAsia="宋体" w:cs="宋体"/>
                <w:color w:val="auto"/>
                <w:sz w:val="21"/>
                <w:szCs w:val="21"/>
                <w:highlight w:val="none"/>
                <w:vertAlign w:val="baseline"/>
                <w:lang w:val="en-US" w:eastAsia="zh-CN" w:bidi="ar-SA"/>
              </w:rPr>
              <w:t xml:space="preserve">项目负责人</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458"/>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tcW w:w="1356"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eastAsia="宋体" w:cs="宋体"/>
                <w:color w:val="auto"/>
                <w:sz w:val="21"/>
                <w:szCs w:val="21"/>
                <w:highlight w:val="none"/>
                <w:vertAlign w:val="baseline"/>
                <w:lang w:val="en-US" w:eastAsia="zh-CN" w:bidi="ar-SA"/>
              </w:rPr>
              <w:t xml:space="preserve">技术负责人</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4</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5</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6</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7</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8</w:t>
            </w:r>
            <w:r/>
          </w:p>
        </w:tc>
        <w:tc>
          <w:tcPr>
            <w:tcW w:w="135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vertAlign w:val="baseline"/>
                <w:lang w:val="en-US" w:eastAsia="zh-CN" w:bidi="ar-SA"/>
              </w:rPr>
              <w:t xml:space="preserve">团队人员</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c>
          <w:tcPr>
            <w:tcW w:w="660" w:type="dxa"/>
            <w:vAlign w:val="center"/>
            <w:textDirection w:val="lrTb"/>
            <w:noWrap w:val="false"/>
          </w:tcPr>
          <w:p>
            <w:pPr>
              <w:pStyle w:val="744"/>
              <w:ind w:left="0" w:firstLine="0"/>
              <w:jc w:val="center"/>
              <w:keepLines w:val="0"/>
              <w:keepNext w:val="0"/>
              <w:pageBreakBefore w:val="0"/>
              <w:spacing w:after="0" w:line="460" w:lineRule="exact"/>
              <w:widowControl w:val="off"/>
              <w:rPr>
                <w:rFonts w:hint="default" w:ascii="宋体" w:eastAsia="宋体" w:cs="宋体"/>
                <w:color w:val="auto"/>
                <w:sz w:val="21"/>
                <w:szCs w:val="21"/>
                <w:highlight w:val="none"/>
                <w:vertAlign w:val="baseline"/>
                <w:lang w:val="en-US" w:eastAsia="zh-CN" w:bidi="ar-SA"/>
              </w:rPr>
            </w:pPr>
            <w:r>
              <w:rPr>
                <w:rFonts w:hint="eastAsia" w:ascii="宋体" w:eastAsia="宋体" w:cs="宋体"/>
                <w:color w:val="auto"/>
                <w:sz w:val="21"/>
                <w:szCs w:val="21"/>
                <w:highlight w:val="none"/>
                <w:vertAlign w:val="baseline"/>
                <w:lang w:val="en-US" w:eastAsia="zh-CN" w:bidi="ar-SA"/>
              </w:rPr>
              <w:t xml:space="preserve">...</w:t>
            </w:r>
            <w:r/>
          </w:p>
        </w:tc>
        <w:tc>
          <w:tcPr>
            <w:tcW w:w="1356" w:type="dxa"/>
            <w:vAlign w:val="center"/>
            <w:textDirection w:val="lrTb"/>
            <w:noWrap w:val="false"/>
          </w:tcPr>
          <w:p>
            <w:pPr>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w:t>
            </w:r>
            <w:r/>
          </w:p>
        </w:tc>
        <w:tc>
          <w:tcPr>
            <w:tcW w:w="888" w:type="dxa"/>
            <w:vAlign w:val="top"/>
            <w:textDirection w:val="lrTb"/>
            <w:noWrap w:val="false"/>
          </w:tcPr>
          <w:p>
            <w:pPr>
              <w:pStyle w:val="744"/>
              <w:ind w:left="0" w:firstLine="0"/>
              <w:jc w:val="center"/>
              <w:keepLines w:val="0"/>
              <w:keepNext w:val="0"/>
              <w:pageBreakBefore w:val="0"/>
              <w:spacing w:after="0" w:line="460" w:lineRule="exact"/>
              <w:widowControl w:val="off"/>
              <w:rPr>
                <w:rFonts w:hint="default" w:ascii="宋体" w:hAnsi="宋体" w:eastAsia="宋体" w:cs="宋体"/>
                <w:color w:val="auto"/>
                <w:sz w:val="21"/>
                <w:szCs w:val="21"/>
                <w:highlight w:val="none"/>
                <w:vertAlign w:val="baseline"/>
                <w:lang w:val="en-US" w:eastAsia="zh-CN" w:bidi="ar-SA"/>
              </w:rPr>
            </w:pPr>
            <w:r>
              <w:rPr>
                <w:rFonts w:hint="default" w:ascii="宋体" w:hAnsi="宋体" w:eastAsia="宋体" w:cs="宋体"/>
                <w:color w:val="auto"/>
                <w:sz w:val="21"/>
                <w:szCs w:val="21"/>
                <w:highlight w:val="none"/>
                <w:vertAlign w:val="baseline"/>
                <w:lang w:val="en-US" w:eastAsia="zh-CN" w:bidi="ar-SA"/>
              </w:rPr>
            </w:r>
            <w:r/>
          </w:p>
        </w:tc>
        <w:tc>
          <w:tcPr>
            <w:tcW w:w="1692" w:type="dxa"/>
            <w:vAlign w:val="top"/>
            <w:textDirection w:val="lrTb"/>
            <w:noWrap w:val="false"/>
          </w:tcPr>
          <w:p>
            <w:pPr>
              <w:pStyle w:val="744"/>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2106" w:type="dxa"/>
            <w:vAlign w:val="top"/>
            <w:textDirection w:val="lrTb"/>
            <w:noWrap w:val="false"/>
          </w:tcPr>
          <w:p>
            <w:pPr>
              <w:ind w:left="0" w:firstLine="0"/>
              <w:jc w:val="center"/>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862" w:type="dxa"/>
            <w:vAlign w:val="top"/>
            <w:textDirection w:val="lrTb"/>
            <w:noWrap w:val="false"/>
          </w:tcPr>
          <w:p>
            <w:pPr>
              <w:pStyle w:val="744"/>
              <w:keepLines w:val="0"/>
              <w:keepNext w:val="0"/>
              <w:pageBreakBefore w:val="0"/>
              <w:spacing w:after="0" w:line="46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bl>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3.2数据准确性和可靠性</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在能源审计过程中，确保数据采集的准确性和可靠性，采用科学的方法进行数据分析和评估。提供详细的审计报告和能耗基准值报告，报告内容应清晰明了，结论和建议应具有可操作性。</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3.3项目进度管理</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制定详细的工作计划，包括项目进度安排、关键节点及成果、质量控制措施等。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项目成果实施内部审核和外部评审，及时发现和解决问题。确保项目按时、保质完成。</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具体节点及要求如下：</w:t>
      </w:r>
      <w:r/>
    </w:p>
    <w:tbl>
      <w:tblPr>
        <w:tblStyle w:val="741"/>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5802"/>
      </w:tblGrid>
      <w:tr>
        <w:trPr>
          <w:jc w:val="center"/>
          <w:trHeight w:val="463"/>
        </w:trPr>
        <w:tc>
          <w:tcPr>
            <w:tcW w:w="2523"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时间节点</w:t>
            </w:r>
            <w:r/>
          </w:p>
        </w:tc>
        <w:tc>
          <w:tcPr>
            <w:tcW w:w="580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考核成果</w:t>
            </w:r>
            <w:r/>
          </w:p>
        </w:tc>
      </w:tr>
      <w:tr>
        <w:trPr>
          <w:jc w:val="center"/>
          <w:trHeight w:val="1000"/>
        </w:trPr>
        <w:tc>
          <w:tcPr>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2026年12月30日</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出具</w:t>
            </w:r>
            <w:r>
              <w:rPr>
                <w:rFonts w:hint="eastAsia" w:ascii="宋体" w:hAnsi="宋体" w:eastAsia="宋体" w:cs="宋体"/>
                <w:color w:val="auto"/>
                <w:sz w:val="24"/>
                <w:szCs w:val="24"/>
                <w:highlight w:val="none"/>
              </w:rPr>
              <w:t xml:space="preserve">全市各公共机构</w:t>
            </w:r>
            <w:r>
              <w:rPr>
                <w:rFonts w:hint="eastAsia" w:ascii="宋体" w:hAnsi="宋体" w:eastAsia="宋体" w:cs="宋体"/>
                <w:color w:val="auto"/>
                <w:sz w:val="24"/>
                <w:szCs w:val="24"/>
                <w:highlight w:val="none"/>
                <w:lang w:val="zh-CN"/>
              </w:rPr>
              <w:t xml:space="preserve">能源审计</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val="zh-CN"/>
              </w:rPr>
              <w:t xml:space="preserve">能耗基准值核定报告、</w:t>
            </w:r>
            <w:r>
              <w:rPr>
                <w:rFonts w:hint="eastAsia" w:ascii="宋体" w:hAnsi="宋体" w:eastAsia="宋体" w:cs="宋体"/>
                <w:color w:val="auto"/>
                <w:sz w:val="24"/>
                <w:szCs w:val="24"/>
                <w:highlight w:val="none"/>
              </w:rPr>
              <w:t xml:space="preserve">能源费用基准值核定报告和整市公共机构能源审计报告、能耗基准值核定报告和能源费用基准值核定报告。</w:t>
            </w:r>
            <w:r/>
          </w:p>
        </w:tc>
      </w:tr>
      <w:tr>
        <w:trPr>
          <w:jc w:val="center"/>
          <w:trHeight w:val="889"/>
        </w:trPr>
        <w:tc>
          <w:tcPr>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2027年1月15日前</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提交以上经专家评审通过的各项报告</w:t>
            </w:r>
            <w:r/>
          </w:p>
        </w:tc>
      </w:tr>
      <w:tr>
        <w:trPr>
          <w:jc w:val="center"/>
          <w:trHeight w:val="835"/>
        </w:trPr>
        <w:tc>
          <w:tcPr>
            <w:shd w:val="clear" w:color="auto" w:fill="auto"/>
            <w:tcW w:w="25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托管期内</w:t>
            </w:r>
            <w:r/>
          </w:p>
        </w:tc>
        <w:tc>
          <w:tcPr>
            <w:tcW w:w="5802"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按照《公共机构能源托管规程》（DB32/T4446-2023），根据</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需要，对节能效果进行评估，并出具绩效评估报告。</w:t>
            </w:r>
            <w:r/>
          </w:p>
        </w:tc>
      </w:tr>
    </w:tbl>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3.4保密、档案与知识产权</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保密：服务期及服务结束后永久保密公共机构能耗、设备、运营内部资料，未经甲方书面许可不得向第三方泄露；泄密甲方有权追究经济及法律责任。</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知识产权：本项目产出全部报告、台账、数据、档案成果知识产权归甲方所有；乙方仅拥有署名权，项目结束必须完整移交全部原始资料，不得自留用于其他项目。</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档案归档：全套纸质档案（含确认单、评审意见、勘查资料）、电子档案完整移交，满足机关事务档案归档要求，支持巡察、审计调取查阅。</w:t>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第五条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质量要求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满足甲方对质量的要求。乙方应根据整个项目周期的工作计划，向甲方提交阶段性工作成果，确保服务质量。</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1.能耗基准值和能源费用基准值核定报告</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（1）内容要求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需详细载明建筑基础信息，包括建筑名称、地址、类型（机关办公 / 学校 / 医疗卫生 / 公共场馆等）、建筑面积、建成年代、主要用能功能区分布。</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明确能源边界，涵盖用能区域（如所有楼层、附属设施）、能源类型（电、水、气、热等）、用能设备、用能人数、用能时间、用能方式、围护结构及计量范围（一级 / 二级 / 三级计量点覆盖情况）等。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采用审计基准日前连续36个月月度能耗数据；能源价格统计近 12 个月结算账单，取月度加权平均作为基准单价；水、电、气、热按月归集原始账单数据，账单优先取自能源供应单位结算凭证，无账单时采用校验合格计量仪表读数，所有原始数据需要被各公共机构书面确认。</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能耗分析需包括总能耗、单位面积能耗等指标，结合建筑功能特点分析能耗分布规律；对标行业基准值，识别节能潜力领域（如设备低效运行、管理疏漏等）。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能耗基准值确定需采用科学方法，并说明基准值的适用条件及调整规则。</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（2）交付标准：每份报告需经专家论证通过，经乙方技术负责人审核并签字确认，加盖单位公章。</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（3）时间要求：所有独立办公区的整体能源基准报告，须于2027年1月15日前完成并提交。</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2.能源审计报告</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（1）内容要求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全面涵盖建筑能源管理体系检查（如能源管理制度、设备运行制度）、围护结构、用能系统（空调、照明、给排水等）运行效率分析、重点用能设备（锅炉、冷水机组等）分析。</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现场勘查（含设备参数核对、运行状态观测）、资料核查（能源账单、设备台账、运维记录）及必要测试（如红外测温、风量检测、电压检测、水压检测）相结合的方式，识别能源浪费问题（如跑冒滴漏、设备空载运行）。</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改进方案需包含技术路径（如更换变频水泵）、预期效果等。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（2）交付标准：审计报告满足应当按照《公共机构能源审计技术导则》（GB/T 31342）、《公共建筑能源审计标准》（DB32/T 3751—2020）的有关规定执行。包含审计建筑概况、能源资源管理状况、能源资源计量及统计状况、能耗分析、能源资源利用系统分析、节能效果及潜力分析、审计结论及佐证材料。</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时间要求：按照甲方要求，须于2027年1月15日完成所有独立办公区能源审计，如因项目实际情况或甲方需求发生变化，甲方有权要求调整审计进度。乙方应根据甲方要求，相应修订审计服务计划并报请甲方审核确认后执行。</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3.能源绩效评估报告</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（1）内容要求</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需全面评估整个托管周期的能源绩效，包括总节能量、节能率、能源费用节约额、节能改造及设备更新投入情况、设备完好率、管理措施有效性等，对比托管合同目标值，分析偏差原因（如政策变动、市场因素），提出后续能源管理建议。</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（2）交付标准：报告需符合江苏省相关规定要求，包含评估背景、项目概况、数据来源、指标计算、对比分析、结论建议等，附改造前后能耗曲线、合同条款对照表等。</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（3）时间要求：在托管期内根据甲方需要，每年对能耗基准值的动态调整与运行绩效开展专项审计，并出具书面审定意见。托管期满前一个月，根据甲方需要出具项目总体评估报告。</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4.其他服务</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（1）配合验收</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乙方负责提供验收所需的全部资料（含报告、数据及证明材料），并协助甲方召开验收会，包括汇报、答疑及按专家意见整改，确保项目符合江苏省相关验收标准，同时协助完成能源托管服务的相关验收工作。</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（2）信息咨询服务</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为甲方提供能源审计、托管相关政策解读（如最新行业标准、补贴政策）、技术咨询（如节能设备选型建议）、数据统计分析等，响应方式包括书面回复（2个工作日内）、现场讲解（提前3个工作日准备）。</w:t>
      </w:r>
      <w:r/>
    </w:p>
    <w:p>
      <w:pPr>
        <w:pStyle w:val="739"/>
        <w:ind w:firstLine="480"/>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（3）交付与响应要求</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Theme="minorEastAsia" w:hAnsiTheme="minorEastAsia" w:eastAsiaTheme="minorEastAsia" w:cstheme="minorEastAsia"/>
          <w:color w:val="auto"/>
          <w:sz w:val="24"/>
          <w:szCs w:val="24"/>
          <w:highlight w:val="none"/>
          <w:lang w:val="en-US" w:eastAsia="zh-CN" w:bidi="ar-SA"/>
        </w:rPr>
        <w:t xml:space="preserve">验收配合无额外费用，需全程跟进直至项目通过验收。</w:t>
      </w:r>
      <w:r/>
    </w:p>
    <w:p>
      <w:pPr>
        <w:numPr>
          <w:ilvl w:val="0"/>
          <w:numId w:val="0"/>
        </w:numPr>
        <w:ind w:firstLine="560"/>
        <w:pageBreakBefore w:val="0"/>
        <w:spacing w:line="500" w:lineRule="exact"/>
        <w:widowControl w:val="off"/>
        <w:rPr>
          <w:rFonts w:hint="default"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第六条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服务期限及地点</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bookmarkStart w:id="102" w:name="auto_fouce_5"/>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服务期限：合同期限为10至15年，具体以最后一个公共机构的能源费用托管期结束之日为准，届时合同自动终止。（根据</w:t>
      </w:r>
      <w:r>
        <w:rPr>
          <w:rFonts w:hint="eastAsia" w:asciiTheme="minorEastAsia" w:hAnsiTheme="minorEastAsia" w:eastAsiaTheme="minorEastAsia" w:cstheme="minorEastAsia"/>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rPr>
        <w:t xml:space="preserve">实际需求调整）。如甲方有权因政策调整、服务不达标、乙方违约等情形提前单方解除合同，且不承担任何赔偿责任。</w:t>
      </w:r>
      <w:bookmarkEnd w:id="102"/>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服务期限内进度要求：</w:t>
      </w:r>
      <w:r/>
    </w:p>
    <w:tbl>
      <w:tblPr>
        <w:tblStyle w:val="734"/>
        <w:tblW w:w="8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654"/>
        <w:gridCol w:w="3174"/>
        <w:gridCol w:w="1440"/>
        <w:gridCol w:w="1058"/>
        <w:gridCol w:w="1415"/>
      </w:tblGrid>
      <w:tr>
        <w:trPr>
          <w:jc w:val="center"/>
          <w:trHeight w:val="586"/>
        </w:trPr>
        <w:tc>
          <w:tcPr>
            <w:tcW w:w="741"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654"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类型</w:t>
            </w:r>
            <w:r/>
          </w:p>
        </w:tc>
        <w:tc>
          <w:tcPr>
            <w:tcW w:w="3174"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进度</w:t>
            </w:r>
            <w:r>
              <w:rPr>
                <w:rFonts w:hint="eastAsia" w:ascii="宋体" w:hAnsi="宋体" w:eastAsia="宋体" w:cs="宋体"/>
                <w:b/>
                <w:bCs/>
                <w:color w:val="auto"/>
                <w:sz w:val="21"/>
                <w:szCs w:val="21"/>
                <w:highlight w:val="none"/>
              </w:rPr>
              <w:t xml:space="preserve">要求</w:t>
            </w:r>
            <w:r/>
          </w:p>
        </w:tc>
        <w:tc>
          <w:tcPr>
            <w:tcW w:w="1440"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W w:w="1058"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工作安排</w:t>
            </w:r>
            <w:r/>
          </w:p>
        </w:tc>
        <w:tc>
          <w:tcPr>
            <w:tcW w:w="1415"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90"/>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一级审计</w:t>
            </w:r>
            <w:r/>
          </w:p>
        </w:tc>
        <w:tc>
          <w:tcPr>
            <w:tcW w:w="3174"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对建筑面积</w:t>
            </w:r>
            <w:r>
              <w:rPr>
                <w:rFonts w:ascii="Arial" w:hAnsi="Arial"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1万平方米的公共机构按照《公共建筑能源审计标准》（DB32/T 3751—2020）一级深度要求开展审计。完成相关公共机构能源数据收集与验证、能源消耗分析、排除不可托管对象，</w:t>
            </w:r>
            <w:r>
              <w:rPr>
                <w:rFonts w:hint="eastAsia" w:ascii="宋体" w:hAnsi="宋体" w:eastAsia="宋体" w:cs="宋体"/>
                <w:color w:val="auto"/>
                <w:sz w:val="21"/>
                <w:szCs w:val="21"/>
                <w:highlight w:val="none"/>
                <w:lang w:val="zh-CN"/>
              </w:rPr>
              <w:t xml:space="preserve">出具能源审计初步分析报告（供</w:t>
            </w:r>
            <w:r>
              <w:rPr>
                <w:rFonts w:hint="eastAsia" w:asciiTheme="minorEastAsia" w:hAnsiTheme="minorEastAsia" w:eastAsiaTheme="minorEastAsia" w:cstheme="minorEastAsia"/>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zh-CN"/>
              </w:rPr>
              <w:t xml:space="preserve">内部评议）</w:t>
            </w:r>
            <w:r>
              <w:rPr>
                <w:rFonts w:hint="eastAsia" w:ascii="宋体" w:hAnsi="宋体" w:eastAsia="宋体" w:cs="宋体"/>
                <w:color w:val="auto"/>
                <w:sz w:val="21"/>
                <w:szCs w:val="21"/>
                <w:highlight w:val="none"/>
              </w:rPr>
              <w:t xml:space="preserve">。</w:t>
            </w:r>
            <w:r/>
          </w:p>
        </w:tc>
        <w:tc>
          <w:tcPr>
            <w:tcW w:w="144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约230个独立办公区（包括机关办公建筑、学校建筑、医疗卫生建筑、公共场馆建筑等类型）</w:t>
            </w:r>
            <w:r/>
          </w:p>
        </w:tc>
        <w:tc>
          <w:tcPr>
            <w:tcW w:w="105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于2026年12月15日前全部完成</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甲方</w:t>
            </w:r>
            <w:r>
              <w:rPr>
                <w:rFonts w:hint="eastAsia" w:ascii="宋体" w:hAnsi="宋体" w:eastAsia="宋体" w:cs="宋体"/>
                <w:color w:val="auto"/>
                <w:sz w:val="21"/>
                <w:szCs w:val="21"/>
                <w:highlight w:val="none"/>
              </w:rPr>
              <w:t xml:space="preserve">可根据一级审计结果决定是否调整列入按二级深度要求开展审计。</w:t>
            </w:r>
            <w:r/>
          </w:p>
        </w:tc>
      </w:tr>
      <w:tr>
        <w:trPr>
          <w:jc w:val="center"/>
          <w:trHeight w:val="3862"/>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二级审计</w:t>
            </w:r>
            <w:r/>
          </w:p>
        </w:tc>
        <w:tc>
          <w:tcPr>
            <w:tcW w:w="3174"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对建筑面积&gt;1万平方米的公共机构按照</w:t>
            </w:r>
            <w:r>
              <w:rPr>
                <w:rFonts w:ascii="宋体" w:hAnsi="宋体" w:eastAsia="宋体" w:cs="宋体"/>
                <w:color w:val="auto"/>
                <w:sz w:val="21"/>
                <w:szCs w:val="21"/>
                <w:highlight w:val="none"/>
              </w:rPr>
              <w:t xml:space="preserve">《公共建筑能源审计标准》（DB32/T 3751—2020）二级深度要求开展审计</w:t>
            </w:r>
            <w:r>
              <w:rPr>
                <w:rFonts w:hint="eastAsia" w:ascii="宋体" w:hAnsi="宋体" w:eastAsia="宋体" w:cs="宋体"/>
                <w:color w:val="auto"/>
                <w:sz w:val="21"/>
                <w:szCs w:val="21"/>
                <w:highlight w:val="none"/>
              </w:rPr>
              <w:t xml:space="preserve">。完成能源数据与建筑信息的精准采集、验证及能耗深度分析，界定能源边界，识别能耗关键影响因素。待一级审计和二级审计全部完成后，</w:t>
            </w:r>
            <w:r>
              <w:rPr>
                <w:rFonts w:hint="eastAsia" w:ascii="宋体" w:hAnsi="宋体" w:eastAsia="宋体" w:cs="宋体"/>
                <w:color w:val="auto"/>
                <w:sz w:val="21"/>
                <w:szCs w:val="21"/>
                <w:highlight w:val="none"/>
                <w:lang w:val="zh-CN"/>
              </w:rPr>
              <w:t xml:space="preserve">出具</w:t>
            </w:r>
            <w:r>
              <w:rPr>
                <w:rFonts w:hint="eastAsia" w:ascii="宋体" w:hAnsi="宋体" w:eastAsia="宋体" w:cs="宋体"/>
                <w:color w:val="auto"/>
                <w:sz w:val="21"/>
                <w:szCs w:val="21"/>
                <w:highlight w:val="none"/>
              </w:rPr>
              <w:t xml:space="preserve">全市各公共机构</w:t>
            </w:r>
            <w:r>
              <w:rPr>
                <w:rFonts w:hint="eastAsia" w:ascii="宋体" w:hAnsi="宋体" w:eastAsia="宋体" w:cs="宋体"/>
                <w:color w:val="auto"/>
                <w:sz w:val="21"/>
                <w:szCs w:val="21"/>
                <w:highlight w:val="none"/>
                <w:lang w:val="zh-CN"/>
              </w:rPr>
              <w:t xml:space="preserve">能源审计</w:t>
            </w:r>
            <w:r>
              <w:rPr>
                <w:rFonts w:hint="eastAsia" w:ascii="宋体" w:hAnsi="宋体" w:eastAsia="宋体" w:cs="宋体"/>
                <w:color w:val="auto"/>
                <w:sz w:val="21"/>
                <w:szCs w:val="21"/>
                <w:highlight w:val="none"/>
              </w:rPr>
              <w:t xml:space="preserve">报告、</w:t>
            </w:r>
            <w:r>
              <w:rPr>
                <w:rFonts w:hint="eastAsia" w:ascii="宋体" w:hAnsi="宋体" w:eastAsia="宋体" w:cs="宋体"/>
                <w:color w:val="auto"/>
                <w:sz w:val="21"/>
                <w:szCs w:val="21"/>
                <w:highlight w:val="none"/>
                <w:lang w:val="zh-CN"/>
              </w:rPr>
              <w:t xml:space="preserve">能耗基准值核定报告、</w:t>
            </w:r>
            <w:r>
              <w:rPr>
                <w:rFonts w:hint="eastAsia" w:ascii="宋体" w:hAnsi="宋体" w:eastAsia="宋体" w:cs="宋体"/>
                <w:color w:val="auto"/>
                <w:sz w:val="21"/>
                <w:szCs w:val="21"/>
                <w:highlight w:val="none"/>
              </w:rPr>
              <w:t xml:space="preserve">能源费用基准值核定报告和整市公共机构能源审计报告、能耗基准值核定报告和能源费用基准值核定报告。</w:t>
            </w:r>
            <w:r/>
          </w:p>
        </w:tc>
        <w:tc>
          <w:tcPr>
            <w:tcW w:w="144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约80个独立办公区（包括机关办公建筑、学校建筑、医疗卫生建筑、公共场馆建筑等类型）</w:t>
            </w:r>
            <w:r/>
          </w:p>
        </w:tc>
        <w:tc>
          <w:tcPr>
            <w:tcW w:w="105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于2026年12月30日前全部完成</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1194"/>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提交报告</w:t>
            </w:r>
            <w:r/>
          </w:p>
        </w:tc>
        <w:tc>
          <w:tcPr>
            <w:tcW w:w="3174"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提交以上经专家评审通过的各项报告</w:t>
            </w:r>
            <w:r/>
          </w:p>
        </w:tc>
        <w:tc>
          <w:tcPr>
            <w:tcW w:w="1440"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于2027年1月15日前完成</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1804"/>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能源绩效评估</w:t>
            </w:r>
            <w:r/>
          </w:p>
        </w:tc>
        <w:tc>
          <w:tcPr>
            <w:tcW w:w="3174"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在托管期内根据</w:t>
            </w:r>
            <w:r>
              <w:rPr>
                <w:rFonts w:hint="eastAsia" w:asciiTheme="minorEastAsia" w:hAnsiTheme="minorEastAsia" w:eastAsiaTheme="minorEastAsia" w:cstheme="minorEastAsia"/>
                <w:color w:val="auto"/>
                <w:sz w:val="21"/>
                <w:szCs w:val="21"/>
                <w:highlight w:val="none"/>
                <w:lang w:val="en-US" w:eastAsia="zh-CN" w:bidi="ar-SA"/>
              </w:rPr>
              <w:t xml:space="preserve">甲方</w:t>
            </w:r>
            <w:r>
              <w:rPr>
                <w:rFonts w:hint="eastAsia" w:ascii="宋体" w:hAnsi="宋体" w:eastAsia="宋体" w:cs="宋体"/>
                <w:color w:val="auto"/>
                <w:sz w:val="21"/>
                <w:szCs w:val="21"/>
                <w:highlight w:val="none"/>
              </w:rPr>
              <w:t xml:space="preserve">需要，每年对能耗基准值的动态调整与运行绩效开展专项审计，并出具书面审定意见。托管期满前一个月，根据</w:t>
            </w:r>
            <w:r>
              <w:rPr>
                <w:rFonts w:hint="eastAsia" w:asciiTheme="minorEastAsia" w:hAnsiTheme="minorEastAsia" w:eastAsiaTheme="minorEastAsia" w:cstheme="minorEastAsia"/>
                <w:color w:val="auto"/>
                <w:sz w:val="21"/>
                <w:szCs w:val="21"/>
                <w:highlight w:val="none"/>
                <w:lang w:val="en-US" w:eastAsia="zh-CN" w:bidi="ar-SA"/>
              </w:rPr>
              <w:t xml:space="preserve">甲方</w:t>
            </w:r>
            <w:r>
              <w:rPr>
                <w:rFonts w:hint="eastAsia" w:ascii="宋体" w:hAnsi="宋体" w:eastAsia="宋体" w:cs="宋体"/>
                <w:color w:val="auto"/>
                <w:sz w:val="21"/>
                <w:szCs w:val="21"/>
                <w:highlight w:val="none"/>
              </w:rPr>
              <w:t xml:space="preserve">需要出具项目总体评估报告。</w:t>
            </w:r>
            <w:r/>
          </w:p>
        </w:tc>
        <w:tc>
          <w:tcPr>
            <w:tcW w:w="1440" w:type="dxa"/>
            <w:vAlign w:val="center"/>
            <w:textDirection w:val="lrTb"/>
            <w:noWrap w:val="false"/>
          </w:tcPr>
          <w:p>
            <w:pPr>
              <w:jc w:val="cente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所有独立办公区（包括机关办公建筑、学校建筑、医疗卫生建筑、公共场馆建筑等类型）</w:t>
            </w:r>
            <w:r/>
          </w:p>
        </w:tc>
        <w:tc>
          <w:tcPr>
            <w:tcW w:w="1058" w:type="dxa"/>
            <w:vAlign w:val="center"/>
            <w:textDirection w:val="lrTb"/>
            <w:noWrap w:val="false"/>
          </w:tcPr>
          <w:p>
            <w:pPr>
              <w:jc w:val="cente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整个合同期内</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1033"/>
        </w:trPr>
        <w:tc>
          <w:tcPr>
            <w:tcW w:w="741"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654"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3174"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配合主管部门完成项目验收工作及为主管部门提供信息咨询服务。</w:t>
            </w:r>
            <w:r/>
          </w:p>
        </w:tc>
        <w:tc>
          <w:tcPr>
            <w:tcW w:w="144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05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整个合同期内</w:t>
            </w:r>
            <w:r/>
          </w:p>
        </w:tc>
        <w:tc>
          <w:tcPr>
            <w:tcW w:w="1415"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739"/>
        <w:ind w:firstLine="480"/>
        <w:keepLines w:val="0"/>
        <w:keepNext w:val="0"/>
        <w:pageBreakBefore w:val="0"/>
        <w:spacing w:before="0" w:beforeAutospacing="0" w:after="0" w:afterAutospacing="0" w:line="48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服务地点：</w:t>
      </w:r>
      <w:r>
        <w:rPr>
          <w:rFonts w:hint="eastAsia" w:asciiTheme="minorEastAsia" w:hAnsiTheme="minorEastAsia" w:eastAsiaTheme="minorEastAsia" w:cstheme="minorEastAsia"/>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指定地点。</w:t>
      </w:r>
      <w:r/>
    </w:p>
    <w:p>
      <w:pPr>
        <w:pStyle w:val="730"/>
        <w:ind w:firstLine="562"/>
        <w:keepLines/>
        <w:keepNext/>
        <w:pageBreakBefore w:val="0"/>
        <w:spacing w:before="0" w:after="0" w:line="500" w:lineRule="exact"/>
        <w:widowControl w:val="off"/>
        <w:rPr>
          <w:rFonts w:hint="eastAsia" w:asciiTheme="majorHAnsi" w:hAnsiTheme="majorHAnsi" w:eastAsiaTheme="majorEastAsia" w:cstheme="majorBidi"/>
          <w:b/>
          <w:bCs/>
          <w:color w:val="auto"/>
          <w:sz w:val="28"/>
          <w:szCs w:val="28"/>
          <w:highlight w:val="none"/>
          <w:lang w:val="en-US" w:eastAsia="zh-CN" w:bidi="ar-SA"/>
        </w:rPr>
      </w:pPr>
      <w:r>
        <w:rPr>
          <w:rFonts w:hint="eastAsia" w:cstheme="majorBidi"/>
          <w:b/>
          <w:bCs/>
          <w:color w:val="auto"/>
          <w:sz w:val="28"/>
          <w:szCs w:val="28"/>
          <w:highlight w:val="none"/>
          <w:lang w:val="en-US" w:eastAsia="zh-CN" w:bidi="ar-SA"/>
        </w:rPr>
        <w:t xml:space="preserve">第七条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支付方式</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一级和二级审计结束后，凭专家论证通过的整市公共机构能源审计报告、整市公共机构能耗基准值核定报告和能源费用基准值核定报告，付至合同总金额的90%；剩余10%待对整市公共机构完成节能效果评估，提交最后一份项目总体评估报告后付清。（备注：对满足合同支付条件的，</w:t>
      </w:r>
      <w:r>
        <w:rPr>
          <w:rFonts w:hint="eastAsia" w:asciiTheme="minorEastAsia" w:hAnsiTheme="minorEastAsia" w:eastAsiaTheme="minorEastAsia" w:cstheme="minorEastAsia"/>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应当自收到发票后30日内支付资金）</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bookmarkStart w:id="103" w:name="auto_fouce_9"/>
      <w:r>
        <w:rPr>
          <w:rFonts w:hint="default"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乙方履约过程中产生的所有费用均由乙方承担，甲方不承担任何与乙方履约相关的直接或间接费用。</w:t>
      </w:r>
      <w:bookmarkEnd w:id="103"/>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bookmarkStart w:id="104" w:name="auto_fouce_10"/>
      <w:r>
        <w:rPr>
          <w:rFonts w:hint="default"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本合同执行中相关的一切税费均由乙方负担。所有费用为含税价，乙方应按甲方要求开具合法、合规增值税发票，未开具发票甲方有权拒付相关款项。</w:t>
      </w:r>
      <w:bookmarkEnd w:id="104"/>
      <w:r/>
      <w:r/>
    </w:p>
    <w:p>
      <w:pPr>
        <w:ind w:firstLine="562"/>
        <w:spacing w:line="500" w:lineRule="exact"/>
        <w:rPr>
          <w:rFonts w:hint="eastAsia" w:asciiTheme="majorHAnsi" w:hAnsiTheme="majorHAnsi" w:eastAsiaTheme="majorEastAsia" w:cstheme="majorBidi"/>
          <w:b/>
          <w:bCs/>
          <w:color w:val="auto"/>
          <w:sz w:val="28"/>
          <w:szCs w:val="28"/>
          <w:highlight w:val="none"/>
          <w:lang w:val="en-US" w:eastAsia="zh-CN" w:bidi="ar-SA"/>
        </w:rPr>
      </w:pPr>
      <w:r>
        <w:rPr>
          <w:rFonts w:hint="eastAsia" w:asciiTheme="majorHAnsi" w:hAnsiTheme="majorHAnsi" w:eastAsiaTheme="majorEastAsia" w:cstheme="majorBidi"/>
          <w:b/>
          <w:bCs/>
          <w:color w:val="auto"/>
          <w:sz w:val="28"/>
          <w:szCs w:val="28"/>
          <w:highlight w:val="none"/>
          <w:lang w:val="en-US" w:eastAsia="zh-CN" w:bidi="ar-SA"/>
        </w:rPr>
        <w:t xml:space="preserve">第八条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履约保证金</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1.本项目成交后的履约保证金为项目成交价（</w:t>
      </w:r>
      <w:r>
        <w:rPr>
          <w:rFonts w:hint="eastAsia" w:ascii="宋体" w:hAnsi="宋体" w:cs="宋体"/>
          <w:b w:val="0"/>
          <w:bCs w:val="0"/>
          <w:color w:val="auto"/>
          <w:sz w:val="24"/>
          <w:szCs w:val="24"/>
          <w:highlight w:val="none"/>
          <w:lang w:val="en-US" w:eastAsia="zh-CN" w:bidi="ar-SA"/>
        </w:rPr>
        <w:t xml:space="preserve">以</w:t>
      </w:r>
      <w:r>
        <w:rPr>
          <w:rFonts w:hint="eastAsia" w:ascii="宋体" w:hAnsi="宋体" w:eastAsia="宋体" w:cs="宋体"/>
          <w:b w:val="0"/>
          <w:bCs w:val="0"/>
          <w:color w:val="auto"/>
          <w:sz w:val="24"/>
          <w:szCs w:val="24"/>
          <w:highlight w:val="none"/>
          <w:lang w:val="en-US" w:eastAsia="zh-CN" w:bidi="ar-SA"/>
        </w:rPr>
        <w:t xml:space="preserve">中标单价*3300000</w:t>
      </w:r>
      <m:oMath>
        <m:r>
          <w:rPr>
            <w:rFonts w:hint="eastAsia" w:ascii="宋体" w:hAnsi="宋体" w:eastAsia="宋体" w:cs="宋体"/>
            <w:color w:val="auto"/>
            <w:sz w:val="24"/>
            <w:szCs w:val="24"/>
            <w:highlight w:val="none"/>
            <w:lang w:val="en-US" w:eastAsia="zh-CN" w:bidi="ar-SA"/>
          </w:rPr>
          <m:rPr>
            <m:sty m:val="p"/>
          </m:rPr>
          <m:t>㎡</m:t>
        </m:r>
      </m:oMath>
      <w:r>
        <w:rPr>
          <w:rFonts w:hint="eastAsia" w:hAnsi="宋体" w:cs="宋体"/>
          <w:b w:val="0"/>
          <w:bCs w:val="0"/>
          <w:color w:val="auto"/>
          <w:sz w:val="24"/>
          <w:szCs w:val="24"/>
          <w:highlight w:val="none"/>
          <w:lang w:val="en-US" w:eastAsia="zh-CN" w:bidi="ar-SA"/>
        </w:rPr>
        <w:t xml:space="preserve">为基数</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的10%</w:t>
      </w:r>
      <w:r>
        <w:rPr>
          <w:rFonts w:hint="eastAsia" w:ascii="宋体" w:hAnsi="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元）</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的履约保证金须在成交通知书发出之日起至合同签订前汇入</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账户（应当以数字人民币、支票、汇票或者金融机构、担保机构出具的保函等非现金形式提交），</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凭成交通知书与</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签订合同。超期或未协商一致，则视为自动放弃成交资格。</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全部履约合同义务，经</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验收合格无质量、进度等问题的，</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在验收合格后一次性</w:t>
      </w:r>
      <w:r>
        <w:rPr>
          <w:rFonts w:hint="eastAsia" w:ascii="宋体" w:hAnsi="宋体" w:cs="宋体"/>
          <w:b w:val="0"/>
          <w:bCs w:val="0"/>
          <w:color w:val="auto"/>
          <w:sz w:val="24"/>
          <w:szCs w:val="24"/>
          <w:highlight w:val="none"/>
          <w:lang w:val="en-US" w:eastAsia="zh-CN" w:bidi="ar-SA"/>
        </w:rPr>
        <w:t xml:space="preserve">无息</w:t>
      </w:r>
      <w:r>
        <w:rPr>
          <w:rFonts w:hint="eastAsia" w:ascii="宋体" w:hAnsi="宋体" w:eastAsia="宋体" w:cs="宋体"/>
          <w:b w:val="0"/>
          <w:bCs w:val="0"/>
          <w:color w:val="auto"/>
          <w:sz w:val="24"/>
          <w:szCs w:val="24"/>
          <w:highlight w:val="none"/>
          <w:lang w:val="en-US" w:eastAsia="zh-CN" w:bidi="ar-SA"/>
        </w:rPr>
        <w:t xml:space="preserve">退还履约保证金，</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若逾期退还履约保证金的，按照逾期部分的每日0.05%支付违约金。</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3.发生以下情况的，履约保证金不予退还或部分退还：</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a.签订合同后，</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不履行合同义务的，</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有权全额扣除履约保证金，全额不予退还，同时</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亦有权终止合同，</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还须承担相应的法律赔偿责任。</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B</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在履约过程中发生违约行为，给</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造成损失的，</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有权在</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缴纳的履约保证金中予以扣款，以弥补</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经济损失，不足的部分</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另外补齐。</w:t>
      </w:r>
      <w:r/>
    </w:p>
    <w:p>
      <w:pPr>
        <w:numPr>
          <w:ilvl w:val="0"/>
          <w:numId w:val="0"/>
        </w:numPr>
        <w:ind w:firstLine="562"/>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pPr>
      <w:r>
        <w:rPr>
          <w:rFonts w:hint="eastAsia" w:asciiTheme="majorHAnsi" w:hAnsiTheme="majorHAnsi" w:eastAsiaTheme="majorEastAsia" w:cstheme="majorBidi"/>
          <w:b/>
          <w:bCs/>
          <w:color w:val="auto"/>
          <w:sz w:val="28"/>
          <w:szCs w:val="28"/>
          <w:highlight w:val="none"/>
          <w:lang w:val="en-US" w:eastAsia="zh-CN" w:bidi="ar-SA"/>
        </w:rPr>
        <w:t xml:space="preserve">第九条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考核验收</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1.验收标准：</w:t>
      </w:r>
      <w:r>
        <w:rPr>
          <w:rFonts w:hint="eastAsia" w:asciiTheme="minorEastAsia" w:hAnsiTheme="minorEastAsia" w:eastAsiaTheme="minorEastAsia" w:cstheme="minorEastAsia"/>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根据国家有关规定、招投标文件以及合同约定的内容组织验收。</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bookmarkStart w:id="105" w:name="auto_fouce_11"/>
      <w:r>
        <w:rPr>
          <w:rFonts w:hint="eastAsia" w:ascii="宋体" w:hAnsi="宋体" w:eastAsia="宋体" w:cs="宋体"/>
          <w:b w:val="0"/>
          <w:bCs w:val="0"/>
          <w:color w:val="auto"/>
          <w:sz w:val="24"/>
          <w:szCs w:val="24"/>
          <w:highlight w:val="none"/>
          <w:lang w:val="en-US" w:eastAsia="zh-CN" w:bidi="ar-SA"/>
        </w:rPr>
        <w:t xml:space="preserve">甲方将根据本项目特点，制定详细的考核验收内容、标准及扣分细则</w:t>
      </w:r>
      <w:r>
        <w:rPr>
          <w:rFonts w:hint="eastAsia" w:ascii="宋体" w:hAnsi="宋体" w:cs="宋体"/>
          <w:b w:val="0"/>
          <w:bCs w:val="0"/>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详见附件考核细则</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涵盖服务质量、响应速度、完成时限和保密等方面。甲方有权根据实际管理需要调整考核验收细则，调整后的细则经书面通知乙方后即具约束力。考核验收过程中如乙方有异议，应在收到考核结果之日起5个工作日内以书面形式向甲方提出，逾期视为无异议。甲方有权对异议作出最终解释。</w:t>
      </w:r>
      <w:bookmarkEnd w:id="105"/>
      <w:r/>
      <w:bookmarkStart w:id="106" w:name="auto_fouce_12"/>
      <w:r>
        <w:rPr>
          <w:rFonts w:hint="eastAsia" w:ascii="宋体" w:hAnsi="宋体" w:eastAsia="宋体" w:cs="宋体"/>
          <w:b w:val="0"/>
          <w:bCs w:val="0"/>
          <w:color w:val="auto"/>
          <w:sz w:val="24"/>
          <w:szCs w:val="24"/>
          <w:highlight w:val="none"/>
          <w:lang w:val="en-US" w:eastAsia="zh-CN" w:bidi="ar-SA"/>
        </w:rPr>
        <w:t xml:space="preserve">审计服务费用将根据考核结果支付。甲方有权在服务期内对乙方进行履约考核。考核不合格的，甲方有权扣减服务费、暂停服务、解除合同等。</w:t>
      </w:r>
      <w:bookmarkEnd w:id="106"/>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.考核结果</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运用</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考核细则满分100分。第一阶段付款前，甲方根据考核细则对乙方的服务情况进行考核，考核结果按以下方式处理：</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（1）考核得分90分及以上为合格，全额支付当期合同款项；</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（2）考核得分80-89分（含），甲方有权要求乙方在指定期限内完成整改，并扣除2000元；</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（3）考核得分70-79分（含），甲方有权要求乙方在指定期限内完成整改，并扣除5000元；</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（4）考核得分低于70分或存在重大违法行为，视为考核不合格，甲方有权扣除10000元并责令其限期完成整改。若乙方未执行或拒不整改，甲方有权单方解除合同，并扣除全部履约保证金，乙方前期投入不予</w:t>
      </w:r>
      <w:r>
        <w:rPr>
          <w:rFonts w:hint="eastAsia" w:ascii="宋体" w:hAnsi="宋体" w:cs="宋体"/>
          <w:b w:val="0"/>
          <w:bCs w:val="0"/>
          <w:color w:val="auto"/>
          <w:sz w:val="24"/>
          <w:szCs w:val="24"/>
          <w:highlight w:val="none"/>
          <w:lang w:val="en-US" w:eastAsia="zh-CN" w:bidi="ar-SA"/>
        </w:rPr>
        <w:t xml:space="preserve">补</w:t>
      </w:r>
      <w:r>
        <w:rPr>
          <w:rFonts w:hint="default" w:ascii="宋体" w:hAnsi="宋体" w:eastAsia="宋体" w:cs="宋体"/>
          <w:b w:val="0"/>
          <w:bCs w:val="0"/>
          <w:color w:val="auto"/>
          <w:sz w:val="24"/>
          <w:szCs w:val="24"/>
          <w:highlight w:val="none"/>
          <w:lang w:val="en-US" w:eastAsia="zh-CN" w:bidi="ar-SA"/>
        </w:rPr>
        <w:t xml:space="preserve">偿。</w:t>
      </w:r>
      <w:r/>
    </w:p>
    <w:p>
      <w:pPr>
        <w:numPr>
          <w:ilvl w:val="0"/>
          <w:numId w:val="0"/>
        </w:numPr>
        <w:ind w:firstLine="562"/>
        <w:pageBreakBefore w:val="0"/>
        <w:spacing w:line="50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扣减服务费用从当期合同金额中扣除，</w:t>
      </w:r>
      <w:r>
        <w:rPr>
          <w:rFonts w:hint="default" w:ascii="宋体" w:hAnsi="宋体" w:eastAsia="宋体" w:cs="宋体"/>
          <w:b w:val="0"/>
          <w:bCs w:val="0"/>
          <w:color w:val="auto"/>
          <w:sz w:val="24"/>
          <w:szCs w:val="24"/>
          <w:highlight w:val="none"/>
          <w:lang w:val="en-US" w:eastAsia="zh-CN" w:bidi="ar-SA"/>
        </w:rPr>
        <w:t xml:space="preserve">因乙方原因导致甲方损失的，扣减服务费用不影响甲方继续追偿的权利。</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.该审计项目，甲方可邀请各公共机构相关责任人参与考核验收。</w:t>
      </w:r>
      <w:r/>
    </w:p>
    <w:p>
      <w:pPr>
        <w:numPr>
          <w:ilvl w:val="0"/>
          <w:numId w:val="0"/>
        </w:numPr>
        <w:ind w:firstLine="562"/>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w:t>
      </w:r>
      <w:bookmarkStart w:id="107" w:name="auto_fouce_13"/>
      <w:r>
        <w:rPr>
          <w:rFonts w:hint="eastAsia" w:ascii="宋体" w:hAnsi="宋体" w:eastAsia="宋体" w:cs="宋体"/>
          <w:b w:val="0"/>
          <w:bCs w:val="0"/>
          <w:color w:val="auto"/>
          <w:sz w:val="24"/>
          <w:szCs w:val="24"/>
          <w:highlight w:val="none"/>
          <w:lang w:val="en-US" w:eastAsia="zh-CN" w:bidi="ar-SA"/>
        </w:rPr>
        <w:t xml:space="preserve">甲方可邀请第三方专业机构及专家参与验收论证，相关意见将作为验收的重要依据。甲方有权随时组织抽查、复查，乙方应无条件配合。</w:t>
      </w:r>
      <w:bookmarkEnd w:id="107"/>
      <w:r/>
      <w:r/>
    </w:p>
    <w:p>
      <w:pPr>
        <w:pStyle w:val="730"/>
        <w:ind w:firstLine="562"/>
        <w:pageBreakBefore w:val="0"/>
        <w:spacing w:before="0" w:after="0" w:line="500" w:lineRule="exact"/>
        <w:widowControl w:val="off"/>
        <w:rPr>
          <w:rFonts w:hint="eastAsia" w:asciiTheme="majorHAnsi" w:hAnsiTheme="majorHAnsi" w:eastAsiaTheme="majorEastAsia" w:cstheme="majorBidi"/>
          <w:b/>
          <w:bCs/>
          <w:color w:val="auto"/>
          <w:sz w:val="28"/>
          <w:szCs w:val="28"/>
          <w:highlight w:val="none"/>
          <w:lang w:val="en-US" w:eastAsia="zh-CN" w:bidi="ar-SA"/>
        </w:rPr>
      </w:pPr>
      <w:r>
        <w:rPr>
          <w:rFonts w:hint="eastAsia" w:cstheme="majorBidi"/>
          <w:b/>
          <w:bCs/>
          <w:color w:val="auto"/>
          <w:sz w:val="28"/>
          <w:szCs w:val="28"/>
          <w:highlight w:val="none"/>
          <w:lang w:val="en-US" w:eastAsia="zh-CN" w:bidi="ar-SA"/>
        </w:rPr>
        <w:t xml:space="preserve">第十条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双方权利和义务</w:t>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甲方的权利和义务：</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1.甲方应积极配合乙方依据合同约定和项目要求调阅有关资料。</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2.甲方应确保乙方工作人员进行现场调研时的便利。</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w:t>
      </w:r>
      <w:bookmarkStart w:id="108" w:name="auto_fouce_14"/>
      <w:r>
        <w:rPr>
          <w:rFonts w:hint="eastAsia" w:ascii="宋体" w:hAnsi="宋体" w:eastAsia="宋体" w:cs="宋体"/>
          <w:color w:val="auto"/>
          <w:sz w:val="24"/>
          <w:szCs w:val="24"/>
          <w:highlight w:val="none"/>
          <w:lang w:val="en-US" w:eastAsia="zh-CN"/>
        </w:rPr>
        <w:t xml:space="preserve">甲方有权对乙方是否能够按照合同约定提供服务进行履约检查，以确保乙方服务保质保量，甲方有权随时调阅乙方工作资料、进度报告、原始数据等，乙方应予积极配合。</w:t>
      </w:r>
      <w:bookmarkEnd w:id="108"/>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w:t>
      </w:r>
      <w:bookmarkStart w:id="109" w:name="auto_fouce_15"/>
      <w:r>
        <w:rPr>
          <w:rFonts w:hint="eastAsia" w:ascii="宋体" w:hAnsi="宋体" w:eastAsia="宋体" w:cs="宋体"/>
          <w:color w:val="auto"/>
          <w:sz w:val="24"/>
          <w:szCs w:val="24"/>
          <w:highlight w:val="none"/>
          <w:lang w:val="en-US" w:eastAsia="zh-CN"/>
        </w:rPr>
        <w:t xml:space="preserve">合同履行期间，甲方有权将履行过程中出现的问题反馈给乙方，双方当事人应以书面形式约定需要完善和改进的内容。甲方有权根据政策、实际需求或新标准调整服务内容和范围，乙方应无条件配合执行，且不得据此主张额外费用或拒绝履约。</w:t>
      </w:r>
      <w:bookmarkEnd w:id="109"/>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5.</w:t>
      </w:r>
      <w:bookmarkStart w:id="110" w:name="auto_fouce_16"/>
      <w:r>
        <w:rPr>
          <w:rFonts w:hint="eastAsia" w:ascii="宋体" w:hAnsi="宋体" w:eastAsia="宋体" w:cs="宋体"/>
          <w:color w:val="auto"/>
          <w:sz w:val="24"/>
          <w:szCs w:val="24"/>
          <w:highlight w:val="none"/>
          <w:lang w:val="en-US" w:eastAsia="zh-CN"/>
        </w:rPr>
        <w:t xml:space="preserve">甲方有权对乙方现场操作进行实时视频监控。</w:t>
      </w:r>
      <w:bookmarkEnd w:id="110"/>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乙方的权利和义务：</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乙方在现场实地调研时应遵守被调研单位的各项规章制度，如乙方在实地勘察时违规操作产生的一切事故均由乙方负责。</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.乙方有义务妥善保管和保护由甲方提供的信息和资料等。</w:t>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bookmarkStart w:id="111" w:name="auto_fouce_17"/>
      <w:r>
        <w:rPr>
          <w:rFonts w:hint="eastAsia" w:ascii="宋体" w:hAnsi="宋体" w:eastAsia="宋体" w:cs="宋体"/>
          <w:color w:val="auto"/>
          <w:sz w:val="24"/>
          <w:szCs w:val="24"/>
          <w:highlight w:val="none"/>
          <w:lang w:val="en-US" w:eastAsia="zh-CN"/>
        </w:rPr>
        <w:t xml:space="preserve">对在服务过程中获取的公共机构商业秘密、技术秘密、市场信息、甲方及其合同约定机构的所有资料、数据、成果、工作过程等信息予以保密，未经甲方书面同意，不得向任何第三方泄露。乙方对所有甲方及公共机构信息负有严格保密义务，应采取有效措施保障数据安全。乙方违反保密义务的，应按甲方实际损失的两倍承担赔偿责任，并签署专项保密协议。</w:t>
      </w:r>
      <w:bookmarkEnd w:id="111"/>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bookmarkStart w:id="112" w:name="auto_fouce_18"/>
      <w:r>
        <w:rPr>
          <w:rFonts w:hint="eastAsia" w:ascii="宋体" w:hAnsi="宋体" w:eastAsia="宋体" w:cs="宋体"/>
          <w:color w:val="auto"/>
          <w:sz w:val="24"/>
          <w:szCs w:val="24"/>
          <w:highlight w:val="none"/>
          <w:lang w:val="en-US" w:eastAsia="zh-CN"/>
        </w:rPr>
        <w:t xml:space="preserve">乙方应建立和完善履行合同的内部质量保证体系，并提供相关内部规章制度给甲方，以便甲方进行监督检查。乙方应确保所有工作人员具备相应资质，出现不合格人员甲方有权要求更换，乙方应无条件配合。</w:t>
      </w:r>
      <w:bookmarkEnd w:id="112"/>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bookmarkStart w:id="113" w:name="auto_fouce_19"/>
      <w:r>
        <w:rPr>
          <w:rFonts w:hint="eastAsia" w:ascii="宋体" w:hAnsi="宋体" w:eastAsia="宋体" w:cs="宋体"/>
          <w:color w:val="auto"/>
          <w:sz w:val="24"/>
          <w:szCs w:val="24"/>
          <w:highlight w:val="none"/>
          <w:lang w:val="en-US" w:eastAsia="zh-CN"/>
        </w:rPr>
        <w:t xml:space="preserve">乙方应保证履行合同的人员数量、专业资质、从业经验、软件和硬件设备的配置、场地、环境和设施等满足全面履行合同的要求，并应接受甲方的监督检查。甲方有权随时核查乙方人员、设备、资质情况，并可要求更换不合格人员或设备，乙方应无条件配合。乙方安排的服务人员未达到投标文件承诺资质标准的，每人次按1万元扣除服务费用。</w:t>
      </w:r>
      <w:bookmarkEnd w:id="113"/>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bookmarkStart w:id="114" w:name="auto_fouce_20"/>
      <w:r>
        <w:rPr>
          <w:rFonts w:hint="eastAsia" w:ascii="宋体" w:hAnsi="宋体" w:eastAsia="宋体" w:cs="宋体"/>
          <w:color w:val="auto"/>
          <w:sz w:val="24"/>
          <w:szCs w:val="24"/>
          <w:highlight w:val="none"/>
          <w:lang w:val="en-US" w:eastAsia="zh-CN"/>
        </w:rPr>
        <w:t xml:space="preserve">乙方应全额承担其工作人员的工资、保险及一切福利待遇。乙方需为现场工作人员购买人身意外险，保额不低于100万元/人。审计服务过程中发生的任何安全事故、人身伤害及矛盾纠纷，均由乙方自行承担全部责任，甲方概不负责。乙方必须自备全部人员、设备、交通、保险等，甲方不承担任何费用或责任。</w:t>
      </w:r>
      <w:bookmarkEnd w:id="114"/>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bookmarkStart w:id="115" w:name="_Toc23323"/>
      <w:r/>
      <w:bookmarkStart w:id="116" w:name="_Toc2016"/>
      <w:r/>
      <w:bookmarkStart w:id="117" w:name="_Toc1123"/>
      <w:r>
        <w:rPr>
          <w:rFonts w:hint="eastAsia" w:asciiTheme="majorHAnsi" w:hAnsiTheme="majorHAnsi" w:eastAsiaTheme="majorEastAsia" w:cstheme="majorBidi"/>
          <w:b/>
          <w:bCs/>
          <w:color w:val="auto"/>
          <w:sz w:val="28"/>
          <w:szCs w:val="28"/>
          <w:highlight w:val="none"/>
          <w:lang w:val="en-US" w:eastAsia="zh-CN" w:bidi="ar-SA"/>
        </w:rPr>
        <w:t xml:space="preserve">第十一条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合同中止、终止</w:t>
      </w:r>
      <w:bookmarkEnd w:id="115"/>
      <w:r/>
      <w:bookmarkEnd w:id="116"/>
      <w:r/>
      <w:bookmarkEnd w:id="117"/>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w:t>
      </w:r>
      <w:bookmarkStart w:id="118" w:name="auto_fouce_21"/>
      <w:r>
        <w:rPr>
          <w:rFonts w:hint="eastAsia" w:ascii="宋体" w:hAnsi="宋体" w:eastAsia="宋体" w:cs="宋体"/>
          <w:color w:val="auto"/>
          <w:sz w:val="24"/>
          <w:szCs w:val="24"/>
          <w:highlight w:val="none"/>
          <w:lang w:val="en-US" w:eastAsia="zh-CN"/>
        </w:rPr>
        <w:t xml:space="preserve">双方当事人不得擅自中止或者终止合同；乙方不得以任何理由擅自中止、终止合同，否则应承担高额违约责任。但如乙方存在违约、服务质量不达标、影响甲方重大利益等情形，甲方有权随时单方解除合同，乙方应承担全部损失和违约责任。</w:t>
      </w:r>
      <w:bookmarkEnd w:id="118"/>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2.合同继续履行将损害国家利益和社会公共利益的，双方当事人应当中止或者终止合同。有过错的一方应当承担赔偿责任，双方当事人都有过错的，各自承担相应的责任。</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w:t>
      </w:r>
      <w:bookmarkStart w:id="119" w:name="auto_fouce_22"/>
      <w:r>
        <w:rPr>
          <w:rFonts w:hint="eastAsia" w:ascii="宋体" w:hAnsi="宋体" w:eastAsia="宋体" w:cs="宋体"/>
          <w:color w:val="auto"/>
          <w:sz w:val="24"/>
          <w:szCs w:val="24"/>
          <w:highlight w:val="none"/>
          <w:lang w:val="en-US" w:eastAsia="zh-CN"/>
        </w:rPr>
        <w:t xml:space="preserve">本项目不接受转让和分包，如乙方擅自将项目转让、分包、挂靠，甲方有权立即解除合同并追究乙方全部责任，且不承担任何赔偿责任。</w:t>
      </w:r>
      <w:bookmarkEnd w:id="119"/>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4.如果乙方破产导致合同无法履行时，</w:t>
      </w:r>
      <w:bookmarkStart w:id="120" w:name="auto_fouce_23"/>
      <w:r>
        <w:rPr>
          <w:rFonts w:hint="eastAsia" w:ascii="宋体" w:hAnsi="宋体" w:eastAsia="宋体" w:cs="宋体"/>
          <w:color w:val="auto"/>
          <w:sz w:val="24"/>
          <w:szCs w:val="24"/>
          <w:highlight w:val="none"/>
          <w:lang w:val="en-US" w:eastAsia="zh-CN"/>
        </w:rPr>
        <w:t xml:space="preserve">甲方可以书面形式通知乙方终止合同且不给予乙方任何补偿和赔偿，并有权追偿合同总价20%的预期利益损失，但合同的终止不损害或不影响甲方已经采取或将要采取的任何要求乙方支付违约金、赔偿损失等的行动或补救措施的权利。</w:t>
      </w:r>
      <w:bookmarkEnd w:id="120"/>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第十二条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违约责任</w:t>
      </w:r>
      <w:r/>
    </w:p>
    <w:p>
      <w:pPr>
        <w:ind w:firstLine="560"/>
        <w:pageBreakBefore w:val="0"/>
        <w:spacing w:line="500" w:lineRule="exact"/>
        <w:widowControl w:val="off"/>
        <w:rPr>
          <w:rFonts w:hint="default"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1.甲方无故逾期验收和办理合同款项支付手续的，</w:t>
      </w:r>
      <w:bookmarkStart w:id="121" w:name="auto_fouce_24"/>
      <w:r>
        <w:rPr>
          <w:rFonts w:hint="eastAsia" w:ascii="宋体" w:hAnsi="宋体" w:eastAsia="宋体" w:cs="宋体"/>
          <w:color w:val="auto"/>
          <w:sz w:val="24"/>
          <w:szCs w:val="24"/>
          <w:highlight w:val="none"/>
          <w:lang w:val="en-US" w:eastAsia="zh-CN"/>
        </w:rPr>
        <w:t xml:space="preserve">甲方应按当期应付款项的每日万分之五计算违约金。</w:t>
      </w:r>
      <w:bookmarkEnd w:id="121"/>
      <w:r>
        <w:rPr>
          <w:rFonts w:hint="eastAsia" w:ascii="宋体" w:hAnsi="宋体" w:eastAsia="宋体" w:cs="宋体"/>
          <w:color w:val="auto"/>
          <w:sz w:val="24"/>
          <w:szCs w:val="24"/>
          <w:highlight w:val="none"/>
          <w:lang w:val="en-US" w:eastAsia="zh-CN"/>
        </w:rPr>
        <w:t xml:space="preserve">但甲方合理审批流程乙方予以理解，不视为甲方违约。</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2.乙方逾期提供服务的，乙方应按逾期提供服务合同总额每日千分之五向甲方支付违约金，由甲方从待付合同款项中扣除。</w:t>
      </w:r>
      <w:bookmarkStart w:id="122" w:name="auto_fouce_25"/>
      <w:r>
        <w:rPr>
          <w:rFonts w:hint="eastAsia" w:ascii="宋体" w:hAnsi="宋体" w:eastAsia="宋体" w:cs="宋体"/>
          <w:color w:val="auto"/>
          <w:sz w:val="24"/>
          <w:szCs w:val="24"/>
          <w:highlight w:val="none"/>
          <w:lang w:val="en-US" w:eastAsia="zh-CN"/>
        </w:rPr>
        <w:t xml:space="preserve">逾期超过5个工作日未能完成关键节点服务（以本合同第</w:t>
      </w:r>
      <w:r>
        <w:rPr>
          <w:rFonts w:hint="eastAsia" w:ascii="宋体" w:hAnsi="宋体" w:cs="宋体"/>
          <w:color w:val="auto"/>
          <w:sz w:val="24"/>
          <w:szCs w:val="24"/>
          <w:highlight w:val="none"/>
          <w:lang w:val="en-US" w:eastAsia="zh-CN"/>
        </w:rPr>
        <w:t xml:space="preserve">六条</w:t>
      </w:r>
      <w:r>
        <w:rPr>
          <w:rFonts w:hint="eastAsia" w:ascii="宋体" w:hAnsi="宋体" w:eastAsia="宋体" w:cs="宋体"/>
          <w:color w:val="auto"/>
          <w:sz w:val="24"/>
          <w:szCs w:val="24"/>
          <w:highlight w:val="none"/>
          <w:lang w:val="en-US" w:eastAsia="zh-CN"/>
        </w:rPr>
        <w:t xml:space="preserve"> 服务期限进度表为准）的，甲方有权立即解除合同且无需支付任何未付款项</w:t>
      </w:r>
      <w:bookmarkEnd w:id="122"/>
      <w:r>
        <w:rPr>
          <w:rFonts w:hint="eastAsia" w:ascii="宋体" w:hAnsi="宋体" w:eastAsia="宋体" w:cs="宋体"/>
          <w:color w:val="auto"/>
          <w:sz w:val="24"/>
          <w:szCs w:val="24"/>
          <w:highlight w:val="none"/>
          <w:lang w:val="en-US" w:eastAsia="zh-CN"/>
        </w:rPr>
        <w:t xml:space="preserve">。乙方因逾期提供服务或因其他违约行为导致甲方解除合同的，按该违约</w:t>
      </w:r>
      <w:r>
        <w:rPr>
          <w:rFonts w:hint="eastAsia" w:ascii="宋体" w:hAnsi="宋体" w:cs="宋体"/>
          <w:color w:val="auto"/>
          <w:sz w:val="24"/>
          <w:szCs w:val="24"/>
          <w:highlight w:val="none"/>
          <w:lang w:val="en-US" w:eastAsia="zh-CN"/>
        </w:rPr>
        <w:t xml:space="preserve">行为</w:t>
      </w:r>
      <w:r>
        <w:rPr>
          <w:rFonts w:hint="eastAsia" w:ascii="宋体" w:hAnsi="宋体" w:eastAsia="宋体" w:cs="宋体"/>
          <w:color w:val="auto"/>
          <w:sz w:val="24"/>
          <w:szCs w:val="24"/>
          <w:highlight w:val="none"/>
          <w:lang w:val="en-US" w:eastAsia="zh-CN"/>
        </w:rPr>
        <w:t xml:space="preserve">对应阶段服务费用的30%支付违约金，同时仍需继续履行未完成义务，如造成甲方损失超过违约金的，超出部分由乙方继续承担赔偿责任。 </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3.乙方所提供服务的标准不符合合同规定及</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文件规定标准的，</w:t>
      </w:r>
      <w:bookmarkStart w:id="123" w:name="auto_fouce_27"/>
      <w:r>
        <w:rPr>
          <w:rFonts w:hint="eastAsia" w:ascii="宋体" w:hAnsi="宋体" w:eastAsia="宋体" w:cs="宋体"/>
          <w:color w:val="auto"/>
          <w:sz w:val="24"/>
          <w:szCs w:val="24"/>
          <w:highlight w:val="none"/>
          <w:lang w:val="en-US" w:eastAsia="zh-CN"/>
        </w:rPr>
        <w:t xml:space="preserve">甲方有权要求限期重</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lang w:val="en-US" w:eastAsia="zh-CN"/>
        </w:rPr>
        <w:t xml:space="preserve">且不支付</w:t>
      </w:r>
      <w:r>
        <w:rPr>
          <w:rFonts w:hint="eastAsia" w:ascii="宋体" w:hAnsi="宋体" w:cs="宋体"/>
          <w:color w:val="auto"/>
          <w:sz w:val="24"/>
          <w:szCs w:val="24"/>
          <w:highlight w:val="none"/>
          <w:lang w:val="en-US" w:eastAsia="zh-CN"/>
        </w:rPr>
        <w:t xml:space="preserve">重做</w:t>
      </w:r>
      <w:r>
        <w:rPr>
          <w:rFonts w:hint="eastAsia" w:ascii="宋体" w:hAnsi="宋体" w:eastAsia="宋体" w:cs="宋体"/>
          <w:color w:val="auto"/>
          <w:sz w:val="24"/>
          <w:szCs w:val="24"/>
          <w:highlight w:val="none"/>
          <w:lang w:val="en-US" w:eastAsia="zh-CN"/>
        </w:rPr>
        <w:t xml:space="preserve">费用，重</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lang w:val="en-US" w:eastAsia="zh-CN"/>
        </w:rPr>
        <w:t xml:space="preserve">后仍不符合的除解除合同外，乙方应按</w:t>
      </w:r>
      <w:r>
        <w:rPr>
          <w:rFonts w:hint="eastAsia" w:ascii="宋体" w:hAnsi="宋体" w:cs="宋体"/>
          <w:color w:val="auto"/>
          <w:sz w:val="24"/>
          <w:szCs w:val="24"/>
          <w:highlight w:val="none"/>
          <w:lang w:val="en-US" w:eastAsia="zh-CN"/>
        </w:rPr>
        <w:t xml:space="preserve">当期</w:t>
      </w:r>
      <w:r>
        <w:rPr>
          <w:rFonts w:hint="eastAsia" w:ascii="宋体" w:hAnsi="宋体" w:eastAsia="宋体" w:cs="宋体"/>
          <w:color w:val="auto"/>
          <w:sz w:val="24"/>
          <w:szCs w:val="24"/>
          <w:highlight w:val="none"/>
          <w:lang w:val="en-US" w:eastAsia="zh-CN"/>
        </w:rPr>
        <w:t xml:space="preserve">服务费用的200%赔偿损失。</w:t>
      </w:r>
      <w:bookmarkEnd w:id="123"/>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4.因乙方数据泄密导致公共机构损失的，每次事故乙方应赔偿甲方不低于20万元；构成重大事故的，赔偿不低于50万元。甲方有权从合同总额款项中直接扣除上述赔偿金额，且</w:t>
      </w:r>
      <w:r>
        <w:rPr>
          <w:rFonts w:hint="eastAsia" w:ascii="宋体" w:hAnsi="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lang w:val="en-US" w:eastAsia="zh-CN"/>
        </w:rPr>
        <w:t xml:space="preserve">最低赔偿额不影响甲方就超出部分的实际损失继续向乙方追偿的权利。</w:t>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第十三条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不可抗力事件处理</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w:t>
      </w:r>
      <w:bookmarkStart w:id="124" w:name="auto_fouce_28"/>
      <w:r>
        <w:rPr>
          <w:rFonts w:hint="eastAsia" w:ascii="宋体" w:hAnsi="宋体" w:eastAsia="宋体" w:cs="宋体"/>
          <w:color w:val="auto"/>
          <w:sz w:val="24"/>
          <w:szCs w:val="24"/>
          <w:highlight w:val="none"/>
          <w:lang w:val="en-US" w:eastAsia="zh-CN"/>
        </w:rPr>
        <w:t xml:space="preserve">在合同有效期内，任何一方因不可抗力事件导致不能履行合同，则合同履行期可延长，其延长期与不可抗力影响期相同。不可抗力范围仅限于无法预见、无法避免且无法克服的客观情况，乙方可预见、可控制的风险不属于不可抗力。乙方因不可抗力免责的范围仅限于直接受不可抗力影响的部分，且须采取一切合理措施减轻损失。不可抗力发生后，乙方应尽最大努力减轻损失，否则甲方有权追责。若不可抗力事件对甲方重大利益造成影响，甲方有权单方解除合同。</w:t>
      </w:r>
      <w:bookmarkEnd w:id="124"/>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2.不可抗力事件发生后，应立即通知对方，并寄送有关权威机构出具的证明。</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3.不可抗力事件延续120天以上，双方应通过友好协商，确定是否继续履行合同。</w:t>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第十四条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知识产权</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乙方应保证甲方在使用、接受本合同服务或其任何一部分时不受第三方提出侵犯其专利权、版权、商标权和工业设计权等知识产权的起诉。一旦出现侵权，由乙方负全部责任。</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本项目产出全部报告、台账、数据、档案成果知识产权归甲方所有;乙方仅拥有署名权，项目结束必须完整移交全部原始资料，不得自留用于其他项目。</w:t>
      </w:r>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第十五条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合同争议的解决</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bookmarkStart w:id="125" w:name="auto_fouce_29"/>
      <w:r>
        <w:rPr>
          <w:rFonts w:hint="eastAsia" w:ascii="宋体" w:hAnsi="宋体" w:eastAsia="宋体" w:cs="宋体"/>
          <w:color w:val="auto"/>
          <w:sz w:val="24"/>
          <w:szCs w:val="24"/>
          <w:highlight w:val="none"/>
          <w:lang w:val="en-US" w:eastAsia="zh-CN"/>
        </w:rPr>
        <w:t xml:space="preserve">本合同履行过程中如发生争议，甲、乙双方应协商解决，如协商不成，则任何一方均可向</w:t>
      </w:r>
      <w:r>
        <w:rPr>
          <w:rFonts w:hint="eastAsia" w:ascii="宋体" w:hAnsi="宋体" w:eastAsia="宋体" w:cs="宋体"/>
          <w:color w:val="auto"/>
          <w:sz w:val="24"/>
          <w:szCs w:val="24"/>
          <w:highlight w:val="none"/>
          <w:u w:val="single"/>
          <w:lang w:val="en-US" w:eastAsia="zh-CN"/>
        </w:rPr>
        <w:t xml:space="preserve"> 启东市 </w:t>
      </w:r>
      <w:r>
        <w:rPr>
          <w:rFonts w:hint="eastAsia" w:ascii="宋体" w:hAnsi="宋体" w:eastAsia="宋体" w:cs="宋体"/>
          <w:color w:val="auto"/>
          <w:sz w:val="24"/>
          <w:szCs w:val="24"/>
          <w:highlight w:val="none"/>
          <w:lang w:val="en-US" w:eastAsia="zh-CN"/>
        </w:rPr>
        <w:t xml:space="preserve">人民法院提起诉讼。</w:t>
      </w:r>
      <w:bookmarkEnd w:id="125"/>
      <w:r/>
    </w:p>
    <w:p>
      <w:pPr>
        <w:numPr>
          <w:ilvl w:val="0"/>
          <w:numId w:val="0"/>
        </w:numPr>
        <w:ind w:firstLine="560"/>
        <w:pageBreakBefore w:val="0"/>
        <w:spacing w:line="500" w:lineRule="exact"/>
        <w:widowControl w:val="off"/>
        <w:rPr>
          <w:rFonts w:hint="eastAsia" w:asciiTheme="majorHAnsi" w:hAnsiTheme="majorHAnsi" w:eastAsiaTheme="majorEastAsia" w:cstheme="majorBidi"/>
          <w:b/>
          <w:bCs/>
          <w:color w:val="auto"/>
          <w:sz w:val="28"/>
          <w:szCs w:val="28"/>
          <w:highlight w:val="none"/>
          <w:lang w:val="en-US" w:eastAsia="zh-CN" w:bidi="ar-SA"/>
        </w:rPr>
        <w:outlineLvl w:val="2"/>
      </w:pPr>
      <w:r>
        <w:rPr>
          <w:rFonts w:hint="eastAsia" w:asciiTheme="majorHAnsi" w:hAnsiTheme="majorHAnsi" w:eastAsiaTheme="majorEastAsia" w:cstheme="majorBidi"/>
          <w:b/>
          <w:bCs/>
          <w:color w:val="auto"/>
          <w:sz w:val="28"/>
          <w:szCs w:val="28"/>
          <w:highlight w:val="none"/>
          <w:lang w:val="en-US" w:eastAsia="zh-CN" w:bidi="ar-SA"/>
        </w:rPr>
        <w:t xml:space="preserve">第十六条</w:t>
      </w:r>
      <w:r>
        <w:rPr>
          <w:rFonts w:hint="eastAsia"/>
          <w:color w:val="auto"/>
          <w:sz w:val="28"/>
          <w:szCs w:val="28"/>
          <w:highlight w:val="none"/>
          <w:lang w:val="en-US" w:eastAsia="zh-CN"/>
        </w:rPr>
        <w:t xml:space="preserve">  </w:t>
      </w:r>
      <w:r>
        <w:rPr>
          <w:rFonts w:hint="eastAsia" w:asciiTheme="majorHAnsi" w:hAnsiTheme="majorHAnsi" w:eastAsiaTheme="majorEastAsia" w:cstheme="majorBidi"/>
          <w:b/>
          <w:bCs/>
          <w:color w:val="auto"/>
          <w:sz w:val="28"/>
          <w:szCs w:val="28"/>
          <w:highlight w:val="none"/>
          <w:lang w:val="en-US" w:eastAsia="zh-CN" w:bidi="ar-SA"/>
        </w:rPr>
        <w:t xml:space="preserve">合同生效</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1.本合同</w:t>
      </w:r>
      <w:r>
        <w:rPr>
          <w:rFonts w:hint="eastAsia" w:ascii="宋体" w:hAnsi="宋体" w:eastAsia="宋体" w:cs="宋体"/>
          <w:color w:val="auto"/>
          <w:sz w:val="24"/>
          <w:szCs w:val="24"/>
          <w:highlight w:val="none"/>
          <w:lang w:val="zh-CN" w:eastAsia="zh-CN"/>
        </w:rPr>
        <w:t xml:space="preserve">经甲乙双方代表签字并加盖公章（或合同章）后即生效。</w:t>
      </w:r>
      <w:r/>
    </w:p>
    <w:p>
      <w:pPr>
        <w:ind w:firstLine="560"/>
        <w:pageBreakBefore w:val="0"/>
        <w:spacing w:line="50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2.本合同一式陆份，甲乙双方各持叁份。</w:t>
      </w:r>
      <w:r/>
    </w:p>
    <w:p>
      <w:pPr>
        <w:pageBreakBefore w:val="0"/>
        <w:spacing w:line="360" w:lineRule="auto"/>
        <w:widowControl w:val="off"/>
        <w:rPr>
          <w:rFonts w:hint="eastAsia"/>
          <w:color w:val="auto"/>
          <w:highlight w:val="none"/>
        </w:rPr>
      </w:pPr>
      <w:r>
        <w:rPr>
          <w:rFonts w:hint="eastAsia"/>
          <w:color w:val="auto"/>
          <w:highlight w:val="none"/>
        </w:rPr>
      </w:r>
      <w:r/>
    </w:p>
    <w:p>
      <w:pPr>
        <w:ind w:firstLine="480"/>
        <w:keepLines w:val="0"/>
        <w:keepNext w:val="0"/>
        <w:pageBreakBefore w:val="0"/>
        <w:spacing w:before="156" w:line="360" w:lineRule="auto"/>
        <w:widowControl w:val="off"/>
        <w:rPr>
          <w:rFonts w:hint="eastAsia"/>
          <w:color w:val="auto"/>
          <w:sz w:val="24"/>
          <w:szCs w:val="24"/>
          <w:highlight w:val="none"/>
        </w:rPr>
      </w:pPr>
      <w:r>
        <w:rPr>
          <w:rFonts w:hint="eastAsia"/>
          <w:color w:val="auto"/>
          <w:sz w:val="24"/>
          <w:szCs w:val="24"/>
          <w:highlight w:val="none"/>
        </w:rPr>
        <w:t xml:space="preserve">甲方</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公章</w:t>
      </w:r>
      <w:r>
        <w:rPr>
          <w:rFonts w:hint="eastAsia"/>
          <w:color w:val="auto"/>
          <w:sz w:val="24"/>
          <w:szCs w:val="24"/>
          <w:highlight w:val="none"/>
          <w:lang w:eastAsia="zh-CN"/>
        </w:rPr>
        <w:t xml:space="preserve">）</w:t>
      </w: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乙方</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公章</w:t>
      </w:r>
      <w:r>
        <w:rPr>
          <w:rFonts w:hint="eastAsia"/>
          <w:color w:val="auto"/>
          <w:sz w:val="24"/>
          <w:szCs w:val="24"/>
          <w:highlight w:val="none"/>
          <w:lang w:eastAsia="zh-CN"/>
        </w:rPr>
        <w:t xml:space="preserve">）</w:t>
      </w:r>
      <w:r>
        <w:rPr>
          <w:rFonts w:hint="eastAsia"/>
          <w:color w:val="auto"/>
          <w:sz w:val="24"/>
          <w:szCs w:val="24"/>
          <w:highlight w:val="none"/>
        </w:rPr>
        <w:t xml:space="preserve">：</w:t>
      </w:r>
      <w:r/>
    </w:p>
    <w:p>
      <w:pPr>
        <w:ind w:firstLine="480"/>
        <w:keepLines w:val="0"/>
        <w:keepNext w:val="0"/>
        <w:pageBreakBefore w:val="0"/>
        <w:spacing w:before="156" w:line="360" w:lineRule="auto"/>
        <w:widowControl w:val="off"/>
        <w:rPr>
          <w:rFonts w:hint="eastAsia"/>
          <w:color w:val="auto"/>
          <w:sz w:val="24"/>
          <w:szCs w:val="24"/>
          <w:highlight w:val="none"/>
        </w:rPr>
      </w:pPr>
      <w:r>
        <w:rPr>
          <w:rFonts w:hint="eastAsia"/>
          <w:color w:val="auto"/>
          <w:sz w:val="24"/>
          <w:szCs w:val="24"/>
          <w:highlight w:val="none"/>
        </w:rPr>
        <w:t xml:space="preserve">地址：                       </w:t>
      </w:r>
      <w:r>
        <w:rPr>
          <w:rFonts w:hint="eastAsia"/>
          <w:color w:val="auto"/>
          <w:sz w:val="24"/>
          <w:szCs w:val="24"/>
          <w:highlight w:val="none"/>
          <w:lang w:val="en-US" w:eastAsia="zh-CN"/>
        </w:rPr>
        <w:t xml:space="preserve">          </w:t>
      </w:r>
      <w:r>
        <w:rPr>
          <w:rFonts w:hint="eastAsia"/>
          <w:color w:val="auto"/>
          <w:sz w:val="24"/>
          <w:szCs w:val="24"/>
          <w:highlight w:val="none"/>
        </w:rPr>
        <w:t xml:space="preserve"> 地址：</w:t>
      </w:r>
      <w:r/>
    </w:p>
    <w:p>
      <w:pPr>
        <w:ind w:firstLine="480"/>
        <w:keepLines w:val="0"/>
        <w:keepNext w:val="0"/>
        <w:pageBreakBefore w:val="0"/>
        <w:spacing w:before="156" w:line="360" w:lineRule="auto"/>
        <w:widowControl w:val="off"/>
        <w:rPr>
          <w:rFonts w:hint="eastAsia"/>
          <w:color w:val="auto"/>
          <w:sz w:val="24"/>
          <w:szCs w:val="24"/>
          <w:highlight w:val="none"/>
        </w:rPr>
      </w:pPr>
      <w:r>
        <w:rPr>
          <w:rFonts w:hint="eastAsia"/>
          <w:color w:val="auto"/>
          <w:sz w:val="24"/>
          <w:szCs w:val="24"/>
          <w:highlight w:val="none"/>
        </w:rPr>
        <w:t xml:space="preserve">法定代表人或授权代表：       </w:t>
      </w:r>
      <w:r>
        <w:rPr>
          <w:rFonts w:hint="eastAsia"/>
          <w:color w:val="auto"/>
          <w:sz w:val="24"/>
          <w:szCs w:val="24"/>
          <w:highlight w:val="none"/>
          <w:lang w:val="en-US" w:eastAsia="zh-CN"/>
        </w:rPr>
        <w:t xml:space="preserve">          </w:t>
      </w:r>
      <w:r>
        <w:rPr>
          <w:rFonts w:hint="eastAsia"/>
          <w:color w:val="auto"/>
          <w:sz w:val="24"/>
          <w:szCs w:val="24"/>
          <w:highlight w:val="none"/>
        </w:rPr>
        <w:t xml:space="preserve"> 法定代表人或授权代表：</w:t>
      </w:r>
      <w:r/>
    </w:p>
    <w:p>
      <w:pPr>
        <w:ind w:firstLine="480"/>
        <w:keepLines w:val="0"/>
        <w:keepNext w:val="0"/>
        <w:pageBreakBefore w:val="0"/>
        <w:spacing w:before="156" w:line="360" w:lineRule="auto"/>
        <w:widowControl w:val="off"/>
        <w:rPr>
          <w:rFonts w:hint="eastAsia"/>
          <w:color w:val="auto"/>
          <w:sz w:val="24"/>
          <w:szCs w:val="24"/>
          <w:highlight w:val="none"/>
        </w:rPr>
      </w:pPr>
      <w:r>
        <w:rPr>
          <w:rFonts w:hint="eastAsia"/>
          <w:color w:val="auto"/>
          <w:sz w:val="24"/>
          <w:szCs w:val="24"/>
          <w:highlight w:val="none"/>
        </w:rPr>
        <w:t xml:space="preserve">联系电话：                  </w:t>
      </w:r>
      <w:r>
        <w:rPr>
          <w:rFonts w:hint="eastAsia"/>
          <w:color w:val="auto"/>
          <w:sz w:val="24"/>
          <w:szCs w:val="24"/>
          <w:highlight w:val="none"/>
          <w:lang w:val="en-US" w:eastAsia="zh-CN"/>
        </w:rPr>
        <w:t xml:space="preserve">          </w:t>
      </w:r>
      <w:r>
        <w:rPr>
          <w:rFonts w:hint="eastAsia"/>
          <w:color w:val="auto"/>
          <w:sz w:val="24"/>
          <w:szCs w:val="24"/>
          <w:highlight w:val="none"/>
        </w:rPr>
        <w:t xml:space="preserve">  联系电话：</w:t>
      </w:r>
      <w:r/>
    </w:p>
    <w:p>
      <w:pPr>
        <w:jc w:val="left"/>
        <w:spacing w:line="500" w:lineRule="exact"/>
        <w:rPr>
          <w:rFonts w:hint="eastAsia" w:cs="宋体"/>
          <w:b/>
          <w:bCs/>
          <w:color w:val="auto"/>
          <w:spacing w:val="-6"/>
          <w:position w:val="0"/>
          <w:sz w:val="28"/>
          <w:szCs w:val="28"/>
          <w:highlight w:val="none"/>
          <w:u w:val="none"/>
          <w:lang w:val="en-US" w:eastAsia="zh-CN"/>
        </w:rPr>
      </w:pPr>
      <w:r>
        <w:rPr>
          <w:rFonts w:hint="eastAsia" w:cs="宋体"/>
          <w:b/>
          <w:bCs/>
          <w:color w:val="auto"/>
          <w:spacing w:val="-6"/>
          <w:position w:val="0"/>
          <w:sz w:val="28"/>
          <w:szCs w:val="28"/>
          <w:highlight w:val="none"/>
          <w:u w:val="none"/>
          <w:lang w:val="en-US" w:eastAsia="zh-CN"/>
        </w:rPr>
        <w:t xml:space="preserve">附件：</w:t>
      </w:r>
      <w:r/>
    </w:p>
    <w:p>
      <w:pPr>
        <w:pStyle w:val="739"/>
        <w:ind w:left="0" w:right="0" w:firstLine="0"/>
        <w:jc w:val="center"/>
        <w:keepLines w:val="0"/>
        <w:keepNext w:val="0"/>
        <w:spacing w:before="0" w:beforeAutospacing="0" w:after="0" w:afterAutospacing="0" w:line="360" w:lineRule="auto"/>
        <w:widowControl w:val="off"/>
        <w:rPr>
          <w:rFonts w:hint="eastAsia" w:cs="宋体"/>
          <w:b/>
          <w:bCs/>
          <w:color w:val="auto"/>
          <w:spacing w:val="-6"/>
          <w:position w:val="0"/>
          <w:sz w:val="30"/>
          <w:szCs w:val="30"/>
          <w:highlight w:val="none"/>
          <w:u w:val="none"/>
          <w:lang w:val="en-US" w:eastAsia="zh-CN"/>
        </w:rPr>
        <w:suppressLineNumbers w:val="0"/>
      </w:pPr>
      <w:r>
        <w:rPr>
          <w:rFonts w:hint="eastAsia" w:cs="宋体"/>
          <w:b/>
          <w:bCs/>
          <w:color w:val="auto"/>
          <w:spacing w:val="-6"/>
          <w:position w:val="0"/>
          <w:sz w:val="30"/>
          <w:szCs w:val="30"/>
          <w:highlight w:val="none"/>
          <w:u w:val="none"/>
          <w:lang w:val="en-US" w:eastAsia="zh-CN"/>
        </w:rPr>
        <w:t xml:space="preserve">启东市公共机构建筑能源审计和能耗基准值技术服务项目</w:t>
      </w:r>
      <w:r/>
    </w:p>
    <w:p>
      <w:pPr>
        <w:pStyle w:val="739"/>
        <w:ind w:left="0" w:right="0" w:firstLine="0"/>
        <w:jc w:val="center"/>
        <w:keepLines w:val="0"/>
        <w:keepNext w:val="0"/>
        <w:spacing w:before="0" w:beforeAutospacing="0" w:after="0" w:afterAutospacing="0" w:line="360" w:lineRule="auto"/>
        <w:widowControl w:val="off"/>
        <w:rPr>
          <w:rFonts w:hint="eastAsia" w:cs="宋体"/>
          <w:b/>
          <w:bCs/>
          <w:color w:val="auto"/>
          <w:spacing w:val="0"/>
          <w:position w:val="0"/>
          <w:sz w:val="30"/>
          <w:szCs w:val="30"/>
          <w:highlight w:val="none"/>
          <w:u w:val="none"/>
          <w:lang w:val="en-US" w:eastAsia="zh-CN"/>
        </w:rPr>
        <w:suppressLineNumbers w:val="0"/>
      </w:pPr>
      <w:r>
        <w:rPr>
          <w:rFonts w:hint="eastAsia" w:cs="宋体"/>
          <w:b/>
          <w:bCs/>
          <w:color w:val="auto"/>
          <w:spacing w:val="0"/>
          <w:position w:val="0"/>
          <w:sz w:val="30"/>
          <w:szCs w:val="30"/>
          <w:highlight w:val="none"/>
          <w:u w:val="none"/>
          <w:lang w:val="en-US" w:eastAsia="zh-CN"/>
        </w:rPr>
        <w:t xml:space="preserve">考核细则</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760"/>
        <w:gridCol w:w="720"/>
        <w:gridCol w:w="828"/>
      </w:tblGrid>
      <w:tr>
        <w:trPr>
          <w:trHeight w:val="458"/>
        </w:trPr>
        <w:tc>
          <w:tcPr>
            <w:tcW w:w="1088" w:type="dxa"/>
            <w:vAlign w:val="center"/>
            <w:textDirection w:val="lrTb"/>
            <w:noWrap w:val="false"/>
          </w:tcPr>
          <w:p>
            <w:pPr>
              <w:jc w:val="center"/>
              <w:spacing w:line="240" w:lineRule="auto"/>
              <w:rPr>
                <w:rFonts w:hint="default" w:eastAsia="宋体"/>
                <w:b/>
                <w:bCs/>
                <w:color w:val="auto"/>
                <w:sz w:val="21"/>
                <w:szCs w:val="21"/>
                <w:highlight w:val="none"/>
                <w:u w:val="none"/>
                <w:vertAlign w:val="baseline"/>
                <w:lang w:val="en-US" w:eastAsia="zh-CN"/>
              </w:rPr>
            </w:pPr>
            <w:r>
              <w:rPr>
                <w:rFonts w:hint="eastAsia"/>
                <w:b/>
                <w:bCs/>
                <w:color w:val="auto"/>
                <w:sz w:val="21"/>
                <w:szCs w:val="21"/>
                <w:highlight w:val="none"/>
                <w:u w:val="none"/>
                <w:vertAlign w:val="baseline"/>
                <w:lang w:val="en-US" w:eastAsia="zh-CN"/>
              </w:rPr>
              <w:t xml:space="preserve">考核内容</w:t>
            </w:r>
            <w:r/>
          </w:p>
        </w:tc>
        <w:tc>
          <w:tcPr>
            <w:tcW w:w="5760" w:type="dxa"/>
            <w:vAlign w:val="center"/>
            <w:textDirection w:val="lrTb"/>
            <w:noWrap w:val="false"/>
          </w:tcPr>
          <w:p>
            <w:pPr>
              <w:jc w:val="center"/>
              <w:spacing w:line="240" w:lineRule="auto"/>
              <w:rPr>
                <w:rFonts w:hint="default" w:eastAsia="宋体"/>
                <w:b/>
                <w:bCs/>
                <w:color w:val="auto"/>
                <w:sz w:val="21"/>
                <w:szCs w:val="21"/>
                <w:highlight w:val="none"/>
                <w:u w:val="none"/>
                <w:vertAlign w:val="baseline"/>
                <w:lang w:val="en-US" w:eastAsia="zh-CN"/>
              </w:rPr>
            </w:pPr>
            <w:r>
              <w:rPr>
                <w:rFonts w:hint="eastAsia"/>
                <w:b/>
                <w:bCs/>
                <w:color w:val="auto"/>
                <w:sz w:val="21"/>
                <w:szCs w:val="21"/>
                <w:highlight w:val="none"/>
                <w:u w:val="none"/>
                <w:vertAlign w:val="baseline"/>
                <w:lang w:val="en-US" w:eastAsia="zh-CN"/>
              </w:rPr>
              <w:t xml:space="preserve">考核标准</w:t>
            </w:r>
            <w:r/>
          </w:p>
        </w:tc>
        <w:tc>
          <w:tcPr>
            <w:tcW w:w="720" w:type="dxa"/>
            <w:vAlign w:val="center"/>
            <w:textDirection w:val="lrTb"/>
            <w:noWrap w:val="false"/>
          </w:tcPr>
          <w:p>
            <w:pPr>
              <w:jc w:val="center"/>
              <w:spacing w:line="240" w:lineRule="auto"/>
              <w:rPr>
                <w:rFonts w:hint="eastAsia" w:eastAsia="宋体"/>
                <w:b/>
                <w:bCs/>
                <w:color w:val="auto"/>
                <w:sz w:val="21"/>
                <w:szCs w:val="21"/>
                <w:highlight w:val="none"/>
                <w:u w:val="none"/>
                <w:vertAlign w:val="baseline"/>
                <w:lang w:val="en-US" w:eastAsia="zh-CN"/>
              </w:rPr>
            </w:pPr>
            <w:r>
              <w:rPr>
                <w:rFonts w:hint="eastAsia"/>
                <w:b/>
                <w:bCs/>
                <w:color w:val="auto"/>
                <w:sz w:val="21"/>
                <w:szCs w:val="21"/>
                <w:highlight w:val="none"/>
                <w:u w:val="none"/>
                <w:vertAlign w:val="baseline"/>
                <w:lang w:val="en-US" w:eastAsia="zh-CN"/>
              </w:rPr>
              <w:t xml:space="preserve">分值</w:t>
            </w:r>
            <w:r/>
          </w:p>
        </w:tc>
        <w:tc>
          <w:tcPr>
            <w:tcW w:w="828" w:type="dxa"/>
            <w:vAlign w:val="center"/>
            <w:textDirection w:val="lrTb"/>
            <w:noWrap w:val="false"/>
          </w:tcPr>
          <w:p>
            <w:pPr>
              <w:jc w:val="center"/>
              <w:spacing w:line="240" w:lineRule="auto"/>
              <w:rPr>
                <w:rFonts w:hint="eastAsia" w:eastAsia="宋体"/>
                <w:b/>
                <w:bCs/>
                <w:color w:val="auto"/>
                <w:sz w:val="21"/>
                <w:szCs w:val="21"/>
                <w:highlight w:val="none"/>
                <w:u w:val="none"/>
                <w:vertAlign w:val="baseline"/>
                <w:lang w:val="en-US" w:eastAsia="zh-CN"/>
              </w:rPr>
            </w:pPr>
            <w:r>
              <w:rPr>
                <w:rFonts w:hint="eastAsia"/>
                <w:b/>
                <w:bCs/>
                <w:color w:val="auto"/>
                <w:sz w:val="21"/>
                <w:szCs w:val="21"/>
                <w:highlight w:val="none"/>
                <w:u w:val="none"/>
                <w:vertAlign w:val="baseline"/>
                <w:lang w:val="en-US" w:eastAsia="zh-CN"/>
              </w:rPr>
              <w:t xml:space="preserve">得分</w:t>
            </w:r>
            <w:r/>
          </w:p>
        </w:tc>
      </w:tr>
      <w:tr>
        <w:trPr>
          <w:trHeight w:val="860"/>
        </w:trPr>
        <w:tc>
          <w:tcPr>
            <w:tcW w:w="1088" w:type="dxa"/>
            <w:vAlign w:val="center"/>
            <w:vMerge w:val="restart"/>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p>
            <w:pPr>
              <w:jc w:val="center"/>
              <w:spacing w:line="240" w:lineRule="auto"/>
              <w:rPr>
                <w:rFonts w:hint="eastAsia" w:eastAsia="宋体"/>
                <w:b w:val="0"/>
                <w:bCs w:val="0"/>
                <w:color w:val="auto"/>
                <w:sz w:val="21"/>
                <w:szCs w:val="21"/>
                <w:highlight w:val="none"/>
                <w:u w:val="none"/>
                <w:vertAlign w:val="baseline"/>
                <w:lang w:val="en-US" w:eastAsia="zh-CN"/>
              </w:rPr>
            </w:pPr>
            <w:r>
              <w:rPr>
                <w:rFonts w:hint="default"/>
                <w:b w:val="0"/>
                <w:bCs w:val="0"/>
                <w:color w:val="auto"/>
                <w:sz w:val="21"/>
                <w:szCs w:val="21"/>
                <w:highlight w:val="none"/>
                <w:u w:val="none"/>
                <w:vertAlign w:val="baseline"/>
                <w:lang w:val="en-US"/>
              </w:rPr>
              <w:t xml:space="preserve">数据精准可靠性</w:t>
            </w:r>
            <w:r>
              <w:rPr>
                <w:rFonts w:hint="eastAsia"/>
                <w:b w:val="0"/>
                <w:bCs w:val="0"/>
                <w:color w:val="auto"/>
                <w:sz w:val="21"/>
                <w:szCs w:val="21"/>
                <w:highlight w:val="none"/>
                <w:u w:val="none"/>
                <w:vertAlign w:val="baseline"/>
                <w:lang w:val="en-US" w:eastAsia="zh-CN"/>
              </w:rPr>
              <w:t xml:space="preserve">（30分）</w:t>
            </w:r>
            <w:r/>
          </w:p>
        </w:tc>
        <w:tc>
          <w:tcPr>
            <w:shd w:val="clear" w:color="auto" w:fill="auto"/>
            <w:tcW w:w="5760" w:type="dxa"/>
            <w:vAlign w:val="top"/>
            <w:textDirection w:val="lrTb"/>
            <w:noWrap w:val="false"/>
          </w:tcPr>
          <w:p>
            <w:pPr>
              <w:jc w:val="left"/>
              <w:spacing w:line="240" w:lineRule="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乙方应在2026年12月30日前完成约340家公共机构审计，</w:t>
            </w:r>
            <w:r>
              <w:rPr>
                <w:rFonts w:hint="eastAsia" w:cs="Times New Roman"/>
                <w:b w:val="0"/>
                <w:bCs w:val="0"/>
                <w:color w:val="auto"/>
                <w:sz w:val="21"/>
                <w:szCs w:val="21"/>
                <w:highlight w:val="none"/>
                <w:u w:val="none"/>
                <w:vertAlign w:val="baseline"/>
                <w:lang w:val="en-US" w:eastAsia="zh-CN"/>
              </w:rPr>
              <w:t xml:space="preserve">并</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出具</w:t>
            </w:r>
            <w:r>
              <w:rPr>
                <w:rFonts w:hint="eastAsia" w:cs="Times New Roman"/>
                <w:b w:val="0"/>
                <w:bCs w:val="0"/>
                <w:color w:val="auto"/>
                <w:sz w:val="21"/>
                <w:szCs w:val="21"/>
                <w:highlight w:val="none"/>
                <w:u w:val="none"/>
                <w:vertAlign w:val="baseline"/>
                <w:lang w:val="en-US" w:eastAsia="zh-CN"/>
              </w:rPr>
              <w:t xml:space="preserve">磋商文件要求的</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成果报告，每发现一家未按《公共建筑能源审计标准》（DB32/T 3751—2020）</w:t>
            </w:r>
            <w:r>
              <w:rPr>
                <w:rFonts w:hint="eastAsia" w:cs="Times New Roman"/>
                <w:b w:val="0"/>
                <w:bCs w:val="0"/>
                <w:color w:val="auto"/>
                <w:sz w:val="21"/>
                <w:szCs w:val="21"/>
                <w:highlight w:val="none"/>
                <w:u w:val="none"/>
                <w:vertAlign w:val="baseline"/>
                <w:lang w:val="en-US" w:eastAsia="zh-CN"/>
              </w:rPr>
              <w:t xml:space="preserve">和采购人</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要求开展审计的，扣5分。</w:t>
            </w:r>
            <w:r/>
          </w:p>
        </w:tc>
        <w:tc>
          <w:tcPr>
            <w:tcW w:w="720" w:type="dxa"/>
            <w:vAlign w:val="center"/>
            <w:textDirection w:val="lrTb"/>
            <w:noWrap w:val="false"/>
          </w:tcPr>
          <w:p>
            <w:pPr>
              <w:jc w:val="center"/>
              <w:spacing w:line="240" w:lineRule="auto"/>
              <w:rPr>
                <w:rFonts w:hint="default"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continue"/>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乙方数据采集过程中，应使用现场踏勘、发票查看、数据来源核验等必要采集方式以及其他有效的数据采集方式，每发现一家公共机构未经过现场认证，扣2分</w:t>
            </w:r>
            <w:r>
              <w:rPr>
                <w:rFonts w:hint="eastAsia" w:cs="Times New Roman"/>
                <w:b w:val="0"/>
                <w:bCs w:val="0"/>
                <w:color w:val="auto"/>
                <w:sz w:val="21"/>
                <w:szCs w:val="21"/>
                <w:highlight w:val="none"/>
                <w:u w:val="none"/>
                <w:vertAlign w:val="baseline"/>
                <w:lang w:val="en-US" w:eastAsia="zh-CN"/>
              </w:rPr>
              <w:t xml:space="preserve">；</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因方式不当导致数据缺失或不真实，每发现一家，扣5分。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本次数据采集应精准到近三年的每个月，因特殊原因</w:t>
            </w:r>
            <w:r>
              <w:rPr>
                <w:rFonts w:hint="eastAsia" w:cs="Times New Roman"/>
                <w:b w:val="0"/>
                <w:bCs w:val="0"/>
                <w:color w:val="auto"/>
                <w:sz w:val="21"/>
                <w:szCs w:val="21"/>
                <w:highlight w:val="none"/>
                <w:u w:val="none"/>
                <w:vertAlign w:val="baseline"/>
                <w:lang w:val="en-US" w:eastAsia="zh-CN"/>
              </w:rPr>
              <w:t xml:space="preserve">（</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近一年出现单位搬迁、人员减少等</w:t>
            </w:r>
            <w:r>
              <w:rPr>
                <w:rFonts w:hint="eastAsia" w:cs="Times New Roman"/>
                <w:b w:val="0"/>
                <w:bCs w:val="0"/>
                <w:color w:val="auto"/>
                <w:sz w:val="21"/>
                <w:szCs w:val="21"/>
                <w:highlight w:val="none"/>
                <w:u w:val="none"/>
                <w:vertAlign w:val="baseline"/>
                <w:lang w:val="en-US" w:eastAsia="zh-CN"/>
              </w:rPr>
              <w:t xml:space="preserve">），</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无法保证数据准确性的，要及时说明原因，并确保数据相对可靠；未说明原因，</w:t>
            </w:r>
            <w:r>
              <w:rPr>
                <w:rFonts w:hint="eastAsia" w:cs="Times New Roman"/>
                <w:b w:val="0"/>
                <w:bCs w:val="0"/>
                <w:color w:val="auto"/>
                <w:sz w:val="21"/>
                <w:szCs w:val="21"/>
                <w:highlight w:val="none"/>
                <w:u w:val="none"/>
                <w:vertAlign w:val="baseline"/>
                <w:lang w:val="en-US" w:eastAsia="zh-CN"/>
              </w:rPr>
              <w:t xml:space="preserve">导致</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数据缺失或不真实，每发现一家，扣5分</w:t>
            </w:r>
            <w:r>
              <w:rPr>
                <w:rFonts w:hint="eastAsia" w:cs="Times New Roman"/>
                <w:b w:val="0"/>
                <w:bCs w:val="0"/>
                <w:color w:val="auto"/>
                <w:sz w:val="21"/>
                <w:szCs w:val="21"/>
                <w:highlight w:val="none"/>
                <w:u w:val="none"/>
                <w:vertAlign w:val="baseline"/>
                <w:lang w:val="en-US" w:eastAsia="zh-CN"/>
              </w:rPr>
              <w:t xml:space="preserve">。</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restart"/>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default"/>
                <w:b w:val="0"/>
                <w:bCs w:val="0"/>
                <w:color w:val="auto"/>
                <w:sz w:val="21"/>
                <w:szCs w:val="21"/>
                <w:highlight w:val="none"/>
                <w:u w:val="none"/>
                <w:vertAlign w:val="baseline"/>
                <w:lang w:val="en-US"/>
              </w:rPr>
              <w:t xml:space="preserve">服务响应</w:t>
            </w:r>
            <w:r>
              <w:rPr>
                <w:rFonts w:hint="eastAsia"/>
                <w:b w:val="0"/>
                <w:bCs w:val="0"/>
                <w:color w:val="auto"/>
                <w:sz w:val="21"/>
                <w:szCs w:val="21"/>
                <w:highlight w:val="none"/>
                <w:u w:val="none"/>
                <w:vertAlign w:val="baseline"/>
                <w:lang w:val="en-US" w:eastAsia="zh-CN"/>
              </w:rPr>
              <w:t xml:space="preserve">进度</w:t>
            </w:r>
            <w:r/>
          </w:p>
          <w:p>
            <w:pPr>
              <w:jc w:val="center"/>
              <w:spacing w:line="240" w:lineRule="auto"/>
              <w:rPr>
                <w:rFonts w:hint="eastAsia"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（20分）</w:t>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乙方应根据甲方的合理安排，制定现场调研计划，未制定计划或计划设计不科学的，每发现一次，扣2分。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乙方应根据甲方要求，按时推进全市</w:t>
            </w:r>
            <w:r>
              <w:rPr>
                <w:rFonts w:hint="eastAsia" w:cs="Times New Roman"/>
                <w:b w:val="0"/>
                <w:bCs w:val="0"/>
                <w:color w:val="auto"/>
                <w:sz w:val="21"/>
                <w:szCs w:val="21"/>
                <w:highlight w:val="none"/>
                <w:u w:val="none"/>
                <w:vertAlign w:val="baseline"/>
                <w:lang w:val="en-US" w:eastAsia="zh-CN" w:bidi="ar-SA"/>
              </w:rPr>
              <w:t xml:space="preserve">约</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340家公共机构的能源审计工作，因客观原因</w:t>
            </w:r>
            <w:r>
              <w:rPr>
                <w:rFonts w:hint="eastAsia" w:cs="Times New Roman"/>
                <w:b w:val="0"/>
                <w:bCs w:val="0"/>
                <w:color w:val="auto"/>
                <w:sz w:val="21"/>
                <w:szCs w:val="21"/>
                <w:highlight w:val="none"/>
                <w:u w:val="none"/>
                <w:vertAlign w:val="baseline"/>
                <w:lang w:val="en-US" w:eastAsia="zh-CN" w:bidi="ar-SA"/>
              </w:rPr>
              <w:t xml:space="preserve">导致</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进度延迟</w:t>
            </w:r>
            <w:r>
              <w:rPr>
                <w:rFonts w:hint="eastAsia" w:cs="Times New Roman"/>
                <w:b w:val="0"/>
                <w:bCs w:val="0"/>
                <w:color w:val="auto"/>
                <w:sz w:val="21"/>
                <w:szCs w:val="21"/>
                <w:highlight w:val="none"/>
                <w:u w:val="none"/>
                <w:vertAlign w:val="baseline"/>
                <w:lang w:val="en-US" w:eastAsia="zh-CN" w:bidi="ar-SA"/>
              </w:rPr>
              <w:t xml:space="preserve">，应</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在1日内提出申请，并按照时限要求合理调整，超时未提出</w:t>
            </w:r>
            <w:r>
              <w:rPr>
                <w:rFonts w:hint="eastAsia" w:cs="Times New Roman"/>
                <w:b w:val="0"/>
                <w:bCs w:val="0"/>
                <w:color w:val="auto"/>
                <w:sz w:val="21"/>
                <w:szCs w:val="21"/>
                <w:highlight w:val="none"/>
                <w:u w:val="none"/>
                <w:vertAlign w:val="baseline"/>
                <w:lang w:val="en-US" w:eastAsia="zh-CN" w:bidi="ar-SA"/>
              </w:rPr>
              <w:t xml:space="preserve">申</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请导致本阶段任务节点延迟的，每延迟1日，扣</w:t>
            </w:r>
            <w:r>
              <w:rPr>
                <w:rFonts w:hint="eastAsia" w:cs="Times New Roman"/>
                <w:b w:val="0"/>
                <w:bCs w:val="0"/>
                <w:color w:val="auto"/>
                <w:sz w:val="21"/>
                <w:szCs w:val="21"/>
                <w:highlight w:val="none"/>
                <w:u w:val="none"/>
                <w:vertAlign w:val="baseline"/>
                <w:lang w:val="en-US" w:eastAsia="zh-CN" w:bidi="ar-SA"/>
              </w:rPr>
              <w:t xml:space="preserve">2</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分。</w:t>
            </w:r>
            <w:r/>
          </w:p>
        </w:tc>
        <w:tc>
          <w:tcPr>
            <w:shd w:val="clear" w:color="auto" w:fill="auto"/>
            <w:tcW w:w="720" w:type="dxa"/>
            <w:vAlign w:val="center"/>
            <w:textDirection w:val="lrTb"/>
            <w:noWrap w:val="false"/>
          </w:tcPr>
          <w:p>
            <w:pPr>
              <w:jc w:val="center"/>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bidi="ar-SA"/>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乙方应根据甲方要求，按时提交经专家论证评审通过的各项报告，报告交付每延迟1日，扣2分</w:t>
            </w:r>
            <w:r>
              <w:rPr>
                <w:rFonts w:hint="eastAsia" w:cs="Times New Roman"/>
                <w:b w:val="0"/>
                <w:bCs w:val="0"/>
                <w:color w:val="auto"/>
                <w:sz w:val="21"/>
                <w:szCs w:val="21"/>
                <w:highlight w:val="none"/>
                <w:u w:val="none"/>
                <w:vertAlign w:val="baseline"/>
                <w:lang w:val="en-US" w:eastAsia="zh-CN" w:bidi="ar-SA"/>
              </w:rPr>
              <w:t xml:space="preserve">；</w:t>
            </w:r>
            <w:r>
              <w:rPr>
                <w:rFonts w:hint="eastAsia" w:ascii="Times New Roman" w:hAnsi="Times New Roman" w:eastAsia="宋体" w:cs="Times New Roman"/>
                <w:b w:val="0"/>
                <w:bCs w:val="0"/>
                <w:color w:val="auto"/>
                <w:sz w:val="21"/>
                <w:szCs w:val="21"/>
                <w:highlight w:val="none"/>
                <w:u w:val="none"/>
                <w:vertAlign w:val="baseline"/>
                <w:lang w:val="en-US" w:eastAsia="zh-CN" w:bidi="ar-SA"/>
              </w:rPr>
              <w:t xml:space="preserve">专家论证通过后，乙方应于3个工作日内完成报告的修改、完善和定稿，报告定稿交付每延迟1日，扣2分。</w:t>
            </w:r>
            <w:r/>
          </w:p>
        </w:tc>
        <w:tc>
          <w:tcPr>
            <w:shd w:val="clear" w:color="auto" w:fill="auto"/>
            <w:tcW w:w="720" w:type="dxa"/>
            <w:vAlign w:val="center"/>
            <w:textDirection w:val="lrTb"/>
            <w:noWrap w:val="false"/>
          </w:tcPr>
          <w:p>
            <w:pPr>
              <w:jc w:val="center"/>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bidi="ar-SA"/>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c>
          <w:tcPr>
            <w:tcW w:w="5760" w:type="dxa"/>
            <w:textDirection w:val="lrTb"/>
            <w:noWrap w:val="false"/>
          </w:tcPr>
          <w:p>
            <w:pPr>
              <w:jc w:val="left"/>
              <w:spacing w:line="240" w:lineRule="auto"/>
              <w:rPr>
                <w:rFonts w:hint="eastAsia" w:ascii="Times New Roman" w:hAnsi="Times New Roman" w:eastAsia="宋体" w:cs="Times New Roman"/>
                <w:b w:val="0"/>
                <w:bCs w:val="0"/>
                <w:color w:val="auto"/>
                <w:sz w:val="21"/>
                <w:szCs w:val="21"/>
                <w:highlight w:val="none"/>
                <w:u w:val="none"/>
                <w:vertAlign w:val="baseline"/>
                <w:lang w:val="en-US" w:eastAsia="zh-CN"/>
              </w:rPr>
            </w:pP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乙方应立即响应甲方提出的合理要求，如重新去现场踏勘、数据准确性核对、报告内容完善等，并在甲方提出合理时间内完成，未及时响应的，每发现一次，扣1分；超时未完成甲方合理要求的，每发现一次，扣2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乙方应在2个工作日内响应甲方的数据质询，对质询响应每超时一次，扣1分。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90"/>
        </w:trPr>
        <w:tc>
          <w:tcPr>
            <w:tcW w:w="1088" w:type="dxa"/>
            <w:vAlign w:val="center"/>
            <w:vMerge w:val="restart"/>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审计报告质量</w:t>
            </w:r>
            <w:r/>
          </w:p>
          <w:p>
            <w:pPr>
              <w:jc w:val="center"/>
              <w:spacing w:line="240" w:lineRule="auto"/>
              <w:rPr>
                <w:rFonts w:hint="default"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（30分）</w:t>
            </w:r>
            <w:r/>
          </w:p>
        </w:tc>
        <w:tc>
          <w:tcPr>
            <w:tcW w:w="5760" w:type="dxa"/>
            <w:textDirection w:val="lrTb"/>
            <w:noWrap w:val="false"/>
          </w:tcPr>
          <w:p>
            <w:pPr>
              <w:jc w:val="left"/>
              <w:spacing w:line="240" w:lineRule="auto"/>
              <w:rPr>
                <w:rFonts w:hint="eastAsia"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乙方应确保整市的成果报告覆盖全市约340家公共机构，每少一家（不含不可托管单位），扣5分。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确保各项成果报告的报告格式、内容符合国家及行业规范、结论清晰，经专家论证通过，报告经修改后仍未能通过专家论证，扣20分；报告结论存在数据错误、逻辑矛盾等情形，每有一处扣10分；经专家论证修改内容超过50%的，影响后续能源托管进度的，</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扣</w:t>
            </w:r>
            <w:r>
              <w:rPr>
                <w:rFonts w:hint="eastAsia" w:cs="Times New Roman"/>
                <w:b w:val="0"/>
                <w:bCs w:val="0"/>
                <w:color w:val="auto"/>
                <w:sz w:val="21"/>
                <w:szCs w:val="21"/>
                <w:highlight w:val="none"/>
                <w:u w:val="none"/>
                <w:vertAlign w:val="baseline"/>
                <w:lang w:val="en-US" w:eastAsia="zh-CN"/>
              </w:rPr>
              <w:t xml:space="preserve">20</w:t>
            </w:r>
            <w:r>
              <w:rPr>
                <w:rFonts w:hint="eastAsia" w:ascii="Times New Roman" w:hAnsi="Times New Roman" w:eastAsia="宋体" w:cs="Times New Roman"/>
                <w:b w:val="0"/>
                <w:bCs w:val="0"/>
                <w:color w:val="auto"/>
                <w:sz w:val="21"/>
                <w:szCs w:val="21"/>
                <w:highlight w:val="none"/>
                <w:u w:val="none"/>
                <w:vertAlign w:val="baseline"/>
                <w:lang w:val="en-US" w:eastAsia="zh-CN"/>
              </w:rPr>
              <w:t xml:space="preserve">分</w:t>
            </w:r>
            <w:r>
              <w:rPr>
                <w:rFonts w:hint="eastAsia"/>
                <w:b w:val="0"/>
                <w:bCs w:val="0"/>
                <w:color w:val="auto"/>
                <w:sz w:val="21"/>
                <w:szCs w:val="21"/>
                <w:highlight w:val="none"/>
                <w:u w:val="none"/>
                <w:vertAlign w:val="baseline"/>
                <w:lang w:val="en-US" w:eastAsia="zh-CN"/>
              </w:rPr>
              <w:t xml:space="preserve">。</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20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restart"/>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其他</w:t>
            </w:r>
            <w:r/>
          </w:p>
          <w:p>
            <w:pPr>
              <w:jc w:val="center"/>
              <w:spacing w:line="240" w:lineRule="auto"/>
              <w:rPr>
                <w:rFonts w:hint="eastAsia"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（20分）</w:t>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乙方数据收集过程中应遵守各公共机构的相关管理办法，禁止在调研现场大声喧哗或影响正常办公，每发现一起，扣2分；未经机构允许，禁止私自进入开展数据采集工作，每发现一起，扣3分。</w:t>
            </w:r>
            <w:r/>
          </w:p>
        </w:tc>
        <w:tc>
          <w:tcPr>
            <w:tcW w:w="720" w:type="dxa"/>
            <w:vAlign w:val="center"/>
            <w:textDirection w:val="lrTb"/>
            <w:noWrap w:val="false"/>
          </w:tcPr>
          <w:p>
            <w:pPr>
              <w:jc w:val="center"/>
              <w:spacing w:line="240" w:lineRule="auto"/>
              <w:rPr>
                <w:rFonts w:hint="default" w:eastAsia="宋体"/>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6</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乙方应与各公共机构密切配合，协商解决相关事宜，注意方式方法，不得发生口角或冲突，每发现一起，扣2分。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4</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c>
          <w:tcPr>
            <w:tcW w:w="1088" w:type="dxa"/>
            <w:vAlign w:val="center"/>
            <w:vMerge w:val="continue"/>
            <w:textDirection w:val="lrTb"/>
            <w:noWrap w:val="false"/>
          </w:tcPr>
          <w:p>
            <w:pPr>
              <w:jc w:val="center"/>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r>
            <w:r/>
          </w:p>
        </w:tc>
        <w:tc>
          <w:tcPr>
            <w:tcW w:w="5760" w:type="dxa"/>
            <w:textDirection w:val="lrTb"/>
            <w:noWrap w:val="false"/>
          </w:tcPr>
          <w:p>
            <w:pPr>
              <w:jc w:val="left"/>
              <w:spacing w:line="240" w:lineRule="auto"/>
              <w:rPr>
                <w:rFonts w:hint="eastAsia"/>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乙方应对全市约340家公共机构采集的基础信息与能耗数据进行保密，因数据存储不当造成泄密的，每发现一起，扣10分。</w:t>
            </w:r>
            <w:r/>
          </w:p>
        </w:tc>
        <w:tc>
          <w:tcPr>
            <w:tcW w:w="720"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eastAsia="zh-CN"/>
              </w:rPr>
            </w:pPr>
            <w:r>
              <w:rPr>
                <w:rFonts w:hint="eastAsia"/>
                <w:b w:val="0"/>
                <w:bCs w:val="0"/>
                <w:color w:val="auto"/>
                <w:sz w:val="21"/>
                <w:szCs w:val="21"/>
                <w:highlight w:val="none"/>
                <w:u w:val="none"/>
                <w:vertAlign w:val="baseline"/>
                <w:lang w:val="en-US" w:eastAsia="zh-CN"/>
              </w:rPr>
              <w:t xml:space="preserve">10</w:t>
            </w:r>
            <w:r/>
          </w:p>
        </w:tc>
        <w:tc>
          <w:tcPr>
            <w:tcW w:w="828" w:type="dxa"/>
            <w:vAlign w:val="center"/>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696"/>
        </w:trPr>
        <w:tc>
          <w:tcPr>
            <w:gridSpan w:val="3"/>
            <w:tcW w:w="7568" w:type="dxa"/>
            <w:vAlign w:val="center"/>
            <w:textDirection w:val="lrTb"/>
            <w:noWrap w:val="false"/>
          </w:tcPr>
          <w:p>
            <w:pPr>
              <w:jc w:val="center"/>
              <w:spacing w:line="240" w:lineRule="auto"/>
              <w:rPr>
                <w:rFonts w:hint="eastAsia" w:eastAsia="宋体"/>
                <w:b/>
                <w:bCs/>
                <w:color w:val="auto"/>
                <w:sz w:val="21"/>
                <w:szCs w:val="21"/>
                <w:highlight w:val="none"/>
                <w:u w:val="none"/>
                <w:vertAlign w:val="baseline"/>
                <w:lang w:val="en-US" w:eastAsia="zh-CN"/>
              </w:rPr>
            </w:pPr>
            <w:r>
              <w:rPr>
                <w:rFonts w:hint="eastAsia"/>
                <w:b/>
                <w:bCs/>
                <w:color w:val="auto"/>
                <w:spacing w:val="2"/>
                <w:sz w:val="22"/>
                <w:szCs w:val="22"/>
                <w:highlight w:val="none"/>
                <w:lang w:val="en-US" w:eastAsia="zh-CN"/>
              </w:rPr>
              <w:t xml:space="preserve">总</w:t>
            </w:r>
            <w:r>
              <w:rPr>
                <w:b/>
                <w:bCs/>
                <w:color w:val="auto"/>
                <w:spacing w:val="2"/>
                <w:sz w:val="22"/>
                <w:szCs w:val="22"/>
                <w:highlight w:val="none"/>
              </w:rPr>
              <w:t xml:space="preserve">分</w:t>
            </w:r>
            <w:r/>
          </w:p>
        </w:tc>
        <w:tc>
          <w:tcPr>
            <w:tcW w:w="828" w:type="dxa"/>
            <w:textDirection w:val="lrTb"/>
            <w:noWrap w:val="false"/>
          </w:tcPr>
          <w:p>
            <w:pPr>
              <w:jc w:val="center"/>
              <w:spacing w:line="240" w:lineRule="auto"/>
              <w:rPr>
                <w:rFonts w:hint="default"/>
                <w:b w:val="0"/>
                <w:bCs w:val="0"/>
                <w:color w:val="auto"/>
                <w:sz w:val="21"/>
                <w:szCs w:val="21"/>
                <w:highlight w:val="none"/>
                <w:u w:val="none"/>
                <w:vertAlign w:val="baseline"/>
                <w:lang w:val="en-US"/>
              </w:rPr>
            </w:pPr>
            <w:r>
              <w:rPr>
                <w:rFonts w:hint="default"/>
                <w:b w:val="0"/>
                <w:bCs w:val="0"/>
                <w:color w:val="auto"/>
                <w:sz w:val="21"/>
                <w:szCs w:val="21"/>
                <w:highlight w:val="none"/>
                <w:u w:val="none"/>
                <w:vertAlign w:val="baseline"/>
                <w:lang w:val="en-US"/>
              </w:rPr>
            </w:r>
            <w:r/>
          </w:p>
        </w:tc>
      </w:tr>
      <w:tr>
        <w:trPr>
          <w:trHeight w:val="696"/>
        </w:trPr>
        <w:tc>
          <w:tcPr>
            <w:gridSpan w:val="4"/>
            <w:tcW w:w="8396" w:type="dxa"/>
            <w:vAlign w:val="center"/>
            <w:textDirection w:val="lrTb"/>
            <w:noWrap w:val="false"/>
          </w:tcPr>
          <w:p>
            <w:pPr>
              <w:jc w:val="left"/>
              <w:spacing w:line="240" w:lineRule="auto"/>
              <w:rPr>
                <w:rFonts w:hint="default" w:ascii="Times New Roman" w:hAnsi="Times New Roman" w:eastAsia="宋体" w:cs="Times New Roman"/>
                <w:b/>
                <w:bCs/>
                <w:color w:val="auto"/>
                <w:sz w:val="21"/>
                <w:szCs w:val="21"/>
                <w:highlight w:val="none"/>
                <w:u w:val="none"/>
                <w:vertAlign w:val="baseline"/>
                <w:lang w:val="en-US"/>
              </w:rPr>
            </w:pPr>
            <w:r>
              <w:rPr>
                <w:rFonts w:hint="default" w:ascii="Times New Roman" w:hAnsi="Times New Roman" w:eastAsia="宋体" w:cs="Times New Roman"/>
                <w:b/>
                <w:bCs/>
                <w:color w:val="auto"/>
                <w:sz w:val="21"/>
                <w:szCs w:val="21"/>
                <w:highlight w:val="none"/>
                <w:u w:val="none"/>
                <w:vertAlign w:val="baseline"/>
                <w:lang w:val="en-US"/>
              </w:rPr>
              <w:t xml:space="preserve">说明:</w:t>
            </w:r>
            <w:r/>
          </w:p>
          <w:p>
            <w:pPr>
              <w:ind w:firstLine="422"/>
              <w:jc w:val="left"/>
              <w:spacing w:line="240" w:lineRule="auto"/>
              <w:rPr>
                <w:rFonts w:hint="default"/>
                <w:b/>
                <w:bCs/>
                <w:color w:val="auto"/>
                <w:sz w:val="21"/>
                <w:szCs w:val="21"/>
                <w:highlight w:val="none"/>
                <w:u w:val="none"/>
                <w:vertAlign w:val="baseline"/>
                <w:lang w:val="en-US"/>
              </w:rPr>
            </w:pPr>
            <w:r>
              <w:rPr>
                <w:rFonts w:hint="default"/>
                <w:b/>
                <w:bCs/>
                <w:color w:val="auto"/>
                <w:sz w:val="21"/>
                <w:szCs w:val="21"/>
                <w:highlight w:val="none"/>
                <w:u w:val="none"/>
                <w:vertAlign w:val="baseline"/>
                <w:lang w:val="en-US"/>
              </w:rPr>
              <w:t xml:space="preserve">1.本考核细则作为合同附件，与合同具有同等法律效力。</w:t>
            </w:r>
            <w:r/>
          </w:p>
          <w:p>
            <w:pPr>
              <w:ind w:firstLine="422"/>
              <w:jc w:val="left"/>
              <w:spacing w:line="240" w:lineRule="auto"/>
              <w:rPr>
                <w:rFonts w:hint="default"/>
                <w:b/>
                <w:bCs/>
                <w:color w:val="auto"/>
                <w:sz w:val="21"/>
                <w:szCs w:val="21"/>
                <w:highlight w:val="none"/>
                <w:u w:val="none"/>
                <w:vertAlign w:val="baseline"/>
                <w:lang w:val="en-US"/>
              </w:rPr>
            </w:pPr>
            <w:r>
              <w:rPr>
                <w:rFonts w:hint="eastAsia" w:ascii="Times New Roman" w:hAnsi="Times New Roman" w:eastAsia="宋体" w:cs="Times New Roman"/>
                <w:b/>
                <w:bCs/>
                <w:color w:val="auto"/>
                <w:sz w:val="21"/>
                <w:szCs w:val="21"/>
                <w:highlight w:val="none"/>
                <w:u w:val="none"/>
                <w:vertAlign w:val="baseline"/>
                <w:lang w:val="en-US" w:eastAsia="zh-CN"/>
              </w:rPr>
              <w:t xml:space="preserve">2.</w:t>
            </w:r>
            <w:r>
              <w:rPr>
                <w:rFonts w:hint="default"/>
                <w:b/>
                <w:bCs/>
                <w:color w:val="auto"/>
                <w:sz w:val="21"/>
                <w:szCs w:val="21"/>
                <w:highlight w:val="none"/>
                <w:u w:val="none"/>
                <w:vertAlign w:val="baseline"/>
                <w:lang w:val="en-US"/>
              </w:rPr>
              <w:t xml:space="preserve">甲方有权根据实际管理需要调整考核验收细则，调整后的细则经书面通知乙方后即具约束力。</w:t>
            </w:r>
            <w:r/>
          </w:p>
          <w:p>
            <w:pPr>
              <w:ind w:firstLine="422"/>
              <w:jc w:val="left"/>
              <w:spacing w:line="240" w:lineRule="auto"/>
              <w:rPr>
                <w:rFonts w:hint="default"/>
                <w:b w:val="0"/>
                <w:bCs w:val="0"/>
                <w:color w:val="auto"/>
                <w:sz w:val="21"/>
                <w:szCs w:val="21"/>
                <w:highlight w:val="none"/>
                <w:u w:val="none"/>
                <w:vertAlign w:val="baseline"/>
                <w:lang w:val="en-US"/>
              </w:rPr>
            </w:pPr>
            <w:r>
              <w:rPr>
                <w:rFonts w:hint="eastAsia"/>
                <w:b/>
                <w:bCs/>
                <w:color w:val="auto"/>
                <w:sz w:val="21"/>
                <w:szCs w:val="21"/>
                <w:highlight w:val="none"/>
                <w:u w:val="none"/>
                <w:vertAlign w:val="baseline"/>
                <w:lang w:val="en-US" w:eastAsia="zh-CN"/>
              </w:rPr>
              <w:t xml:space="preserve">3</w:t>
            </w:r>
            <w:r>
              <w:rPr>
                <w:rFonts w:hint="default"/>
                <w:b/>
                <w:bCs/>
                <w:color w:val="auto"/>
                <w:sz w:val="21"/>
                <w:szCs w:val="21"/>
                <w:highlight w:val="none"/>
                <w:u w:val="none"/>
                <w:vertAlign w:val="baseline"/>
                <w:lang w:val="en-US"/>
              </w:rPr>
              <w:t xml:space="preserve">.乙方对考核结果有异议的，应在收到考核结果之日起5个工作日内以书面形式向甲方提出，逾期视为无异议。</w:t>
            </w:r>
            <w:r/>
          </w:p>
        </w:tc>
      </w:tr>
    </w:tbl>
    <w:p>
      <w:pPr>
        <w:rPr>
          <w:color w:val="auto"/>
          <w:highlight w:val="none"/>
        </w:rPr>
      </w:pPr>
      <w:r>
        <w:rPr>
          <w:color w:val="auto"/>
          <w:highlight w:val="none"/>
        </w:rPr>
      </w:r>
      <w:r/>
    </w:p>
    <w:p>
      <w:pPr>
        <w:rPr>
          <w:rFonts w:hint="eastAsia"/>
          <w:color w:val="auto"/>
          <w:highlight w:val="none"/>
        </w:rPr>
      </w:pPr>
      <w:r>
        <w:rPr>
          <w:rFonts w:hint="eastAsia"/>
          <w:color w:val="auto"/>
          <w:highlight w:val="none"/>
          <w:lang w:val="en-US" w:eastAsia="zh-CN"/>
        </w:rPr>
        <w:t xml:space="preserve"> </w:t>
      </w:r>
      <w:r/>
    </w:p>
    <w:p>
      <w:pPr>
        <w:ind w:firstLine="210"/>
        <w:spacing w:line="500" w:lineRule="exact"/>
        <w:rPr>
          <w:rFonts w:hint="eastAsia"/>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color w:val="auto"/>
          <w:highlight w:val="none"/>
        </w:rPr>
      </w:r>
      <w:r/>
    </w:p>
    <w:p>
      <w:pPr>
        <w:jc w:val="center"/>
        <w:spacing w:line="500" w:lineRule="exact"/>
        <w:rPr>
          <w:rFonts w:hint="eastAsia" w:asciiTheme="minorEastAsia" w:hAnsiTheme="minorEastAsia" w:eastAsiaTheme="minorEastAsia" w:cstheme="minorEastAsia"/>
          <w:color w:val="auto"/>
          <w:sz w:val="36"/>
          <w:szCs w:val="36"/>
          <w:highlight w:val="none"/>
          <w:lang w:val="zh-CN"/>
        </w:rPr>
        <w:outlineLvl w:val="0"/>
      </w:pPr>
      <w:r>
        <w:rPr>
          <w:rFonts w:hint="eastAsia" w:asciiTheme="minorEastAsia" w:hAnsiTheme="minorEastAsia" w:eastAsiaTheme="minorEastAsia" w:cstheme="minorEastAsia"/>
          <w:color w:val="auto"/>
          <w:sz w:val="36"/>
          <w:szCs w:val="36"/>
          <w:highlight w:val="none"/>
          <w:lang w:val="zh-CN"/>
        </w:rPr>
        <w:t xml:space="preserve">第四部分 评审方法和评审标准</w:t>
      </w:r>
      <w:r/>
    </w:p>
    <w:p>
      <w:pPr>
        <w:ind w:firstLine="560"/>
        <w:jc w:val="left"/>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一、磋商方式</w:t>
      </w:r>
      <w:r/>
    </w:p>
    <w:p>
      <w:pPr>
        <w:ind w:firstLine="537"/>
        <w:spacing w:line="500" w:lineRule="exact"/>
        <w:tabs>
          <w:tab w:val="left" w:pos="3585"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不见面远程磋商模式：供应商在各自地点通过“苏采云”系统参加磋商活动。</w:t>
      </w:r>
      <w:r/>
    </w:p>
    <w:p>
      <w:pPr>
        <w:ind w:firstLine="560"/>
        <w:jc w:val="left"/>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二、评审方法和标准</w:t>
      </w:r>
      <w:r/>
    </w:p>
    <w:p>
      <w:pPr>
        <w:ind w:firstLine="691"/>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评审方法：综合评分法。</w:t>
      </w:r>
      <w:r/>
    </w:p>
    <w:p>
      <w:pPr>
        <w:ind w:firstLine="70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spacing w:line="500" w:lineRule="exact"/>
        <w:tabs>
          <w:tab w:val="left" w:pos="900" w:leader="none"/>
        </w:tabs>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2015</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124号）规定情形的，提交最后报价的供应商可以为2家。</w:t>
      </w:r>
      <w:r/>
    </w:p>
    <w:p>
      <w:pPr>
        <w:ind w:firstLine="555"/>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供应商价格部分和商务、技术部分的合计分值，为该供应商的评审总得分。</w:t>
      </w:r>
      <w:r/>
    </w:p>
    <w:p>
      <w:pPr>
        <w:ind w:firstLine="555"/>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评委在认真审阅响应文件的基础上，根据各响应文件的响应程度独立评判，不得统一打分。</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（一）磋商小组对供应商资格进行审查</w:t>
      </w:r>
      <w:r/>
    </w:p>
    <w:p>
      <w:pPr>
        <w:ind w:firstLine="576"/>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供应商资格不合格的，其响应文件判定为无效响应文件。</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（二）磋商小组对符合资格供应商的响应文件进行符合性审查</w:t>
      </w:r>
      <w:r/>
    </w:p>
    <w:p>
      <w:pPr>
        <w:ind w:firstLine="576"/>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未通过符合性审查的响应文件，将被判为不满足磋商文件实质性要求。</w:t>
      </w:r>
      <w:r/>
    </w:p>
    <w:p>
      <w:pPr>
        <w:ind w:firstLine="562"/>
        <w:jc w:val="left"/>
        <w:spacing w:line="500" w:lineRule="exact"/>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 xml:space="preserve">（三）</w:t>
      </w:r>
      <w:r>
        <w:rPr>
          <w:rFonts w:hint="eastAsia" w:asciiTheme="minorEastAsia" w:hAnsiTheme="minorEastAsia" w:eastAsiaTheme="minorEastAsia" w:cstheme="minorEastAsia"/>
          <w:b/>
          <w:bCs w:val="0"/>
          <w:color w:val="auto"/>
          <w:sz w:val="28"/>
          <w:szCs w:val="28"/>
          <w:highlight w:val="none"/>
          <w:lang w:val="zh-CN"/>
        </w:rPr>
        <w:t xml:space="preserve">商务技术分：</w:t>
      </w:r>
      <w:r>
        <w:rPr>
          <w:rFonts w:hint="eastAsia" w:asciiTheme="minorEastAsia" w:hAnsiTheme="minorEastAsia" w:eastAsiaTheme="minorEastAsia" w:cstheme="minorEastAsia"/>
          <w:b/>
          <w:bCs w:val="0"/>
          <w:color w:val="auto"/>
          <w:sz w:val="28"/>
          <w:szCs w:val="28"/>
          <w:highlight w:val="none"/>
          <w:lang w:val="en-US" w:eastAsia="zh-CN"/>
        </w:rPr>
        <w:t xml:space="preserve">70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jc w:val="left"/>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各供应商得分为磋商小组成员评分的算术平均分，分值保留小数点后两位。</w:t>
      </w:r>
      <w:r/>
    </w:p>
    <w:tbl>
      <w:tblPr>
        <w:tblStyle w:val="734"/>
        <w:tblW w:w="50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057"/>
        <w:gridCol w:w="6710"/>
        <w:gridCol w:w="796"/>
      </w:tblGrid>
      <w:tr>
        <w:trPr>
          <w:jc w:val="center"/>
          <w:trHeight w:val="490"/>
        </w:trPr>
        <w:tc>
          <w:tcPr>
            <w:tcW w:w="341"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575"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3650"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433"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90"/>
        </w:trPr>
        <w:tc>
          <w:tcPr>
            <w:tcW w:w="341"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75"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企业实力</w:t>
            </w:r>
            <w:r/>
          </w:p>
        </w:tc>
        <w:tc>
          <w:tcPr>
            <w:tcW w:w="3650" w:type="pct"/>
            <w:vAlign w:val="center"/>
            <w:textDirection w:val="lrTb"/>
            <w:noWrap w:val="false"/>
          </w:tcPr>
          <w:p>
            <w:pPr>
              <w:numPr>
                <w:ilvl w:val="0"/>
                <w:numId w:val="0"/>
              </w:numPr>
              <w:jc w:val="left"/>
              <w:spacing w:line="240" w:lineRule="auto"/>
              <w:rPr>
                <w:rFonts w:hint="eastAsia"/>
                <w:color w:val="auto"/>
                <w:sz w:val="24"/>
                <w:szCs w:val="24"/>
                <w:highlight w:val="none"/>
              </w:rPr>
            </w:pPr>
            <w:r>
              <w:rPr>
                <w:rFonts w:hint="eastAsia"/>
                <w:color w:val="auto"/>
                <w:sz w:val="24"/>
                <w:szCs w:val="24"/>
                <w:highlight w:val="none"/>
              </w:rPr>
              <w:t xml:space="preserve">具有工程咨询单位资信证书</w:t>
            </w:r>
            <w:r>
              <w:rPr>
                <w:rFonts w:hint="eastAsia" w:ascii="宋体" w:hAnsi="宋体" w:cs="宋体"/>
                <w:b w:val="0"/>
                <w:bCs w:val="0"/>
                <w:color w:val="auto"/>
                <w:sz w:val="24"/>
                <w:szCs w:val="24"/>
                <w:highlight w:val="none"/>
                <w:lang w:val="en-US" w:eastAsia="zh-CN"/>
              </w:rPr>
              <w:t xml:space="preserve">得2分；</w:t>
            </w:r>
            <w:r/>
          </w:p>
          <w:p>
            <w:pPr>
              <w:numPr>
                <w:ilvl w:val="0"/>
                <w:numId w:val="0"/>
              </w:num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提供有效期内</w:t>
            </w:r>
            <w:r>
              <w:rPr>
                <w:rFonts w:hint="eastAsia" w:ascii="宋体" w:hAnsi="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lang w:val="en-US" w:eastAsia="zh-CN"/>
              </w:rPr>
              <w:t xml:space="preserve">证书，未提供的不得分。</w:t>
            </w:r>
            <w:r/>
          </w:p>
        </w:tc>
        <w:tc>
          <w:tcPr>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r>
      <w:tr>
        <w:trPr>
          <w:jc w:val="center"/>
          <w:trHeight w:val="1046"/>
        </w:trPr>
        <w:tc>
          <w:tcPr>
            <w:tcW w:w="341"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75"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3650" w:type="pct"/>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val="en-US" w:eastAsia="zh-CN"/>
              </w:rPr>
              <w:t xml:space="preserve">质量管理体系认证证书得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（2）具有环境管理体系认证证书得</w:t>
            </w:r>
            <w:r>
              <w:rPr>
                <w:rFonts w:hint="eastAsia" w:ascii="宋体" w:hAnsi="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w:t>
            </w:r>
            <w:r/>
          </w:p>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（3）具有职业健康安全管理体系认证证书得</w:t>
            </w:r>
            <w:r>
              <w:rPr>
                <w:rFonts w:hint="eastAsia" w:ascii="宋体" w:hAnsi="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w:t>
            </w:r>
            <w:r/>
          </w:p>
          <w:p>
            <w:p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（4）具有绿色管理体系评价证书得1分。</w:t>
            </w:r>
            <w:r/>
          </w:p>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注：提供有效期内以上</w:t>
            </w:r>
            <w:r>
              <w:rPr>
                <w:rFonts w:hint="eastAsia" w:ascii="宋体" w:hAnsi="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lang w:val="en-US" w:eastAsia="zh-CN"/>
              </w:rPr>
              <w:t xml:space="preserve">证书，未提供的不得分。</w:t>
            </w:r>
            <w:r/>
          </w:p>
        </w:tc>
        <w:tc>
          <w:tcPr>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r>
      <w:tr>
        <w:trPr>
          <w:jc w:val="center"/>
          <w:trHeight w:val="1685"/>
        </w:trPr>
        <w:tc>
          <w:tcPr>
            <w:tcW w:w="341"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75"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3650" w:type="pct"/>
            <w:vAlign w:val="center"/>
            <w:textDirection w:val="lrTb"/>
            <w:noWrap w:val="false"/>
          </w:tcPr>
          <w:p>
            <w:pPr>
              <w:numPr>
                <w:ilvl w:val="0"/>
                <w:numId w:val="0"/>
              </w:num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（1）具有</w:t>
            </w:r>
            <w:r>
              <w:rPr>
                <w:rFonts w:hint="eastAsia" w:ascii="宋体" w:hAnsi="宋体" w:eastAsia="宋体" w:cs="宋体"/>
                <w:color w:val="auto"/>
                <w:sz w:val="24"/>
                <w:szCs w:val="24"/>
                <w:highlight w:val="none"/>
                <w:lang w:val="en-US" w:eastAsia="zh-CN"/>
              </w:rPr>
              <w:t xml:space="preserve">综合能源服务认证证书</w:t>
            </w:r>
            <w:r>
              <w:rPr>
                <w:rFonts w:hint="eastAsia" w:ascii="宋体" w:hAnsi="宋体" w:cs="宋体"/>
                <w:color w:val="auto"/>
                <w:sz w:val="24"/>
                <w:szCs w:val="24"/>
                <w:highlight w:val="none"/>
                <w:lang w:val="en-US" w:eastAsia="zh-CN"/>
              </w:rPr>
              <w:t xml:space="preserve">得1分；</w:t>
            </w:r>
            <w:r/>
          </w:p>
          <w:p>
            <w:pPr>
              <w:numPr>
                <w:ilvl w:val="0"/>
                <w:numId w:val="0"/>
              </w:num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（2）具有节能技术服务认证证书得1分；</w:t>
            </w:r>
            <w:r/>
          </w:p>
          <w:p>
            <w:pPr>
              <w:numPr>
                <w:ilvl w:val="0"/>
                <w:numId w:val="0"/>
              </w:num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（3）具有能源托管服务认证证书得1分；</w:t>
            </w:r>
            <w:r/>
          </w:p>
          <w:p>
            <w:pPr>
              <w:numPr>
                <w:ilvl w:val="0"/>
                <w:numId w:val="0"/>
              </w:num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（4）具有合同能源管理服务认证证书得1分。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注：提供有效期内以上</w:t>
            </w:r>
            <w:r>
              <w:rPr>
                <w:rFonts w:hint="eastAsia" w:ascii="宋体" w:hAnsi="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lang w:val="en-US" w:eastAsia="zh-CN"/>
              </w:rPr>
              <w:t xml:space="preserve">证书，未提供的不得分。</w:t>
            </w:r>
            <w:r/>
          </w:p>
        </w:tc>
        <w:tc>
          <w:tcPr>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r>
      <w:tr>
        <w:trPr>
          <w:jc w:val="center"/>
          <w:trHeight w:val="4361"/>
        </w:trPr>
        <w:tc>
          <w:tcPr>
            <w:tcW w:w="341"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人员实力</w:t>
            </w:r>
            <w:r/>
          </w:p>
        </w:tc>
        <w:tc>
          <w:tcPr>
            <w:tcW w:w="3650" w:type="pct"/>
            <w:vAlign w:val="center"/>
            <w:textDirection w:val="lrTb"/>
            <w:noWrap w:val="false"/>
          </w:tcPr>
          <w:p>
            <w:pPr>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供应商拟派团队人员不得少于</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人，其中项目负责人为1人：</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（1）具有</w:t>
            </w:r>
            <w:r>
              <w:rPr>
                <w:rFonts w:hint="eastAsia" w:ascii="宋体" w:hAnsi="宋体" w:eastAsia="宋体" w:cs="宋体"/>
                <w:color w:val="auto"/>
                <w:sz w:val="24"/>
                <w:szCs w:val="24"/>
                <w:highlight w:val="none"/>
                <w:lang w:val="zh-CN" w:eastAsia="zh-CN"/>
              </w:rPr>
              <w:t xml:space="preserve">注册咨询工程师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每有一人得1分，最多</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（2）具有</w:t>
            </w:r>
            <w:r>
              <w:rPr>
                <w:rFonts w:hint="eastAsia" w:ascii="宋体" w:hAnsi="宋体" w:cs="宋体"/>
                <w:color w:val="auto"/>
                <w:sz w:val="24"/>
                <w:szCs w:val="24"/>
                <w:highlight w:val="none"/>
                <w:lang w:eastAsia="zh-CN"/>
              </w:rPr>
              <w:t xml:space="preserve">高级工程师（</w:t>
            </w:r>
            <w:r>
              <w:rPr>
                <w:rFonts w:hint="eastAsia" w:ascii="宋体" w:hAnsi="宋体" w:cs="宋体"/>
                <w:color w:val="auto"/>
                <w:sz w:val="24"/>
                <w:szCs w:val="24"/>
                <w:highlight w:val="none"/>
                <w:lang w:val="en-US" w:eastAsia="zh-CN"/>
              </w:rPr>
              <w:t xml:space="preserve">电气或暖通或给排水或建筑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相关专业证书，每覆盖一个专业得</w:t>
            </w:r>
            <w:r>
              <w:rPr>
                <w:rFonts w:hint="eastAsia" w:ascii="宋体" w:hAnsi="宋体" w:eastAsia="宋体" w:cs="宋体"/>
                <w:color w:val="auto"/>
                <w:sz w:val="24"/>
                <w:szCs w:val="24"/>
                <w:highlight w:val="none"/>
              </w:rPr>
              <w:t xml:space="preserve">1分，最多</w:t>
            </w:r>
            <w:r>
              <w:rPr>
                <w:rFonts w:hint="eastAsia" w:ascii="宋体" w:hAnsi="宋体" w:cs="宋体"/>
                <w:color w:val="auto"/>
                <w:sz w:val="24"/>
                <w:szCs w:val="24"/>
                <w:highlight w:val="none"/>
                <w:lang w:val="en-US" w:eastAsia="zh-CN"/>
              </w:rPr>
              <w:t xml:space="preserve">得4分。</w:t>
            </w:r>
            <w:r/>
          </w:p>
          <w:p>
            <w:pPr>
              <w:spacing w:line="24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二、拟派项目团队人员除外（指要求6人除外），另增加专业人员：</w:t>
            </w:r>
            <w:r/>
          </w:p>
          <w:p>
            <w:pPr>
              <w:spacing w:line="240" w:lineRule="auto"/>
              <w:rPr>
                <w:rFonts w:hint="eastAsia" w:ascii="宋体" w:hAnsi="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具有中级及以上</w:t>
            </w:r>
            <w:r>
              <w:rPr>
                <w:rFonts w:hint="eastAsia" w:ascii="宋体" w:hAnsi="宋体" w:cs="宋体"/>
                <w:color w:val="auto"/>
                <w:sz w:val="24"/>
                <w:szCs w:val="24"/>
                <w:highlight w:val="none"/>
                <w:lang w:eastAsia="zh-CN"/>
              </w:rPr>
              <w:t xml:space="preserve">工程师（</w:t>
            </w:r>
            <w:r>
              <w:rPr>
                <w:rFonts w:hint="eastAsia" w:ascii="宋体" w:hAnsi="宋体" w:cs="宋体"/>
                <w:color w:val="auto"/>
                <w:sz w:val="24"/>
                <w:szCs w:val="24"/>
                <w:highlight w:val="none"/>
                <w:lang w:val="en-US" w:eastAsia="zh-CN"/>
              </w:rPr>
              <w:t xml:space="preserve">电气或暖通或</w:t>
            </w:r>
            <w:r>
              <w:rPr>
                <w:rFonts w:hint="eastAsia" w:ascii="宋体" w:hAnsi="宋体" w:cs="宋体"/>
                <w:color w:val="auto"/>
                <w:sz w:val="24"/>
                <w:szCs w:val="24"/>
                <w:highlight w:val="none"/>
                <w:lang w:eastAsia="zh-CN"/>
              </w:rPr>
              <w:t xml:space="preserve">给排水</w:t>
            </w:r>
            <w:r>
              <w:rPr>
                <w:rFonts w:hint="eastAsia" w:ascii="宋体" w:hAnsi="宋体" w:cs="宋体"/>
                <w:color w:val="auto"/>
                <w:sz w:val="24"/>
                <w:szCs w:val="24"/>
                <w:highlight w:val="none"/>
                <w:lang w:val="en-US" w:eastAsia="zh-CN"/>
              </w:rPr>
              <w:t xml:space="preserve">或建筑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相关专业证书，每有一人得0.5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，最多得2分。</w:t>
            </w:r>
            <w:r/>
          </w:p>
          <w:p>
            <w:pPr>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：①提供团队人员名单（格式自拟）、相关证书及供应商为其缴纳的投标截止时间近</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个月任意一月养老保险缴费证明。供应商如为投标截止时间前一个月内新成立的公司，可以不提交养老保险缴费证明</w:t>
            </w:r>
            <w:r>
              <w:rPr>
                <w:rFonts w:hint="eastAsia" w:ascii="宋体" w:hAnsi="宋体" w:cs="宋体"/>
                <w:b/>
                <w:bCs/>
                <w:color w:val="auto"/>
                <w:sz w:val="24"/>
                <w:szCs w:val="24"/>
                <w:highlight w:val="none"/>
                <w:lang w:val="en-US" w:eastAsia="zh-CN"/>
              </w:rPr>
              <w:t xml:space="preserve">，但须提供劳动合同或聘书等相关证明材料</w:t>
            </w:r>
            <w:r>
              <w:rPr>
                <w:rFonts w:hint="eastAsia" w:ascii="宋体" w:hAnsi="宋体" w:eastAsia="宋体" w:cs="宋体"/>
                <w:b/>
                <w:bCs/>
                <w:color w:val="auto"/>
                <w:sz w:val="24"/>
                <w:szCs w:val="24"/>
                <w:highlight w:val="none"/>
                <w:lang w:val="en-US" w:eastAsia="zh-CN"/>
              </w:rPr>
              <w:t xml:space="preserve">。拟派团队人员少于</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人的，此项得0分！</w:t>
            </w:r>
            <w:r/>
          </w:p>
          <w:p>
            <w:pPr>
              <w:ind w:firstLine="482"/>
              <w:spacing w:line="240" w:lineRule="auto"/>
              <w:rPr>
                <w:rFonts w:hint="default"/>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②本项满分</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分，同一人员具有多个证书不累计得分。</w:t>
            </w:r>
            <w:r/>
          </w:p>
        </w:tc>
        <w:tc>
          <w:tcPr>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r>
      <w:tr>
        <w:trPr>
          <w:jc w:val="center"/>
          <w:trHeight w:val="90"/>
        </w:trPr>
        <w:tc>
          <w:tcPr>
            <w:tcW w:w="341"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业绩</w:t>
            </w:r>
            <w:r/>
          </w:p>
        </w:tc>
        <w:tc>
          <w:tcPr>
            <w:tcW w:w="3650" w:type="pct"/>
            <w:vAlign w:val="center"/>
            <w:textDirection w:val="lrTb"/>
            <w:noWrap w:val="false"/>
          </w:tcPr>
          <w:p>
            <w:pPr>
              <w:spacing w:line="240" w:lineRule="auto"/>
              <w:rPr>
                <w:rFonts w:hint="eastAsia" w:ascii="Segoe UI" w:hAnsi="Segoe UI" w:eastAsia="宋体" w:cs="Segoe UI"/>
                <w:i w:val="0"/>
                <w:iCs w:val="0"/>
                <w:caps w:val="0"/>
                <w:color w:val="auto"/>
                <w:spacing w:val="0"/>
                <w:sz w:val="24"/>
                <w:szCs w:val="24"/>
                <w:highlight w:val="none"/>
                <w:shd w:val="clear" w:color="auto" w:fill="ffffff"/>
                <w:lang w:eastAsia="zh-CN"/>
              </w:rPr>
            </w:pPr>
            <w:r>
              <w:rPr>
                <w:rFonts w:ascii="Segoe UI" w:hAnsi="Segoe UI" w:eastAsia="Segoe UI" w:cs="Segoe UI"/>
                <w:i w:val="0"/>
                <w:iCs w:val="0"/>
                <w:caps w:val="0"/>
                <w:color w:val="auto"/>
                <w:spacing w:val="0"/>
                <w:sz w:val="24"/>
                <w:szCs w:val="24"/>
                <w:highlight w:val="none"/>
                <w:shd w:val="clear" w:color="auto" w:fill="ffffff"/>
              </w:rPr>
              <w:t xml:space="preserve">供应商承担过公共建筑能源审计业绩的</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单个合同审计对象包含1个公共机构的</w:t>
            </w:r>
            <w:r>
              <w:rPr>
                <w:rFonts w:hint="eastAsia" w:ascii="宋体" w:hAnsi="宋体" w:eastAsia="宋体" w:cs="宋体"/>
                <w:b w:val="0"/>
                <w:bCs/>
                <w:color w:val="auto"/>
                <w:sz w:val="24"/>
                <w:szCs w:val="24"/>
                <w:highlight w:val="none"/>
                <w:lang w:val="en-US" w:eastAsia="zh-CN"/>
              </w:rPr>
              <w:t xml:space="preserve">，每提供一</w:t>
            </w:r>
            <w:r>
              <w:rPr>
                <w:rFonts w:hint="eastAsia" w:ascii="宋体" w:hAnsi="宋体" w:cs="宋体"/>
                <w:b w:val="0"/>
                <w:bCs/>
                <w:color w:val="auto"/>
                <w:sz w:val="24"/>
                <w:szCs w:val="24"/>
                <w:highlight w:val="none"/>
                <w:lang w:val="en-US" w:eastAsia="zh-CN"/>
              </w:rPr>
              <w:t xml:space="preserve">份合同</w:t>
            </w:r>
            <w:r>
              <w:rPr>
                <w:rFonts w:hint="eastAsia" w:ascii="宋体" w:hAnsi="宋体" w:eastAsia="宋体" w:cs="宋体"/>
                <w:b w:val="0"/>
                <w:bCs/>
                <w:color w:val="auto"/>
                <w:sz w:val="24"/>
                <w:szCs w:val="24"/>
                <w:highlight w:val="none"/>
                <w:lang w:val="en-US" w:eastAsia="zh-CN"/>
              </w:rPr>
              <w:t xml:space="preserve">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lang w:val="en-US" w:eastAsia="zh-CN"/>
              </w:rPr>
              <w:t xml:space="preserve">；单个合同审计对象包含2-4个公共机构</w:t>
            </w:r>
            <w:r>
              <w:rPr>
                <w:rFonts w:hint="eastAsia" w:ascii="宋体" w:hAnsi="宋体" w:eastAsia="宋体" w:cs="宋体"/>
                <w:b w:val="0"/>
                <w:bCs/>
                <w:color w:val="auto"/>
                <w:sz w:val="24"/>
                <w:szCs w:val="24"/>
                <w:highlight w:val="none"/>
                <w:lang w:val="en-US" w:eastAsia="zh-CN"/>
              </w:rPr>
              <w:t xml:space="preserve">的，每提供一</w:t>
            </w:r>
            <w:r>
              <w:rPr>
                <w:rFonts w:hint="eastAsia" w:ascii="宋体" w:hAnsi="宋体" w:cs="宋体"/>
                <w:b w:val="0"/>
                <w:bCs/>
                <w:color w:val="auto"/>
                <w:sz w:val="24"/>
                <w:szCs w:val="24"/>
                <w:highlight w:val="none"/>
                <w:lang w:val="en-US" w:eastAsia="zh-CN"/>
              </w:rPr>
              <w:t xml:space="preserve">份</w:t>
            </w:r>
            <w:r>
              <w:rPr>
                <w:rFonts w:hint="eastAsia" w:ascii="宋体" w:hAnsi="宋体" w:eastAsia="宋体" w:cs="宋体"/>
                <w:b w:val="0"/>
                <w:bCs/>
                <w:color w:val="auto"/>
                <w:sz w:val="24"/>
                <w:szCs w:val="24"/>
                <w:highlight w:val="none"/>
                <w:lang w:val="en-US" w:eastAsia="zh-CN"/>
              </w:rPr>
              <w:t xml:space="preserve">合同得</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lang w:val="en-US" w:eastAsia="zh-CN"/>
              </w:rPr>
              <w:t xml:space="preserve">；单个合同审计对象包含5个及以上公共机构</w:t>
            </w:r>
            <w:r>
              <w:rPr>
                <w:rFonts w:hint="eastAsia" w:ascii="宋体" w:hAnsi="宋体" w:eastAsia="宋体" w:cs="宋体"/>
                <w:b w:val="0"/>
                <w:bCs/>
                <w:color w:val="auto"/>
                <w:sz w:val="24"/>
                <w:szCs w:val="24"/>
                <w:highlight w:val="none"/>
                <w:lang w:val="en-US" w:eastAsia="zh-CN"/>
              </w:rPr>
              <w:t xml:space="preserve">的，每提供一</w:t>
            </w:r>
            <w:r>
              <w:rPr>
                <w:rFonts w:hint="eastAsia" w:ascii="宋体" w:hAnsi="宋体" w:cs="宋体"/>
                <w:b w:val="0"/>
                <w:bCs/>
                <w:color w:val="auto"/>
                <w:sz w:val="24"/>
                <w:szCs w:val="24"/>
                <w:highlight w:val="none"/>
                <w:lang w:val="en-US" w:eastAsia="zh-CN"/>
              </w:rPr>
              <w:t xml:space="preserve">份</w:t>
            </w:r>
            <w:r>
              <w:rPr>
                <w:rFonts w:hint="eastAsia" w:ascii="宋体" w:hAnsi="宋体" w:eastAsia="宋体" w:cs="宋体"/>
                <w:b w:val="0"/>
                <w:bCs/>
                <w:color w:val="auto"/>
                <w:sz w:val="24"/>
                <w:szCs w:val="24"/>
                <w:highlight w:val="none"/>
                <w:lang w:val="en-US" w:eastAsia="zh-CN"/>
              </w:rPr>
              <w:t xml:space="preserve">合同得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lang w:val="en-US" w:eastAsia="zh-CN"/>
              </w:rPr>
              <w:t xml:space="preserve">，本项</w:t>
            </w:r>
            <w:r>
              <w:rPr>
                <w:rFonts w:hint="eastAsia" w:ascii="宋体" w:hAnsi="宋体" w:eastAsia="宋体" w:cs="宋体"/>
                <w:b w:val="0"/>
                <w:bCs/>
                <w:color w:val="auto"/>
                <w:sz w:val="24"/>
                <w:szCs w:val="24"/>
                <w:highlight w:val="none"/>
                <w:lang w:val="en-US" w:eastAsia="zh-CN"/>
              </w:rPr>
              <w:t xml:space="preserve">最高得</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分。</w:t>
            </w:r>
            <w:r/>
          </w:p>
          <w:p>
            <w:pPr>
              <w:spacing w:line="24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注：提供符合要求的</w:t>
            </w:r>
            <w:r>
              <w:rPr>
                <w:rFonts w:hint="eastAsia" w:ascii="宋体" w:hAnsi="宋体" w:cs="宋体"/>
                <w:b/>
                <w:bCs w:val="0"/>
                <w:color w:val="auto"/>
                <w:sz w:val="24"/>
                <w:szCs w:val="24"/>
                <w:highlight w:val="none"/>
                <w:lang w:val="en-US" w:eastAsia="zh-CN"/>
              </w:rPr>
              <w:t xml:space="preserve">业绩</w:t>
            </w:r>
            <w:r>
              <w:rPr>
                <w:rFonts w:hint="eastAsia" w:ascii="宋体" w:hAnsi="宋体" w:eastAsia="宋体" w:cs="宋体"/>
                <w:b/>
                <w:bCs w:val="0"/>
                <w:color w:val="auto"/>
                <w:sz w:val="24"/>
                <w:szCs w:val="24"/>
                <w:highlight w:val="none"/>
                <w:lang w:val="en-US" w:eastAsia="zh-CN"/>
              </w:rPr>
              <w:t xml:space="preserve">合同</w:t>
            </w:r>
            <w:r>
              <w:rPr>
                <w:rFonts w:hint="eastAsia" w:ascii="宋体" w:hAnsi="宋体" w:cs="宋体"/>
                <w:b/>
                <w:bCs w:val="0"/>
                <w:color w:val="auto"/>
                <w:sz w:val="24"/>
                <w:szCs w:val="24"/>
                <w:highlight w:val="none"/>
                <w:lang w:val="en-US" w:eastAsia="zh-CN"/>
              </w:rPr>
              <w:t xml:space="preserve">，如同一项目业绩同时符合上述要求的，以最高者计分，不重复计分</w:t>
            </w:r>
            <w:r>
              <w:rPr>
                <w:rFonts w:hint="eastAsia" w:ascii="宋体" w:hAnsi="宋体" w:eastAsia="宋体" w:cs="宋体"/>
                <w:b/>
                <w:bCs w:val="0"/>
                <w:color w:val="auto"/>
                <w:sz w:val="24"/>
                <w:szCs w:val="24"/>
                <w:highlight w:val="none"/>
                <w:lang w:val="en-US" w:eastAsia="zh-CN"/>
              </w:rPr>
              <w:t xml:space="preserve">。</w:t>
            </w:r>
            <w:r/>
          </w:p>
        </w:tc>
        <w:tc>
          <w:tcPr>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p>
        </w:tc>
      </w:tr>
      <w:tr>
        <w:trPr>
          <w:jc w:val="center"/>
          <w:trHeight w:val="90"/>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数据数字化管理能力</w:t>
            </w:r>
            <w:r/>
          </w:p>
        </w:tc>
        <w:tc>
          <w:tcPr>
            <w:shd w:val="clear" w:color="auto" w:fill="auto"/>
            <w:tcW w:w="3650" w:type="pct"/>
            <w:vAlign w:val="center"/>
            <w:textDirection w:val="lrTb"/>
            <w:noWrap w:val="false"/>
          </w:tcPr>
          <w:p>
            <w:pP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供应商具有数据数字化管理能力：</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（1）对所有单位</w:t>
            </w:r>
            <w:r>
              <w:rPr>
                <w:rFonts w:hint="eastAsia" w:ascii="宋体" w:hAnsi="宋体" w:cs="宋体"/>
                <w:b w:val="0"/>
                <w:bCs/>
                <w:color w:val="auto"/>
                <w:sz w:val="24"/>
                <w:szCs w:val="24"/>
                <w:highlight w:val="none"/>
                <w:lang w:val="en-US" w:eastAsia="zh-CN"/>
              </w:rPr>
              <w:t xml:space="preserve">能源</w:t>
            </w:r>
            <w:r>
              <w:rPr>
                <w:rFonts w:hint="eastAsia" w:ascii="宋体" w:hAnsi="宋体" w:eastAsia="宋体" w:cs="宋体"/>
                <w:b w:val="0"/>
                <w:bCs/>
                <w:color w:val="auto"/>
                <w:sz w:val="24"/>
                <w:szCs w:val="24"/>
                <w:highlight w:val="none"/>
                <w:lang w:val="en-US" w:eastAsia="zh-CN"/>
              </w:rPr>
              <w:t xml:space="preserve">数据可以数据化管理，支持EXCEL自动导入生成数据列表（0.5分）；</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（2）可以根据单位名称（群组或单体）按照年、月进行能耗数据查找并自动导出数据报表（0.5分）；</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（3）内置标准库：国标 + 地标 + 行业标，可根据标准自动进行能耗评价（0.5分）；</w:t>
            </w:r>
            <w:r/>
          </w:p>
          <w:p>
            <w:pP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合规性判断：可自动依</w:t>
            </w:r>
            <w:r>
              <w:rPr>
                <w:rFonts w:hint="eastAsia" w:ascii="宋体" w:hAnsi="宋体" w:cs="宋体"/>
                <w:b w:val="0"/>
                <w:bCs/>
                <w:color w:val="auto"/>
                <w:sz w:val="24"/>
                <w:szCs w:val="24"/>
                <w:highlight w:val="none"/>
                <w:lang w:val="en-US" w:eastAsia="zh-CN"/>
              </w:rPr>
              <w:t xml:space="preserve">据</w:t>
            </w:r>
            <w:r>
              <w:rPr>
                <w:rFonts w:hint="eastAsia" w:ascii="宋体" w:hAnsi="宋体" w:eastAsia="宋体" w:cs="宋体"/>
                <w:b w:val="0"/>
                <w:bCs/>
                <w:color w:val="auto"/>
                <w:sz w:val="24"/>
                <w:szCs w:val="24"/>
                <w:highlight w:val="none"/>
                <w:lang w:val="en-US" w:eastAsia="zh-CN"/>
              </w:rPr>
              <w:t xml:space="preserve">《公共建筑能源审计标准》、《公共机构能源审计技术导则》等标准自动判定合规性（0.5分）。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注：提供功能截图等相关证明材料，未达到上述功能的不得分。</w:t>
            </w:r>
            <w:r/>
          </w:p>
        </w:tc>
        <w:tc>
          <w:tcPr>
            <w:shd w:val="clear" w:color="auto" w:fill="auto"/>
            <w:tcW w:w="4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2分</w:t>
            </w:r>
            <w:r/>
          </w:p>
        </w:tc>
      </w:tr>
      <w:tr>
        <w:trPr>
          <w:jc w:val="center"/>
          <w:trHeight w:val="536"/>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575" w:type="pct"/>
            <w:vAlign w:val="center"/>
            <w:textDirection w:val="lrTb"/>
            <w:noWrap w:val="false"/>
          </w:tcPr>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项目整体实施方案</w:t>
            </w:r>
            <w:r/>
          </w:p>
        </w:tc>
        <w:tc>
          <w:tcPr>
            <w:shd w:val="clear" w:color="auto" w:fill="auto"/>
            <w:tcW w:w="3650" w:type="pct"/>
            <w:vAlign w:val="center"/>
            <w:textDirection w:val="lrTb"/>
            <w:noWrap w:val="false"/>
          </w:tcPr>
          <w:p>
            <w:pPr>
              <w:spacing w:line="240" w:lineRule="auto"/>
              <w:rPr>
                <w:rFonts w:hint="default" w:ascii="宋体" w:hAnsi="宋体" w:eastAsia="宋体" w:cs="宋体"/>
                <w:b/>
                <w:bCs w:val="0"/>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 xml:space="preserve">评委根据供应商提供的</w:t>
            </w:r>
            <w:r>
              <w:rPr>
                <w:rFonts w:hint="eastAsia" w:ascii="宋体" w:hAnsi="宋体" w:cs="宋体"/>
                <w:b/>
                <w:bCs w:val="0"/>
                <w:color w:val="auto"/>
                <w:sz w:val="24"/>
                <w:szCs w:val="24"/>
                <w:highlight w:val="none"/>
                <w:lang w:val="en-US" w:eastAsia="zh-CN"/>
              </w:rPr>
              <w:t xml:space="preserve">项目整体</w:t>
            </w:r>
            <w:r>
              <w:rPr>
                <w:rFonts w:hint="default" w:ascii="宋体" w:hAnsi="宋体" w:eastAsia="宋体" w:cs="宋体"/>
                <w:b/>
                <w:bCs w:val="0"/>
                <w:color w:val="auto"/>
                <w:sz w:val="24"/>
                <w:szCs w:val="24"/>
                <w:highlight w:val="none"/>
                <w:lang w:val="en-US" w:eastAsia="zh-CN"/>
              </w:rPr>
              <w:t xml:space="preserve">实施方案进行综合打分：</w:t>
            </w:r>
            <w:r/>
          </w:p>
          <w:p>
            <w:pPr>
              <w:spacing w:line="24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①实施方案完整、科学、针对性强：审计思路清晰、贴合项目实际，前期摸排、资料收集、现场核查、数据核验、能效分析、问题诊断、整改建议、报告编制全流程完整；审计范围与审计内容匹配度高，精准覆盖用能设备、水电</w:t>
            </w:r>
            <w:r>
              <w:rPr>
                <w:rFonts w:hint="eastAsia" w:ascii="宋体" w:hAnsi="宋体" w:cs="宋体"/>
                <w:b w:val="0"/>
                <w:bCs/>
                <w:color w:val="auto"/>
                <w:sz w:val="24"/>
                <w:szCs w:val="24"/>
                <w:highlight w:val="none"/>
                <w:lang w:val="en-US" w:eastAsia="zh-CN"/>
              </w:rPr>
              <w:t xml:space="preserve">气</w:t>
            </w:r>
            <w:r>
              <w:rPr>
                <w:rFonts w:hint="default" w:ascii="宋体" w:hAnsi="宋体" w:eastAsia="宋体" w:cs="宋体"/>
                <w:b w:val="0"/>
                <w:bCs/>
                <w:color w:val="auto"/>
                <w:sz w:val="24"/>
                <w:szCs w:val="24"/>
                <w:highlight w:val="none"/>
                <w:lang w:val="en-US" w:eastAsia="zh-CN"/>
              </w:rPr>
              <w:t xml:space="preserve">暖、可再生能源、计量体系、管理制度、能耗台账、节能潜力挖掘等全部审计内容；能准确识别本项目能耗核算难点、数据缺失、设备繁杂、台账不规范等问题，并给出可行解决措施，得</w:t>
            </w:r>
            <w:r>
              <w:rPr>
                <w:rFonts w:hint="eastAsia" w:ascii="宋体" w:hAnsi="宋体" w:cs="宋体"/>
                <w:b w:val="0"/>
                <w:bCs/>
                <w:color w:val="auto"/>
                <w:sz w:val="24"/>
                <w:szCs w:val="24"/>
                <w:highlight w:val="none"/>
                <w:lang w:val="en-US" w:eastAsia="zh-CN"/>
              </w:rPr>
              <w:t xml:space="preserve">8</w:t>
            </w:r>
            <w:r>
              <w:rPr>
                <w:rFonts w:hint="default" w:ascii="宋体" w:hAnsi="宋体" w:eastAsia="宋体" w:cs="宋体"/>
                <w:b w:val="0"/>
                <w:bCs/>
                <w:color w:val="auto"/>
                <w:sz w:val="24"/>
                <w:szCs w:val="24"/>
                <w:highlight w:val="none"/>
                <w:lang w:val="en-US" w:eastAsia="zh-CN"/>
              </w:rPr>
              <w:t xml:space="preserve">分；</w:t>
            </w:r>
            <w:r/>
          </w:p>
          <w:p>
            <w:pPr>
              <w:jc w:val="left"/>
              <w:spacing w:line="24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②实施方案</w:t>
            </w:r>
            <w:r>
              <w:rPr>
                <w:rFonts w:hint="eastAsia" w:ascii="宋体" w:hAnsi="宋体" w:cs="宋体"/>
                <w:b w:val="0"/>
                <w:bCs/>
                <w:color w:val="auto"/>
                <w:sz w:val="24"/>
                <w:szCs w:val="24"/>
                <w:highlight w:val="none"/>
                <w:lang w:val="en-US" w:eastAsia="zh-CN"/>
              </w:rPr>
              <w:t xml:space="preserve">内容尚可</w:t>
            </w:r>
            <w:r>
              <w:rPr>
                <w:rFonts w:hint="default" w:ascii="宋体" w:hAnsi="宋体" w:eastAsia="宋体" w:cs="宋体"/>
                <w:b w:val="0"/>
                <w:bCs/>
                <w:color w:val="auto"/>
                <w:sz w:val="24"/>
                <w:szCs w:val="24"/>
                <w:highlight w:val="none"/>
                <w:lang w:val="en-US" w:eastAsia="zh-CN"/>
              </w:rPr>
              <w:t xml:space="preserve">、针对性一般：上述内容基本具备，但工作流程部分环节缺失，审计范围与审计内容匹配度一般，重难点分析及解决措施针对性一般，得</w:t>
            </w:r>
            <w:r>
              <w:rPr>
                <w:rFonts w:hint="eastAsia" w:ascii="宋体" w:hAnsi="宋体" w:cs="宋体"/>
                <w:b w:val="0"/>
                <w:bCs/>
                <w:color w:val="auto"/>
                <w:sz w:val="24"/>
                <w:szCs w:val="24"/>
                <w:highlight w:val="none"/>
                <w:lang w:val="en-US" w:eastAsia="zh-CN"/>
              </w:rPr>
              <w:t xml:space="preserve">4.5</w:t>
            </w:r>
            <w:r>
              <w:rPr>
                <w:rFonts w:hint="default" w:ascii="宋体" w:hAnsi="宋体" w:eastAsia="宋体" w:cs="宋体"/>
                <w:b w:val="0"/>
                <w:bCs/>
                <w:color w:val="auto"/>
                <w:sz w:val="24"/>
                <w:szCs w:val="24"/>
                <w:highlight w:val="none"/>
                <w:lang w:val="en-US" w:eastAsia="zh-CN"/>
              </w:rPr>
              <w:t xml:space="preserve">分；</w:t>
            </w:r>
            <w:r/>
          </w:p>
          <w:p>
            <w:pP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实施方案不完整、科学性差、针对性不强：上述内容缺失较多，工作流程不完整，审计范围与审计内容匹配度差，重难点问题识别不准确、解决措施可行性差，得</w:t>
            </w: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④</w:t>
            </w:r>
            <w:r>
              <w:rPr>
                <w:rFonts w:hint="default" w:ascii="宋体" w:hAnsi="宋体" w:eastAsia="宋体" w:cs="宋体"/>
                <w:b w:val="0"/>
                <w:bCs/>
                <w:color w:val="auto"/>
                <w:sz w:val="24"/>
                <w:szCs w:val="24"/>
                <w:highlight w:val="none"/>
                <w:lang w:val="en-US" w:eastAsia="zh-CN"/>
              </w:rPr>
              <w:t xml:space="preserve">不提供或严重缺失的，不得分。</w:t>
            </w:r>
            <w:r/>
          </w:p>
        </w:tc>
        <w:tc>
          <w:tcPr>
            <w:shd w:val="clear" w:color="auto" w:fill="auto"/>
            <w:tcW w:w="4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8分</w:t>
            </w:r>
            <w:r/>
          </w:p>
        </w:tc>
      </w:tr>
      <w:tr>
        <w:trPr>
          <w:jc w:val="center"/>
          <w:trHeight w:val="356"/>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能源审计技术方案</w:t>
            </w:r>
            <w:r/>
          </w:p>
        </w:tc>
        <w:tc>
          <w:tcPr>
            <w:shd w:val="clear" w:color="auto" w:fill="auto"/>
            <w:tcW w:w="3650" w:type="pct"/>
            <w:vAlign w:val="center"/>
            <w:textDirection w:val="lrTb"/>
            <w:noWrap w:val="false"/>
          </w:tcPr>
          <w:p>
            <w:pPr>
              <w:spacing w:line="240" w:lineRule="auto"/>
              <w:rPr>
                <w:rFonts w:hint="eastAsia" w:ascii="宋体" w:hAnsi="宋体" w:eastAsia="宋体" w:cs="宋体"/>
                <w:b/>
                <w:bCs w:val="0"/>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 xml:space="preserve">评委根据供应商提供的能源审计技术方案进行综合打分：</w:t>
            </w:r>
            <w:r/>
          </w:p>
          <w:p>
            <w:pPr>
              <w:spacing w:line="24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①技术方案完整、科学、严谨：能耗统计与核算方案包含分项能耗统计、对标核算、基准值选取、折算标准煤方法、数据溯源核查方式，核算方法合规、严谨；能效对标与能耗分析方案具备行业对标、国家限额对标、历史同期对标、单位产值/单位面积能耗分析，可精准识别高耗能环节；节能潜力排查与整改方案能够从设备、工艺、管理、照明、空调、空压机、管网、计量、制度等多维度挖掘节能空间，提供量化节能效益、改造建议、可行性方案，得</w:t>
            </w:r>
            <w:r>
              <w:rPr>
                <w:rFonts w:hint="eastAsia" w:ascii="宋体" w:hAnsi="宋体" w:cs="宋体"/>
                <w:b w:val="0"/>
                <w:bCs/>
                <w:color w:val="auto"/>
                <w:sz w:val="24"/>
                <w:szCs w:val="24"/>
                <w:highlight w:val="none"/>
                <w:lang w:val="en-US" w:eastAsia="zh-CN"/>
              </w:rPr>
              <w:t xml:space="preserve">6</w:t>
            </w:r>
            <w:r>
              <w:rPr>
                <w:rFonts w:hint="default" w:ascii="宋体" w:hAnsi="宋体" w:eastAsia="宋体" w:cs="宋体"/>
                <w:b w:val="0"/>
                <w:bCs/>
                <w:color w:val="auto"/>
                <w:sz w:val="24"/>
                <w:szCs w:val="24"/>
                <w:highlight w:val="none"/>
                <w:lang w:val="en-US" w:eastAsia="zh-CN"/>
              </w:rPr>
              <w:t xml:space="preserve">分；</w:t>
            </w:r>
            <w:r/>
          </w:p>
          <w:p>
            <w:pPr>
              <w:spacing w:line="24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②技术方案</w:t>
            </w:r>
            <w:r>
              <w:rPr>
                <w:rFonts w:hint="eastAsia" w:ascii="宋体" w:hAnsi="宋体" w:cs="宋体"/>
                <w:b w:val="0"/>
                <w:bCs/>
                <w:color w:val="auto"/>
                <w:sz w:val="24"/>
                <w:szCs w:val="24"/>
                <w:highlight w:val="none"/>
                <w:lang w:val="en-US" w:eastAsia="zh-CN"/>
              </w:rPr>
              <w:t xml:space="preserve">尚可</w:t>
            </w:r>
            <w:r>
              <w:rPr>
                <w:rFonts w:hint="default" w:ascii="宋体" w:hAnsi="宋体" w:eastAsia="宋体" w:cs="宋体"/>
                <w:b w:val="0"/>
                <w:bCs/>
                <w:color w:val="auto"/>
                <w:sz w:val="24"/>
                <w:szCs w:val="24"/>
                <w:highlight w:val="none"/>
                <w:lang w:val="en-US" w:eastAsia="zh-CN"/>
              </w:rPr>
              <w:t xml:space="preserve">：上述内容基本具备，但部分方法、对标维度或整改措施不够完整，分析准确性一般，节能潜力挖掘和量化效益一般，得</w:t>
            </w:r>
            <w:r>
              <w:rPr>
                <w:rFonts w:hint="eastAsia" w:ascii="宋体" w:hAnsi="宋体" w:cs="宋体"/>
                <w:b w:val="0"/>
                <w:bCs/>
                <w:color w:val="auto"/>
                <w:sz w:val="24"/>
                <w:szCs w:val="24"/>
                <w:highlight w:val="none"/>
                <w:lang w:val="en-US" w:eastAsia="zh-CN"/>
              </w:rPr>
              <w:t xml:space="preserve">3.5</w:t>
            </w:r>
            <w:r>
              <w:rPr>
                <w:rFonts w:hint="default" w:ascii="宋体" w:hAnsi="宋体" w:eastAsia="宋体" w:cs="宋体"/>
                <w:b w:val="0"/>
                <w:bCs/>
                <w:color w:val="auto"/>
                <w:sz w:val="24"/>
                <w:szCs w:val="24"/>
                <w:highlight w:val="none"/>
                <w:lang w:val="en-US" w:eastAsia="zh-CN"/>
              </w:rPr>
              <w:t xml:space="preserve">分；</w:t>
            </w:r>
            <w:r/>
          </w:p>
          <w:p>
            <w:pP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技术方案不完整、科学性差：上述内容缺失，核算方法合规性、严谨性不足，对标分析不全面，高耗能环节识别不准，节能潜力挖掘不深入，整改建议可行性差，得</w:t>
            </w: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分；</w:t>
            </w:r>
            <w:r/>
          </w:p>
          <w:p>
            <w:pPr>
              <w:spacing w:line="240" w:lineRule="auto"/>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rPr>
              <w:t xml:space="preserve">④不提供或严重缺失的，不得分。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r>
        <w:trPr>
          <w:jc w:val="center"/>
          <w:trHeight w:val="908"/>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项目质量保障体系</w:t>
            </w:r>
            <w:r/>
          </w:p>
        </w:tc>
        <w:tc>
          <w:tcPr>
            <w:shd w:val="clear" w:color="auto" w:fill="auto"/>
            <w:tcW w:w="3650" w:type="pct"/>
            <w:vAlign w:val="center"/>
            <w:textDirection w:val="lrTb"/>
            <w:noWrap w:val="false"/>
          </w:tcPr>
          <w:p>
            <w:pPr>
              <w:spacing w:line="24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评委根据供应商提供的质量体系方案进行综合打分：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质量体系方案完整、科学、针对性强：具备科学完善的审核制度、资料保密制度、数据真实性核查制度、成果纠错机制；工作流程符合《公共建筑能源审计标准》、《公共机构能源审计技术导则》等国家标准，审计成果合规可备案、可验收，包含数据风险、现场风险、验收风险、延期风险防控方案，得6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质量体系方案完整度尚可、科学性尚可、针对性普通：上述制度均已设置，但审核制度、资料保密、数据真实性核查、成果纠错机制完善程度不足；合规性保障水平普通，风险防控措施覆盖到位但具体性不足，得3.5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③质量体系方案不完整、科学性差、针对性不强：上述制度缺失数量多，审核等机制健全程度不足；合规性保障不足，数据风险、现场风险、验收风险、延期风险防控方案缺失或可行性差，得1分；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④不提供或严重缺失的，不得分。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r>
        <w:trPr>
          <w:jc w:val="center"/>
          <w:trHeight w:val="274"/>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项目团队配置与设备工具</w:t>
            </w:r>
            <w:r/>
          </w:p>
        </w:tc>
        <w:tc>
          <w:tcPr>
            <w:shd w:val="clear" w:color="auto" w:fill="auto"/>
            <w:tcW w:w="3650" w:type="pct"/>
            <w:vAlign w:val="center"/>
            <w:textDirection w:val="lrTb"/>
            <w:noWrap w:val="false"/>
          </w:tcPr>
          <w:p>
            <w:pPr>
              <w:spacing w:line="24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评委根据供应商提供的项目负责人、团队人员资质及检测设备、数据分析工具配置情况进行综合打分：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①项目负责人、团队人员资质优秀，配备充足的持证人员，人员结构科学合理、分工明确，检测设备、数据分析工具配置齐全；具备能耗核查、流量、温度、功率、能效检测工具及专业审计分析软件，得6分；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项目负责人、团队人员资质一般，配备一定的持证人员，人员结构合理、分工基本明确，检测设备、数据分析工具大部分配置基本齐全；具备大部分能耗核查、流量、温度、功率、能效检测工具及专业审计分析软件，得3.5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③项目负责人、团队人员资质差，人员结构不合理、分工不明确，检测设备、数据分析工具配置差；能耗核查、流量、温度、功率、能效检测工具及专业审计分析软件缺失严重，得1分；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④不提供不得分。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r>
        <w:trPr>
          <w:jc w:val="center"/>
          <w:trHeight w:val="262"/>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工期进度计划与落地保障</w:t>
            </w:r>
            <w:r/>
          </w:p>
        </w:tc>
        <w:tc>
          <w:tcPr>
            <w:shd w:val="clear" w:color="auto" w:fill="auto"/>
            <w:tcW w:w="3650" w:type="pct"/>
            <w:vAlign w:val="center"/>
            <w:textDirection w:val="lrTb"/>
            <w:noWrap w:val="false"/>
          </w:tcPr>
          <w:p>
            <w:pPr>
              <w:spacing w:line="24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评委根据供应商提供的进度计划表科学合理性、工期保障、加班、应急交付措施及滞后补救、加急验收、资料补收应对方案进行综合打分：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①进度计划表科学合理，分阶段明确摸排、检测、核算、报告编制、修改、报审时间节点，进度可控；工期保障、加班、应急交付措施完善，滞后补救、加急验收、资料补收应对方案针对性强、可操作，得6分；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进度计划表合理，分阶段对摸排、检测、核算、报告编制、修改、报审时间节点作出安排，进度可控性达到要求；工期保障、加班、应急交付措施覆盖到位，滞后补救、加急验收、资料补收应对方案具备可行性，得3.5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③进度计划表科学合理性差，分阶段时间节点不明确，进度可控性差；工期保障、加班、应急交付措施不完善，滞后补救、加急验收、资料补收应对方案针对性不强，得1分；</w:t>
            </w:r>
            <w:r/>
          </w:p>
          <w:p>
            <w:pPr>
              <w:spacing w:line="240" w:lineRule="auto"/>
              <w:rPr>
                <w:rFonts w:hint="default"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④不提供不得分。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r>
        <w:trPr>
          <w:jc w:val="center"/>
          <w:trHeight w:val="234"/>
        </w:trPr>
        <w:tc>
          <w:tcPr>
            <w:tcW w:w="341"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shd w:val="clear" w:color="auto" w:fill="auto"/>
            <w:tcW w:w="575" w:type="pct"/>
            <w:vAlign w:val="center"/>
            <w:textDirection w:val="lrTb"/>
            <w:noWrap w:val="false"/>
          </w:tcPr>
          <w:p>
            <w:pPr>
              <w:jc w:val="cente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售后服务、成果落地与配合验收</w:t>
            </w:r>
            <w:r/>
          </w:p>
        </w:tc>
        <w:tc>
          <w:tcPr>
            <w:shd w:val="clear" w:color="auto" w:fill="auto"/>
            <w:tcW w:w="3650" w:type="pct"/>
            <w:vAlign w:val="center"/>
            <w:textDirection w:val="lrTb"/>
            <w:noWrap w:val="false"/>
          </w:tcPr>
          <w:p>
            <w:pPr>
              <w:spacing w:line="24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评委根据供应商提供的报告修改、报审、验收配合服务，节能整改跟踪、技术咨询服务，资料归档、全套成果交付完整度进行综合打分：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报告修改、报审、验收配合服务完善，全程配合核查、验收、备案、答疑；节能整改跟踪、技术咨询服务完善，提供后期节能整改指导、能耗优化建议、年度能耗分析咨询；资料归档、全套成果交付完整度高，交付审计报告、数据表、台账、分析图、整改清单、备案资料全套成果，得6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②上述服务内容有少量缺失，报告修改、报审、验收后可配合，节能整改跟踪、技术咨询能满足要求，资料归档及成果交付内容完整性一般，得3.5分；</w:t>
            </w:r>
            <w:r/>
          </w:p>
          <w:p>
            <w:pPr>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③上述服务内容缺失严重，报告修改、报审、验收配合不到位，节能整改跟踪、技术咨询针对性不强，资料归档及成果交付不完整，得1分；</w:t>
            </w:r>
            <w:r/>
          </w:p>
          <w:p>
            <w:pP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④不提供不得分。</w:t>
            </w:r>
            <w:r/>
          </w:p>
        </w:tc>
        <w:tc>
          <w:tcPr>
            <w:shd w:val="clear" w:color="auto" w:fill="auto"/>
            <w:tcW w:w="433"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6分</w:t>
            </w:r>
            <w:r/>
          </w:p>
        </w:tc>
      </w:tr>
    </w:tbl>
    <w:p>
      <w:pPr>
        <w:ind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备注：</w:t>
      </w:r>
      <w:r>
        <w:rPr>
          <w:rFonts w:hint="eastAsia" w:ascii="宋体" w:hAnsi="宋体" w:eastAsia="宋体" w:cs="宋体"/>
          <w:b/>
          <w:bCs/>
          <w:color w:val="auto"/>
          <w:sz w:val="24"/>
          <w:szCs w:val="24"/>
          <w:highlight w:val="none"/>
          <w:lang w:val="en-US" w:eastAsia="zh-CN"/>
        </w:rPr>
        <w:t xml:space="preserve">所涉及的相关证明材料复印件</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lang w:val="en-US" w:eastAsia="zh-CN"/>
        </w:rPr>
        <w:t xml:space="preserve">加盖</w:t>
      </w:r>
      <w:r>
        <w:rPr>
          <w:rFonts w:hint="eastAsia" w:ascii="宋体" w:hAnsi="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lang w:val="en-US" w:eastAsia="zh-CN"/>
        </w:rPr>
        <w:t xml:space="preserve">公章，如发现有弄虚作假的，取消</w:t>
      </w:r>
      <w:r>
        <w:rPr>
          <w:rFonts w:hint="eastAsia" w:ascii="宋体" w:hAnsi="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en-US" w:eastAsia="zh-CN"/>
        </w:rPr>
        <w:t xml:space="preserve">中标资格。</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四</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价格分</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en-US" w:eastAsia="zh-CN"/>
        </w:rPr>
        <w:t xml:space="preserve">30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磋商报价得分=（磋商基准价/最后磋商报价）×价格权值×100</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五</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政府采购政策功能落实</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1.专门面向中小企业采购的项目或者采购包，不再执行价格评审优惠的扶持政策。</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2.非专门面向中小企业采购的项目或者采购包，执行以下价格评审优惠的扶持政策。</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（1）小微型企业价格扣除：</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①对小型和微型企业产品给予10%的扣除价格，用扣除后的价格参与评审。</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②供应商需按照《政府采购促进中小企业发展管理办法》（财库</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2020</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46号）的规定提供相应的《中小企业声明函》。</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③企业标准请参照《关于印发中小企业划型标准规定的通知》（工信部联企业</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bCs/>
          <w:color w:val="auto"/>
          <w:sz w:val="28"/>
          <w:szCs w:val="28"/>
          <w:highlight w:val="none"/>
        </w:rPr>
        <w:t xml:space="preserve">2011</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bCs/>
          <w:color w:val="auto"/>
          <w:sz w:val="28"/>
          <w:szCs w:val="28"/>
          <w:highlight w:val="none"/>
        </w:rPr>
        <w:t xml:space="preserve">300号）文件规定自行填写。</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（2）残疾人福利单位价格扣除：</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①对残疾人福利性单位，给予10%的价格扣除，用扣除后的价格参与评审。</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②残疾人福利单位需按照采购文件的要求提供《残疾人福利性单位声明函》。</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③残疾人福利单位标准请参照《关于促进残疾人就业政府采购政策的通知》（财库〔2017〕141号）。</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（3）监狱和戒毒企业价格扣除</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①对监狱和戒毒企业（简称监狱企业）给予10%的价格扣除，用扣除后的价格参与评审。</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③监狱企业标准请参照《关于政府采购支持监狱企业发展有关问题的通知》（财库〔2014</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bCs/>
          <w:color w:val="auto"/>
          <w:sz w:val="28"/>
          <w:szCs w:val="28"/>
          <w:highlight w:val="none"/>
        </w:rPr>
        <w:t xml:space="preserve">68号）。</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（4）残疾人福利单位、监狱企业属于小型、微型企业的，不重复享受政策。</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（6）联合体各方均为小型、微型企业（残疾人福利单位、监狱企业）的，联合体享受上述同类价格扣除，用扣除后的价格参与评审。</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（六）成交供应商的确定</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Theme="minorEastAsia" w:hAnsiTheme="minorEastAsia" w:eastAsiaTheme="minorEastAsia" w:cstheme="minorEastAsia"/>
          <w:bCs/>
          <w:color w:val="auto"/>
          <w:sz w:val="28"/>
          <w:szCs w:val="28"/>
          <w:highlight w:val="none"/>
        </w:rPr>
        <w:t xml:space="preserve">或《财政部关于竞争性磋商采购方式管理暂行办法有关问题的补充通知》（财库</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2015</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124号）规定情形</w:t>
      </w:r>
      <w:r>
        <w:rPr>
          <w:rFonts w:hint="eastAsia" w:asciiTheme="minorEastAsia" w:hAnsiTheme="minorEastAsia" w:eastAsiaTheme="minorEastAsia" w:cstheme="minorEastAsia"/>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采购人应根据磋商小组推荐的成交候选供应商确定成交供应商。</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（七）公告成交结果</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自确定成交供应商之日起2个工作日内，在江苏政府采购网公告成交结果，公告期限为1个工作日。</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（八）发放成交通知书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成交通知书发出后，采购人不得违法改变成交结果，成交供应商无正当理由不得放弃成交。</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r>
      <w:r/>
    </w:p>
    <w:p>
      <w:pPr>
        <w:jc w:val="center"/>
        <w:spacing w:line="500" w:lineRule="exact"/>
        <w:rPr>
          <w:rFonts w:hint="eastAsia" w:asciiTheme="minorEastAsia" w:hAnsiTheme="minorEastAsia" w:eastAsiaTheme="minorEastAsia" w:cstheme="minorEastAsia"/>
          <w:color w:val="auto"/>
          <w:sz w:val="36"/>
          <w:szCs w:val="36"/>
          <w:highlight w:val="none"/>
          <w:lang w:val="zh-CN"/>
        </w:rPr>
        <w:outlineLvl w:val="0"/>
      </w:pPr>
      <w:r>
        <w:rPr>
          <w:rFonts w:hint="eastAsia" w:asciiTheme="minorEastAsia" w:hAnsiTheme="minorEastAsia" w:eastAsiaTheme="minorEastAsia" w:cstheme="minorEastAsia"/>
          <w:bCs/>
          <w:color w:val="auto"/>
          <w:sz w:val="36"/>
          <w:szCs w:val="36"/>
          <w:highlight w:val="none"/>
        </w:rPr>
        <w:br w:type="page" w:clear="all"/>
      </w:r>
      <w:r>
        <w:rPr>
          <w:rFonts w:hint="eastAsia" w:asciiTheme="minorEastAsia" w:hAnsiTheme="minorEastAsia" w:eastAsiaTheme="minorEastAsia" w:cstheme="minorEastAsia"/>
          <w:color w:val="auto"/>
          <w:sz w:val="36"/>
          <w:szCs w:val="36"/>
          <w:highlight w:val="none"/>
          <w:lang w:val="zh-CN"/>
        </w:rPr>
        <w:t xml:space="preserve">第五部分  响应文件格式</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1.</w:t>
      </w:r>
      <w:r>
        <w:rPr>
          <w:rFonts w:hint="eastAsia" w:asciiTheme="minorEastAsia" w:hAnsiTheme="minorEastAsia" w:eastAsiaTheme="minorEastAsia" w:cstheme="minorEastAsia"/>
          <w:color w:val="auto"/>
          <w:sz w:val="28"/>
          <w:szCs w:val="28"/>
          <w:highlight w:val="none"/>
        </w:rPr>
        <w:t xml:space="preserve">响应人符合《中华人民共和国政府采购法》第二十二条规定条件的声明函</w:t>
      </w:r>
      <w:r>
        <w:rPr>
          <w:rFonts w:hint="eastAsia" w:asciiTheme="minorEastAsia" w:hAnsiTheme="minorEastAsia" w:eastAsiaTheme="minorEastAsia" w:cstheme="minorEastAsia"/>
          <w:color w:val="auto"/>
          <w:sz w:val="28"/>
          <w:szCs w:val="28"/>
          <w:highlight w:val="none"/>
          <w:lang w:val="zh-CN"/>
        </w:rPr>
        <w:t xml:space="preserve">（格式见附件1）（如分公司参加响应的，另需提供总公司的授权证明）；</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2.法人或者其他组织的营业执照等证明文件，自然人参加的提供身份证明；</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3.法定代表人参加响应的提供法定代表人身份证明书（格式见附件2）；非法定代表人参加响应的提供法定代表人授权委托书原件（格式见附件3）；</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lang w:val="zh-CN"/>
        </w:rPr>
        <w:t xml:space="preserve">供应商信用承诺书（格式见附件</w:t>
      </w: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5.</w:t>
      </w:r>
      <w:r>
        <w:rPr>
          <w:rFonts w:hint="eastAsia" w:asciiTheme="minorEastAsia" w:hAnsiTheme="minorEastAsia" w:eastAsiaTheme="minorEastAsia" w:cstheme="minorEastAsia"/>
          <w:color w:val="auto"/>
          <w:sz w:val="28"/>
          <w:szCs w:val="28"/>
          <w:highlight w:val="none"/>
          <w:lang w:val="zh-CN"/>
        </w:rPr>
        <w:t xml:space="preserve">磋商响应函（格式见附件</w:t>
      </w:r>
      <w:r>
        <w:rPr>
          <w:rFonts w:hint="eastAsia" w:asciiTheme="minorEastAsia" w:hAnsiTheme="minorEastAsia" w:eastAsiaTheme="minorEastAsia" w:cstheme="minorEastAsia"/>
          <w:color w:val="auto"/>
          <w:sz w:val="28"/>
          <w:szCs w:val="28"/>
          <w:highlight w:val="none"/>
        </w:rPr>
        <w:t xml:space="preserve">5</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bCs/>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zh-CN"/>
        </w:rPr>
        <w:t xml:space="preserve">6.商务部分正负偏离表（格式见附件6）、技术部分正负偏离表（格式见附件7）</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bCs/>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zh-CN"/>
        </w:rPr>
        <w:t xml:space="preserve">填制正负偏离表，完全响应的，请以空白表列示。不完全响应的，必须在偏离表中列示；列示不全的，视同故意隐瞒。</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zh-CN"/>
        </w:rPr>
        <w:t xml:space="preserve">7.</w:t>
      </w:r>
      <w:r>
        <w:rPr>
          <w:rFonts w:hint="eastAsia" w:asciiTheme="minorEastAsia" w:hAnsiTheme="minorEastAsia" w:eastAsiaTheme="minorEastAsia" w:cstheme="minorEastAsia"/>
          <w:color w:val="auto"/>
          <w:sz w:val="28"/>
          <w:szCs w:val="28"/>
          <w:highlight w:val="none"/>
        </w:rPr>
        <w:t xml:space="preserve">磋商报价表</w:t>
      </w:r>
      <w:r>
        <w:rPr>
          <w:rFonts w:hint="eastAsia" w:asciiTheme="minorEastAsia" w:hAnsiTheme="minorEastAsia" w:eastAsiaTheme="minorEastAsia" w:cstheme="minorEastAsia"/>
          <w:bCs/>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lang w:val="zh-CN"/>
        </w:rPr>
        <w:t xml:space="preserve">格式见</w:t>
      </w:r>
      <w:r>
        <w:rPr>
          <w:rFonts w:hint="eastAsia" w:asciiTheme="minorEastAsia" w:hAnsiTheme="minorEastAsia" w:eastAsiaTheme="minorEastAsia" w:cstheme="minorEastAsia"/>
          <w:color w:val="auto"/>
          <w:sz w:val="28"/>
          <w:szCs w:val="28"/>
          <w:highlight w:val="none"/>
        </w:rPr>
        <w:t xml:space="preserve">“苏采云”</w:t>
      </w:r>
      <w:r>
        <w:rPr>
          <w:rFonts w:hint="eastAsia" w:asciiTheme="minorEastAsia" w:hAnsiTheme="minorEastAsia" w:eastAsiaTheme="minorEastAsia" w:cstheme="minorEastAsia"/>
          <w:color w:val="auto"/>
          <w:sz w:val="28"/>
          <w:szCs w:val="28"/>
          <w:highlight w:val="none"/>
          <w:lang w:val="zh-CN"/>
        </w:rPr>
        <w:t xml:space="preserve">系统内电子投标（响应）文件中表式</w:t>
      </w:r>
      <w:r>
        <w:rPr>
          <w:rFonts w:hint="eastAsia" w:asciiTheme="minorEastAsia" w:hAnsiTheme="minorEastAsia" w:eastAsiaTheme="minorEastAsia" w:cstheme="minorEastAsia"/>
          <w:bCs/>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lang w:val="zh-CN"/>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rPr>
        <w:t xml:space="preserve">中小企业声明函（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w:t>
      </w: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9</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rPr>
        <w:t xml:space="preserve">残疾人福利性单位声明函（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w:t>
      </w:r>
      <w:r>
        <w:rPr>
          <w:rFonts w:hint="eastAsia" w:asciiTheme="minorEastAsia" w:hAnsiTheme="minorEastAsia" w:eastAsiaTheme="minorEastAsia" w:cstheme="minorEastAsia"/>
          <w:color w:val="auto"/>
          <w:sz w:val="28"/>
          <w:szCs w:val="28"/>
          <w:highlight w:val="none"/>
          <w:lang w:val="en-US" w:eastAsia="zh-CN"/>
        </w:rPr>
        <w:t xml:space="preserve">9</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0</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监狱和戒毒企业证明材料（</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bCs/>
          <w:color w:val="auto"/>
          <w:sz w:val="28"/>
          <w:szCs w:val="28"/>
          <w:highlight w:val="none"/>
        </w:rPr>
        <w:t xml:space="preserve">格式见附件1</w:t>
      </w:r>
      <w:r>
        <w:rPr>
          <w:rFonts w:hint="eastAsia" w:asciiTheme="minorEastAsia" w:hAnsiTheme="minorEastAsia" w:eastAsiaTheme="minorEastAsia" w:cstheme="minorEastAsia"/>
          <w:bCs/>
          <w:color w:val="auto"/>
          <w:sz w:val="28"/>
          <w:szCs w:val="28"/>
          <w:highlight w:val="none"/>
          <w:lang w:val="en-US" w:eastAsia="zh-CN"/>
        </w:rPr>
        <w:t xml:space="preserve">0</w:t>
      </w:r>
      <w:r>
        <w:rPr>
          <w:rFonts w:hint="eastAsia" w:asciiTheme="minorEastAsia" w:hAnsiTheme="minorEastAsia" w:eastAsiaTheme="minorEastAsia" w:cstheme="minorEastAsia"/>
          <w:bCs/>
          <w:color w:val="auto"/>
          <w:sz w:val="28"/>
          <w:szCs w:val="28"/>
          <w:highlight w:val="none"/>
        </w:rPr>
        <w:t xml:space="preserve">）。</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jc w:val="left"/>
        <w:widowControl/>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br w:type="page" w:clear="all"/>
      </w:r>
      <w:r>
        <w:rPr>
          <w:rFonts w:hint="eastAsia" w:asciiTheme="minorEastAsia" w:hAnsiTheme="minorEastAsia" w:eastAsiaTheme="minorEastAsia" w:cstheme="minorEastAsia"/>
          <w:color w:val="auto"/>
          <w:sz w:val="32"/>
          <w:szCs w:val="32"/>
          <w:highlight w:val="none"/>
          <w:lang w:val="zh-CN"/>
        </w:rPr>
        <w:t xml:space="preserve">附件1</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响应人符合《中华人民共和国政府采购法》第二十二条规定条件的声明函</w:t>
      </w:r>
      <w:r/>
    </w:p>
    <w:p>
      <w:pPr>
        <w:ind w:firstLine="482"/>
        <w:spacing w:line="520" w:lineRule="exact"/>
        <w:rPr>
          <w:rFonts w:hint="eastAsia"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b/>
          <w:bCs/>
          <w:color w:val="auto"/>
          <w:sz w:val="24"/>
          <w:szCs w:val="21"/>
          <w:highlight w:val="none"/>
        </w:rPr>
      </w:r>
      <w:r/>
    </w:p>
    <w:p>
      <w:pPr>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我单位参加</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（项目名称）</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rPr>
        <w:t xml:space="preserve">项目编号：                      </w:t>
      </w:r>
      <w:r>
        <w:rPr>
          <w:rFonts w:hint="eastAsia" w:asciiTheme="minorEastAsia" w:hAnsiTheme="minorEastAsia" w:eastAsiaTheme="minorEastAsia" w:cstheme="minorEastAsia"/>
          <w:color w:val="auto"/>
          <w:sz w:val="28"/>
          <w:szCs w:val="28"/>
          <w:highlight w:val="none"/>
        </w:rPr>
        <w:t xml:space="preserve">）响应</w:t>
      </w:r>
      <w:r>
        <w:rPr>
          <w:rFonts w:hint="eastAsia" w:asciiTheme="minorEastAsia" w:hAnsiTheme="minorEastAsia" w:eastAsiaTheme="minorEastAsia" w:cstheme="minorEastAsia"/>
          <w:bCs/>
          <w:color w:val="auto"/>
          <w:sz w:val="28"/>
          <w:szCs w:val="28"/>
          <w:highlight w:val="none"/>
        </w:rPr>
        <w:t xml:space="preserve">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我单位参加政府采购活动前三年内，没有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6.我单位满足法律、行政法规规定的其他条件。</w:t>
      </w:r>
      <w:r/>
    </w:p>
    <w:p>
      <w:pPr>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r>
      <w:r/>
    </w:p>
    <w:p>
      <w:pPr>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r>
      <w:r/>
    </w:p>
    <w:p>
      <w:pPr>
        <w:jc w:val="center"/>
        <w:spacing w:line="46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承诺人名称（加盖公章）：</w:t>
      </w:r>
      <w:r>
        <w:rPr>
          <w:rFonts w:hint="eastAsia" w:asciiTheme="minorEastAsia" w:hAnsiTheme="minorEastAsia" w:eastAsiaTheme="minorEastAsia" w:cstheme="minorEastAsia"/>
          <w:color w:val="auto"/>
          <w:sz w:val="28"/>
          <w:szCs w:val="28"/>
          <w:highlight w:val="none"/>
          <w:u w:val="single"/>
        </w:rPr>
        <w:t xml:space="preserve">                   </w:t>
      </w:r>
      <w:r/>
    </w:p>
    <w:p>
      <w:pPr>
        <w:jc w:val="right"/>
        <w:spacing w:line="46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w:t>
      </w:r>
      <w:r/>
    </w:p>
    <w:p>
      <w:pPr>
        <w:jc w:val="right"/>
        <w:spacing w:line="46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日期：</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年</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月</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日</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r>
      <w:r/>
    </w:p>
    <w:p>
      <w:pPr>
        <w:contextualSpacing/>
        <w:spacing w:line="400" w:lineRule="exact"/>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 xml:space="preserve">附件2</w:t>
      </w:r>
      <w:r/>
    </w:p>
    <w:p>
      <w:pPr>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30"/>
          <w:szCs w:val="30"/>
          <w:highlight w:val="none"/>
        </w:rPr>
        <w:t xml:space="preserve">法定代表人身份证明</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先生/女士，身份证号码：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，现任我单位</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职务，为我单位法定代表人，特此证明。</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本证明用于参加</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（项目名称）</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rPr>
        <w:t xml:space="preserve">项目编号：                    </w:t>
      </w:r>
      <w:r>
        <w:rPr>
          <w:rFonts w:hint="eastAsia" w:asciiTheme="minorEastAsia" w:hAnsiTheme="minorEastAsia" w:eastAsiaTheme="minorEastAsia" w:cstheme="minorEastAsia"/>
          <w:bCs/>
          <w:color w:val="auto"/>
          <w:sz w:val="28"/>
          <w:szCs w:val="28"/>
          <w:highlight w:val="none"/>
        </w:rPr>
        <w:t xml:space="preserve">）投标活动。</w:t>
      </w:r>
      <w:r/>
    </w:p>
    <w:p>
      <w:pPr>
        <w:ind w:firstLine="48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8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left="3255" w:firstLine="280"/>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left="3255" w:firstLine="280"/>
        <w:jc w:val="left"/>
        <w:spacing w:line="480" w:lineRule="auto"/>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单位名称（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ind w:left="3255" w:firstLine="280"/>
        <w:jc w:val="left"/>
        <w:spacing w:line="480" w:lineRule="auto"/>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jc w:val="left"/>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360" w:lineRule="auto"/>
        <w:widowControl/>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附：法定代表人的身份证复印件加盖单位公章</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r>
      <w:r/>
    </w:p>
    <w:p>
      <w:pPr>
        <w:shd w:val="nil"/>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br w:type="page" w:clear="all"/>
      </w:r>
      <w:r>
        <w:rPr>
          <w:rFonts w:hint="eastAsia" w:asciiTheme="minorEastAsia" w:hAnsiTheme="minorEastAsia" w:eastAsiaTheme="minorEastAsia" w:cstheme="minorEastAsia"/>
          <w:color w:val="auto"/>
          <w:sz w:val="32"/>
          <w:szCs w:val="32"/>
          <w:highlight w:val="none"/>
          <w:lang w:val="zh-CN"/>
        </w:rPr>
      </w:r>
    </w:p>
    <w:p>
      <w:pPr>
        <w:contextualSpacing/>
        <w:spacing w:line="400" w:lineRule="exact"/>
        <w:rPr>
          <w:rFonts w:hint="eastAsia"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 xml:space="preserve">附件3</w:t>
      </w:r>
      <w:r/>
    </w:p>
    <w:p>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Cs/>
          <w:color w:val="auto"/>
          <w:sz w:val="30"/>
          <w:szCs w:val="30"/>
          <w:highlight w:val="none"/>
        </w:rPr>
        <w:t xml:space="preserve">法定代表人授权委托书</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（姓名）系</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（授权单位名称）的法定代表人，现委托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（姓名）（身份证号</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，联系电话</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）为我方代理人，以我方名义全权处理与</w:t>
      </w:r>
      <w:r>
        <w:rPr>
          <w:rFonts w:hint="eastAsia" w:asciiTheme="minorEastAsia" w:hAnsiTheme="minorEastAsia" w:eastAsiaTheme="minorEastAsia" w:cstheme="minorEastAsia"/>
          <w:color w:val="auto"/>
          <w:sz w:val="28"/>
          <w:szCs w:val="28"/>
          <w:highlight w:val="none"/>
          <w:u w:val="single"/>
        </w:rPr>
        <w:t xml:space="preserve">                       （项目名称）</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rPr>
        <w:t xml:space="preserve">项目编号：                    </w:t>
      </w:r>
      <w:r>
        <w:rPr>
          <w:rFonts w:hint="eastAsia" w:asciiTheme="minorEastAsia" w:hAnsiTheme="minorEastAsia" w:eastAsiaTheme="minorEastAsia" w:cstheme="minorEastAsia"/>
          <w:color w:val="auto"/>
          <w:sz w:val="28"/>
          <w:szCs w:val="28"/>
          <w:highlight w:val="none"/>
        </w:rPr>
        <w:t xml:space="preserve">）有关的一切事务，其法律后果由我方承担。</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本授权书于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日起生效。代理人无转委托权。</w:t>
      </w:r>
      <w:r/>
    </w:p>
    <w:p>
      <w:pPr>
        <w:ind w:firstLine="42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2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代理人（被授权人）签字：</w:t>
      </w:r>
      <w:r>
        <w:rPr>
          <w:rFonts w:hint="eastAsia" w:asciiTheme="minorEastAsia" w:hAnsiTheme="minorEastAsia" w:eastAsiaTheme="minorEastAsia" w:cstheme="minorEastAsia"/>
          <w:color w:val="auto"/>
          <w:sz w:val="28"/>
          <w:szCs w:val="28"/>
          <w:highlight w:val="none"/>
          <w:u w:val="single"/>
        </w:rPr>
        <w:t xml:space="preserve">                                </w:t>
      </w:r>
      <w:r/>
    </w:p>
    <w:p>
      <w:pPr>
        <w:ind w:firstLine="42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授权单位名称（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ind w:firstLine="42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授权单位法定代表人（签字或盖章）：</w:t>
      </w:r>
      <w:r>
        <w:rPr>
          <w:rFonts w:hint="eastAsia" w:asciiTheme="minorEastAsia" w:hAnsiTheme="minorEastAsia" w:eastAsiaTheme="minorEastAsia" w:cstheme="minorEastAsia"/>
          <w:color w:val="auto"/>
          <w:sz w:val="28"/>
          <w:szCs w:val="28"/>
          <w:highlight w:val="none"/>
          <w:u w:val="single"/>
        </w:rPr>
        <w:t xml:space="preserve">                  </w:t>
      </w:r>
      <w:r/>
    </w:p>
    <w:p>
      <w:pPr>
        <w:jc w:val="righ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contextualSpacing/>
        <w:ind w:firstLine="3897"/>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附：代理人（被授权人）身份证复印件加盖单位公章</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附件4</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供应商信用承诺书</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三、严格遵守即时信息公示规定，及时更新公共资源交易中心主体信息库中信息；</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六、自觉接受政府部门、行业组织、社会公众、新闻舆论等监督；</w:t>
      </w:r>
      <w:r/>
    </w:p>
    <w:p>
      <w:pPr>
        <w:ind w:firstLine="560"/>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bidi="ar"/>
        </w:rPr>
        <w:t xml:space="preserve">七、上述承诺已向本单位员工作了宣传教育。</w:t>
      </w:r>
      <w:r/>
    </w:p>
    <w:p>
      <w:pPr>
        <w:ind w:firstLine="562"/>
        <w:spacing w:line="48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bidi="ar"/>
        </w:rPr>
        <w:t xml:space="preserve">如有违反上述承诺的不良行为，本单位同意将其予以上网公示。</w:t>
      </w:r>
      <w:r/>
    </w:p>
    <w:p>
      <w:pPr>
        <w:spacing w:line="48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r>
      <w:r/>
    </w:p>
    <w:p>
      <w:pPr>
        <w:ind w:firstLine="2800"/>
        <w:spacing w:line="480" w:lineRule="exact"/>
        <w:rPr>
          <w:rFonts w:hint="eastAsia" w:asciiTheme="minorEastAsia" w:hAnsiTheme="minorEastAsia" w:eastAsiaTheme="minorEastAsia" w:cstheme="minorEastAsia"/>
          <w:color w:val="auto"/>
          <w:sz w:val="28"/>
          <w:szCs w:val="28"/>
          <w:highlight w:val="none"/>
          <w:lang w:val="zh-CN" w:bidi="ar"/>
        </w:rPr>
      </w:pPr>
      <w:r>
        <w:rPr>
          <w:rFonts w:hint="eastAsia" w:asciiTheme="minorEastAsia" w:hAnsiTheme="minorEastAsia" w:eastAsiaTheme="minorEastAsia" w:cstheme="minorEastAsia"/>
          <w:color w:val="auto"/>
          <w:sz w:val="28"/>
          <w:szCs w:val="28"/>
          <w:highlight w:val="none"/>
          <w:lang w:bidi="ar"/>
        </w:rPr>
        <w:t xml:space="preserve">响应</w:t>
      </w:r>
      <w:r>
        <w:rPr>
          <w:rFonts w:hint="eastAsia" w:asciiTheme="minorEastAsia" w:hAnsiTheme="minorEastAsia" w:eastAsiaTheme="minorEastAsia" w:cstheme="minorEastAsia"/>
          <w:color w:val="auto"/>
          <w:sz w:val="28"/>
          <w:szCs w:val="28"/>
          <w:highlight w:val="none"/>
          <w:lang w:val="zh-CN" w:bidi="ar"/>
        </w:rPr>
        <w:t xml:space="preserve">供应商名称（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lang w:val="zh-CN" w:bidi="ar"/>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ind w:firstLine="2800"/>
        <w:spacing w:line="480" w:lineRule="exact"/>
        <w:rPr>
          <w:rFonts w:hint="eastAsia" w:asciiTheme="minorEastAsia" w:hAnsiTheme="minorEastAsia" w:eastAsiaTheme="minorEastAsia" w:cstheme="minorEastAsia"/>
          <w:color w:val="auto"/>
          <w:sz w:val="28"/>
          <w:szCs w:val="28"/>
          <w:highlight w:val="none"/>
          <w:lang w:val="zh-CN" w:bidi="ar"/>
        </w:rPr>
      </w:pPr>
      <w:r>
        <w:rPr>
          <w:rFonts w:hint="eastAsia" w:asciiTheme="minorEastAsia" w:hAnsiTheme="minorEastAsia" w:eastAsiaTheme="minorEastAsia" w:cstheme="minorEastAsia"/>
          <w:color w:val="auto"/>
          <w:sz w:val="28"/>
          <w:szCs w:val="28"/>
          <w:highlight w:val="none"/>
          <w:lang w:val="zh-CN" w:bidi="ar"/>
        </w:rPr>
        <w:t xml:space="preserve">法定代表人（签字或盖章）：</w:t>
      </w:r>
      <w:r>
        <w:rPr>
          <w:rFonts w:hint="eastAsia" w:asciiTheme="minorEastAsia" w:hAnsiTheme="minorEastAsia" w:eastAsiaTheme="minorEastAsia" w:cstheme="minorEastAsia"/>
          <w:color w:val="auto"/>
          <w:sz w:val="28"/>
          <w:szCs w:val="28"/>
          <w:highlight w:val="none"/>
          <w:u w:val="single"/>
        </w:rPr>
        <w:t xml:space="preserve">                    </w:t>
      </w:r>
      <w:r/>
    </w:p>
    <w:p>
      <w:pPr>
        <w:ind w:firstLine="3080"/>
        <w:spacing w:line="480" w:lineRule="exact"/>
        <w:rPr>
          <w:rFonts w:hint="eastAsia" w:asciiTheme="minorEastAsia" w:hAnsiTheme="minorEastAsia" w:eastAsiaTheme="minorEastAsia" w:cstheme="minorEastAsia"/>
          <w:color w:val="auto"/>
          <w:sz w:val="28"/>
          <w:szCs w:val="28"/>
          <w:highlight w:val="none"/>
          <w:lang w:val="zh-CN" w:bidi="ar"/>
        </w:rPr>
      </w:pPr>
      <w:r>
        <w:rPr>
          <w:rFonts w:hint="eastAsia" w:asciiTheme="minorEastAsia" w:hAnsiTheme="minorEastAsia" w:eastAsiaTheme="minorEastAsia" w:cstheme="minorEastAsia"/>
          <w:color w:val="auto"/>
          <w:sz w:val="28"/>
          <w:szCs w:val="28"/>
          <w:highlight w:val="none"/>
          <w:lang w:val="zh-CN" w:bidi="ar"/>
        </w:rPr>
        <w:t xml:space="preserve">时间：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val="zh-CN" w:bidi="ar"/>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val="zh-CN" w:bidi="ar"/>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val="zh-CN" w:bidi="ar"/>
        </w:rPr>
        <w:t xml:space="preserve">日</w:t>
      </w:r>
      <w:r/>
    </w:p>
    <w:p>
      <w:pPr>
        <w:contextualSpacing/>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附件5</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磋商响应函</w:t>
      </w:r>
      <w:r/>
    </w:p>
    <w:p>
      <w:pPr>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（采购人名称）</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根据贵方项目编号为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的磋商文件，我方正式提交磋商响应函，并宣布同意如下内容：</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1.按磋商文件规定的各项要求，向买方提供所需货物、服务（包含与货物相关的服务及与服务相关的货物）。</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2.我们完全理解贵方不一定将合同授予最低报价的供应商。</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3.我们已详细审核全部磋商文件及其有效补充文件，我们知道必须放弃提出含糊不清或误解问题的权利。</w:t>
      </w:r>
      <w:r/>
    </w:p>
    <w:p>
      <w:pPr>
        <w:ind w:firstLine="48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4.我们同意从规定的开标日期起遵循本响应文件，并在规定的投标有效期期满之前均具有约束力。</w:t>
      </w:r>
      <w:r/>
    </w:p>
    <w:p>
      <w:pPr>
        <w:ind w:firstLine="48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5.同意向贵方提供贵方可能另外要求的与磋商有关的任何证据或资料，并保证我方已提供和将要提供的文件是真实的、准确的。</w:t>
      </w:r>
      <w:r/>
    </w:p>
    <w:p>
      <w:pPr>
        <w:ind w:firstLine="48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6.一旦我方成交，我方将根据磋商文件的规定，严格履行合同的责任和义务，并保证在磋商文件规定的时间内完成项目，交付买方验收、使用。</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7.与本次磋商有关的正式通讯地址为：</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          址：</w:t>
      </w:r>
      <w:r>
        <w:rPr>
          <w:rFonts w:hint="eastAsia" w:asciiTheme="minorEastAsia" w:hAnsiTheme="minorEastAsia" w:eastAsiaTheme="minorEastAsia" w:cstheme="minorEastAsia"/>
          <w:color w:val="auto"/>
          <w:sz w:val="28"/>
          <w:szCs w:val="28"/>
          <w:highlight w:val="none"/>
          <w:u w:val="single"/>
        </w:rPr>
        <w:t xml:space="preserve">                  </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邮          编：</w:t>
      </w:r>
      <w:r>
        <w:rPr>
          <w:rFonts w:hint="eastAsia" w:asciiTheme="minorEastAsia" w:hAnsiTheme="minorEastAsia" w:eastAsiaTheme="minorEastAsia" w:cstheme="minorEastAsia"/>
          <w:color w:val="auto"/>
          <w:sz w:val="28"/>
          <w:szCs w:val="28"/>
          <w:highlight w:val="none"/>
          <w:u w:val="single"/>
        </w:rPr>
        <w:t xml:space="preserve">                  </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          话：</w:t>
      </w:r>
      <w:r>
        <w:rPr>
          <w:rFonts w:hint="eastAsia" w:asciiTheme="minorEastAsia" w:hAnsiTheme="minorEastAsia" w:eastAsiaTheme="minorEastAsia" w:cstheme="minorEastAsia"/>
          <w:color w:val="auto"/>
          <w:sz w:val="28"/>
          <w:szCs w:val="28"/>
          <w:highlight w:val="none"/>
          <w:u w:val="single"/>
        </w:rPr>
        <w:t xml:space="preserve">                  </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  子  邮  箱：</w:t>
      </w:r>
      <w:r>
        <w:rPr>
          <w:rFonts w:hint="eastAsia" w:asciiTheme="minorEastAsia" w:hAnsiTheme="minorEastAsia" w:eastAsiaTheme="minorEastAsia" w:cstheme="minorEastAsia"/>
          <w:color w:val="auto"/>
          <w:sz w:val="28"/>
          <w:szCs w:val="28"/>
          <w:highlight w:val="none"/>
          <w:u w:val="single"/>
        </w:rPr>
        <w:t xml:space="preserve">                  </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181" w:firstLine="98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left="420"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附件6</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商务部分正负偏离表</w:t>
      </w:r>
      <w:r/>
    </w:p>
    <w:p>
      <w:pPr>
        <w:spacing w:line="520" w:lineRule="exact"/>
        <w:rPr>
          <w:rFonts w:hint="eastAsia" w:asciiTheme="minorEastAsia" w:hAnsiTheme="minorEastAsia" w:eastAsiaTheme="minorEastAsia" w:cstheme="minorEastAsia"/>
          <w:bCs/>
          <w:color w:val="auto"/>
          <w:sz w:val="28"/>
          <w:szCs w:val="28"/>
          <w:highlight w:val="none"/>
          <w:u w:val="single"/>
        </w:rPr>
      </w:pPr>
      <w:r>
        <w:rPr>
          <w:rFonts w:hint="eastAsia" w:asciiTheme="minorEastAsia" w:hAnsiTheme="minorEastAsia" w:eastAsiaTheme="minorEastAsia" w:cstheme="minorEastAsia"/>
          <w:bCs/>
          <w:color w:val="auto"/>
          <w:sz w:val="28"/>
          <w:szCs w:val="28"/>
          <w:highlight w:val="none"/>
        </w:rPr>
        <w:t xml:space="preserve">项目编号：</w:t>
      </w:r>
      <w:r>
        <w:rPr>
          <w:rFonts w:hint="eastAsia" w:asciiTheme="minorEastAsia" w:hAnsiTheme="minorEastAsia" w:eastAsiaTheme="minorEastAsia" w:cstheme="minorEastAsia"/>
          <w:bCs/>
          <w:color w:val="auto"/>
          <w:sz w:val="28"/>
          <w:szCs w:val="28"/>
          <w:highlight w:val="none"/>
          <w:u w:val="single"/>
        </w:rPr>
        <w:t xml:space="preserve">                </w:t>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（由供应商据实填写，表格不够自行添加）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73"/>
        <w:gridCol w:w="1985"/>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contextualSpacing/>
        <w:spacing w:line="30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注：</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1.未说明偏离的，将被认为响应磋商文件的规定，但该表不作为供应商对所响应内容关于商务部分等详细描述和说明的替代。</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2.如有偏离的，在“偏离说明”一栏选择“正偏离”“负偏离”进行填写。正偏离、负偏离的确认和负偏离的是否响应磋商文件，由磋商小组认定。</w:t>
      </w:r>
      <w:r/>
    </w:p>
    <w:p>
      <w:pPr>
        <w:contextualSpacing/>
        <w:ind w:firstLine="560"/>
        <w:spacing w:line="300" w:lineRule="auto"/>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3.供应商若提供其他增值服务，可以在表中自行据实填写。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contextualSpacing/>
        <w:ind w:firstLine="308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contextualSpacing/>
        <w:ind w:firstLine="308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contextualSpacing/>
        <w:ind w:firstLine="480"/>
        <w:spacing w:line="30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shd w:val="ni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rPr>
          <w:rFonts w:hint="eastAsia" w:asciiTheme="minorEastAsia" w:hAnsiTheme="minorEastAsia" w:eastAsiaTheme="minorEastAsia" w:cstheme="minorEastAsia"/>
          <w:color w:val="auto"/>
          <w:sz w:val="32"/>
          <w:szCs w:val="32"/>
          <w:highlight w:val="none"/>
        </w:rPr>
      </w:r>
    </w:p>
    <w:p>
      <w:pPr>
        <w:contextualSpacing/>
        <w:spacing w:line="4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附件7</w:t>
      </w:r>
      <w:r/>
    </w:p>
    <w:p>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技术部分正负偏离表</w:t>
      </w:r>
      <w:r/>
    </w:p>
    <w:p>
      <w:pP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u w:val="single"/>
        </w:rPr>
        <w:t xml:space="preserve">                    </w:t>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（由供应商据实填写，表格不够自行添加）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73"/>
        <w:gridCol w:w="1985"/>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contextualSpacing/>
        <w:spacing w:line="30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注：</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1.未说明偏离的，将被认为响应磋商文件的规定，但该表不作为供应商对所响应内容关于技术部分等详细描述和说明的替代。</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 如有偏离的，在“偏离说明”一栏选择“正偏离”“负偏离”进行填写。正偏离、负偏离的确认和负偏离的是否响应磋商文件，由磋商小组认定。</w:t>
      </w:r>
      <w:r/>
    </w:p>
    <w:p>
      <w:pPr>
        <w:contextualSpacing/>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3.供应商若提供其他增值服务，可以在表中自行据实填写。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308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供应商名称（</w:t>
      </w:r>
      <w:r>
        <w:rPr>
          <w:rFonts w:hint="eastAsia" w:asciiTheme="minorEastAsia" w:hAnsiTheme="minorEastAsia" w:eastAsiaTheme="minorEastAsia" w:cstheme="minorEastAsia"/>
          <w:bCs/>
          <w:color w:val="auto"/>
          <w:sz w:val="28"/>
          <w:szCs w:val="28"/>
          <w:highlight w:val="none"/>
        </w:rPr>
        <w:t xml:space="preserve">加盖</w:t>
      </w:r>
      <w:r>
        <w:rPr>
          <w:rFonts w:hint="eastAsia" w:asciiTheme="minorEastAsia" w:hAnsiTheme="minorEastAsia" w:eastAsiaTheme="minorEastAsia" w:cstheme="minorEastAsia"/>
          <w:color w:val="auto"/>
          <w:sz w:val="28"/>
          <w:szCs w:val="28"/>
          <w:highlight w:val="none"/>
        </w:rPr>
        <w:t xml:space="preserve">公章）：</w:t>
      </w:r>
      <w:r>
        <w:rPr>
          <w:rFonts w:hint="eastAsia" w:asciiTheme="minorEastAsia" w:hAnsiTheme="minorEastAsia" w:eastAsiaTheme="minorEastAsia" w:cstheme="minorEastAsia"/>
          <w:color w:val="auto"/>
          <w:sz w:val="28"/>
          <w:szCs w:val="28"/>
          <w:highlight w:val="none"/>
          <w:u w:val="single"/>
        </w:rPr>
        <w:t xml:space="preserve">                  </w:t>
      </w:r>
      <w:r/>
    </w:p>
    <w:p>
      <w:pPr>
        <w:contextualSpacing/>
        <w:ind w:firstLine="3080"/>
        <w:spacing w:line="30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8"/>
          <w:szCs w:val="28"/>
          <w:highlight w:val="none"/>
        </w:rPr>
        <w:t xml:space="preserve">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contextualSpacing/>
        <w:ind w:firstLine="54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shd w:val="nil"/>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rPr>
          <w:rFonts w:hint="eastAsia" w:asciiTheme="minorEastAsia" w:hAnsiTheme="minorEastAsia" w:eastAsiaTheme="minorEastAsia" w:cstheme="minorEastAsia"/>
          <w:color w:val="auto"/>
          <w:sz w:val="32"/>
          <w:szCs w:val="32"/>
          <w:highlight w:val="none"/>
        </w:rPr>
      </w:r>
    </w:p>
    <w:p>
      <w:pPr>
        <w:jc w:val="lef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附件8</w:t>
      </w:r>
      <w:r/>
    </w:p>
    <w:p>
      <w:pPr>
        <w:jc w:val="center"/>
        <w:spacing w:line="400" w:lineRule="exact"/>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中小微企业声明函（服务类项目）（采购包号：**）</w:t>
      </w:r>
      <w:r/>
    </w:p>
    <w:p>
      <w:pPr>
        <w:ind w:firstLine="360"/>
        <w:jc w:val="center"/>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highlight w:val="none"/>
          <w:u w:val="single"/>
        </w:rPr>
        <w:t xml:space="preserve">（单位名称）</w:t>
      </w:r>
      <w:r>
        <w:rPr>
          <w:rFonts w:hint="eastAsia" w:asciiTheme="minorEastAsia" w:hAnsiTheme="minorEastAsia" w:eastAsiaTheme="minorEastAsia" w:cstheme="minorEastAsia"/>
          <w:color w:val="auto"/>
          <w:sz w:val="24"/>
          <w:highlight w:val="none"/>
        </w:rPr>
        <w:t xml:space="preserve">采购编号为</w:t>
      </w:r>
      <w:r>
        <w:rPr>
          <w:rFonts w:hint="eastAsia" w:asciiTheme="minorEastAsia" w:hAnsiTheme="minorEastAsia" w:eastAsiaTheme="minorEastAsia" w:cstheme="minorEastAsia"/>
          <w:color w:val="auto"/>
          <w:sz w:val="24"/>
          <w:highlight w:val="none"/>
          <w:u w:val="single"/>
        </w:rPr>
        <w:t xml:space="preserve">（采购编号）</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项目（项目名称）（采购包号：**）的采购活动，提供的服务全部由符合政策的中小微企业承接。相关企业的具体情况如下：</w:t>
      </w:r>
      <w:r/>
    </w:p>
    <w:p>
      <w:pPr>
        <w:ind w:firstLine="48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，属于</w:t>
      </w:r>
      <w:r>
        <w:rPr>
          <w:rFonts w:hint="eastAsia" w:asciiTheme="minorEastAsia" w:hAnsiTheme="minorEastAsia" w:eastAsiaTheme="minorEastAsia" w:cstheme="minorEastAsia"/>
          <w:color w:val="auto"/>
          <w:sz w:val="24"/>
          <w:highlight w:val="none"/>
          <w:u w:val="single"/>
        </w:rPr>
        <w:t xml:space="preserve">（供应商填写磋商文件中明确的所属行业）</w:t>
      </w:r>
      <w:r>
        <w:rPr>
          <w:rFonts w:hint="eastAsia" w:asciiTheme="minorEastAsia" w:hAnsiTheme="minorEastAsia" w:eastAsiaTheme="minorEastAsia" w:cstheme="minorEastAsia"/>
          <w:color w:val="auto"/>
          <w:sz w:val="24"/>
          <w:highlight w:val="none"/>
        </w:rPr>
        <w:t xml:space="preserve">行业；承接企业为</w:t>
      </w:r>
      <w:r>
        <w:rPr>
          <w:rFonts w:hint="eastAsia" w:asciiTheme="minorEastAsia" w:hAnsiTheme="minorEastAsia" w:eastAsiaTheme="minorEastAsia" w:cstheme="minorEastAsia"/>
          <w:color w:val="auto"/>
          <w:sz w:val="24"/>
          <w:highlight w:val="none"/>
          <w:u w:val="single"/>
        </w:rPr>
        <w:t xml:space="preserve">（企业名称）</w:t>
      </w:r>
      <w:r>
        <w:rPr>
          <w:rFonts w:hint="eastAsia" w:asciiTheme="minorEastAsia" w:hAnsiTheme="minorEastAsia" w:eastAsiaTheme="minorEastAsia" w:cstheme="minorEastAsia"/>
          <w:color w:val="auto"/>
          <w:sz w:val="24"/>
          <w:highlight w:val="none"/>
        </w:rPr>
        <w:t xml:space="preserve">，从业人员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人，营业收入为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万元，资产总额为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万元，属于（□中型企业 □小型企业 □微型企业）；</w:t>
      </w:r>
      <w:r/>
    </w:p>
    <w:p>
      <w:pPr>
        <w:ind w:firstLine="48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，属于</w:t>
      </w:r>
      <w:r>
        <w:rPr>
          <w:rFonts w:hint="eastAsia" w:asciiTheme="minorEastAsia" w:hAnsiTheme="minorEastAsia" w:eastAsiaTheme="minorEastAsia" w:cstheme="minorEastAsia"/>
          <w:color w:val="auto"/>
          <w:sz w:val="24"/>
          <w:highlight w:val="none"/>
          <w:u w:val="single"/>
        </w:rPr>
        <w:t xml:space="preserve">（供应商填写磋商文件中明确的所属行业）</w:t>
      </w:r>
      <w:r>
        <w:rPr>
          <w:rFonts w:hint="eastAsia" w:asciiTheme="minorEastAsia" w:hAnsiTheme="minorEastAsia" w:eastAsiaTheme="minorEastAsia" w:cstheme="minorEastAsia"/>
          <w:color w:val="auto"/>
          <w:sz w:val="24"/>
          <w:highlight w:val="none"/>
        </w:rPr>
        <w:t xml:space="preserve">行业；承接企业为</w:t>
      </w:r>
      <w:r>
        <w:rPr>
          <w:rFonts w:hint="eastAsia" w:asciiTheme="minorEastAsia" w:hAnsiTheme="minorEastAsia" w:eastAsiaTheme="minorEastAsia" w:cstheme="minorEastAsia"/>
          <w:color w:val="auto"/>
          <w:sz w:val="24"/>
          <w:highlight w:val="none"/>
          <w:u w:val="single"/>
        </w:rPr>
        <w:t xml:space="preserve">（企业名称）</w:t>
      </w:r>
      <w:r>
        <w:rPr>
          <w:rFonts w:hint="eastAsia" w:asciiTheme="minorEastAsia" w:hAnsiTheme="minorEastAsia" w:eastAsiaTheme="minorEastAsia" w:cstheme="minorEastAsia"/>
          <w:color w:val="auto"/>
          <w:sz w:val="24"/>
          <w:highlight w:val="none"/>
        </w:rPr>
        <w:t xml:space="preserve">，从业人员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人，营业收入为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万元，资产总额为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万元，属于</w:t>
      </w:r>
      <w:r>
        <w:rPr>
          <w:rFonts w:hint="eastAsia" w:asciiTheme="minorEastAsia" w:hAnsiTheme="minorEastAsia" w:eastAsiaTheme="minorEastAsia" w:cstheme="minorEastAsia"/>
          <w:color w:val="auto"/>
          <w:sz w:val="24"/>
          <w:highlight w:val="none"/>
          <w:u w:val="single"/>
        </w:rPr>
        <w:t xml:space="preserve">（□中型企业 □小型企业 □微型企业）；</w:t>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本企业对上述声明内容的真实性负责。如有虚假，将依法承担相应责任</w:t>
      </w:r>
      <w:r/>
    </w:p>
    <w:p>
      <w:pPr>
        <w:ind w:firstLine="360"/>
        <w:spacing w:line="3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pStyle w:val="739"/>
        <w:ind w:right="180" w:firstLine="360"/>
        <w:jc w:val="center"/>
        <w:spacing w:before="0" w:beforeAutospacing="0" w:after="0" w:afterAutospacing="0" w:line="3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企业名称（加盖CA电子公章）：</w:t>
      </w:r>
      <w:r/>
    </w:p>
    <w:p>
      <w:pPr>
        <w:contextualSpacing/>
        <w:ind w:firstLine="2310"/>
        <w:spacing w:line="30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 xml:space="preserve">            </w:t>
      </w:r>
      <w:r>
        <w:rPr>
          <w:rFonts w:hint="eastAsia" w:asciiTheme="minorEastAsia" w:hAnsiTheme="minorEastAsia" w:eastAsiaTheme="minorEastAsia" w:cstheme="minorEastAsia"/>
          <w:color w:val="auto"/>
          <w:sz w:val="24"/>
          <w:highlight w:val="none"/>
        </w:rPr>
        <w:t xml:space="preserve">日期：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w:t>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1.从业人员、营业收入、资产总额填报上一年度数据，无上一年度数据的新成立企业可不填报。</w:t>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39"/>
        <w:ind w:firstLine="480"/>
        <w:jc w:val="both"/>
        <w:spacing w:before="0" w:beforeAutospacing="0" w:after="0" w:afterAutospacing="0" w:line="3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spacing w:line="300" w:lineRule="auto"/>
        <w:rPr>
          <w:rFonts w:hint="eastAsia" w:asciiTheme="minorEastAsia" w:hAnsiTheme="minorEastAsia" w:eastAsiaTheme="minorEastAsia" w:cstheme="minorEastAsia"/>
          <w:color w:val="auto"/>
          <w:sz w:val="32"/>
          <w:szCs w:val="32"/>
          <w:highlight w:val="none"/>
          <w:lang w:eastAsia="zh-CN"/>
        </w:rPr>
        <w:outlineLvl w:val="0"/>
      </w:pPr>
      <w:r>
        <w:rPr>
          <w:rFonts w:hint="eastAsia" w:asciiTheme="minorEastAsia" w:hAnsiTheme="minorEastAsia" w:eastAsiaTheme="minorEastAsia" w:cstheme="minorEastAsia"/>
          <w:color w:val="auto"/>
          <w:sz w:val="32"/>
          <w:szCs w:val="32"/>
          <w:highlight w:val="none"/>
        </w:rPr>
        <w:t xml:space="preserve">附件</w:t>
      </w:r>
      <w:r>
        <w:rPr>
          <w:rFonts w:hint="eastAsia" w:asciiTheme="minorEastAsia" w:hAnsiTheme="minorEastAsia" w:eastAsiaTheme="minorEastAsia" w:cstheme="minorEastAsia"/>
          <w:color w:val="auto"/>
          <w:sz w:val="32"/>
          <w:szCs w:val="32"/>
          <w:highlight w:val="none"/>
          <w:lang w:val="en-US" w:eastAsia="zh-CN"/>
        </w:rPr>
        <w:t xml:space="preserve">9</w:t>
      </w:r>
      <w:r/>
    </w:p>
    <w:p>
      <w:pPr>
        <w:jc w:val="center"/>
        <w:spacing w:line="400" w:lineRule="exact"/>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残疾人福利性单位声明函（采购包号：**） （服务类项目）</w:t>
      </w:r>
      <w:r/>
    </w:p>
    <w:p>
      <w:pPr>
        <w:pStyle w:val="739"/>
        <w:ind w:firstLine="482"/>
        <w:jc w:val="both"/>
        <w:spacing w:before="0" w:beforeAutospacing="0" w:after="0" w:afterAutospacing="0"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8"/>
          <w:szCs w:val="28"/>
          <w:highlight w:val="none"/>
          <w:u w:val="single"/>
        </w:rPr>
        <w:t xml:space="preserve">（单位名称）</w:t>
      </w:r>
      <w:r>
        <w:rPr>
          <w:rFonts w:hint="eastAsia" w:asciiTheme="minorEastAsia" w:hAnsiTheme="minorEastAsia" w:eastAsiaTheme="minorEastAsia" w:cstheme="minorEastAsia"/>
          <w:color w:val="auto"/>
          <w:sz w:val="28"/>
          <w:szCs w:val="28"/>
          <w:highlight w:val="none"/>
        </w:rPr>
        <w:t xml:space="preserve">采购编号为</w:t>
      </w:r>
      <w:r>
        <w:rPr>
          <w:rFonts w:hint="eastAsia" w:asciiTheme="minorEastAsia" w:hAnsiTheme="minorEastAsia" w:eastAsiaTheme="minorEastAsia" w:cstheme="minorEastAsia"/>
          <w:color w:val="auto"/>
          <w:sz w:val="28"/>
          <w:szCs w:val="28"/>
          <w:highlight w:val="none"/>
          <w:u w:val="single"/>
        </w:rPr>
        <w:t xml:space="preserve">（采购编号）</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项目（项目名称）（采购包号：**）采购活动由本单位提供服务。</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本单位对上述声明的真实性负责。如有虚假，将依法承担相应责任。</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备注：</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1.专门面向中小微型企业采购的项目，供应商为残疾人福利性单位并提供服务的必须提供此声明函，否则将不能通过资格审查。</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2.非专门面向中小微型企业采购的项目，供应商如不提供此声明函，价格将不做相应扣除。</w:t>
      </w:r>
      <w:r/>
    </w:p>
    <w:p>
      <w:pPr>
        <w:pStyle w:val="739"/>
        <w:ind w:firstLine="480"/>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3.中标/成交供应商为残疾人福利性单位的，此声明函将随中标/成交结果同时公告，接受社会监督。</w:t>
      </w:r>
      <w:r/>
    </w:p>
    <w:p>
      <w:pPr>
        <w:pStyle w:val="739"/>
        <w:ind w:firstLine="624"/>
        <w:jc w:val="both"/>
        <w:spacing w:beforeAutospacing="0" w:afterAutospacing="0"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pStyle w:val="739"/>
        <w:ind w:right="1559" w:firstLine="624"/>
        <w:jc w:val="center"/>
        <w:spacing w:beforeAutospacing="0" w:afterAutospacing="0" w:line="360" w:lineRule="auto"/>
        <w:tabs>
          <w:tab w:val="left" w:pos="4864"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供应商全称（加盖CA电子公章）：</w:t>
      </w:r>
      <w:r/>
    </w:p>
    <w:p>
      <w:pPr>
        <w:contextualSpacing/>
        <w:ind w:firstLine="2240"/>
        <w:spacing w:line="30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8"/>
          <w:szCs w:val="28"/>
          <w:highlight w:val="none"/>
        </w:rPr>
        <w:t xml:space="preserve">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r>
      <w:r/>
    </w:p>
    <w:p>
      <w:pPr>
        <w:shd w:val="nil"/>
        <w:rPr>
          <w:rFonts w:hint="eastAsia" w:asciiTheme="minorEastAsia" w:hAnsiTheme="minorEastAsia" w:eastAsiaTheme="minorEastAsia" w:cstheme="minorEastAsia"/>
          <w:color w:val="auto"/>
          <w:sz w:val="32"/>
          <w:szCs w:val="32"/>
          <w:highlight w:val="none"/>
          <w:lang w:eastAsia="zh-CN"/>
        </w:rPr>
        <w:outlineLvl w:val="0"/>
      </w:pPr>
      <w:r>
        <w:rPr>
          <w:rFonts w:hint="eastAsia" w:asciiTheme="minorEastAsia" w:hAnsiTheme="minorEastAsia" w:eastAsiaTheme="minorEastAsia" w:cstheme="minorEastAsia"/>
          <w:color w:val="auto"/>
          <w:sz w:val="32"/>
          <w:szCs w:val="32"/>
          <w:highlight w:val="none"/>
          <w:lang w:val="en-US" w:eastAsia="zh-CN"/>
        </w:rPr>
        <w:br w:type="page" w:clear="all"/>
      </w:r>
      <w:r>
        <w:rPr>
          <w:rFonts w:hint="eastAsia" w:asciiTheme="minorEastAsia" w:hAnsiTheme="minorEastAsia" w:eastAsiaTheme="minorEastAsia" w:cstheme="minorEastAsia"/>
          <w:color w:val="auto"/>
          <w:sz w:val="32"/>
          <w:szCs w:val="32"/>
          <w:highlight w:val="none"/>
          <w:lang w:val="en-US" w:eastAsia="zh-CN"/>
        </w:rPr>
      </w:r>
    </w:p>
    <w:p>
      <w:pPr>
        <w:spacing w:line="300" w:lineRule="auto"/>
        <w:rPr>
          <w:rFonts w:hint="eastAsia" w:asciiTheme="minorEastAsia" w:hAnsiTheme="minorEastAsia" w:eastAsiaTheme="minorEastAsia" w:cstheme="minorEastAsia"/>
          <w:color w:val="auto"/>
          <w:sz w:val="32"/>
          <w:szCs w:val="32"/>
          <w:highlight w:val="none"/>
          <w:lang w:val="en-US" w:eastAsia="zh-CN"/>
        </w:rPr>
        <w:outlineLvl w:val="0"/>
      </w:pPr>
      <w:r>
        <w:rPr>
          <w:rFonts w:hint="eastAsia" w:asciiTheme="minorEastAsia" w:hAnsiTheme="minorEastAsia" w:eastAsiaTheme="minorEastAsia" w:cstheme="minorEastAsia"/>
          <w:color w:val="auto"/>
          <w:sz w:val="32"/>
          <w:szCs w:val="32"/>
          <w:highlight w:val="none"/>
        </w:rPr>
        <w:t xml:space="preserve">附件1</w:t>
      </w:r>
      <w:r>
        <w:rPr>
          <w:rFonts w:hint="eastAsia" w:asciiTheme="minorEastAsia" w:hAnsiTheme="minorEastAsia" w:eastAsiaTheme="minorEastAsia" w:cstheme="minorEastAsia"/>
          <w:color w:val="auto"/>
          <w:sz w:val="32"/>
          <w:szCs w:val="32"/>
          <w:highlight w:val="none"/>
          <w:lang w:val="en-US" w:eastAsia="zh-CN"/>
        </w:rPr>
        <w:t xml:space="preserve">0</w:t>
      </w:r>
      <w:r/>
    </w:p>
    <w:p>
      <w:pPr>
        <w:jc w:val="center"/>
        <w:spacing w:line="400" w:lineRule="exact"/>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监狱和戒毒企业证明材料</w:t>
      </w:r>
      <w:r/>
    </w:p>
    <w:p>
      <w:pPr>
        <w:ind w:firstLine="495"/>
        <w:spacing w:line="4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98"/>
        <w:spacing w:line="42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（格式自拟）</w:t>
      </w:r>
      <w:r/>
    </w:p>
    <w:p>
      <w:pPr>
        <w:ind w:firstLine="495"/>
        <w:spacing w:line="4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660"/>
        <w:spacing w:line="4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lang w:bidi="zh-CN"/>
        </w:rPr>
        <w:outlineLvl w:val="0"/>
      </w:pPr>
      <w:r>
        <w:rPr>
          <w:rFonts w:hint="eastAsia" w:asciiTheme="minorEastAsia" w:hAnsiTheme="minorEastAsia" w:eastAsiaTheme="minorEastAsia" w:cstheme="minorEastAsia"/>
          <w:color w:val="auto"/>
          <w:sz w:val="28"/>
          <w:szCs w:val="28"/>
          <w:highlight w:val="none"/>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spacing w:line="300" w:lineRule="auto"/>
        <w:rPr>
          <w:rFonts w:hint="eastAsia" w:asciiTheme="minorEastAsia" w:hAnsiTheme="minorEastAsia" w:eastAsiaTheme="minorEastAsia" w:cstheme="minorEastAsia"/>
          <w:color w:val="auto"/>
          <w:sz w:val="28"/>
          <w:szCs w:val="28"/>
          <w:highlight w:val="none"/>
        </w:rPr>
        <w:outlineLvl w:val="0"/>
      </w:pPr>
      <w:r>
        <w:rPr>
          <w:rFonts w:hint="eastAsia" w:asciiTheme="minorEastAsia" w:hAnsiTheme="minorEastAsia" w:eastAsiaTheme="minorEastAsia" w:cstheme="minorEastAsia"/>
          <w:color w:val="auto"/>
          <w:sz w:val="28"/>
          <w:szCs w:val="28"/>
          <w:highlight w:val="none"/>
        </w:rPr>
      </w:r>
      <w:r/>
    </w:p>
    <w:p>
      <w:pPr>
        <w:pStyle w:val="736"/>
        <w:rPr>
          <w:rFonts w:hint="eastAsia"/>
          <w:color w:val="auto"/>
          <w:highlight w:val="none"/>
        </w:rPr>
      </w:pPr>
      <w:r>
        <w:rPr>
          <w:rFonts w:hint="eastAsia"/>
          <w:color w:val="auto"/>
          <w:highlight w:val="none"/>
        </w:rPr>
      </w:r>
      <w:r/>
    </w:p>
    <w:p>
      <w:pPr>
        <w:shd w:val="nil"/>
        <w:rPr>
          <w:rFonts w:hint="default" w:asciiTheme="minorEastAsia" w:hAnsiTheme="minorEastAsia" w:eastAsiaTheme="minorEastAsia" w:cstheme="minorEastAsia"/>
          <w:color w:val="auto"/>
          <w:sz w:val="32"/>
          <w:szCs w:val="32"/>
          <w:highlight w:val="none"/>
          <w:lang w:val="en-US" w:eastAsia="zh-CN" w:bidi="ar"/>
        </w:rPr>
      </w:pPr>
      <w:r>
        <w:rPr>
          <w:rFonts w:hint="eastAsia" w:asciiTheme="minorEastAsia" w:hAnsiTheme="minorEastAsia" w:eastAsiaTheme="minorEastAsia" w:cstheme="minorEastAsia"/>
          <w:bCs/>
          <w:color w:val="auto"/>
          <w:sz w:val="32"/>
          <w:szCs w:val="32"/>
          <w:highlight w:val="none"/>
          <w:lang w:val="en-US" w:eastAsia="zh-CN" w:bidi="ar"/>
        </w:rPr>
        <w:br w:type="page" w:clear="all"/>
      </w:r>
      <w:r>
        <w:rPr>
          <w:rFonts w:hint="eastAsia" w:asciiTheme="minorEastAsia" w:hAnsiTheme="minorEastAsia" w:eastAsiaTheme="minorEastAsia" w:cstheme="minorEastAsia"/>
          <w:bCs/>
          <w:color w:val="auto"/>
          <w:sz w:val="32"/>
          <w:szCs w:val="32"/>
          <w:highlight w:val="none"/>
          <w:lang w:val="en-US" w:eastAsia="zh-CN" w:bidi="ar"/>
        </w:rPr>
      </w:r>
    </w:p>
    <w:p>
      <w:pPr>
        <w:rPr>
          <w:rFonts w:hint="eastAsia" w:asciiTheme="minorEastAsia" w:hAnsiTheme="minorEastAsia" w:eastAsiaTheme="minorEastAsia" w:cstheme="minorEastAsia"/>
          <w:color w:val="auto"/>
          <w:sz w:val="32"/>
          <w:szCs w:val="32"/>
          <w:highlight w:val="none"/>
          <w:lang w:val="en-US" w:eastAsia="zh-CN" w:bidi="ar"/>
        </w:rPr>
      </w:pPr>
      <w:r>
        <w:rPr>
          <w:rFonts w:hint="eastAsia" w:asciiTheme="minorEastAsia" w:hAnsiTheme="minorEastAsia" w:eastAsiaTheme="minorEastAsia" w:cstheme="minorEastAsia"/>
          <w:bCs/>
          <w:color w:val="auto"/>
          <w:sz w:val="32"/>
          <w:szCs w:val="32"/>
          <w:highlight w:val="none"/>
          <w:lang w:bidi="ar"/>
        </w:rPr>
        <w:t xml:space="preserve">附件</w:t>
      </w:r>
      <w:r>
        <w:rPr>
          <w:rFonts w:hint="eastAsia" w:asciiTheme="minorEastAsia" w:hAnsiTheme="minorEastAsia" w:eastAsiaTheme="minorEastAsia" w:cstheme="minorEastAsia"/>
          <w:bCs/>
          <w:color w:val="auto"/>
          <w:sz w:val="32"/>
          <w:szCs w:val="32"/>
          <w:highlight w:val="none"/>
          <w:lang w:val="en-US" w:eastAsia="zh-CN" w:bidi="ar"/>
        </w:rPr>
        <w:t xml:space="preserve">11</w:t>
      </w:r>
      <w:r/>
    </w:p>
    <w:p>
      <w:pPr>
        <w:jc w:val="center"/>
        <w:rPr>
          <w:rFonts w:hint="eastAsia"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 xml:space="preserve">质疑函范本</w:t>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一、质疑供应商基本信息</w:t>
      </w:r>
      <w:r/>
    </w:p>
    <w:p>
      <w:pPr>
        <w:spacing w:line="560" w:lineRule="exact"/>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 xml:space="preserve">质疑供应商：</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地址：邮编：</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联系人：联系电话：</w:t>
      </w:r>
      <w:r/>
    </w:p>
    <w:p>
      <w:pPr>
        <w:spacing w:line="560" w:lineRule="exact"/>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 xml:space="preserve">授权代表：</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联系电话：</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地址：邮编：</w:t>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二、质疑项目基本情况</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质疑项目的名称：</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质疑项目的编号：包号：</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采购人名称：</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采购文件获取日期：</w:t>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三、质疑事项具体内容</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质疑事项1：</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事实依据：</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法律依据：</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质疑事项2</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w:t>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四、与质疑事项相关的质疑请求</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请求：</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签字（签章）：                   公章：                      </w:t>
      </w:r>
      <w:r/>
    </w:p>
    <w:p>
      <w:pPr>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日期：</w:t>
      </w:r>
      <w:r/>
    </w:p>
    <w:p>
      <w:pP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质疑函制作说明：</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1.供应商提出质疑时，应提交质疑函和必要的证明材料。</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3.质疑供应商若对项目的某一分包进行质疑，质疑函中应列明具体分包号。</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4.质疑函的质疑事项应具体、明确，并有必要的事实依据和法律依据。</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5.质疑函的质疑请求应与质疑事项相关。</w:t>
      </w:r>
      <w:r/>
    </w:p>
    <w:p>
      <w:pPr>
        <w:ind w:firstLine="64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hint="eastAsia" w:asciiTheme="minorEastAsia" w:hAnsiTheme="minorEastAsia" w:eastAsiaTheme="minorEastAsia" w:cstheme="minorEastAsia"/>
          <w:b/>
          <w:color w:val="auto"/>
          <w:sz w:val="28"/>
          <w:szCs w:val="28"/>
          <w:highlight w:val="none"/>
        </w:rPr>
        <w:outlineLvl w:val="0"/>
      </w:pPr>
      <w:r>
        <w:rPr>
          <w:rFonts w:hint="eastAsia" w:asciiTheme="minorEastAsia" w:hAnsiTheme="minorEastAsia" w:eastAsiaTheme="minorEastAsia" w:cstheme="minorEastAsia"/>
          <w:b/>
          <w:color w:val="auto"/>
          <w:sz w:val="28"/>
          <w:szCs w:val="28"/>
          <w:highlight w:val="none"/>
        </w:rPr>
      </w:r>
      <w:r/>
    </w:p>
    <w:p>
      <w:pPr>
        <w:contextualSpacing/>
        <w:ind w:firstLine="562"/>
        <w:spacing w:line="500" w:lineRule="exact"/>
        <w:rPr>
          <w:rFonts w:hint="eastAsia" w:asciiTheme="minorEastAsia" w:hAnsiTheme="minorEastAsia" w:eastAsiaTheme="minorEastAsia" w:cstheme="minorEastAsia"/>
          <w:b/>
          <w:color w:val="auto"/>
          <w:sz w:val="28"/>
          <w:szCs w:val="28"/>
          <w:highlight w:val="none"/>
        </w:rPr>
        <w:outlineLvl w:val="0"/>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headerReference w:type="even" r:id="rId10"/>
      <w:footerReference w:type="default" r:id="rId12"/>
      <w:footerReference w:type="even" r:id="rId13"/>
      <w:footnotePr/>
      <w:endnotePr/>
      <w:type w:val="nextPage"/>
      <w:pgSz w:w="11907" w:h="16839" w:orient="portrait"/>
      <w:pgMar w:top="2098" w:right="1474" w:bottom="1984" w:left="1587" w:header="720"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ourier New">
    <w:panose1 w:val="02070309020205020404"/>
  </w:font>
  <w:font w:name="Wingdings">
    <w:panose1 w:val="05000000000000000000"/>
  </w:font>
  <w:font w:name="仿宋_GB2312">
    <w:panose1 w:val="02010609060101010101"/>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fldSimple w:instr="PAGE \* MERGEFORMAT">
      <w:r>
        <w:t xml:space="preserve">1</w:t>
      </w:r>
    </w:fldSimple>
    <w:r/>
    <w:r/>
  </w:p>
  <w:p>
    <w:pPr>
      <w:pStyle w:val="737"/>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63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9"/>
    <w:next w:val="7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33"/>
    <w:link w:val="12"/>
    <w:uiPriority w:val="9"/>
    <w:rPr>
      <w:rFonts w:ascii="Arial" w:hAnsi="Arial" w:eastAsia="Arial" w:cs="Arial"/>
      <w:sz w:val="40"/>
      <w:szCs w:val="40"/>
    </w:rPr>
  </w:style>
  <w:style w:type="character" w:styleId="15">
    <w:name w:val="Heading 2 Char"/>
    <w:basedOn w:val="733"/>
    <w:link w:val="730"/>
    <w:uiPriority w:val="9"/>
    <w:rPr>
      <w:rFonts w:ascii="Arial" w:hAnsi="Arial" w:eastAsia="Arial" w:cs="Arial"/>
      <w:sz w:val="34"/>
    </w:rPr>
  </w:style>
  <w:style w:type="paragraph" w:styleId="16">
    <w:name w:val="Heading 3"/>
    <w:basedOn w:val="729"/>
    <w:next w:val="7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3"/>
    <w:link w:val="16"/>
    <w:uiPriority w:val="9"/>
    <w:rPr>
      <w:rFonts w:ascii="Arial" w:hAnsi="Arial" w:eastAsia="Arial" w:cs="Arial"/>
      <w:sz w:val="30"/>
      <w:szCs w:val="30"/>
    </w:rPr>
  </w:style>
  <w:style w:type="character" w:styleId="19">
    <w:name w:val="Heading 4 Char"/>
    <w:basedOn w:val="733"/>
    <w:link w:val="731"/>
    <w:uiPriority w:val="9"/>
    <w:rPr>
      <w:rFonts w:ascii="Arial" w:hAnsi="Arial" w:eastAsia="Arial" w:cs="Arial"/>
      <w:b/>
      <w:bCs/>
      <w:sz w:val="26"/>
      <w:szCs w:val="26"/>
    </w:rPr>
  </w:style>
  <w:style w:type="paragraph" w:styleId="20">
    <w:name w:val="Heading 5"/>
    <w:basedOn w:val="729"/>
    <w:next w:val="7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3"/>
    <w:link w:val="20"/>
    <w:uiPriority w:val="9"/>
    <w:rPr>
      <w:rFonts w:ascii="Arial" w:hAnsi="Arial" w:eastAsia="Arial" w:cs="Arial"/>
      <w:b/>
      <w:bCs/>
      <w:sz w:val="24"/>
      <w:szCs w:val="24"/>
    </w:rPr>
  </w:style>
  <w:style w:type="character" w:styleId="23">
    <w:name w:val="Heading 6 Char"/>
    <w:basedOn w:val="733"/>
    <w:link w:val="732"/>
    <w:uiPriority w:val="9"/>
    <w:rPr>
      <w:rFonts w:ascii="Arial" w:hAnsi="Arial" w:eastAsia="Arial" w:cs="Arial"/>
      <w:b/>
      <w:bCs/>
      <w:sz w:val="22"/>
      <w:szCs w:val="22"/>
    </w:rPr>
  </w:style>
  <w:style w:type="paragraph" w:styleId="24">
    <w:name w:val="Heading 7"/>
    <w:basedOn w:val="729"/>
    <w:next w:val="7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3"/>
    <w:link w:val="24"/>
    <w:uiPriority w:val="9"/>
    <w:rPr>
      <w:rFonts w:ascii="Arial" w:hAnsi="Arial" w:eastAsia="Arial" w:cs="Arial"/>
      <w:b/>
      <w:bCs/>
      <w:i/>
      <w:iCs/>
      <w:sz w:val="22"/>
      <w:szCs w:val="22"/>
    </w:rPr>
  </w:style>
  <w:style w:type="paragraph" w:styleId="26">
    <w:name w:val="Heading 8"/>
    <w:basedOn w:val="729"/>
    <w:next w:val="7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3"/>
    <w:link w:val="26"/>
    <w:uiPriority w:val="9"/>
    <w:rPr>
      <w:rFonts w:ascii="Arial" w:hAnsi="Arial" w:eastAsia="Arial" w:cs="Arial"/>
      <w:i/>
      <w:iCs/>
      <w:sz w:val="22"/>
      <w:szCs w:val="22"/>
    </w:rPr>
  </w:style>
  <w:style w:type="paragraph" w:styleId="28">
    <w:name w:val="Heading 9"/>
    <w:basedOn w:val="729"/>
    <w:next w:val="7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3"/>
    <w:link w:val="28"/>
    <w:uiPriority w:val="9"/>
    <w:rPr>
      <w:rFonts w:ascii="Arial" w:hAnsi="Arial" w:eastAsia="Arial" w:cs="Arial"/>
      <w:i/>
      <w:iCs/>
      <w:sz w:val="21"/>
      <w:szCs w:val="21"/>
    </w:rPr>
  </w:style>
  <w:style w:type="paragraph" w:styleId="30">
    <w:name w:val="List Paragraph"/>
    <w:basedOn w:val="7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9"/>
    <w:next w:val="729"/>
    <w:link w:val="34"/>
    <w:uiPriority w:val="10"/>
    <w:qFormat/>
    <w:pPr>
      <w:contextualSpacing/>
      <w:spacing w:before="300" w:after="200"/>
    </w:pPr>
    <w:rPr>
      <w:sz w:val="48"/>
      <w:szCs w:val="48"/>
    </w:rPr>
  </w:style>
  <w:style w:type="character" w:styleId="34">
    <w:name w:val="Title Char"/>
    <w:basedOn w:val="733"/>
    <w:link w:val="33"/>
    <w:uiPriority w:val="10"/>
    <w:rPr>
      <w:sz w:val="48"/>
      <w:szCs w:val="48"/>
    </w:rPr>
  </w:style>
  <w:style w:type="paragraph" w:styleId="35">
    <w:name w:val="Subtitle"/>
    <w:basedOn w:val="729"/>
    <w:next w:val="729"/>
    <w:link w:val="36"/>
    <w:uiPriority w:val="11"/>
    <w:qFormat/>
    <w:pPr>
      <w:spacing w:before="200" w:after="200"/>
    </w:pPr>
    <w:rPr>
      <w:sz w:val="24"/>
      <w:szCs w:val="24"/>
    </w:rPr>
  </w:style>
  <w:style w:type="character" w:styleId="36">
    <w:name w:val="Subtitle Char"/>
    <w:basedOn w:val="733"/>
    <w:link w:val="35"/>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38"/>
    <w:uiPriority w:val="99"/>
  </w:style>
  <w:style w:type="character" w:styleId="44">
    <w:name w:val="Footer Char"/>
    <w:basedOn w:val="733"/>
    <w:link w:val="737"/>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737"/>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3"/>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0">
    <w:name w:val="toc 1"/>
    <w:basedOn w:val="729"/>
    <w:next w:val="729"/>
    <w:uiPriority w:val="39"/>
    <w:unhideWhenUsed/>
    <w:pPr>
      <w:ind w:left="0" w:right="0" w:firstLine="0"/>
      <w:spacing w:after="57"/>
    </w:pPr>
  </w:style>
  <w:style w:type="paragraph" w:styleId="181">
    <w:name w:val="toc 2"/>
    <w:basedOn w:val="729"/>
    <w:next w:val="729"/>
    <w:uiPriority w:val="39"/>
    <w:unhideWhenUsed/>
    <w:pPr>
      <w:ind w:left="283" w:right="0" w:firstLine="0"/>
      <w:spacing w:after="57"/>
    </w:pPr>
  </w:style>
  <w:style w:type="paragraph" w:styleId="182">
    <w:name w:val="toc 3"/>
    <w:basedOn w:val="729"/>
    <w:next w:val="729"/>
    <w:uiPriority w:val="39"/>
    <w:unhideWhenUsed/>
    <w:pPr>
      <w:ind w:left="567" w:right="0" w:firstLine="0"/>
      <w:spacing w:after="57"/>
    </w:pPr>
  </w:style>
  <w:style w:type="paragraph" w:styleId="183">
    <w:name w:val="toc 4"/>
    <w:basedOn w:val="729"/>
    <w:next w:val="729"/>
    <w:uiPriority w:val="39"/>
    <w:unhideWhenUsed/>
    <w:pPr>
      <w:ind w:left="850"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0">
    <w:name w:val="Heading 2"/>
    <w:basedOn w:val="729"/>
    <w:next w:val="729"/>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1">
    <w:name w:val="Heading 4"/>
    <w:basedOn w:val="729"/>
    <w:next w:val="729"/>
    <w:uiPriority w:val="0"/>
    <w:qFormat/>
    <w:pPr>
      <w:jc w:val="center"/>
      <w:keepNext/>
      <w:outlineLvl w:val="3"/>
    </w:pPr>
    <w:rPr>
      <w:rFonts w:eastAsia="新宋体"/>
      <w:sz w:val="30"/>
      <w:szCs w:val="21"/>
    </w:rPr>
  </w:style>
  <w:style w:type="paragraph" w:styleId="732">
    <w:name w:val="Heading 6"/>
    <w:basedOn w:val="729"/>
    <w:next w:val="735"/>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733" w:default="1">
    <w:name w:val="Default Paragraph Font"/>
    <w:uiPriority w:val="0"/>
    <w:semiHidden/>
    <w:qFormat/>
  </w:style>
  <w:style w:type="table" w:styleId="734" w:default="1">
    <w:name w:val="Normal Table"/>
    <w:uiPriority w:val="0"/>
    <w:semiHidden/>
    <w:qFormat/>
    <w:tblPr>
      <w:tblCellMar>
        <w:left w:w="108" w:type="dxa"/>
        <w:top w:w="0" w:type="dxa"/>
        <w:right w:w="108" w:type="dxa"/>
        <w:bottom w:w="0" w:type="dxa"/>
      </w:tblCellMar>
    </w:tblPr>
  </w:style>
  <w:style w:type="paragraph" w:styleId="735">
    <w:name w:val="Normal Indent"/>
    <w:basedOn w:val="729"/>
    <w:uiPriority w:val="0"/>
    <w:qFormat/>
    <w:pPr>
      <w:ind w:firstLine="420"/>
    </w:pPr>
    <w:rPr>
      <w:szCs w:val="20"/>
    </w:rPr>
  </w:style>
  <w:style w:type="paragraph" w:styleId="736">
    <w:name w:val="Body Text"/>
    <w:basedOn w:val="729"/>
    <w:next w:val="729"/>
    <w:uiPriority w:val="0"/>
    <w:qFormat/>
    <w:pPr>
      <w:spacing w:after="120"/>
    </w:pPr>
    <w:rPr>
      <w:szCs w:val="20"/>
    </w:rPr>
  </w:style>
  <w:style w:type="paragraph" w:styleId="737">
    <w:name w:val="Footer"/>
    <w:basedOn w:val="729"/>
    <w:uiPriority w:val="99"/>
    <w:qFormat/>
    <w:pPr>
      <w:jc w:val="left"/>
      <w:tabs>
        <w:tab w:val="center" w:pos="4153" w:leader="none"/>
        <w:tab w:val="right" w:pos="8306" w:leader="none"/>
      </w:tabs>
    </w:pPr>
    <w:rPr>
      <w:sz w:val="18"/>
      <w:szCs w:val="18"/>
    </w:rPr>
  </w:style>
  <w:style w:type="paragraph" w:styleId="738">
    <w:name w:val="Header"/>
    <w:basedOn w:val="729"/>
    <w:uiPriority w:val="0"/>
    <w:qFormat/>
    <w:pPr>
      <w:jc w:val="center"/>
      <w:tabs>
        <w:tab w:val="center" w:pos="4153" w:leader="none"/>
        <w:tab w:val="right" w:pos="8306" w:leader="none"/>
      </w:tabs>
      <w:pBdr>
        <w:bottom w:val="single" w:color="auto" w:sz="6" w:space="1"/>
      </w:pBdr>
    </w:pPr>
    <w:rPr>
      <w:sz w:val="18"/>
      <w:szCs w:val="18"/>
    </w:rPr>
  </w:style>
  <w:style w:type="paragraph" w:styleId="739">
    <w:name w:val="Normal (Web)"/>
    <w:basedOn w:val="729"/>
    <w:next w:val="740"/>
    <w:uiPriority w:val="0"/>
    <w:unhideWhenUsed/>
    <w:qFormat/>
    <w:pPr>
      <w:jc w:val="left"/>
      <w:spacing w:before="100" w:beforeAutospacing="1" w:after="100" w:afterAutospacing="1"/>
      <w:widowControl/>
    </w:pPr>
    <w:rPr>
      <w:rFonts w:ascii="宋体" w:hAnsi="宋体" w:cs="宋体"/>
      <w:sz w:val="24"/>
    </w:rPr>
  </w:style>
  <w:style w:type="paragraph" w:styleId="740" w:customStyle="1">
    <w:name w:val="*正文"/>
    <w:basedOn w:val="729"/>
    <w:uiPriority w:val="0"/>
    <w:qFormat/>
    <w:rPr>
      <w:rFonts w:ascii="宋体" w:hAnsi="宋体"/>
    </w:rPr>
  </w:style>
  <w:style w:type="table" w:styleId="741">
    <w:name w:val="Table Grid"/>
    <w:basedOn w:val="73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2" w:customStyle="1">
    <w:name w:val="普通正文"/>
    <w:basedOn w:val="729"/>
    <w:uiPriority w:val="0"/>
    <w:qFormat/>
    <w:pPr>
      <w:ind w:left="-2" w:right="120" w:firstLine="480"/>
      <w:jc w:val="center"/>
      <w:spacing w:before="120" w:after="120" w:line="360" w:lineRule="auto"/>
    </w:pPr>
    <w:rPr>
      <w:rFonts w:ascii="Arial" w:hAnsi="Arial"/>
      <w:sz w:val="24"/>
    </w:rPr>
  </w:style>
  <w:style w:type="paragraph" w:styleId="743" w:customStyle="1">
    <w:name w:val="Body text|1"/>
    <w:basedOn w:val="729"/>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paragraph" w:styleId="744" w:customStyle="1">
    <w:name w:val="正文缩进2格"/>
    <w:basedOn w:val="729"/>
    <w:uiPriority w:val="0"/>
    <w:qFormat/>
    <w:pPr>
      <w:ind w:firstLine="639"/>
      <w:jc w:val="both"/>
      <w:spacing w:line="600" w:lineRule="exact"/>
    </w:pPr>
    <w:rPr>
      <w:rFonts w:hint="default" w:ascii="仿宋_GB2312" w:hAnsi="宋体" w:eastAsia="仿宋_GB2312"/>
      <w:sz w:val="31"/>
      <w:szCs w:val="28"/>
    </w:rPr>
  </w:style>
  <w:style w:type="paragraph" w:styleId="745" w:customStyle="1">
    <w:name w:val="Table Text"/>
    <w:basedOn w:val="729"/>
    <w:uiPriority w:val="0"/>
    <w:semiHidden/>
    <w:qFormat/>
    <w:rPr>
      <w:rFonts w:ascii="宋体" w:hAnsi="宋体" w:eastAsia="宋体" w:cs="宋体"/>
      <w:sz w:val="14"/>
      <w:szCs w:val="14"/>
      <w:lang w:val="en-US" w:eastAsia="en-US" w:bidi="ar-SA"/>
    </w:rPr>
  </w:style>
  <w:style w:type="table" w:styleId="746" w:customStyle="1">
    <w:name w:val="Table Normal"/>
    <w:uiPriority w:val="0"/>
    <w:semiHidden/>
    <w:unhideWhenUsed/>
    <w:qFormat/>
    <w:tblPr>
      <w:tblCellMar>
        <w:left w:w="0" w:type="dxa"/>
        <w:top w:w="0" w:type="dxa"/>
        <w:right w:w="0" w:type="dxa"/>
        <w:bottom w:w="0" w:type="dxa"/>
      </w:tblCellMar>
    </w:tblPr>
  </w:style>
  <w:style w:type="numbering" w:styleId="8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雪肉蛋</dc:creator>
  <cp:lastModifiedBy>徐海燕</cp:lastModifiedBy>
  <cp:revision>2</cp:revision>
  <dcterms:created xsi:type="dcterms:W3CDTF">2026-09-17T00:27:00Z</dcterms:created>
  <dcterms:modified xsi:type="dcterms:W3CDTF">2026-09-23T06:47:53Z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4D3A4A790EB94B8E966805984EAE3C35_11</vt:lpwstr>
  </property>
  <property fmtid="{D5CDD505-2E9C-101B-9397-08002B2CF9AE}" pid="4" name="KSOTemplateDocerSaveRecord">
    <vt:lpwstr>eyJoZGlkIjoiZjBlMWEzYjRkYTQyZmRjNDU5NDFiZjIxMTE5YTY2NmUiLCJ1c2VySWQiOiIxNjE5MDg4MTExIn0=</vt:lpwstr>
  </property>
</Properties>
</file>