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rPr>
          <w:rFonts w:ascii="SimSun" w:hAnsi="SimSun" w:eastAsia="SimSun" w:cs="SimSun"/>
          <w:b/>
          <w:color w:val="000000"/>
          <w:sz w:val="32"/>
        </w:rPr>
        <w:t xml:space="preserve">沭阳经开区2026年度安全生产技术服务采购项目</w:t>
      </w:r>
      <w:r>
        <w:rPr>
          <w:rFonts w:ascii="SimSun" w:hAnsi="SimSun" w:eastAsia="SimSun" w:cs="SimSun"/>
          <w:b/>
          <w:color w:val="000000"/>
          <w:sz w:val="30"/>
        </w:rPr>
        <w:t xml:space="preserve"> </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3146" w:right="0" w:hanging="159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项目编号：</w:t>
      </w:r>
      <w:r>
        <w:rPr>
          <w:rFonts w:ascii="Times New Roman" w:hAnsi="Times New Roman" w:eastAsia="Times New Roman" w:cs="Times New Roman"/>
          <w:b/>
          <w:color w:val="000000"/>
          <w:sz w:val="30"/>
        </w:rPr>
        <w:t xml:space="preserve">JSZC-321322-TYJT-G2026-0017</w:t>
      </w:r>
      <w:r>
        <w:rPr>
          <w:rFonts w:ascii="SimSun" w:hAnsi="SimSun" w:eastAsia="SimSun" w:cs="SimSun"/>
          <w:b/>
          <w:color w:val="000000"/>
          <w:sz w:val="30"/>
        </w:rPr>
        <w:t xml:space="preserve"> </w:t>
      </w:r>
      <w:r/>
    </w:p>
    <w:p>
      <w:pPr>
        <w:ind w:left="2800" w:right="0" w:hanging="280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   </w:t>
      </w:r>
      <w:r>
        <w:rPr>
          <w:rFonts w:ascii="Times New Roman" w:hAnsi="Times New Roman" w:eastAsia="Times New Roman" w:cs="Times New Roman"/>
          <w:b/>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75"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 </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购 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52"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沭阳经济技术开发区管理委员会</w:t>
            </w:r>
            <w:r/>
          </w:p>
        </w:tc>
      </w:tr>
      <w:tr>
        <w:trPr>
          <w:trHeight w:val="61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75"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52"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江苏天园项目管理集团有限公司</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4"/>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2026</w:t>
      </w:r>
      <w:r>
        <w:rPr>
          <w:rFonts w:ascii="SimSun" w:hAnsi="SimSun" w:eastAsia="SimSun" w:cs="SimSun"/>
          <w:b/>
          <w:color w:val="000000"/>
          <w:sz w:val="32"/>
        </w:rPr>
        <w:t xml:space="preserve">年</w:t>
      </w:r>
      <w:r>
        <w:rPr>
          <w:rFonts w:ascii="Arial" w:hAnsi="Arial" w:eastAsia="Arial" w:cs="Arial"/>
          <w:b/>
          <w:color w:val="000000"/>
          <w:sz w:val="32"/>
        </w:rPr>
        <w:t xml:space="preserve">8</w:t>
      </w:r>
      <w:r>
        <w:rPr>
          <w:rFonts w:ascii="SimSun" w:hAnsi="SimSun" w:eastAsia="SimSun" w:cs="SimSun"/>
          <w:b/>
          <w:color w:val="000000"/>
          <w:sz w:val="32"/>
        </w:rPr>
        <w:t xml:space="preserve">月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 录</w:t>
      </w:r>
      <w:r/>
    </w:p>
    <w:p>
      <w:pPr>
        <w:ind w:left="0" w:right="0" w:firstLine="0"/>
        <w:spacing w:before="240" w:after="240" w:line="600" w:lineRule="atLeast"/>
        <w:tabs>
          <w:tab w:val="left" w:pos="9185"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10813" w:history="1">
        <w:r>
          <w:rPr>
            <w:rStyle w:val="796"/>
            <w:rFonts w:ascii="SimHei" w:hAnsi="SimHei" w:eastAsia="SimHei" w:cs="SimHei"/>
            <w:color w:val="0000ee"/>
            <w:sz w:val="32"/>
            <w:u w:val="single"/>
          </w:rPr>
          <w:t xml:space="preserve">第一章投标邀请</w:t>
        </w:r>
        <w:r>
          <w:rPr>
            <w:rStyle w:val="796"/>
            <w:rFonts w:ascii="Times New Roman" w:hAnsi="Times New Roman" w:eastAsia="Times New Roman" w:cs="Times New Roman"/>
            <w:color w:val="0000ee"/>
            <w:sz w:val="32"/>
            <w:u w:val="single"/>
          </w:rPr>
          <w:tab/>
        </w:r>
      </w:hyperlink>
      <w:r/>
      <w:r/>
    </w:p>
    <w:p>
      <w:pPr>
        <w:ind w:left="0" w:right="0" w:firstLine="0"/>
        <w:spacing w:before="240" w:after="240" w:line="600" w:lineRule="atLeast"/>
        <w:tabs>
          <w:tab w:val="left" w:pos="9185"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9425" w:history="1">
        <w:r>
          <w:rPr>
            <w:rStyle w:val="796"/>
            <w:rFonts w:ascii="SimHei" w:hAnsi="SimHei" w:eastAsia="SimHei" w:cs="SimHei"/>
            <w:color w:val="0000ee"/>
            <w:sz w:val="32"/>
            <w:u w:val="single"/>
          </w:rPr>
          <w:t xml:space="preserve">第二章投标人须知</w:t>
        </w:r>
        <w:r>
          <w:rPr>
            <w:rStyle w:val="796"/>
            <w:rFonts w:ascii="Times New Roman" w:hAnsi="Times New Roman" w:eastAsia="Times New Roman" w:cs="Times New Roman"/>
            <w:color w:val="0000ee"/>
            <w:sz w:val="32"/>
            <w:u w:val="single"/>
          </w:rPr>
          <w:tab/>
        </w:r>
      </w:hyperlink>
      <w:r/>
      <w:r/>
    </w:p>
    <w:p>
      <w:pPr>
        <w:ind w:left="0" w:right="0" w:firstLine="0"/>
        <w:spacing w:before="240" w:after="240" w:line="600" w:lineRule="atLeast"/>
        <w:tabs>
          <w:tab w:val="left" w:pos="9185"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17996" w:history="1">
        <w:r>
          <w:rPr>
            <w:rStyle w:val="796"/>
            <w:rFonts w:ascii="SimHei" w:hAnsi="SimHei" w:eastAsia="SimHei" w:cs="SimHei"/>
            <w:color w:val="0000ee"/>
            <w:sz w:val="32"/>
            <w:u w:val="single"/>
          </w:rPr>
          <w:t xml:space="preserve">第三章资格审查及评标办法</w:t>
        </w:r>
        <w:r>
          <w:rPr>
            <w:rStyle w:val="796"/>
            <w:rFonts w:ascii="Times New Roman" w:hAnsi="Times New Roman" w:eastAsia="Times New Roman" w:cs="Times New Roman"/>
            <w:color w:val="0000ee"/>
            <w:sz w:val="32"/>
            <w:u w:val="single"/>
          </w:rPr>
          <w:tab/>
        </w:r>
      </w:hyperlink>
      <w:r/>
      <w:r/>
    </w:p>
    <w:p>
      <w:pPr>
        <w:ind w:left="0" w:right="0" w:firstLine="0"/>
        <w:spacing w:before="240" w:after="240" w:line="600" w:lineRule="atLeast"/>
        <w:tabs>
          <w:tab w:val="left" w:pos="9185"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22314" w:history="1">
        <w:r>
          <w:rPr>
            <w:rStyle w:val="796"/>
            <w:rFonts w:ascii="SimHei" w:hAnsi="SimHei" w:eastAsia="SimHei" w:cs="SimHei"/>
            <w:color w:val="0000ee"/>
            <w:sz w:val="32"/>
            <w:u w:val="single"/>
          </w:rPr>
          <w:t xml:space="preserve">第四章</w:t>
        </w:r>
        <w:r>
          <w:rPr>
            <w:rStyle w:val="796"/>
            <w:rFonts w:ascii="Times New Roman" w:hAnsi="Times New Roman" w:eastAsia="Times New Roman" w:cs="Times New Roman"/>
            <w:color w:val="0000ee"/>
            <w:sz w:val="32"/>
            <w:u w:val="none"/>
          </w:rPr>
          <w:t xml:space="preserve">  </w:t>
        </w:r>
        <w:r>
          <w:rPr>
            <w:rStyle w:val="796"/>
            <w:rFonts w:ascii="SimHei" w:hAnsi="SimHei" w:eastAsia="SimHei" w:cs="SimHei"/>
            <w:color w:val="0000ee"/>
            <w:sz w:val="32"/>
            <w:u w:val="single"/>
          </w:rPr>
          <w:t xml:space="preserve">采购需求</w:t>
        </w:r>
        <w:r>
          <w:rPr>
            <w:rStyle w:val="796"/>
            <w:rFonts w:ascii="Times New Roman" w:hAnsi="Times New Roman" w:eastAsia="Times New Roman" w:cs="Times New Roman"/>
            <w:color w:val="0000ee"/>
            <w:sz w:val="32"/>
            <w:u w:val="single"/>
          </w:rPr>
          <w:tab/>
        </w:r>
      </w:hyperlink>
      <w:r/>
      <w:r/>
    </w:p>
    <w:p>
      <w:pPr>
        <w:ind w:left="0" w:right="0" w:firstLine="0"/>
        <w:spacing w:before="240" w:after="240" w:line="600" w:lineRule="atLeast"/>
        <w:tabs>
          <w:tab w:val="left" w:pos="9185"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2513" w:history="1">
        <w:r>
          <w:rPr>
            <w:rStyle w:val="796"/>
            <w:rFonts w:ascii="SimHei" w:hAnsi="SimHei" w:eastAsia="SimHei" w:cs="SimHei"/>
            <w:color w:val="0000ee"/>
            <w:sz w:val="32"/>
            <w:u w:val="single"/>
          </w:rPr>
          <w:t xml:space="preserve">第五章</w:t>
        </w:r>
        <w:r>
          <w:rPr>
            <w:rStyle w:val="796"/>
            <w:rFonts w:ascii="Times New Roman" w:hAnsi="Times New Roman" w:eastAsia="Times New Roman" w:cs="Times New Roman"/>
            <w:color w:val="0000ee"/>
            <w:sz w:val="32"/>
            <w:u w:val="none"/>
          </w:rPr>
          <w:t xml:space="preserve">  </w:t>
        </w:r>
        <w:r>
          <w:rPr>
            <w:rStyle w:val="796"/>
            <w:rFonts w:ascii="SimHei" w:hAnsi="SimHei" w:eastAsia="SimHei" w:cs="SimHei"/>
            <w:color w:val="0000ee"/>
            <w:sz w:val="32"/>
            <w:u w:val="single"/>
          </w:rPr>
          <w:t xml:space="preserve">合同文本</w:t>
        </w:r>
        <w:r>
          <w:rPr>
            <w:rStyle w:val="796"/>
            <w:rFonts w:ascii="Times New Roman" w:hAnsi="Times New Roman" w:eastAsia="Times New Roman" w:cs="Times New Roman"/>
            <w:color w:val="0000ee"/>
            <w:sz w:val="32"/>
            <w:u w:val="single"/>
          </w:rPr>
          <w:tab/>
          <w:t xml:space="preserve">4</w:t>
        </w:r>
      </w:hyperlink>
      <w:r>
        <w:rPr>
          <w:rFonts w:ascii="Times New Roman" w:hAnsi="Times New Roman" w:eastAsia="Times New Roman" w:cs="Times New Roman"/>
          <w:color w:val="000000"/>
          <w:sz w:val="32"/>
        </w:rPr>
        <w:t xml:space="preserve">5</w:t>
      </w:r>
      <w:r/>
    </w:p>
    <w:p>
      <w:pPr>
        <w:ind w:left="0" w:right="0" w:firstLine="0"/>
        <w:spacing w:before="240" w:after="240" w:line="600" w:lineRule="atLeast"/>
        <w:tabs>
          <w:tab w:val="left" w:pos="9185"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12937" w:history="1">
        <w:r>
          <w:rPr>
            <w:rStyle w:val="796"/>
            <w:rFonts w:ascii="SimHei" w:hAnsi="SimHei" w:eastAsia="SimHei" w:cs="SimHei"/>
            <w:color w:val="0000ee"/>
            <w:sz w:val="32"/>
            <w:u w:val="single"/>
          </w:rPr>
          <w:t xml:space="preserve">第六章投标文件格式</w:t>
        </w:r>
        <w:r>
          <w:rPr>
            <w:rStyle w:val="796"/>
            <w:rFonts w:ascii="Times New Roman" w:hAnsi="Times New Roman" w:eastAsia="Times New Roman" w:cs="Times New Roman"/>
            <w:color w:val="0000ee"/>
            <w:sz w:val="32"/>
            <w:u w:val="single"/>
          </w:rPr>
          <w:tab/>
        </w:r>
      </w:hyperlink>
      <w:r>
        <w:rPr>
          <w:rFonts w:ascii="Times New Roman" w:hAnsi="Times New Roman" w:eastAsia="Times New Roman" w:cs="Times New Roman"/>
          <w:color w:val="000000"/>
          <w:sz w:val="32"/>
        </w:rPr>
        <w:t xml:space="preserve">56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sz w:val="44"/>
        </w:rPr>
      </w:r>
      <w:r/>
    </w:p>
    <w:p>
      <w:pPr>
        <w:ind w:left="0" w:right="0" w:firstLine="0"/>
        <w:jc w:val="center"/>
        <w:spacing w:before="20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u w:val="none"/>
        </w:rPr>
        <w:t xml:space="preserve">第一章投标邀请</w:t>
      </w:r>
      <w:r>
        <w:rPr>
          <w:rFonts w:ascii="SimHei" w:hAnsi="SimHei" w:eastAsia="SimHei" w:cs="SimHei"/>
          <w:color w:val="000000"/>
          <w:sz w:val="44"/>
        </w:rPr>
        <w:t xml:space="preserve">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SimSun" w:hAnsi="SimSun" w:eastAsia="SimSun" w:cs="SimSun"/>
          <w:color w:val="000000"/>
          <w:sz w:val="24"/>
          <w:u w:val="single"/>
        </w:rPr>
        <w:t xml:space="preserve">沭阳经济技术开发区管理委员会</w:t>
      </w:r>
      <w:r>
        <w:rPr>
          <w:rFonts w:ascii="SimSun" w:hAnsi="SimSun" w:eastAsia="SimSun" w:cs="SimSun"/>
          <w:color w:val="000000"/>
          <w:sz w:val="24"/>
        </w:rPr>
        <w:t xml:space="preserve">的委托</w:t>
      </w:r>
      <w:r>
        <w:rPr>
          <w:rFonts w:ascii="SimSun" w:hAnsi="SimSun" w:eastAsia="SimSun" w:cs="SimSun"/>
          <w:color w:val="000000"/>
          <w:sz w:val="24"/>
          <w:u w:val="single"/>
        </w:rPr>
        <w:t xml:space="preserve">江苏天园项目管理集团有限公司</w:t>
      </w:r>
      <w:r>
        <w:rPr>
          <w:rFonts w:ascii="SimSun" w:hAnsi="SimSun" w:eastAsia="SimSun" w:cs="SimSun"/>
          <w:color w:val="000000"/>
          <w:sz w:val="24"/>
        </w:rPr>
        <w:t xml:space="preserve">就</w:t>
      </w:r>
      <w:r>
        <w:rPr>
          <w:rFonts w:ascii="SimSun" w:hAnsi="SimSun" w:eastAsia="SimSun" w:cs="SimSun"/>
          <w:color w:val="000000"/>
          <w:sz w:val="24"/>
          <w:u w:val="single"/>
        </w:rPr>
        <w:t xml:space="preserve">沭阳经开区2026年度安全生产技术服务采购项目（JSZC-321322-TYJT-G2026-0017 ）</w:t>
      </w:r>
      <w:r>
        <w:rPr>
          <w:rFonts w:ascii="SimSun" w:hAnsi="SimSun" w:eastAsia="SimSun" w:cs="SimSun"/>
          <w:color w:val="000000"/>
          <w:sz w:val="24"/>
        </w:rPr>
        <w:t xml:space="preserve">进行公开招标采购，欢迎符合条件的投标人投标。</w:t>
      </w:r>
      <w:r/>
    </w:p>
    <w:p>
      <w:pPr>
        <w:ind w:left="0" w:right="0" w:firstLine="480"/>
        <w:jc w:val="both"/>
        <w:spacing w:before="0" w:after="0" w:line="47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47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沭阳经开区</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年度安全生产技术服务采购项目招标项目的潜在投标人可在“江苏政府采购网”“</w:t>
      </w:r>
      <w:r>
        <w:rPr>
          <w:rFonts w:ascii="SimSun" w:hAnsi="SimSun" w:eastAsia="SimSun" w:cs="SimSun"/>
          <w:color w:val="000000"/>
          <w:sz w:val="24"/>
          <w:u w:val="single"/>
        </w:rPr>
        <w:t xml:space="preserve">宿迁市政府采购网”自行免费</w:t>
      </w:r>
      <w:r>
        <w:rPr>
          <w:rFonts w:ascii="SimSun" w:hAnsi="SimSun" w:eastAsia="SimSun" w:cs="SimSun"/>
          <w:color w:val="000000"/>
          <w:sz w:val="24"/>
        </w:rPr>
        <w:t xml:space="preserve">获取招标文件，并于</w:t>
      </w:r>
      <w:r>
        <w:rPr>
          <w:rFonts w:ascii="SimSun" w:hAnsi="SimSun" w:eastAsia="SimSun" w:cs="SimSun"/>
          <w:color w:val="000000"/>
          <w:sz w:val="24"/>
          <w:u w:val="single"/>
        </w:rPr>
        <w:t xml:space="preserve">2026年9月21日15点00分（</w:t>
      </w:r>
      <w:r>
        <w:rPr>
          <w:rFonts w:ascii="SimSun" w:hAnsi="SimSun" w:eastAsia="SimSun" w:cs="SimSun"/>
          <w:color w:val="000000"/>
          <w:sz w:val="24"/>
        </w:rPr>
        <w:t xml:space="preserve">北京时间）前递交投标文件。</w:t>
      </w:r>
      <w:r/>
    </w:p>
    <w:p>
      <w:pPr>
        <w:ind w:left="0" w:right="0" w:firstLine="643"/>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一、项目基本情况</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1.项目编号：JSZC-321322-TYJT-G2026-0017</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2.项目名称：沭阳经开区2026年度安全生产技术服务采购项目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预算金额：</w:t>
      </w:r>
      <w:r>
        <w:rPr>
          <w:rFonts w:ascii="SimSun" w:hAnsi="SimSun" w:eastAsia="SimSun" w:cs="SimSun"/>
          <w:color w:val="000000"/>
          <w:sz w:val="24"/>
        </w:rPr>
        <w:t xml:space="preserve">149.4万元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u w:val="none"/>
        </w:rPr>
        <w:t xml:space="preserve">本项目设定最高限价：</w:t>
      </w:r>
      <w:r>
        <w:rPr>
          <w:rFonts w:ascii="SimSun" w:hAnsi="SimSun" w:eastAsia="SimSun" w:cs="SimSun"/>
          <w:color w:val="000000"/>
          <w:sz w:val="24"/>
        </w:rPr>
        <w:t xml:space="preserve">149.4万元，高于此限价作无效标处理。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为进一步加强全区安全风险辨识、提升企业本质安全，结合经开区安全生产工作需要，拟计划公开招标聘请第三方机构提供安全生产技术服务，协助经开区对区内所有企业进行现场检查、风险辨识、安全培训、应急演练、总体应急预案编制、总体安全生产风险评价等安全技术服务。（详细内容见本招标文件第四章）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6.合同履行期限：自合同签订之日起2年。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7.本项目不接受联合体投标。</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（一）通用资格要求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1.具备《中华人民共和国政府采购法》第二十二条第一款规定的6项条件（按要求提供投标函）。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落实政府采购政策需满足的资格要求</w:t>
      </w:r>
      <w:r>
        <w:rPr>
          <w:rFonts w:ascii="SimSun" w:hAnsi="SimSun" w:eastAsia="SimSun" w:cs="SimSun"/>
          <w:color w:val="000000"/>
          <w:sz w:val="24"/>
        </w:rPr>
        <w:t xml:space="preserve">：本项目为专门面向中小企业采购的项目，供应商须为中小微企业、监狱与戒毒企业、残疾人福利性单位(须提供中小企业声明函或残疾人福利性单位声明函，或监狱企业证明文件)。非中小型企业参与本项目投标，将作无效标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color w:val="000000"/>
          <w:sz w:val="24"/>
          <w:u w:val="none"/>
        </w:rPr>
        <w:t xml:space="preserve">本项目的特定资格要求：</w:t>
      </w:r>
      <w:r/>
    </w:p>
    <w:p>
      <w:pPr>
        <w:ind w:left="0" w:right="0" w:firstLine="37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申请人资质类别和等级：投标人具有省级及以上应急管理部门批准的有效的安全评价资质证书。</w:t>
      </w:r>
      <w:r/>
    </w:p>
    <w:p>
      <w:pPr>
        <w:ind w:left="0" w:right="0" w:firstLine="37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拟选派项目负责人资格：具有有效中级及以上注册安全工程师证书或安全评价师证书。</w:t>
      </w:r>
      <w:r>
        <w:rPr>
          <w:rFonts w:ascii="SimSun" w:hAnsi="SimSun" w:eastAsia="SimSun" w:cs="SimSun"/>
          <w:b/>
          <w:color w:val="000000"/>
          <w:sz w:val="32"/>
        </w:rPr>
        <w:t xml:space="preserve"> </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1.时间：招标公告发布之日起5个工作</w:t>
      </w:r>
      <w:r>
        <w:rPr>
          <w:rFonts w:ascii="SimSun" w:hAnsi="SimSun" w:eastAsia="SimSun" w:cs="SimSun"/>
          <w:color w:val="000000"/>
          <w:sz w:val="24"/>
        </w:rPr>
        <w:t xml:space="preserve">日内。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2.方式：投标人应在招标文件提供的时间内，通过“苏采云”系统（网址： http://jszfcg.jsczt.cn/），使用CA锁登录系统后，找到本项目获取招标文件（后缀名为“kedt”）。</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3.本项目共分1个采购包。投标人参与多个采购包投标的，应按采购包分别获取招标文件。投标人未按要求获取招标文件，后果自负（其投标文件不予接受）。</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1.提交投标文件截止时间、开标时间：2026年09月21日15点00分（北京时间）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五、公告期限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招标公告及招标文件公告期限为自本公告发布之日起5个工作日。</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1.招标公告发布媒体：江苏政府采购网</w:t>
      </w:r>
      <w:r>
        <w:rPr>
          <w:rFonts w:ascii="SimSun" w:hAnsi="SimSun" w:eastAsia="SimSun" w:cs="SimSun"/>
          <w:color w:val="000000"/>
          <w:sz w:val="24"/>
        </w:rPr>
        <w:t xml:space="preserve">、宿迁市政府采购网等。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2.“CA”数字证书办理：“苏采云”系统目前仅支持“苏采云”系统下的意源CA。省内各地区办理的“苏采云”系统下的意源CA全省通用。宿迁地区CA数字证书办理联系方式：18351098172。</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3.宿迁地区“苏采云”系统技术支持客服电话：0527-84363067、0519-86722806。</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4.质疑渠道：投标人登录“苏采云”系统“项目质疑申请”模块向采购人提出，质疑处理联系方式详见“采购人信息”；财政部门投诉受理电话：0527-83559270。</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5.现场勘察及答疑：本项目不组织集中勘察及答疑，投标人如对采购需求有疑问，请咨询采购单位联系人。 </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七、本次招标联系方式</w:t>
      </w:r>
      <w:r/>
    </w:p>
    <w:p>
      <w:pPr>
        <w:ind w:left="21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21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沭阳经济技术开发区管理委员会      </w:t>
      </w:r>
      <w:r/>
    </w:p>
    <w:p>
      <w:pPr>
        <w:ind w:left="21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沭阳县迎宾大道611号                   </w:t>
      </w:r>
      <w:r/>
    </w:p>
    <w:p>
      <w:pPr>
        <w:ind w:left="21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吴新洲                       </w:t>
      </w:r>
      <w:r/>
    </w:p>
    <w:p>
      <w:pPr>
        <w:ind w:left="21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0527-80817739              </w:t>
      </w:r>
      <w:r/>
    </w:p>
    <w:p>
      <w:pPr>
        <w:ind w:left="21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21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江苏天园项目管理集团有限公司 </w:t>
      </w:r>
      <w:r/>
    </w:p>
    <w:p>
      <w:pPr>
        <w:ind w:left="21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沭阳县杭州东路113号汽车运输公司9楼      </w:t>
      </w:r>
      <w:r/>
    </w:p>
    <w:p>
      <w:pPr>
        <w:ind w:left="21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张翠翠                        </w:t>
      </w:r>
      <w:r/>
    </w:p>
    <w:p>
      <w:pPr>
        <w:ind w:left="21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15370500708        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center"/>
        <w:spacing w:before="0" w:after="0" w:line="479"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center"/>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u w:val="none"/>
        </w:rPr>
        <w:t xml:space="preserve">第二章投标人须知</w:t>
      </w:r>
      <w:r/>
    </w:p>
    <w:p>
      <w:pPr>
        <w:ind w:left="0" w:right="0" w:firstLine="0"/>
        <w:spacing w:before="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投标人须知前附表：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1"/>
        <w:gridCol w:w="1630"/>
        <w:gridCol w:w="6052"/>
      </w:tblGrid>
      <w:tr>
        <w:trPr>
          <w:trHeight w:val="4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说明及要求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本项目属性按以下第</w:t>
            </w:r>
            <w:r>
              <w:rPr>
                <w:rFonts w:ascii="Times New Roman" w:hAnsi="Times New Roman" w:eastAsia="Times New Roman" w:cs="Times New Roman"/>
                <w:color w:val="000000"/>
                <w:sz w:val="24"/>
                <w:u w:val="single"/>
              </w:rPr>
              <w:t xml:space="preserve"> 2 </w:t>
            </w:r>
            <w:r>
              <w:rPr>
                <w:rFonts w:ascii="SimSun" w:hAnsi="SimSun" w:eastAsia="SimSun" w:cs="SimSun"/>
                <w:color w:val="000000"/>
                <w:sz w:val="24"/>
              </w:rPr>
              <w:t xml:space="preserve">种确定：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货物采购；</w:t>
            </w:r>
            <w:r>
              <w:rPr>
                <w:rFonts w:ascii="Times New Roman" w:hAnsi="Times New Roman" w:eastAsia="Times New Roman" w:cs="Times New Roman"/>
                <w:color w:val="000000"/>
                <w:sz w:val="24"/>
                <w:u w:val="none"/>
              </w:rPr>
              <w:t xml:space="preserve">2.</w:t>
            </w:r>
            <w:r>
              <w:rPr>
                <w:rFonts w:ascii="SimSun" w:hAnsi="SimSun" w:eastAsia="SimSun" w:cs="SimSun"/>
                <w:color w:val="000000"/>
                <w:sz w:val="24"/>
              </w:rPr>
              <w:t xml:space="preserve">服务采购；</w:t>
            </w:r>
            <w:r>
              <w:rPr>
                <w:rFonts w:ascii="Times New Roman" w:hAnsi="Times New Roman" w:eastAsia="Times New Roman" w:cs="Times New Roman"/>
                <w:color w:val="000000"/>
                <w:sz w:val="24"/>
                <w:u w:val="none"/>
              </w:rPr>
              <w:t xml:space="preserve">3.</w:t>
            </w:r>
            <w:r>
              <w:rPr>
                <w:rFonts w:ascii="SimSun" w:hAnsi="SimSun" w:eastAsia="SimSun" w:cs="SimSun"/>
                <w:color w:val="000000"/>
                <w:sz w:val="24"/>
              </w:rPr>
              <w:t xml:space="preserve">工程采购。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日（从提交投标文件截止之日起算）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投标文件份数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提交加密电子投标文件</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“苏采云”政府采购交易系统网上开标大厅进行不见面开标。</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按以下第</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rPr>
              <w:t xml:space="preserve">种方式确定：</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接受进口产品。应当符合《政府采购进口产品管理办法》（财库〔</w:t>
            </w:r>
            <w:r>
              <w:rPr>
                <w:rFonts w:ascii="Times New Roman" w:hAnsi="Times New Roman" w:eastAsia="Times New Roman" w:cs="Times New Roman"/>
                <w:color w:val="000000"/>
                <w:sz w:val="24"/>
              </w:rPr>
              <w:t xml:space="preserve">2007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119</w:t>
            </w:r>
            <w:r>
              <w:rPr>
                <w:rFonts w:ascii="SimSun" w:hAnsi="SimSun" w:eastAsia="SimSun" w:cs="SimSun"/>
                <w:color w:val="000000"/>
                <w:sz w:val="24"/>
              </w:rPr>
              <w:t xml:space="preserve">号）、《关于政府采购进口产品管理有关问题的通知》（财办库〔</w:t>
            </w:r>
            <w:r>
              <w:rPr>
                <w:rFonts w:ascii="Times New Roman" w:hAnsi="Times New Roman" w:eastAsia="Times New Roman" w:cs="Times New Roman"/>
                <w:color w:val="000000"/>
                <w:sz w:val="24"/>
              </w:rPr>
              <w:t xml:space="preserve">2008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248</w:t>
            </w:r>
            <w:r>
              <w:rPr>
                <w:rFonts w:ascii="SimSun" w:hAnsi="SimSun" w:eastAsia="SimSun" w:cs="SimSun"/>
                <w:color w:val="000000"/>
                <w:sz w:val="24"/>
              </w:rPr>
              <w:t xml:space="preserve">号）等相关规定；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评标办法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具体评标办法详见招标文件第三章。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评标委员会依据招标文件规定的评标办法和标准推荐</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rPr>
              <w:t xml:space="preserve">名中标候选人。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确定中标人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按以下第</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种方式确定中标人：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采购人按规定在评标委员会推荐的中标候选人中确定中标人；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采购人授权评标委员会直接确定中标人。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本项目的非主体、非关键性工作是否允许分包</w:t>
            </w:r>
            <w:r>
              <w:rPr>
                <w:rFonts w:ascii="SimSun" w:hAnsi="SimSun" w:eastAsia="SimSun" w:cs="SimSun"/>
                <w:color w:val="000000"/>
                <w:sz w:val="24"/>
              </w:rPr>
              <w:t xml:space="preserve">按以下第</w:t>
            </w:r>
            <w:r>
              <w:rPr>
                <w:rFonts w:ascii="Times New Roman" w:hAnsi="Times New Roman" w:eastAsia="Times New Roman" w:cs="Times New Roman"/>
                <w:color w:val="000000"/>
                <w:sz w:val="24"/>
                <w:u w:val="single"/>
              </w:rPr>
              <w:t xml:space="preserve">  2  </w:t>
            </w:r>
            <w:r>
              <w:rPr>
                <w:rFonts w:ascii="SimSun" w:hAnsi="SimSun" w:eastAsia="SimSun" w:cs="SimSun"/>
                <w:color w:val="000000"/>
                <w:sz w:val="24"/>
              </w:rPr>
              <w:t xml:space="preserve">种方式确定：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允许分包，允许大中型企业向一家或者多家小微企业分包，分包具体内容、金额或比例：无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不允许分包。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代理费用收取方式及标准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中标人在中标公告发出后</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日内按照“苏招协【</w:t>
            </w:r>
            <w:r>
              <w:rPr>
                <w:rFonts w:ascii="Times New Roman" w:hAnsi="Times New Roman" w:eastAsia="Times New Roman" w:cs="Times New Roman"/>
                <w:color w:val="000000"/>
                <w:sz w:val="24"/>
              </w:rPr>
              <w:t xml:space="preserve">2022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002</w:t>
            </w:r>
            <w:r>
              <w:rPr>
                <w:rFonts w:ascii="SimSun" w:hAnsi="SimSun" w:eastAsia="SimSun" w:cs="SimSun"/>
                <w:color w:val="000000"/>
                <w:sz w:val="24"/>
              </w:rPr>
              <w:t xml:space="preserve">号”文件标准支付招标代理费。投标人应将其综合考虑在投标报价中，不单独列项。（可采用数字人民币方式支付）</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本项目落实“关于推动解决政府采购异常低价问题相关工作的通知(苏财购〔2025〕62号)”文件规定。</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321"/>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招标方式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本次采购采取公开招标方式。</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合格的投标人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合格的投标人必须符合招标文件第一章《投标邀请》第二条及投标人须知前附表相关规定，且具备完成本项目的能力，中标后不允许转包。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满足本文件实质性要求的规定。</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适用法律</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本次招标及由招标产生的合同受中华人民共和国的相关法律法规制约和保护。</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投标费用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投标人应自行承担所有参加投标有关的费用。</w:t>
      </w:r>
      <w:r/>
    </w:p>
    <w:p>
      <w:pPr>
        <w:ind w:left="0" w:right="0" w:firstLine="321"/>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二、招标文件</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招标文件构成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招标文件由以下部分组成：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第一章：投标邀请；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第二章：投标人须知；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第三章：资格审查及评标办法；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第四章：采购需求；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第五章：合同文本；</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第六章：投标文件格式。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请仔细检查招标文件是否齐全，如有缺漏请立即与代理机构联系解决。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w:t>
      </w:r>
      <w:r>
        <w:rPr>
          <w:rFonts w:ascii="SimSun" w:hAnsi="SimSun" w:eastAsia="SimSun" w:cs="SimSun"/>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rPr>
        <w:t xml:space="preserve">政府采购政策功能落实</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本项目落实的政府采购政策对应序号为</w:t>
      </w:r>
      <w:r>
        <w:rPr>
          <w:rFonts w:ascii="SimSun" w:hAnsi="SimSun" w:eastAsia="SimSun" w:cs="SimSun"/>
          <w:b/>
          <w:color w:val="000000"/>
          <w:sz w:val="24"/>
          <w:u w:val="single"/>
        </w:rPr>
        <w:t xml:space="preserve">     </w:t>
      </w:r>
      <w:r>
        <w:rPr>
          <w:rFonts w:ascii="Times New Roman" w:hAnsi="Times New Roman" w:eastAsia="Times New Roman" w:cs="Times New Roman"/>
          <w:b/>
          <w:color w:val="000000"/>
          <w:sz w:val="24"/>
          <w:u w:val="single"/>
        </w:rPr>
        <w:t xml:space="preserve">6.1</w:t>
      </w:r>
      <w:r>
        <w:rPr>
          <w:rFonts w:ascii="SimSun" w:hAnsi="SimSun" w:eastAsia="SimSun" w:cs="SimSun"/>
          <w:b/>
          <w:color w:val="000000"/>
          <w:sz w:val="24"/>
          <w:u w:val="single"/>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中小企业政策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本项目按第</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w:t>
      </w:r>
      <w:r>
        <w:rPr>
          <w:rFonts w:ascii="SimSun" w:hAnsi="SimSun" w:eastAsia="SimSun" w:cs="SimSun"/>
          <w:color w:val="000000"/>
          <w:sz w:val="24"/>
        </w:rPr>
        <w:t xml:space="preserve">种政策落实：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）本项目专门面向中小企业（含监狱与戒毒企业、残疾人福利企业）采购。</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）对符合规定情形的小微企业报价给予</w:t>
      </w:r>
      <w:r>
        <w:rPr>
          <w:rFonts w:ascii="Times New Roman" w:hAnsi="Times New Roman" w:eastAsia="Times New Roman" w:cs="Times New Roman"/>
          <w:color w:val="000000"/>
          <w:sz w:val="24"/>
          <w:u w:val="single"/>
        </w:rPr>
        <w:t xml:space="preserve">15%</w:t>
      </w:r>
      <w:r>
        <w:rPr>
          <w:rFonts w:ascii="SimSun" w:hAnsi="SimSun" w:eastAsia="SimSun" w:cs="SimSun"/>
          <w:color w:val="000000"/>
          <w:sz w:val="24"/>
        </w:rPr>
        <w:t xml:space="preserve">扣除，用扣除后的价格参加评审。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在服务采购项目中，服务由中小企业承接，即提供服务的人员为中小企业依照《中华人民共和国劳动合同法》订立劳动合同的从业人员。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在货物采购项目中，货物由中小企业制造，即货物由中小企业生产且使用该中小企业商号或者注册商标。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注：①参加投标的中小企业，应当按照《政府采购促进中小企业发展管理办法》（财库〔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号）规定，出具《中小企业声明函》，中小企业划型依据《关于印发中小企业划型标准规定的通知》（工信部联企业〔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②参加投标的监狱企业，视同小型、微型企业。监狱企业应当按照《财政部 司法部关于政府采购支持监狱企业发展有关问题的通知》（财库〔</w:t>
      </w:r>
      <w:r>
        <w:rPr>
          <w:rFonts w:ascii="Times New Roman" w:hAnsi="Times New Roman" w:eastAsia="Times New Roman" w:cs="Times New Roman"/>
          <w:color w:val="000000"/>
          <w:sz w:val="24"/>
        </w:rPr>
        <w:t xml:space="preserve">2014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68</w:t>
      </w:r>
      <w:r>
        <w:rPr>
          <w:rFonts w:ascii="SimSun" w:hAnsi="SimSun" w:eastAsia="SimSun" w:cs="SimSun"/>
          <w:color w:val="000000"/>
          <w:sz w:val="24"/>
        </w:rPr>
        <w:t xml:space="preserve">号）的规定，提供由省级以上监狱管理局、戒毒管理局（含新疆生产建设兵团）出具的属于监狱企业的证明文件（投标文件中上传加盖出具单位公章的电子件）。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③参加投标的残疾人福利性单位，视同小型、微型企业。残疾人福利性单位应当按照《财政部 民政部 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号）的规定，提供《残疾人福利性单位声明函》。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④大中型企业与小微企业组成联合体或者允许大中型企业向一家或者多家小微企业分包的采购项目，对于联合协议或者分包意向协议约定小微企业的合同份额占到合同总金额</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以上的，对联合体或者大中型企业的报价给予</w:t>
      </w:r>
      <w:r>
        <w:rPr>
          <w:rFonts w:ascii="Times New Roman" w:hAnsi="Times New Roman" w:eastAsia="Times New Roman" w:cs="Times New Roman"/>
          <w:color w:val="000000"/>
          <w:sz w:val="24"/>
          <w:u w:val="single"/>
        </w:rPr>
        <w:t xml:space="preserve">5</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（工程项目为</w:t>
      </w:r>
      <w:r>
        <w:rPr>
          <w:rFonts w:ascii="Times New Roman" w:hAnsi="Times New Roman" w:eastAsia="Times New Roman" w:cs="Times New Roman"/>
          <w:color w:val="000000"/>
          <w:sz w:val="24"/>
          <w:u w:val="single"/>
        </w:rPr>
        <w:t xml:space="preserve">2</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）的扣除，用扣除后的价格参加评审。（是否接受联合体以“项目基本情况”相关内容为准，是否允许大中型企业向一家或者多家小微企业分包以“须知前附表”“采购需求”相关内容为准。）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⑤联合体各方均为小型、微型企业（残疾人福利单位、监狱企业）的，联合体享受</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价格扣除，用扣除后的价格参与评审。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w:t>
      </w:r>
      <w:r>
        <w:rPr>
          <w:rFonts w:ascii="SimSun" w:hAnsi="SimSun" w:eastAsia="SimSun" w:cs="SimSun"/>
          <w:color w:val="000000"/>
          <w:sz w:val="24"/>
        </w:rPr>
        <w:t xml:space="preserve">节能产品、环境标志产品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6.2.1</w:t>
      </w:r>
      <w:r>
        <w:rPr>
          <w:rFonts w:ascii="SimSun" w:hAnsi="SimSun" w:eastAsia="SimSun" w:cs="SimSun"/>
          <w:color w:val="000000"/>
          <w:sz w:val="24"/>
        </w:rPr>
        <w:t xml:space="preserve">拟采购的产品属于政府强制采购的节能产品品目清单范围的，投标人须提供国家确定的认证机构出具的、处于有效期之内的节能产品认证证书，否则其投标文件作无效标处理。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6.2.2</w:t>
      </w:r>
      <w:r>
        <w:rPr>
          <w:rFonts w:ascii="SimSun" w:hAnsi="SimSun" w:eastAsia="SimSun" w:cs="SimSun"/>
          <w:color w:val="000000"/>
          <w:sz w:val="24"/>
        </w:rPr>
        <w:t xml:space="preserve">采购人拟采购的产品属于优先采购的节能环保品目清单范围的，按以下条件优先采购：</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采用综合评分法的项目，对提供有效节能环保证书的投标人加分。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采用最低评标价法的项目，同等条件下优先推荐提供有效节能环保证书多的投标人为中标人。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6.3</w:t>
      </w:r>
      <w:r>
        <w:rPr>
          <w:rFonts w:ascii="SimSun" w:hAnsi="SimSun" w:eastAsia="SimSun" w:cs="SimSun"/>
          <w:color w:val="000000"/>
          <w:sz w:val="24"/>
        </w:rPr>
        <w:t xml:space="preserve">政府采购需求标准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6.3.1</w:t>
      </w:r>
      <w:r>
        <w:rPr>
          <w:rFonts w:ascii="SimSun" w:hAnsi="SimSun" w:eastAsia="SimSun" w:cs="SimSun"/>
          <w:color w:val="000000"/>
          <w:sz w:val="24"/>
        </w:rPr>
        <w:t xml:space="preserve">商品包装、快递包装政府采购需求标准（试行）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按照财政部印发的《商品包装政府采购需求标准（试行）》《快递包装政府采购需求标准（试行）》要求执行，本项目商品包装和快递包装的具体需求详见第四章采购需求。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6.3.2</w:t>
      </w:r>
      <w:r>
        <w:rPr>
          <w:rFonts w:ascii="SimSun" w:hAnsi="SimSun" w:eastAsia="SimSun" w:cs="SimSun"/>
          <w:color w:val="000000"/>
          <w:sz w:val="24"/>
        </w:rPr>
        <w:t xml:space="preserve">绿色数据中心政府采购需求标准（试行）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按照财政部 生态环境部 工业和信息化部关于印发《绿色数据中心政府采购需求标准（试行）》的通知）要求执行，本项目绿色数据中心的具体需求详见第四章采购需求。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6.3.3</w:t>
      </w:r>
      <w:r>
        <w:rPr>
          <w:rFonts w:ascii="SimSun" w:hAnsi="SimSun" w:eastAsia="SimSun" w:cs="SimSun"/>
          <w:color w:val="000000"/>
          <w:sz w:val="24"/>
        </w:rPr>
        <w:t xml:space="preserve">绿色建材政府采购需求标准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6.4</w:t>
      </w:r>
      <w:r>
        <w:rPr>
          <w:rFonts w:ascii="SimSun" w:hAnsi="SimSun" w:eastAsia="SimSun" w:cs="SimSun"/>
          <w:color w:val="000000"/>
          <w:sz w:val="24"/>
        </w:rPr>
        <w:t xml:space="preserve">采购产品中涉及涂料、胶黏剂、油墨、清洗剂等挥发性有机物产品的，属于强制性标准的，供应商应当提供符合国家和江苏省相关</w:t>
      </w:r>
      <w:r>
        <w:rPr>
          <w:rFonts w:ascii="Times New Roman" w:hAnsi="Times New Roman" w:eastAsia="Times New Roman" w:cs="Times New Roman"/>
          <w:color w:val="000000"/>
          <w:sz w:val="24"/>
        </w:rPr>
        <w:t xml:space="preserve">VOCs </w:t>
      </w:r>
      <w:r>
        <w:rPr>
          <w:rFonts w:ascii="SimSun" w:hAnsi="SimSun" w:eastAsia="SimSun" w:cs="SimSun"/>
          <w:color w:val="000000"/>
          <w:sz w:val="24"/>
        </w:rPr>
        <w:t xml:space="preserve">含量限制标准的产品。采购产品中涉及通用类货物、家具的，供应商应当优先使用低挥发性原辅材料，采购人将使用低</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含量的涂料、胶黏剂等纳入政府采购合同条款的，供应商必须严格执行。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6.5</w:t>
      </w:r>
      <w:r>
        <w:rPr>
          <w:rFonts w:ascii="SimSun" w:hAnsi="SimSun" w:eastAsia="SimSun" w:cs="SimSun"/>
          <w:color w:val="000000"/>
          <w:sz w:val="24"/>
        </w:rPr>
        <w:t xml:space="preserve">本国产品价格评审优惠（依据国办发〔</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34 </w:t>
      </w:r>
      <w:r>
        <w:rPr>
          <w:rFonts w:ascii="SimSun" w:hAnsi="SimSun" w:eastAsia="SimSun" w:cs="SimSun"/>
          <w:color w:val="000000"/>
          <w:sz w:val="24"/>
        </w:rPr>
        <w:t xml:space="preserve">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6.5.1</w:t>
      </w:r>
      <w:r>
        <w:rPr>
          <w:rFonts w:ascii="SimSun" w:hAnsi="SimSun" w:eastAsia="SimSun" w:cs="SimSun"/>
          <w:color w:val="000000"/>
          <w:sz w:val="24"/>
        </w:rPr>
        <w:t xml:space="preserve">本项目为非预留份额的货物类采购项目，执行本国产品价格扣除政策。投标人所投产品既有本国产品又有非本国产品参与竞争时，对符合条件的本国产品给予</w:t>
      </w:r>
      <w:r>
        <w:rPr>
          <w:rFonts w:ascii="Times New Roman" w:hAnsi="Times New Roman" w:eastAsia="Times New Roman" w:cs="Times New Roman"/>
          <w:color w:val="000000"/>
          <w:sz w:val="24"/>
        </w:rPr>
        <w:t xml:space="preserve">20% </w:t>
      </w:r>
      <w:r>
        <w:rPr>
          <w:rFonts w:ascii="SimSun" w:hAnsi="SimSun" w:eastAsia="SimSun" w:cs="SimSun"/>
          <w:color w:val="000000"/>
          <w:sz w:val="24"/>
        </w:rPr>
        <w:t xml:space="preserve">价格扣除，用扣除后的价格参与评审。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）本国产品认定标准：指在中国关境内完成实质性生产（实现原材料、组件到成品的属性改变，不含简单贴牌、包装、上漆、分装等细微操作）。过渡期内，仅以境内生产作为认定依据。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）多产品比例规则：若项目含多种产品，投标人所投符合本国产品标准的产品成本之和占该供应商提供的全部产品成本之和的比例达到</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以上时，依法对该供应商提供的全部产品给予价格评审优惠，即对该供应商提供的全部产品的总报价给予</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的价格扣除，用扣除后的价格参与评审。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证明材料要求：投标人须在投标文件中提供《关于符合本国产品标准的声明函》；多产品项目须同时提供《本国产品成本比例声明函》，承诺成本占比达标。未按要求提供或声明不实的，不享受价格扣除并承担相应法律责任。</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w:t>
      </w:r>
      <w:r>
        <w:rPr>
          <w:rFonts w:ascii="SimSun" w:hAnsi="SimSun" w:eastAsia="SimSun" w:cs="SimSun"/>
          <w:b/>
          <w:color w:val="000000"/>
          <w:sz w:val="24"/>
        </w:rPr>
        <w:t xml:space="preserve">招标文件的澄清或修改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采购人或者采购代理机构可以以更正公告的形式，对已发出的招标文件进行必要的澄清或者修改。澄清或者修改的内容可能影响投标文件编制的，采购人或者采购代理机构应当在投标截止时间前</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日前发出；不足</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日的，采购人、采购代理机构应当顺延提交投标文件的截止时间。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w:t>
      </w:r>
      <w:r>
        <w:rPr>
          <w:rFonts w:ascii="SimSun" w:hAnsi="SimSun" w:eastAsia="SimSun" w:cs="SimSun"/>
          <w:color w:val="000000"/>
          <w:sz w:val="24"/>
        </w:rPr>
        <w:t xml:space="preserve">招标文件的澄清、修改将在原公告媒体上发布更正公告，澄清、修改文件均作为招标文件的组成部分，并对投标人具有约束力。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7.3</w:t>
      </w:r>
      <w:r>
        <w:rPr>
          <w:rFonts w:ascii="SimSun" w:hAnsi="SimSun" w:eastAsia="SimSun" w:cs="SimSun"/>
          <w:color w:val="000000"/>
          <w:sz w:val="24"/>
        </w:rPr>
        <w:t xml:space="preserve">投标人应及时登录“苏采云”系统获取澄清答疑文件（修改后的招标文件），如投标人未能及时下载澄清答疑文件，造成的相关责任由投标人承担。</w:t>
      </w:r>
      <w:r/>
    </w:p>
    <w:p>
      <w:pPr>
        <w:ind w:left="0" w:right="0" w:firstLine="321"/>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三、投标文件的编制</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w:t>
      </w:r>
      <w:r>
        <w:rPr>
          <w:rFonts w:ascii="SimSun" w:hAnsi="SimSun" w:eastAsia="SimSun" w:cs="SimSun"/>
          <w:b/>
          <w:color w:val="000000"/>
          <w:sz w:val="24"/>
        </w:rPr>
        <w:t xml:space="preserve">投标文件的编制要求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投标人应仔细阅读“招标文件”的所有内容，保证所提供的全部资料的真实性、完整性及有效性，以使其投标对“招标文件”作出实质性响应。</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投标文件要求加盖电子签章之处，应按要求加盖投标人数字证书的电子签章。其他需要盖章但未明确要求电子签章的，投标人可按要求加盖公章后上传材料电子件或直接加盖电子签章。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w:t>
      </w:r>
      <w:r>
        <w:rPr>
          <w:rFonts w:ascii="SimSun" w:hAnsi="SimSun" w:eastAsia="SimSun" w:cs="SimSun"/>
          <w:color w:val="000000"/>
          <w:sz w:val="24"/>
        </w:rPr>
        <w:t xml:space="preserve">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w:t>
      </w:r>
      <w:r>
        <w:rPr>
          <w:rFonts w:ascii="SimSun" w:hAnsi="SimSun" w:eastAsia="SimSun" w:cs="SimSun"/>
          <w:b/>
          <w:color w:val="000000"/>
          <w:sz w:val="24"/>
        </w:rPr>
        <w:t xml:space="preserve">投标文件构成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w:t>
      </w:r>
      <w:r>
        <w:rPr>
          <w:rFonts w:ascii="SimSun" w:hAnsi="SimSun" w:eastAsia="SimSun" w:cs="SimSun"/>
          <w:color w:val="000000"/>
          <w:sz w:val="24"/>
        </w:rPr>
        <w:t xml:space="preserve">投标文件包括资格证明文件、开标一览表、分项报价表、响应及偏离表、投标函、其他证明文件等部分。投标文件构成资料为非中文时应提供中文译版。</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9.2</w:t>
      </w:r>
      <w:r>
        <w:rPr>
          <w:rFonts w:ascii="SimSun" w:hAnsi="SimSun" w:eastAsia="SimSun" w:cs="SimSun"/>
          <w:b/>
          <w:color w:val="000000"/>
          <w:sz w:val="24"/>
        </w:rPr>
        <w:t xml:space="preserve">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w:t>
      </w:r>
      <w:r>
        <w:rPr>
          <w:rFonts w:ascii="SimSun" w:hAnsi="SimSun" w:eastAsia="SimSun" w:cs="SimSun"/>
          <w:b/>
          <w:color w:val="000000"/>
          <w:sz w:val="24"/>
        </w:rPr>
        <w:t xml:space="preserve">投标报价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报价为一次报价，本项目不接受备选的投标方案或有选择的报价，只允许有一个报价。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w:t>
      </w:r>
      <w:r>
        <w:rPr>
          <w:rFonts w:ascii="SimSun" w:hAnsi="SimSun" w:eastAsia="SimSun" w:cs="SimSun"/>
          <w:color w:val="000000"/>
          <w:sz w:val="24"/>
        </w:rPr>
        <w:t xml:space="preserve">报价注意事项：投标价格一律以人民币计算，以元为单位标注，最多保留至小数点后两位，招标文件有规定的按招标文件执行。</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w:t>
      </w:r>
      <w:r>
        <w:rPr>
          <w:rFonts w:ascii="SimSun" w:hAnsi="SimSun" w:eastAsia="SimSun" w:cs="SimSun"/>
          <w:b/>
          <w:color w:val="000000"/>
          <w:sz w:val="24"/>
        </w:rPr>
        <w:t xml:space="preserve">投标保证金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本项目不收取投标保证金。</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w:t>
      </w:r>
      <w:r>
        <w:rPr>
          <w:rFonts w:ascii="SimSun" w:hAnsi="SimSun" w:eastAsia="SimSun" w:cs="SimSun"/>
          <w:b/>
          <w:color w:val="000000"/>
          <w:sz w:val="24"/>
        </w:rPr>
        <w:t xml:space="preserve">投标有效期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w:t>
      </w:r>
      <w:r>
        <w:rPr>
          <w:rFonts w:ascii="SimSun" w:hAnsi="SimSun" w:eastAsia="SimSun" w:cs="SimSun"/>
          <w:color w:val="000000"/>
          <w:sz w:val="24"/>
        </w:rPr>
        <w:t xml:space="preserve">在投标人须知前附表规定的投标有效期内，投标有效期从提交投标文件的截止之日起算。投标有效期比规定短的将被视为未实质性响应招标文件。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w:t>
      </w:r>
      <w:r>
        <w:rPr>
          <w:rFonts w:ascii="SimSun" w:hAnsi="SimSun" w:eastAsia="SimSun" w:cs="SimSun"/>
          <w:color w:val="000000"/>
          <w:sz w:val="24"/>
        </w:rPr>
        <w:t xml:space="preserve">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ind w:left="0" w:right="0" w:firstLine="321"/>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四、投标文件的提交</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w:t>
      </w:r>
      <w:r>
        <w:rPr>
          <w:rFonts w:ascii="SimSun" w:hAnsi="SimSun" w:eastAsia="SimSun" w:cs="SimSun"/>
          <w:b/>
          <w:color w:val="000000"/>
          <w:sz w:val="24"/>
        </w:rPr>
        <w:t xml:space="preserve">投标文件的提交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w:t>
      </w:r>
      <w:r>
        <w:rPr>
          <w:rFonts w:ascii="SimSun" w:hAnsi="SimSun" w:eastAsia="SimSun" w:cs="SimSun"/>
          <w:color w:val="000000"/>
          <w:sz w:val="24"/>
        </w:rPr>
        <w:t xml:space="preserve">投标人应在招标文件规定的投标截止时间前提交投标文件并将电子投标文件上传至“苏采云”系统对应的本次开标采购包中。除招标文件另有规定外，投标人所提交的投标文件不予退还。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w:t>
      </w:r>
      <w:r>
        <w:rPr>
          <w:rFonts w:ascii="SimSun" w:hAnsi="SimSun" w:eastAsia="SimSun" w:cs="SimSun"/>
          <w:color w:val="000000"/>
          <w:sz w:val="24"/>
        </w:rPr>
        <w:t xml:space="preserve">投标文件的修改和撤回：在投标截止时间之前，投标人可以撤回或重新提交投标文件。投标文件以最终完成上传的为准。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13.3</w:t>
      </w:r>
      <w:r>
        <w:rPr>
          <w:rFonts w:ascii="SimSun" w:hAnsi="SimSun" w:eastAsia="SimSun" w:cs="SimSun"/>
          <w:color w:val="000000"/>
          <w:sz w:val="24"/>
        </w:rPr>
        <w:t xml:space="preserve">采购人、采购代理机构可以通过修改招标文件酌情延长投标文件接收截止日期，在此情况下，投标人的所有权利和义务以及投标人受制约的截止日期均应以延长后新的截止日期为准。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w:t>
      </w:r>
      <w:r>
        <w:rPr>
          <w:rFonts w:ascii="SimSun" w:hAnsi="SimSun" w:eastAsia="SimSun" w:cs="SimSun"/>
          <w:b/>
          <w:color w:val="000000"/>
          <w:sz w:val="24"/>
        </w:rPr>
        <w:t xml:space="preserve">投标文件被拒绝接收的情形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在招标文件规定的投标截止时间后上传的投标文件或对投标报价或其他实质性内容修正的文件。</w:t>
      </w:r>
      <w:r/>
    </w:p>
    <w:p>
      <w:pPr>
        <w:ind w:left="0" w:right="0" w:firstLine="321"/>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五、开标、评标程序</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开标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w:t>
      </w:r>
      <w:r>
        <w:rPr>
          <w:rFonts w:ascii="SimSun" w:hAnsi="SimSun" w:eastAsia="SimSun" w:cs="SimSun"/>
          <w:color w:val="000000"/>
          <w:sz w:val="24"/>
        </w:rPr>
        <w:t xml:space="preserve">采购代理机构将在招标公告中规定的时间和地点组织公开开标。投标人应当按照《操作手册》规定，参加开标活动，在“苏采云”系统规定的时间内对投标文件解密。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w:t>
      </w:r>
      <w:r>
        <w:rPr>
          <w:rFonts w:ascii="SimSun" w:hAnsi="SimSun" w:eastAsia="SimSun" w:cs="SimSun"/>
          <w:color w:val="000000"/>
          <w:sz w:val="24"/>
        </w:rPr>
        <w:t xml:space="preserve">开标仪式由采购代理机构组织。“苏采云”系统将自动对项目进行开标，并宣布各投标人名称和投标价格。</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15.3</w:t>
      </w:r>
      <w:r>
        <w:rPr>
          <w:rFonts w:ascii="SimSun" w:hAnsi="SimSun" w:eastAsia="SimSun" w:cs="SimSun"/>
          <w:b/>
          <w:color w:val="000000"/>
          <w:sz w:val="24"/>
        </w:rPr>
        <w:t xml:space="preserve">投标人用于解密的</w:t>
      </w:r>
      <w:r>
        <w:rPr>
          <w:rFonts w:ascii="Times New Roman" w:hAnsi="Times New Roman" w:eastAsia="Times New Roman" w:cs="Times New Roman"/>
          <w:b/>
          <w:color w:val="000000"/>
          <w:sz w:val="24"/>
        </w:rPr>
        <w:t xml:space="preserve">CA</w:t>
      </w:r>
      <w:r>
        <w:rPr>
          <w:rFonts w:ascii="SimSun" w:hAnsi="SimSun" w:eastAsia="SimSun" w:cs="SimSun"/>
          <w:b/>
          <w:color w:val="000000"/>
          <w:sz w:val="24"/>
        </w:rPr>
        <w:t xml:space="preserve">证书应为该投标文件生成加密、上传的同一把</w:t>
      </w:r>
      <w:r>
        <w:rPr>
          <w:rFonts w:ascii="Times New Roman" w:hAnsi="Times New Roman" w:eastAsia="Times New Roman" w:cs="Times New Roman"/>
          <w:b/>
          <w:color w:val="000000"/>
          <w:sz w:val="24"/>
        </w:rPr>
        <w:t xml:space="preserve">CA</w:t>
      </w:r>
      <w:r>
        <w:rPr>
          <w:rFonts w:ascii="SimSun" w:hAnsi="SimSun" w:eastAsia="SimSun" w:cs="SimSun"/>
          <w:b/>
          <w:color w:val="000000"/>
          <w:sz w:val="24"/>
        </w:rPr>
        <w:t xml:space="preserve">证书。投标人应登录“苏采云”系统进入“开标大厅”，在系统约定时间内使用</w:t>
      </w:r>
      <w:r>
        <w:rPr>
          <w:rFonts w:ascii="Times New Roman" w:hAnsi="Times New Roman" w:eastAsia="Times New Roman" w:cs="Times New Roman"/>
          <w:b/>
          <w:color w:val="000000"/>
          <w:sz w:val="24"/>
        </w:rPr>
        <w:t xml:space="preserve">CA</w:t>
      </w:r>
      <w:r>
        <w:rPr>
          <w:rFonts w:ascii="SimSun" w:hAnsi="SimSun" w:eastAsia="SimSun" w:cs="SimSun"/>
          <w:b/>
          <w:color w:val="000000"/>
          <w:sz w:val="24"/>
        </w:rPr>
        <w:t xml:space="preserve">证书解密，未成功解密的视为放弃投标。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15.4</w:t>
      </w:r>
      <w:r>
        <w:rPr>
          <w:rFonts w:ascii="SimSun" w:hAnsi="SimSun" w:eastAsia="SimSun" w:cs="SimSun"/>
          <w:color w:val="000000"/>
          <w:sz w:val="24"/>
        </w:rPr>
        <w:t xml:space="preserve">投标人如果对开标过程和开标记录有疑义，应当根据《操作手册》规定提出。如“苏采云”系统中《开标记录表》宣布后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分钟内未提出的，视同认可开标结果。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15.5</w:t>
      </w:r>
      <w:r>
        <w:rPr>
          <w:rFonts w:ascii="SimSun" w:hAnsi="SimSun" w:eastAsia="SimSun" w:cs="SimSun"/>
          <w:color w:val="000000"/>
          <w:sz w:val="24"/>
        </w:rPr>
        <w:t xml:space="preserve">投标人在开、评标全过程中应保持通信畅通，及时登录“苏采云”系统查阅、答复相关信息。</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16.</w:t>
      </w:r>
      <w:r>
        <w:rPr>
          <w:rFonts w:ascii="SimSun" w:hAnsi="SimSun" w:eastAsia="SimSun" w:cs="SimSun"/>
          <w:b/>
          <w:color w:val="000000"/>
          <w:sz w:val="24"/>
        </w:rPr>
        <w:t xml:space="preserve">评标委员会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采购人应当在采购文件中明确，政府采购评审中出现下列情形之一的，评审委员会应当启动异常低价投标（响应）审查程序：</w:t>
      </w:r>
      <w:r>
        <w:rPr>
          <w:rFonts w:ascii="Times New Roman" w:hAnsi="Times New Roman" w:eastAsia="Times New Roman" w:cs="Times New Roma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投标（响应）报价低于全部通过符合性审查供应商投标（响应）报价平均值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全部通过符合性审查供应商投标（响应）报价平均值×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投标（响应）报价低于通过符合性审查的次低报价供应商投标（响应）报价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通过符合性审查的次低报价供应商投标（响应）报价×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投标（响应）报价低于采购项目最高限价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评审委员会基于专业判断，认为供应商报价过低，有可能影响产品质量或者不能诚信履约的其他情形。</w:t>
      </w:r>
      <w:r>
        <w:rPr>
          <w:rFonts w:ascii="Times New Roman" w:hAnsi="Times New Roman" w:eastAsia="Times New Roman" w:cs="Times New Roma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采购人可以结合具体项目实际情况，提高上述第</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项至第</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项中启动异常低价投标（响应）审查的数值标准，但是最高不得超过</w:t>
      </w:r>
      <w:r>
        <w:rPr>
          <w:rFonts w:ascii="Times New Roman" w:hAnsi="Times New Roman" w:eastAsia="Times New Roman" w:cs="Times New Roman"/>
          <w:color w:val="000000"/>
          <w:sz w:val="24"/>
        </w:rPr>
        <w:t xml:space="preserve">65%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相关法律法规对供应商报价有规定的，从其规定。</w:t>
      </w:r>
      <w:r>
        <w:rPr>
          <w:rFonts w:ascii="Times New Roman" w:hAnsi="Times New Roman" w:eastAsia="Times New Roman" w:cs="Times New Roma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评审委员会启动异常低价投标（响应）审查后，属于前述第</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项至第</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分钟。其中，属于第</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项情形，供应商已随投标（响应）文件一并提交相关书面说明及必要的证明材料的，在评审现场可不再重复提交。</w:t>
      </w:r>
      <w:r>
        <w:rPr>
          <w:rFonts w:ascii="Times New Roman" w:hAnsi="Times New Roman" w:eastAsia="Times New Roman" w:cs="Times New Roma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Times New Roman" w:hAnsi="Times New Roman" w:eastAsia="Times New Roman" w:cs="Times New Roma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Times New Roman" w:hAnsi="Times New Roman" w:eastAsia="Times New Roman" w:cs="Times New Roma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ascii="Times New Roman" w:hAnsi="Times New Roman" w:eastAsia="Times New Roman" w:cs="Times New Roma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w:t>
      </w:r>
      <w:r>
        <w:rPr>
          <w:rFonts w:ascii="SimSun" w:hAnsi="SimSun" w:eastAsia="SimSun" w:cs="SimSun"/>
          <w:b/>
          <w:color w:val="000000"/>
          <w:sz w:val="24"/>
        </w:rPr>
        <w:t xml:space="preserve">评标程序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w:t>
      </w:r>
      <w:r>
        <w:rPr>
          <w:rFonts w:ascii="SimSun" w:hAnsi="SimSun" w:eastAsia="SimSun" w:cs="SimSun"/>
          <w:color w:val="000000"/>
          <w:sz w:val="24"/>
        </w:rPr>
        <w:t xml:space="preserve">资格审查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开标结束后，采购人依法根据招标文件的规定对投标人的资格证明文件等进行审查。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w:t>
      </w:r>
      <w:r>
        <w:rPr>
          <w:rFonts w:ascii="SimSun" w:hAnsi="SimSun" w:eastAsia="SimSun" w:cs="SimSun"/>
          <w:color w:val="000000"/>
          <w:sz w:val="24"/>
        </w:rPr>
        <w:t xml:space="preserve">符合性检查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17.2.1</w:t>
      </w:r>
      <w:r>
        <w:rPr>
          <w:rFonts w:ascii="SimSun" w:hAnsi="SimSun" w:eastAsia="SimSun" w:cs="SimSun"/>
          <w:color w:val="000000"/>
          <w:sz w:val="24"/>
        </w:rPr>
        <w:t xml:space="preserve">依据招标文件的规定，由评标委员会从投标文件的有效性、完整性和对招标文件的响应程度进行审查，以确定是否对招标文件的实质性要求作出响应。</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17.2.2</w:t>
      </w:r>
      <w:r>
        <w:rPr>
          <w:rFonts w:ascii="SimSun" w:hAnsi="SimSun" w:eastAsia="SimSun" w:cs="SimSun"/>
          <w:color w:val="000000"/>
          <w:sz w:val="24"/>
        </w:rPr>
        <w:t xml:space="preserve">在详细评标之前，评标委员会将首先审查每份投标文件是否实质性响应了招标文件的要求。实质性响应的投标应是与招标文件要求的全部条款、条件和规格相符，没有重大偏离的投标。</w:t>
      </w:r>
      <w:r>
        <w:rPr>
          <w:rFonts w:ascii="SimSun" w:hAnsi="SimSun" w:eastAsia="SimSun" w:cs="SimSun"/>
          <w:color w:val="000000"/>
          <w:sz w:val="24"/>
          <w:u w:val="none"/>
        </w:rPr>
        <w:t xml:space="preserve">所谓重大偏离是指投标人投标文件中所述设备质量、技术规格、数量、交货期、服务等明显不能满足招标文件要求。</w:t>
      </w:r>
      <w:r>
        <w:rPr>
          <w:rFonts w:ascii="SimSun" w:hAnsi="SimSun" w:eastAsia="SimSun" w:cs="SimSun"/>
          <w:color w:val="000000"/>
          <w:sz w:val="24"/>
        </w:rPr>
        <w:t xml:space="preserve">重大偏离的认定需经过评标委员会以少数服从多数的原则作出结论。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17.3</w:t>
      </w:r>
      <w:r>
        <w:rPr>
          <w:rFonts w:ascii="SimSun" w:hAnsi="SimSun" w:eastAsia="SimSun" w:cs="SimSun"/>
          <w:color w:val="000000"/>
          <w:sz w:val="24"/>
        </w:rPr>
        <w:t xml:space="preserve">未通过资格审查或符合性审查的投标人，采购代理机构将在“苏采云”系统中告知未通过资格审查或符合性审查的原因，评标结束后，采购代理机构将不再告知未通过资格审查或符合性审查的原因。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17.4</w:t>
      </w:r>
      <w:r>
        <w:rPr>
          <w:rFonts w:ascii="SimSun" w:hAnsi="SimSun" w:eastAsia="SimSun" w:cs="SimSun"/>
          <w:color w:val="000000"/>
          <w:sz w:val="24"/>
        </w:rPr>
        <w:t xml:space="preserve">评标委员会判断投标文件的响应性，仅基于投标文件本身而不靠外部证据。对非实质性响应的投标文件，投标人不能通过修正或撤销不符之处，而使其成为实质性响应。</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17.5</w:t>
      </w:r>
      <w:r>
        <w:rPr>
          <w:rFonts w:ascii="SimSun" w:hAnsi="SimSun" w:eastAsia="SimSun" w:cs="SimSun"/>
          <w:color w:val="000000"/>
          <w:sz w:val="24"/>
        </w:rPr>
        <w:t xml:space="preserve">相同品牌产品投标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17.5.1</w:t>
      </w:r>
      <w:r>
        <w:rPr>
          <w:rFonts w:ascii="SimSun" w:hAnsi="SimSun" w:eastAsia="SimSun" w:cs="SimSun"/>
          <w:color w:val="000000"/>
          <w:sz w:val="24"/>
        </w:rPr>
        <w:t xml:space="preserve">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17.5.2</w:t>
      </w: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17.5.3</w:t>
      </w:r>
      <w:r>
        <w:rPr>
          <w:rFonts w:ascii="SimSun" w:hAnsi="SimSun" w:eastAsia="SimSun" w:cs="SimSun"/>
          <w:color w:val="000000"/>
          <w:sz w:val="24"/>
        </w:rPr>
        <w:t xml:space="preserve">非单一产品采购项目，采购人确定核心产品，并在招标文件中载明。多家投标人提供的核心产品品牌相同的，按前两款规定处理。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17.6</w:t>
      </w:r>
      <w:r>
        <w:rPr>
          <w:rFonts w:ascii="SimSun" w:hAnsi="SimSun" w:eastAsia="SimSun" w:cs="SimSun"/>
          <w:b/>
          <w:color w:val="000000"/>
          <w:sz w:val="24"/>
        </w:rPr>
        <w:t xml:space="preserve">有关问题的澄清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17.6.1</w:t>
      </w:r>
      <w:r>
        <w:rPr>
          <w:rFonts w:ascii="SimSun" w:hAnsi="SimSun" w:eastAsia="SimSun" w:cs="SimSun"/>
          <w:color w:val="000000"/>
          <w:sz w:val="24"/>
        </w:rPr>
        <w:t xml:space="preserve">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17.6.2</w:t>
      </w:r>
      <w:r>
        <w:rPr>
          <w:rFonts w:ascii="SimSun" w:hAnsi="SimSun" w:eastAsia="SimSun" w:cs="SimSun"/>
          <w:color w:val="000000"/>
          <w:sz w:val="24"/>
        </w:rPr>
        <w:t xml:space="preserve">投标文件报价出现前后不一致的，除招标文件另有规定外，按照下列规定修正：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①投标文件中开标一览表（报价表）内容与投标文件中相应内容不一致的，以开标一览表（报价表）为准；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②大写金额和小写金额不一致的，以大写金额为准；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③单价金额小数点或者百分比有明显错位的，以开标一览表的总价为准，并修改单价；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④总价金额与按单价汇总金额不一致的，以单价金额计算结果为准。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17.6.3</w:t>
      </w:r>
      <w:r>
        <w:rPr>
          <w:rFonts w:ascii="SimSun" w:hAnsi="SimSun" w:eastAsia="SimSun" w:cs="SimSun"/>
          <w:color w:val="000000"/>
          <w:sz w:val="24"/>
        </w:rPr>
        <w:t xml:space="preserve">评标委员会将按上述修正错误的方法调整投标文件中的投标报价，并通过“苏采云”系统告知投标人，调整后的价格应对投标人具有约束力。投标人不接受修正后的价格，其投标将被拒绝。</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评标过程中，不得去掉报价中的最高报价和最低报价。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17.7</w:t>
      </w:r>
      <w:r>
        <w:rPr>
          <w:rFonts w:ascii="SimSun" w:hAnsi="SimSun" w:eastAsia="SimSun" w:cs="SimSun"/>
          <w:color w:val="000000"/>
          <w:sz w:val="24"/>
        </w:rPr>
        <w:t xml:space="preserve">比较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评标委员会将按招标文件中规定的评标方法和标准，对符合性检查合格的投标文件进行商务和技术评比。</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17.8</w:t>
      </w:r>
      <w:r>
        <w:rPr>
          <w:rFonts w:ascii="SimSun" w:hAnsi="SimSun" w:eastAsia="SimSun" w:cs="SimSun"/>
          <w:color w:val="000000"/>
          <w:sz w:val="24"/>
        </w:rPr>
        <w:t xml:space="preserve">推荐中标候选人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评标委员会按照招标文件中规定的评标方法和标准推荐中标候选人。</w:t>
      </w:r>
      <w:r/>
    </w:p>
    <w:p>
      <w:pPr>
        <w:ind w:left="0" w:right="0" w:firstLine="321"/>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六、无效投标、废标、串通投标</w:t>
      </w:r>
      <w:r>
        <w:rPr>
          <w:rFonts w:ascii="SimSun" w:hAnsi="SimSun" w:eastAsia="SimSun" w:cs="SimSun"/>
          <w:b/>
          <w:color w:val="000000"/>
          <w:sz w:val="32"/>
        </w:rPr>
        <w:t xml:space="preserve">及取消中标候选人资格情形</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18.</w:t>
      </w:r>
      <w:r>
        <w:rPr>
          <w:rFonts w:ascii="SimSun" w:hAnsi="SimSun" w:eastAsia="SimSun" w:cs="SimSun"/>
          <w:b/>
          <w:color w:val="000000"/>
          <w:sz w:val="24"/>
        </w:rPr>
        <w:t xml:space="preserve">无效投标情形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w:t>
      </w:r>
      <w:r>
        <w:rPr>
          <w:rFonts w:ascii="SimSun" w:hAnsi="SimSun" w:eastAsia="SimSun" w:cs="SimSun"/>
          <w:color w:val="000000"/>
          <w:sz w:val="24"/>
        </w:rPr>
        <w:t xml:space="preserve">投标人同一采购包提交两个（含两个）以上不同的投标报价的。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w:t>
      </w:r>
      <w:r>
        <w:rPr>
          <w:rFonts w:ascii="SimSun" w:hAnsi="SimSun" w:eastAsia="SimSun" w:cs="SimSun"/>
          <w:color w:val="000000"/>
          <w:sz w:val="24"/>
        </w:rPr>
        <w:t xml:space="preserve">投标人不符合招标文件规定资格要求的或未按规定提交资质证件的。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18.3</w:t>
      </w:r>
      <w:r>
        <w:rPr>
          <w:rFonts w:ascii="SimSun" w:hAnsi="SimSun" w:eastAsia="SimSun" w:cs="SimSun"/>
          <w:color w:val="000000"/>
          <w:sz w:val="24"/>
        </w:rPr>
        <w:t xml:space="preserve">投标人的报价超过了采购预算或最高限价的。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18.4</w:t>
      </w:r>
      <w:r>
        <w:rPr>
          <w:rFonts w:ascii="SimSun" w:hAnsi="SimSun" w:eastAsia="SimSun" w:cs="SimSun"/>
          <w:color w:val="000000"/>
          <w:sz w:val="24"/>
        </w:rPr>
        <w:t xml:space="preserve">投标文件未通过符合性审查的。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18.5</w:t>
      </w:r>
      <w:r>
        <w:rPr>
          <w:rFonts w:ascii="SimSun" w:hAnsi="SimSun" w:eastAsia="SimSun" w:cs="SimSun"/>
          <w:color w:val="000000"/>
          <w:sz w:val="24"/>
        </w:rPr>
        <w:t xml:space="preserve">投标文件出现重大偏离，不符合招标文件中规定的实质性要求的（★部分为实质性要求）。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18.6</w:t>
      </w:r>
      <w:r>
        <w:rPr>
          <w:rFonts w:ascii="SimSun" w:hAnsi="SimSun" w:eastAsia="SimSun" w:cs="SimSun"/>
          <w:color w:val="000000"/>
          <w:sz w:val="24"/>
        </w:rPr>
        <w:t xml:space="preserve">评标委员会认为投标人的报价明显低于其他通过符合性审查投标人的报价，有可能影响产品质量或者不能诚信履约的，且投标人不能在合理的时间内提供说明，证明其报价合理性的。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18.7</w:t>
      </w:r>
      <w:r>
        <w:rPr>
          <w:rFonts w:ascii="SimSun" w:hAnsi="SimSun" w:eastAsia="SimSun" w:cs="SimSun"/>
          <w:color w:val="000000"/>
          <w:sz w:val="24"/>
        </w:rPr>
        <w:t xml:space="preserve">投标文件未按照招标文件要求加盖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18.8</w:t>
      </w:r>
      <w:r>
        <w:rPr>
          <w:rFonts w:ascii="SimSun" w:hAnsi="SimSun" w:eastAsia="SimSun" w:cs="SimSun"/>
          <w:color w:val="000000"/>
          <w:sz w:val="24"/>
        </w:rPr>
        <w:t xml:space="preserve">投标人有本招标文件规定的恶意串通投标情形的。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18.9</w:t>
      </w:r>
      <w:r>
        <w:rPr>
          <w:rFonts w:ascii="SimSun" w:hAnsi="SimSun" w:eastAsia="SimSun" w:cs="SimSun"/>
          <w:color w:val="000000"/>
          <w:sz w:val="24"/>
        </w:rPr>
        <w:t xml:space="preserve">投标文件含有采购人不能接受的附加条件的。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18.10</w:t>
      </w:r>
      <w:r>
        <w:rPr>
          <w:rFonts w:ascii="SimSun" w:hAnsi="SimSun" w:eastAsia="SimSun" w:cs="SimSun"/>
          <w:color w:val="000000"/>
          <w:sz w:val="24"/>
        </w:rPr>
        <w:t xml:space="preserve">其他法律法规及本招标文件规定的属于无效投标的情形。</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19.</w:t>
      </w:r>
      <w:r>
        <w:rPr>
          <w:rFonts w:ascii="SimSun" w:hAnsi="SimSun" w:eastAsia="SimSun" w:cs="SimSun"/>
          <w:b/>
          <w:color w:val="000000"/>
          <w:sz w:val="24"/>
        </w:rPr>
        <w:t xml:space="preserve">废标情形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w:t>
      </w:r>
      <w:r>
        <w:rPr>
          <w:rFonts w:ascii="SimSun" w:hAnsi="SimSun" w:eastAsia="SimSun" w:cs="SimSun"/>
          <w:color w:val="000000"/>
          <w:sz w:val="24"/>
        </w:rPr>
        <w:t xml:space="preserve">符合专业条件的投标人或者对招标文件作实质响应的投标人不足三家的。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19.2</w:t>
      </w:r>
      <w:r>
        <w:rPr>
          <w:rFonts w:ascii="SimSun" w:hAnsi="SimSun" w:eastAsia="SimSun" w:cs="SimSun"/>
          <w:color w:val="000000"/>
          <w:sz w:val="24"/>
        </w:rPr>
        <w:t xml:space="preserve">出现影响采购公正的违法、违规行为的。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19.3</w:t>
      </w:r>
      <w:r>
        <w:rPr>
          <w:rFonts w:ascii="SimSun" w:hAnsi="SimSun" w:eastAsia="SimSun" w:cs="SimSun"/>
          <w:color w:val="000000"/>
          <w:sz w:val="24"/>
        </w:rPr>
        <w:t xml:space="preserve">因重大变故，采购任务取消的。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19.4</w:t>
      </w:r>
      <w:r>
        <w:rPr>
          <w:rFonts w:ascii="SimSun" w:hAnsi="SimSun" w:eastAsia="SimSun" w:cs="SimSun"/>
          <w:color w:val="000000"/>
          <w:sz w:val="24"/>
        </w:rPr>
        <w:t xml:space="preserve">评标委员会认定招标文件存在歧义、重大缺陷导致评审工作无法进行的。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19.5</w:t>
      </w:r>
      <w:r>
        <w:rPr>
          <w:rFonts w:ascii="SimSun" w:hAnsi="SimSun" w:eastAsia="SimSun" w:cs="SimSun"/>
          <w:color w:val="000000"/>
          <w:sz w:val="24"/>
        </w:rPr>
        <w:t xml:space="preserve">在“苏采云”系统规定时间内成功解密电子投标文件的投标人不足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20.</w:t>
      </w:r>
      <w:r>
        <w:rPr>
          <w:rFonts w:ascii="SimSun" w:hAnsi="SimSun" w:eastAsia="SimSun" w:cs="SimSun"/>
          <w:b/>
          <w:color w:val="000000"/>
          <w:sz w:val="24"/>
        </w:rPr>
        <w:t xml:space="preserve">投标人不足三家情形处理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投标截止后投标人不足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家或者通过资格审查或符合性审查的投标人不足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家的，除采购任务取消情形外，按财政部令第</w:t>
      </w:r>
      <w:r>
        <w:rPr>
          <w:rFonts w:ascii="Times New Roman" w:hAnsi="Times New Roman" w:eastAsia="Times New Roman" w:cs="Times New Roman"/>
          <w:color w:val="000000"/>
          <w:sz w:val="24"/>
        </w:rPr>
        <w:t xml:space="preserve">87</w:t>
      </w:r>
      <w:r>
        <w:rPr>
          <w:rFonts w:ascii="SimSun" w:hAnsi="SimSun" w:eastAsia="SimSun" w:cs="SimSun"/>
          <w:color w:val="000000"/>
          <w:sz w:val="24"/>
        </w:rPr>
        <w:t xml:space="preserve">号第四十三条条款进行处理。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21.</w:t>
      </w:r>
      <w:r>
        <w:rPr>
          <w:rFonts w:ascii="SimSun" w:hAnsi="SimSun" w:eastAsia="SimSun" w:cs="SimSun"/>
          <w:b/>
          <w:color w:val="000000"/>
          <w:sz w:val="24"/>
        </w:rPr>
        <w:t xml:space="preserve">串通投标情形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有下列情形之一的，属于恶意串通投标：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w:t>
      </w:r>
      <w:r>
        <w:rPr>
          <w:rFonts w:ascii="SimSun" w:hAnsi="SimSun" w:eastAsia="SimSun" w:cs="SimSun"/>
          <w:color w:val="000000"/>
          <w:sz w:val="24"/>
        </w:rPr>
        <w:t xml:space="preserve">供应商直接或间接从采购人或采购代理机构处获得其他供应商的投标情况，并修改其投标文件；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w:t>
      </w:r>
      <w:r>
        <w:rPr>
          <w:rFonts w:ascii="SimSun" w:hAnsi="SimSun" w:eastAsia="SimSun" w:cs="SimSun"/>
          <w:color w:val="000000"/>
          <w:sz w:val="24"/>
        </w:rPr>
        <w:t xml:space="preserve">评审活动开始前供应商直接或间接从采购人或采购代理机构处获得评标委员会组成人员情况；</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21.3</w:t>
      </w:r>
      <w:r>
        <w:rPr>
          <w:rFonts w:ascii="SimSun" w:hAnsi="SimSun" w:eastAsia="SimSun" w:cs="SimSun"/>
          <w:color w:val="000000"/>
          <w:sz w:val="24"/>
        </w:rPr>
        <w:t xml:space="preserve">供应商接受采购人或采购代理机构授意撤换、修改投标文件；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21.4</w:t>
      </w:r>
      <w:r>
        <w:rPr>
          <w:rFonts w:ascii="SimSun" w:hAnsi="SimSun" w:eastAsia="SimSun" w:cs="SimSun"/>
          <w:color w:val="000000"/>
          <w:sz w:val="24"/>
        </w:rPr>
        <w:t xml:space="preserve">供应商之间协商投标报价、技术方案等投标文件实质性内容；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21.5</w:t>
      </w:r>
      <w:r>
        <w:rPr>
          <w:rFonts w:ascii="SimSun" w:hAnsi="SimSun" w:eastAsia="SimSun" w:cs="SimSun"/>
          <w:color w:val="000000"/>
          <w:sz w:val="24"/>
        </w:rPr>
        <w:t xml:space="preserve">属于同一集团、协会、商会等组织成员的供应商按照该组织要求协同投标；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21.6</w:t>
      </w:r>
      <w:r>
        <w:rPr>
          <w:rFonts w:ascii="SimSun" w:hAnsi="SimSun" w:eastAsia="SimSun" w:cs="SimSun"/>
          <w:color w:val="000000"/>
          <w:sz w:val="24"/>
        </w:rPr>
        <w:t xml:space="preserve">供应商之间事先约定由某一特定供应商中标、成交；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21.7</w:t>
      </w:r>
      <w:r>
        <w:rPr>
          <w:rFonts w:ascii="SimSun" w:hAnsi="SimSun" w:eastAsia="SimSun" w:cs="SimSun"/>
          <w:color w:val="000000"/>
          <w:sz w:val="24"/>
        </w:rPr>
        <w:t xml:space="preserve">供应商之间商定部分供应商放弃投标或者放弃中标、成交；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21.8</w:t>
      </w:r>
      <w:r>
        <w:rPr>
          <w:rFonts w:ascii="SimSun" w:hAnsi="SimSun" w:eastAsia="SimSun" w:cs="SimSun"/>
          <w:color w:val="000000"/>
          <w:sz w:val="24"/>
        </w:rPr>
        <w:t xml:space="preserve">供应商与采购人或采购代理机构之间、供应商相互之间为谋求特定供应商中标成交或者排斥其他供应商的其他串通行为；</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有下列情形之一的，视为投标人串通投标，其投标无效：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21.9</w:t>
      </w:r>
      <w:r>
        <w:rPr>
          <w:rFonts w:ascii="SimSun" w:hAnsi="SimSun" w:eastAsia="SimSun" w:cs="SimSun"/>
          <w:color w:val="000000"/>
          <w:sz w:val="24"/>
        </w:rPr>
        <w:t xml:space="preserve">不同投标人的投标文件由同一单位或者个人编制；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21.10</w:t>
      </w:r>
      <w:r>
        <w:rPr>
          <w:rFonts w:ascii="SimSun" w:hAnsi="SimSun" w:eastAsia="SimSun" w:cs="SimSun"/>
          <w:color w:val="000000"/>
          <w:sz w:val="24"/>
        </w:rPr>
        <w:t xml:space="preserve">不同投标人委托同一单位或者个人办理投标事宜；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21.11</w:t>
      </w:r>
      <w:r>
        <w:rPr>
          <w:rFonts w:ascii="SimSun" w:hAnsi="SimSun" w:eastAsia="SimSun" w:cs="SimSun"/>
          <w:color w:val="000000"/>
          <w:sz w:val="24"/>
        </w:rPr>
        <w:t xml:space="preserve">不同投标人的投标文件载明的项目管理成员或者联系人员为同一人；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21.12</w:t>
      </w:r>
      <w:r>
        <w:rPr>
          <w:rFonts w:ascii="SimSun" w:hAnsi="SimSun" w:eastAsia="SimSun" w:cs="SimSun"/>
          <w:color w:val="000000"/>
          <w:sz w:val="24"/>
        </w:rPr>
        <w:t xml:space="preserve">不同投标人的投标文件异常一致或者投标报价呈规律性差异；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21.13</w:t>
      </w:r>
      <w:r>
        <w:rPr>
          <w:rFonts w:ascii="SimSun" w:hAnsi="SimSun" w:eastAsia="SimSun" w:cs="SimSun"/>
          <w:color w:val="000000"/>
          <w:sz w:val="24"/>
        </w:rPr>
        <w:t xml:space="preserve">不同投标人的投标文件相互混装；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21.14</w:t>
      </w:r>
      <w:r>
        <w:rPr>
          <w:rFonts w:ascii="SimSun" w:hAnsi="SimSun" w:eastAsia="SimSun" w:cs="SimSun"/>
          <w:color w:val="000000"/>
          <w:sz w:val="24"/>
        </w:rPr>
        <w:t xml:space="preserve">不同投标人的投标保证金从同一单位或者个人的账户转出。</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22.</w:t>
      </w:r>
      <w:r>
        <w:rPr>
          <w:rFonts w:ascii="SimSun" w:hAnsi="SimSun" w:eastAsia="SimSun" w:cs="SimSun"/>
          <w:b/>
          <w:color w:val="000000"/>
          <w:sz w:val="24"/>
        </w:rPr>
        <w:t xml:space="preserve">取消中标候选人资格情形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22.1</w:t>
      </w:r>
      <w:r>
        <w:rPr>
          <w:rFonts w:ascii="SimSun" w:hAnsi="SimSun" w:eastAsia="SimSun" w:cs="SimSun"/>
          <w:color w:val="000000"/>
          <w:sz w:val="24"/>
        </w:rPr>
        <w:t xml:space="preserve">提供虚假材料谋取中标的；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22.2</w:t>
      </w:r>
      <w:r>
        <w:rPr>
          <w:rFonts w:ascii="SimSun" w:hAnsi="SimSun" w:eastAsia="SimSun" w:cs="SimSun"/>
          <w:color w:val="000000"/>
          <w:sz w:val="24"/>
        </w:rPr>
        <w:t xml:space="preserve">采取不正当手段诋毁、排挤其他投标人的；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22.3</w:t>
      </w:r>
      <w:r>
        <w:rPr>
          <w:rFonts w:ascii="SimSun" w:hAnsi="SimSun" w:eastAsia="SimSun" w:cs="SimSun"/>
          <w:color w:val="000000"/>
          <w:sz w:val="24"/>
        </w:rPr>
        <w:t xml:space="preserve">与采购人、其他投标人或者采购代理机构恶意串通的；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22.4</w:t>
      </w:r>
      <w:r>
        <w:rPr>
          <w:rFonts w:ascii="SimSun" w:hAnsi="SimSun" w:eastAsia="SimSun" w:cs="SimSun"/>
          <w:color w:val="000000"/>
          <w:sz w:val="24"/>
        </w:rPr>
        <w:t xml:space="preserve">向采购人、采购代理机构行贿或者提供其他不正当利益的；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22.5</w:t>
      </w:r>
      <w:r>
        <w:rPr>
          <w:rFonts w:ascii="SimSun" w:hAnsi="SimSun" w:eastAsia="SimSun" w:cs="SimSun"/>
          <w:color w:val="000000"/>
          <w:sz w:val="24"/>
        </w:rPr>
        <w:t xml:space="preserve">未在规定时间内与采购人签订采购合同的；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22.6</w:t>
      </w:r>
      <w:r>
        <w:rPr>
          <w:rFonts w:ascii="SimSun" w:hAnsi="SimSun" w:eastAsia="SimSun" w:cs="SimSun"/>
          <w:color w:val="000000"/>
          <w:sz w:val="24"/>
        </w:rPr>
        <w:t xml:space="preserve">法律法规规定的其他情况。</w:t>
      </w:r>
      <w:r/>
    </w:p>
    <w:p>
      <w:pPr>
        <w:ind w:left="0" w:right="0" w:firstLine="32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七、中标及合同签订</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23.</w:t>
      </w:r>
      <w:r>
        <w:rPr>
          <w:rFonts w:ascii="SimSun" w:hAnsi="SimSun" w:eastAsia="SimSun" w:cs="SimSun"/>
          <w:b/>
          <w:color w:val="000000"/>
          <w:sz w:val="24"/>
        </w:rPr>
        <w:t xml:space="preserve">确定中标人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23.1</w:t>
      </w:r>
      <w:r>
        <w:rPr>
          <w:rFonts w:ascii="SimSun" w:hAnsi="SimSun" w:eastAsia="SimSun" w:cs="SimSun"/>
          <w:color w:val="000000"/>
          <w:sz w:val="24"/>
        </w:rPr>
        <w:t xml:space="preserve">采购人应当自收到评审报告之日起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个工作日内在评审报告推荐的中标候选人中按顺序确定中标人。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23.2</w:t>
      </w:r>
      <w:r>
        <w:rPr>
          <w:rFonts w:ascii="SimSun" w:hAnsi="SimSun" w:eastAsia="SimSun" w:cs="SimSun"/>
          <w:color w:val="000000"/>
          <w:sz w:val="24"/>
        </w:rPr>
        <w:t xml:space="preserve">中标人确定之日起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个工作日内，采购人、采购代理机构将发布中标结果，中标公告的公告期限为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23.3</w:t>
      </w:r>
      <w:r>
        <w:rPr>
          <w:rFonts w:ascii="SimSun" w:hAnsi="SimSun" w:eastAsia="SimSun" w:cs="SimSun"/>
          <w:color w:val="000000"/>
          <w:sz w:val="24"/>
        </w:rPr>
        <w:t xml:space="preserve">采购人确定正被列为失信被执行人的投标人为中标人的，中标结果无效。</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24.</w:t>
      </w:r>
      <w:r>
        <w:rPr>
          <w:rFonts w:ascii="SimSun" w:hAnsi="SimSun" w:eastAsia="SimSun" w:cs="SimSun"/>
          <w:b/>
          <w:color w:val="000000"/>
          <w:sz w:val="24"/>
        </w:rPr>
        <w:t xml:space="preserve">中标通知书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w:t>
      </w:r>
      <w:r>
        <w:rPr>
          <w:rFonts w:ascii="SimSun" w:hAnsi="SimSun" w:eastAsia="SimSun" w:cs="SimSun"/>
          <w:color w:val="000000"/>
          <w:sz w:val="24"/>
        </w:rPr>
        <w:t xml:space="preserve">在公告中标结果的同时，采购代理机构将向中标人发出中标通知书。中标人使用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数字证书登录“苏采云”系统及时下载中标通知书。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24.2</w:t>
      </w:r>
      <w:r>
        <w:rPr>
          <w:rFonts w:ascii="SimSun" w:hAnsi="SimSun" w:eastAsia="SimSun" w:cs="SimSun"/>
          <w:color w:val="000000"/>
          <w:sz w:val="24"/>
        </w:rPr>
        <w:t xml:space="preserve">中标通知书发出后，采购人改变中标结果的，或者中标人放弃中标项目的，应当依法承担法律责任。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24.3</w:t>
      </w:r>
      <w:r>
        <w:rPr>
          <w:rFonts w:ascii="SimSun" w:hAnsi="SimSun" w:eastAsia="SimSun" w:cs="SimSun"/>
          <w:color w:val="000000"/>
          <w:sz w:val="24"/>
        </w:rPr>
        <w:t xml:space="preserve">采用综合评分法评审的，未中标人可于中标结果公告期限届满之日起通过“苏采云”系统查看</w:t>
      </w:r>
      <w:r>
        <w:rPr>
          <w:rFonts w:ascii="SimSun" w:hAnsi="SimSun" w:eastAsia="SimSun" w:cs="SimSun"/>
          <w:color w:val="000000"/>
          <w:sz w:val="24"/>
          <w:u w:val="none"/>
        </w:rPr>
        <w:t xml:space="preserve">自己的评审得分及排序情况。</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25.</w:t>
      </w:r>
      <w:r>
        <w:rPr>
          <w:rFonts w:ascii="SimSun" w:hAnsi="SimSun" w:eastAsia="SimSun" w:cs="SimSun"/>
          <w:b/>
          <w:color w:val="000000"/>
          <w:sz w:val="24"/>
        </w:rPr>
        <w:t xml:space="preserve">授予合同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w:t>
      </w:r>
      <w:r>
        <w:rPr>
          <w:rFonts w:ascii="SimSun" w:hAnsi="SimSun" w:eastAsia="SimSun" w:cs="SimSun"/>
          <w:color w:val="000000"/>
          <w:sz w:val="24"/>
        </w:rPr>
        <w:t xml:space="preserve">采购人与中标人应当在中标通知书发出之日起</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日内签订政府采购合同。招标文件、中标人的投标文件以及评标过程中有关澄清文件均作为合同附件。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w:t>
      </w:r>
      <w:r>
        <w:rPr>
          <w:rFonts w:ascii="SimSun" w:hAnsi="SimSun" w:eastAsia="SimSun" w:cs="SimSun"/>
          <w:color w:val="000000"/>
          <w:sz w:val="24"/>
        </w:rPr>
        <w:t xml:space="preserve">采购人在自合同签订之日起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个工作日内，将合同在指定的媒体上公告。</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26</w:t>
      </w:r>
      <w:r>
        <w:rPr>
          <w:rFonts w:ascii="SimSun" w:hAnsi="SimSun" w:eastAsia="SimSun" w:cs="SimSun"/>
          <w:b/>
          <w:color w:val="000000"/>
          <w:sz w:val="24"/>
        </w:rPr>
        <w:t xml:space="preserve">、履约保证金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按照以下第</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2</w:t>
      </w:r>
      <w:r>
        <w:rPr>
          <w:rFonts w:ascii="SimSun" w:hAnsi="SimSun" w:eastAsia="SimSun" w:cs="SimSun"/>
          <w:b/>
          <w:color w:val="000000"/>
          <w:sz w:val="24"/>
          <w:u w:val="single"/>
        </w:rPr>
        <w:t xml:space="preserve">）</w:t>
      </w:r>
      <w:r>
        <w:rPr>
          <w:rFonts w:ascii="SimSun" w:hAnsi="SimSun" w:eastAsia="SimSun" w:cs="SimSun"/>
          <w:color w:val="000000"/>
          <w:sz w:val="24"/>
        </w:rPr>
        <w:t xml:space="preserve">方式确定履约保证金收取方式。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）本项目不收取履约保证金。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）本项目收取履约保证金。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w:t>
      </w:r>
      <w:r>
        <w:rPr>
          <w:rFonts w:ascii="SimSun" w:hAnsi="SimSun" w:eastAsia="SimSun" w:cs="SimSun"/>
          <w:color w:val="000000"/>
          <w:sz w:val="24"/>
        </w:rPr>
        <w:t xml:space="preserve">履约保证金提交形式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履约保证金应在采购合同签订前提交，除银行电汇、网上银行、数字人民币外，投标人还可选用银行保函、担保公司的保证担保或保险公司的保证保险等多种形式向采购人缴纳。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w:t>
      </w:r>
      <w:r>
        <w:rPr>
          <w:rFonts w:ascii="SimSun" w:hAnsi="SimSun" w:eastAsia="SimSun" w:cs="SimSun"/>
          <w:color w:val="000000"/>
          <w:sz w:val="24"/>
        </w:rPr>
        <w:t xml:space="preserve">履约保证金提交金额</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按采购合同总价的</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5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支持和鼓励投标人使用江苏政府采购电子履约保函（保险）代替缴纳履约保证金，投标人如使用江苏政府采购电子履约保函（保险）的，可按采购合同总价的</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3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（履约保证金原提交金额的</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折）提交。办理流程、偿付等内容见江苏政府采购网“保险保函”模块。</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w:t>
      </w:r>
      <w:r>
        <w:rPr>
          <w:rFonts w:ascii="SimSun" w:hAnsi="SimSun" w:eastAsia="SimSun" w:cs="SimSun"/>
          <w:color w:val="000000"/>
          <w:sz w:val="24"/>
        </w:rPr>
        <w:t xml:space="preserve">履约保证金退还方式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26.4</w:t>
      </w:r>
      <w:r>
        <w:rPr>
          <w:rFonts w:ascii="SimSun" w:hAnsi="SimSun" w:eastAsia="SimSun" w:cs="SimSun"/>
          <w:color w:val="000000"/>
          <w:sz w:val="24"/>
        </w:rPr>
        <w:t xml:space="preserve">履约保证金退还条件：项目运维期结束，无质量问题，无息退还。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26.5</w:t>
      </w:r>
      <w:r>
        <w:rPr>
          <w:rFonts w:ascii="SimSun" w:hAnsi="SimSun" w:eastAsia="SimSun" w:cs="SimSun"/>
          <w:color w:val="000000"/>
          <w:sz w:val="24"/>
        </w:rPr>
        <w:t xml:space="preserve">履约保证金退还时间：采购人收到投标人退付申请后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个工作日内退还。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26.6</w:t>
      </w:r>
      <w:r>
        <w:rPr>
          <w:rFonts w:ascii="SimSun" w:hAnsi="SimSun" w:eastAsia="SimSun" w:cs="SimSun"/>
          <w:color w:val="000000"/>
          <w:sz w:val="24"/>
        </w:rPr>
        <w:t xml:space="preserve">履约保证金不予退还情形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除不可抗力外，中标人不履行与采购人订立的采购合同的，履约保证金不予退还，给采购人造成的损失超过履约保证金数额的，还应对超过部分予以赔偿。</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26.7</w:t>
      </w:r>
      <w:r>
        <w:rPr>
          <w:rFonts w:ascii="SimSun" w:hAnsi="SimSun" w:eastAsia="SimSun" w:cs="SimSun"/>
          <w:color w:val="000000"/>
          <w:sz w:val="24"/>
        </w:rPr>
        <w:t xml:space="preserve">逾期退还履约保证金违约责任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采购人逾期退还履约保证金的，除应退还履约保证金外，还应按中国人民银行同期贷款基准利率上浮</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％后的利率支付逾期资金占用费，但因投标人自身原因导致无法及时退还的除外。</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27.</w:t>
      </w:r>
      <w:r>
        <w:rPr>
          <w:rFonts w:ascii="SimSun" w:hAnsi="SimSun" w:eastAsia="SimSun" w:cs="SimSun"/>
          <w:b/>
          <w:color w:val="000000"/>
          <w:sz w:val="24"/>
        </w:rPr>
        <w:t xml:space="preserve">线上融资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中标人可凭政府采购合同办理融资贷款，详情见江苏政府采购网“政采贷”专栏。</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28.</w:t>
      </w:r>
      <w:r>
        <w:rPr>
          <w:rFonts w:ascii="SimSun" w:hAnsi="SimSun" w:eastAsia="SimSun" w:cs="SimSun"/>
          <w:b/>
          <w:color w:val="000000"/>
          <w:sz w:val="24"/>
        </w:rPr>
        <w:t xml:space="preserve">合同履行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28.1</w:t>
      </w:r>
      <w:r>
        <w:rPr>
          <w:rFonts w:ascii="SimSun" w:hAnsi="SimSun" w:eastAsia="SimSun" w:cs="SimSun"/>
          <w:color w:val="000000"/>
          <w:sz w:val="24"/>
        </w:rPr>
        <w:t xml:space="preserve">政府采购合同订立后，合同各方不得擅自变更、中止或者终止合同。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w:t>
      </w:r>
      <w:r>
        <w:rPr>
          <w:rFonts w:ascii="SimSun" w:hAnsi="SimSun" w:eastAsia="SimSun" w:cs="SimSun"/>
          <w:color w:val="000000"/>
          <w:sz w:val="24"/>
        </w:rPr>
        <w:t xml:space="preserve">政府采购合同履行中，采购人需追加与合同标的相同的货物、工程或者服务的，在不改变合同其他条款的前提下，可以与中标人签订补充合同，但所补充合同的采购金额不得超过原采购金额的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八、</w:t>
      </w:r>
      <w:r>
        <w:rPr>
          <w:rFonts w:ascii="SimSun" w:hAnsi="SimSun" w:eastAsia="SimSun" w:cs="SimSun"/>
          <w:b/>
          <w:color w:val="000000"/>
          <w:sz w:val="32"/>
        </w:rPr>
        <w:t xml:space="preserve">质疑与投诉</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29.</w:t>
      </w:r>
      <w:r>
        <w:rPr>
          <w:rFonts w:ascii="SimSun" w:hAnsi="SimSun" w:eastAsia="SimSun" w:cs="SimSun"/>
          <w:b/>
          <w:color w:val="000000"/>
          <w:sz w:val="24"/>
        </w:rPr>
        <w:t xml:space="preserve">质疑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29.1</w:t>
      </w:r>
      <w:r>
        <w:rPr>
          <w:rFonts w:ascii="SimSun" w:hAnsi="SimSun" w:eastAsia="SimSun" w:cs="SimSun"/>
          <w:color w:val="000000"/>
          <w:sz w:val="24"/>
        </w:rPr>
        <w:t xml:space="preserve">供应商认为采购文件、采购过程和中标结果使自己的权益受到损害的，可以在知道或者应知其权益受到损害之日起七个工作日内，</w:t>
      </w:r>
      <w:r>
        <w:rPr>
          <w:rFonts w:ascii="SimSun" w:hAnsi="SimSun" w:eastAsia="SimSun" w:cs="SimSun"/>
          <w:color w:val="000000"/>
          <w:sz w:val="24"/>
          <w:u w:val="none"/>
        </w:rPr>
        <w:t xml:space="preserve">供应商应</w:t>
      </w:r>
      <w:r>
        <w:rPr>
          <w:rFonts w:ascii="SimSun" w:hAnsi="SimSun" w:eastAsia="SimSun" w:cs="SimSun"/>
          <w:color w:val="000000"/>
          <w:sz w:val="24"/>
        </w:rPr>
        <w:t xml:space="preserve">在“苏采云”系统“质疑模块”中向采购人或者其委托的采购代理机构提出质疑。质疑超出采购机构代理范围的，供应商应当向采购人提出。质疑联系部门、联系电话、通讯地址详见采购公告。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w:t>
      </w:r>
      <w:r>
        <w:rPr>
          <w:rFonts w:ascii="SimSun" w:hAnsi="SimSun" w:eastAsia="SimSun" w:cs="SimSun"/>
          <w:color w:val="000000"/>
          <w:sz w:val="24"/>
        </w:rPr>
        <w:t xml:space="preserve">供应商应知其权益受到损害之日，是指：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）对本项目采购文件提出质疑的，为获取采购文件之日或者采购文件公告期限届满之日；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）对本项目采购过程提出质疑的，为各采购程序环节结束之日；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）对本项目中标结果提出质疑的，为中标结果公告期限届满之日。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29.3</w:t>
      </w:r>
      <w:r>
        <w:rPr>
          <w:rFonts w:ascii="SimSun" w:hAnsi="SimSun" w:eastAsia="SimSun" w:cs="SimSun"/>
          <w:color w:val="000000"/>
          <w:sz w:val="24"/>
        </w:rPr>
        <w:t xml:space="preserve">质疑供应商应当是参与所质疑项目采购活动的供应商。潜在供应商已依法获取其可质疑的采购文件的，方可对该文件提出质疑。供应商在法定质疑期内应一次性提出针对同一采购程序环节的质疑。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29.4</w:t>
      </w:r>
      <w:r>
        <w:rPr>
          <w:rFonts w:ascii="SimSun" w:hAnsi="SimSun" w:eastAsia="SimSun" w:cs="SimSun"/>
          <w:color w:val="000000"/>
          <w:sz w:val="24"/>
        </w:rPr>
        <w:t xml:space="preserve">供应商提出质疑应当提交质疑函和必要的证明材料。质疑函的必备内容：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）供应商的姓名或者名称、地址、邮编、联系人及联系电话；</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）质疑项目的名称、编号；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）获取采购文件的时间；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）具体、明确的质疑事项和质疑事项相关的请求；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）事实依据；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）必要的法律依据；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）提出质疑的日期；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）供应商为自然人的，由本人签字；供应商为法人或者其他组织的，应当由法定代表人、主要负责人，或者其授权代表签字或者盖章，并加盖公章；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w:t>
      </w:r>
      <w:r>
        <w:rPr>
          <w:rFonts w:ascii="SimSun" w:hAnsi="SimSun" w:eastAsia="SimSun" w:cs="SimSun"/>
          <w:color w:val="000000"/>
          <w:sz w:val="24"/>
        </w:rPr>
        <w:t xml:space="preserve">采购人在收到质疑函后</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个工作日内作出答复，并以书面形式通知质疑供应商和其他有关供应商，但质疑答复的内容不涉及商业秘密。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30.</w:t>
      </w:r>
      <w:r>
        <w:rPr>
          <w:rFonts w:ascii="SimSun" w:hAnsi="SimSun" w:eastAsia="SimSun" w:cs="SimSun"/>
          <w:b/>
          <w:color w:val="000000"/>
          <w:sz w:val="24"/>
        </w:rPr>
        <w:t xml:space="preserve">投诉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质疑供应商对答复不满意或采购人、采购代理机构未在规定时间内作出答复的，可在答复期满后</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个工作日内向同级财政部门提起投诉。</w:t>
      </w:r>
      <w:r/>
    </w:p>
    <w:p>
      <w:pPr>
        <w:ind w:left="0" w:right="0" w:firstLine="0"/>
        <w:jc w:val="center"/>
        <w:spacing w:before="20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0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第三章资格审查及评标方法</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一、资格审查。</w:t>
      </w:r>
      <w:r/>
    </w:p>
    <w:p>
      <w:pPr>
        <w:ind w:left="0" w:right="0" w:firstLine="7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资格审查人员按照下列指标对各投标人的资格进行审查，未通过审查的为无效标，不参与评标。</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资格审查因素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投标声明及承诺函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信用信息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企业资质</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项目负责人资质</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中小企业声明函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符合招标文件要求</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二、评分办法—最低评标价法</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white"/>
        </w:rPr>
        <w:t xml:space="preserve">（一）评标办法：</w:t>
      </w:r>
      <w:r>
        <w:rPr>
          <w:rFonts w:ascii="FangSong" w:hAnsi="FangSong" w:eastAsia="FangSong" w:cs="FangSong"/>
          <w:color w:val="000000"/>
          <w:sz w:val="24"/>
          <w:highlight w:val="white"/>
        </w:rPr>
        <w:t xml:space="preserve">本项目采用最低评标价法，评标委员会按经评审的有效投标报价由低到高的顺序推荐中标候选人。评审投标价相同的并列。投标文件满足招标文件全部实质性要求且经评审后的有效最低价的投标人为排名第一的中标候选人。</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white"/>
        </w:rPr>
        <w:t xml:space="preserve">（二）符合性审查。</w:t>
      </w:r>
      <w:r>
        <w:rPr>
          <w:rFonts w:ascii="FangSong" w:hAnsi="FangSong" w:eastAsia="FangSong" w:cs="FangSong"/>
          <w:color w:val="000000"/>
          <w:sz w:val="24"/>
          <w:highlight w:val="white"/>
        </w:rPr>
        <w:t xml:space="preserve">评标委员会首先按照下列指标对各投标人的投标文件进行符合性审查，未通过审查的为无效标，不再参与评审。</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6"/>
        <w:gridCol w:w="4678"/>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开标一览表及投标报价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格式、填写要求符合招标文件规定</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符合招标文件要求</w:t>
            </w:r>
            <w:r/>
          </w:p>
        </w:tc>
      </w:tr>
    </w:tbl>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 </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white"/>
        </w:rPr>
        <w:t xml:space="preserve">（三）详细评审。</w:t>
      </w:r>
      <w:r>
        <w:rPr>
          <w:rFonts w:ascii="FangSong" w:hAnsi="FangSong" w:eastAsia="FangSong" w:cs="FangSong"/>
          <w:color w:val="000000"/>
          <w:sz w:val="24"/>
          <w:highlight w:val="white"/>
        </w:rPr>
        <w:t xml:space="preserve">评标委员会按照招标文件规定的评审标准，对各投标文件进行进一步评审和比较。 </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white"/>
        </w:rPr>
        <w:t xml:space="preserve">（四）评标结果。</w:t>
      </w:r>
      <w:r>
        <w:rPr>
          <w:rFonts w:ascii="FangSong" w:hAnsi="FangSong" w:eastAsia="FangSong" w:cs="FangSong"/>
          <w:color w:val="000000"/>
          <w:sz w:val="24"/>
          <w:highlight w:val="white"/>
        </w:rPr>
        <w:t xml:space="preserve">评标委员会按照本办法规定推荐中标候选人，并形成评标报告。</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第四章</w:t>
      </w:r>
      <w:r>
        <w:rPr>
          <w:rFonts w:ascii="Calibri" w:hAnsi="Calibri" w:eastAsia="Calibri" w:cs="Calibri"/>
          <w:b/>
          <w:color w:val="000000"/>
          <w:sz w:val="44"/>
        </w:rPr>
        <w:t xml:space="preserve">  </w:t>
      </w:r>
      <w:r>
        <w:rPr>
          <w:rFonts w:ascii="SimSun" w:hAnsi="SimSun" w:eastAsia="SimSun" w:cs="SimSun"/>
          <w:b/>
          <w:color w:val="000000"/>
          <w:sz w:val="44"/>
        </w:rPr>
        <w:t xml:space="preserve">采购需求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项目属性：服务类项目。</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本项目采购标的对应的中小企业划分标准所属行业：其他未列明行业。</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w:t>
      </w:r>
      <w:r>
        <w:rPr>
          <w:rFonts w:ascii="SimSun" w:hAnsi="SimSun" w:eastAsia="SimSun" w:cs="SimSun"/>
          <w:color w:val="000000"/>
          <w:sz w:val="28"/>
          <w:u w:val="single"/>
        </w:rPr>
        <w:t xml:space="preserve">不接收</w:t>
      </w:r>
      <w:r>
        <w:rPr>
          <w:rFonts w:ascii="SimSun" w:hAnsi="SimSun" w:eastAsia="SimSun" w:cs="SimSun"/>
          <w:color w:val="000000"/>
          <w:sz w:val="28"/>
        </w:rPr>
        <w:t xml:space="preserve">（接受/不接受）进口产品。</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一、项目概况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经开区内基础设施完善，发展要素优势明显，纺织服装、装备制造、电子通讯、健康医疗等产业已成规模，先后荣获“全国知识产权试点园区”、“全国纺织产业转移示范园区”、“中国最具投资潜力开发区”、“省级生态园区”等称号。 目前，全区自然院落工业企业581家，规模企业383家，出租企业共计164家，承租户882家，其中生产型“厂中厂”187家。粉尘涉爆企业34家，高温熔融企业21家，多层厂房劳动密集型企业67家，危化品使用企业128家，重大危险源4个，危化品重点监管工艺3家，燃气重大风险点2处，高层住宅公寓区4个，群租</w:t>
      </w:r>
      <w:r>
        <w:rPr>
          <w:rFonts w:ascii="SimSun" w:hAnsi="SimSun" w:eastAsia="SimSun" w:cs="SimSun"/>
          <w:color w:val="000000"/>
          <w:sz w:val="28"/>
        </w:rPr>
        <w:t xml:space="preserve">房2家，存在有限空间企业102家。</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二、项目内容</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本项目内容应至少包括如下内容：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在经开区管委会领导下对沭阳经济技术开发区（含循环经济产业园、沭阳现代纺织服装集聚区）所有企业进行全面安全风险辨识、隐患摸底日常检查、专项整治检查、安全培训、应急演练、总体应急预案编制、总体安全生产风险评价，建立经开区企业的安全信息档案，并协助完成隐患整治验收；对经开区企业的生产安全检查中发现的安全隐患提出整改意见，建立企业日常检查档案；组织开展企业安全培训教育，指导、协助企业开展安全文化建设，提升企业安全生产水平，为经开区管委会行政管理人员提供政策法规和标准解读，组织开展安全生产讲座。实现企业安全检查全覆盖</w:t>
      </w:r>
      <w:r>
        <w:rPr>
          <w:rFonts w:ascii="SimSun" w:hAnsi="SimSun" w:eastAsia="SimSun" w:cs="SimSun"/>
          <w:color w:val="000000"/>
          <w:sz w:val="28"/>
        </w:rPr>
        <w:t xml:space="preserve">（重点企业不低于4次，一般企业不低于2次，总计不低于1600家次/年）、安全教育培训不低于70次，中标供应商在服务期间根据采购人安全生产实际工作需要开展各项工作。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三、技术要求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通过全面开展安全生产标准化建设工作，全面加强安全管理，指导、协助企业开展安全文化建设，提升企业安全生产水平。建立经开区企业隐患排查治理、自动化控制、重大危险源管理、安全培训等方面的安全监管信息档案。加强对经开区内涉及“两重点一重大”企业的安全监管，强化对重大危险源的监控，严格落实重大危险源辨识、评价、登记、申报以及备案等规定。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督促企业把隐患排查治理作为安全生产风险管理要素的重要内容，建立健全全员参与的隐患排查治理工作制度，定期组织开展隐患排查治理，做到横向到边、纵向到底、全面覆盖，确保各类安全生产隐患能够及时发现、及时整改，防止隐患演变为事故。对不符合安全生产要求，隐患严重而且难以整改的企业，要及时上报经开区安全主管部门。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1.专项整治。协助经开区进行安全生产专项整治，建立专项安全信息档案，提出安全生产管理重点，协助制定企业专项整治治理方案并出具报告。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专家诊断。对经开区企业进行安全生产诊断，对照国家以及江苏省相关最新要求，组织对经开区所有企业进行全面排查摸底，评估企业风险等级（红、黄、橙、蓝），建立企业安全信息档案，提出企业安全生产管理重点，制定一企一策安全治理方案，出具诊断报告，做到一企一档（4 份），并协助完成整治验收，全面提升经开区企业安全状况。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3.日常检查。对企业生产安全开展日常巡检，对企业的生产工艺、设备设施中存在的安全隐患和检维修现场提出整改意见，建立企业日常检查档案，并做到一企一档（4 份）。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检查频率：中标供应商在服务期间根据采购人安全生产实际工作需要开展各项工作，对区内重点企业每年检查不低于4次，一般企业每年检查不低于2次，总计不低于1600家次/年，对上一次检查中发现的问题需进行复查。</w:t>
      </w:r>
      <w:r/>
    </w:p>
    <w:p>
      <w:pPr>
        <w:ind w:left="0" w:right="0" w:firstLine="2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检查主要内容包括：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合法、合规性检查。检查企业安全生产管理制度和操作规程的建立、落实情况；检查企业生产行政许可、备案办理情况；检查危化品企业的安全评价情况；检查建筑使用性质许可手续情况；检查人员持证情况； 安全管理人员配备情况等。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（2）安全设施检查。检查相应的防火、防爆、防毒、防雷、防静电、报警、安全标志等安全设施。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（3）应急设施检查。检查企业的报警系统、消防设施、应急物资的配备及应急演练情况。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（4）检维修现场管理。在检查过程中，对检查日常检维修作业现场的安全措施落实情况进行检查，对存在“三违”现象及时纠正。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特殊作业检查。检查检维修作业、高处作业、临时起重作业、拆除作业、受限空间作业、临时用电作业、动土作业、临时动火作业现场的安全措施落实情况；如果作业人员为外来人员，对外来施工队伍资质及特种作业人员资质、安全管理协议签订、培训教育、危害告知、安全技术交底等相关资料的审查。对开车前安全条件确认检查表、系统气密置换及设备空试记录、装置开车方案、操作规程和应急预案、操作人员培训记录、开车前隐患排查与整改记录、停车方案、停车操作记录等内容进行审查。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（6）特种设备监管。对企业的特种设备台账档案、特种设备及安全附件、安全保护装置、测量调控装置及有关附属仪器仪表定期校验情况，特种操作人员资格证书进行审查。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（7）重大危险源监管。检查审核企业重大危险源的评估情况，安全管控情况。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（8）生产过程检查。操作人员规范操作情况。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（9）变更管理检查。检查生产工艺、设备的变更是否有申请、审批、变更验收，是否对变更过程中产生的风险进行分析，制定控制措施。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（10）高危工艺自动化设计、运行情况。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企业环境保护设施设备安全检查。对企业的安全设施设备是否需要办理安全手续、安全间距是否符合规范要求、日常安全管理过程是否存在安全事故隐患进行审查。针对每轮检查，对同类企业存在的主要问题和共性问题进行总结归纳，并以课件形式剖析讲解，提出可行性建议。督促指导企业安全隐患整改，形成一企一策材料， 对检查情况形成闭环管理。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（12）指导企业开展安全生产“六化”建设，重点工贸企业、双点（帮扶点、教学点）提升。</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特殊作业第三方培训指导。危险等级较大企业在特殊作业及外来施工作业前，由企业提出申请，第三方安全技术服务机构指派2名以上专家到企业现场对作业进行指导，开展第三方监管，符合作业条件后，企业方可按照要求开展相关作业。对开停车过程安全生产条件进行检查、指导和确认。检查外来施工队伍资质及特种作业人员资质、明确安全管理协议签订、工作告知、安全交底等相关资料的审查，对施工方案进行指导。 </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6.安全培训。对照国家以及江苏省相关最新要求，为经开区企业提供“安全大讲堂”定制培训服务，1 年至少 70 次。主要包括：为经开区企业提供“安全大讲堂”专项培训，包括经开区安全监管人员、企业主要负责人、企业安全管理人员、企业特种作业人员等，提升企业安全意识、安全管理水平。 </w:t>
      </w:r>
      <w:r/>
    </w:p>
    <w:p>
      <w:pPr>
        <w:ind w:left="0" w:right="0" w:firstLine="2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7.其他检查。配合经开区管委会、区安监局安排。</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四、人员配备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1.在中标后自行配备开展安全管家服务工作相关等配套设施。经开区以及安监部门有需求时能及时响应。</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经开区安全生产监管目前划分5个片区，每个片区须有专人提供技术服务，交通工具自备。须保证提供服务期间的采购人需求且能及时响应到场检查等工作，项目组成员必须具备有效的中级及以上注册安全工程师或安全评价师(其中至少配备一名化工安全专业），中标后须提供相关证书、劳动合同及投标截止时间前任意一个月的养老保险证明。在沭工作期间人员保证相对稳定，原则上不允许变动。</w:t>
      </w:r>
      <w:r/>
    </w:p>
    <w:p>
      <w:pPr>
        <w:ind w:left="0" w:right="0" w:firstLine="2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3.工作时间为周一至周五，每天按时打卡；遇节假日和周末必须保障经开区安全工作需要，派专人值班。除安全生产基本工作外，需在区内配合开展安全生产专项整治检查。 </w:t>
      </w:r>
      <w:r/>
    </w:p>
    <w:p>
      <w:pPr>
        <w:ind w:left="0" w:right="0" w:firstLine="2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4.签订合同后，中标人不能提供人员服务的，采购人有权没收履约保证金并终止合同。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五、付款方式</w:t>
      </w:r>
      <w:r>
        <w:rPr>
          <w:rFonts w:ascii="SimSun" w:hAnsi="SimSun" w:eastAsia="SimSun" w:cs="SimSun"/>
          <w:color w:val="000000"/>
          <w:sz w:val="28"/>
        </w:rPr>
        <w:t xml:space="preserve"> </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合同签订且招标人完成资金付款审批流程，收到供应商发票后 15 日内付合同价10%的预付款；服务每满半年，按考核结果支付合同价款，服务期满，资料交付经开区管委会后按考核结果付清余款。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采购人可以采用数字人民币方式支付合同款。</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备注：1.本协议结算币种：人民币 </w:t>
      </w:r>
      <w:r/>
    </w:p>
    <w:p>
      <w:pPr>
        <w:ind w:left="0" w:right="0" w:firstLine="8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2.本协议结算期间：不计息 </w:t>
      </w:r>
      <w:r/>
    </w:p>
    <w:p>
      <w:pPr>
        <w:ind w:left="0" w:right="0" w:firstLine="8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3.每次支付需乙方出具申请书，在甲方履行完相关资金审批程序后，乙方凭正式发票领款。 </w:t>
      </w:r>
      <w:r/>
    </w:p>
    <w:p>
      <w:pPr>
        <w:ind w:left="0" w:right="0" w:firstLine="8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4、在签订合同时，中标人明确表示无需预付款或者主动要求降低预付款比例的金额，采购人可不适用预付款规定。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六、质量要求 </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根据招标人制定的企业安全管家考核办法，成绩合格。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七、考核标准与惩罚 </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中标后按照按采购文件要求收取履约保证金，按考核结果支付合同款；考评不合格的扣除应付合同款的10%-30%，并按招标人要求整改到位；两次考核均不合格的、发生生产安全事故因履约不到位存在重大过错的、采购人有权终止合同并扣除履约保证金，报送相关部门纳入不良信誉管理。考核标准在中标后由招标人制定。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八、建立健全安全责任制 </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中标人有责任在本项目服务期间，务必按相关规定做好安全防护工作，为现场工作人员购买意外险，负责处理产生的一切安全责任，安全责任由中标人自负。 服务期间，包括但不限于上下班期间所有工伤、意外、人身伤害、财产损失、用工人员劳资纠纷等均由中标人承担，与采购人无关。</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九、服务期限：</w:t>
      </w:r>
      <w:r>
        <w:rPr>
          <w:rFonts w:ascii="SimSun" w:hAnsi="SimSun" w:eastAsia="SimSun" w:cs="SimSun"/>
          <w:color w:val="000000"/>
          <w:sz w:val="28"/>
        </w:rPr>
        <w:t xml:space="preserve">自合同签订之日起2年。</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十、验收</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采购人在服务期满前30天内，组织专家组考评小组，按照采购合同的约定对供应商履约情况进行验收，按照考评结果出具当年度服务验收报告并支付合同款。</w:t>
        <w:br w:type="page" w:clear="all"/>
      </w:r>
      <w:r/>
    </w:p>
    <w:p>
      <w:pPr>
        <w:ind w:left="0" w:right="0" w:firstLine="0"/>
        <w:jc w:val="center"/>
        <w:spacing w:before="20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w:t>
      </w:r>
      <w:r>
        <w:rPr>
          <w:rFonts w:ascii="Calibri" w:hAnsi="Calibri" w:eastAsia="Calibri" w:cs="Calibri"/>
          <w:b/>
          <w:color w:val="000000"/>
          <w:sz w:val="44"/>
        </w:rPr>
        <w:t xml:space="preserve">  </w:t>
      </w:r>
      <w:r>
        <w:rPr>
          <w:rFonts w:ascii="SimSun" w:hAnsi="SimSun" w:eastAsia="SimSun" w:cs="SimSun"/>
          <w:b/>
          <w:color w:val="000000"/>
          <w:sz w:val="44"/>
        </w:rPr>
        <w:t xml:space="preserve">合同文本</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技 术 合 同 书</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（技术开发/技术服务/技术咨询/技术转让）</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rPr>
          <w:rFonts w:ascii="SimSun" w:hAnsi="SimSun" w:eastAsia="SimSun" w:cs="SimSun"/>
          <w:color w:val="000000"/>
          <w:sz w:val="28"/>
          <w:u w:val="single"/>
        </w:rPr>
        <w:t xml:space="preserve">                                </w:t>
      </w:r>
      <w:r>
        <w:rPr>
          <w:rFonts w:ascii="SimSun" w:hAnsi="SimSun" w:eastAsia="SimSun" w:cs="SimSun"/>
          <w:color w:val="000000"/>
          <w:sz w:val="28"/>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w:t>
      </w:r>
      <w:r>
        <w:rPr>
          <w:rFonts w:ascii="SimSun" w:hAnsi="SimSun" w:eastAsia="SimSun" w:cs="SimSun"/>
          <w:color w:val="000000"/>
          <w:sz w:val="28"/>
          <w:u w:val="single"/>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w:t>
      </w:r>
      <w:r>
        <w:rPr>
          <w:rFonts w:ascii="SimSun" w:hAnsi="SimSun" w:eastAsia="SimSun" w:cs="SimSun"/>
          <w:color w:val="000000"/>
          <w:sz w:val="28"/>
          <w:u w:val="single"/>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签约日期：</w:t>
      </w:r>
      <w:r>
        <w:rPr>
          <w:rFonts w:ascii="SimSun" w:hAnsi="SimSun" w:eastAsia="SimSun" w:cs="SimSun"/>
          <w:color w:val="000000"/>
          <w:sz w:val="28"/>
          <w:u w:val="single"/>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签约地点：</w:t>
      </w:r>
      <w:r>
        <w:rPr>
          <w:rFonts w:ascii="SimSun" w:hAnsi="SimSun" w:eastAsia="SimSun" w:cs="SimSun"/>
          <w:color w:val="000000"/>
          <w:sz w:val="28"/>
          <w:u w:val="single"/>
        </w:rPr>
        <w:t xml:space="preserve">                                 </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江苏省科学技术局</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制定</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江苏省工商行政管理局</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填写说明</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一、根据中华人民共和国民法典，经当事人双方协商签订本合同。</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二、本合同依法签订，经当事人双方盖章，法定代表人和代理人签字，管理部门登记盖章，即具有法律效力，任何一方不按合同规定履行，按合同法有关条款规定和当事人约定，承担经济责任。</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三、合同如因故需要变更，经双方当事人协商一致后，可以订立补充或修改的书面协议，双方签字加盖公章，报技术市场管理办公室备案，作为正式合同的补充条款，具有同等的法律效力。</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四、项目完成后，经当事人双方按合同所规定的技术标准和方法验收。</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五、技术合同发生纠纷，经调解、协商不成，当事人双方，可依据合同约定或事后协议向经济合同仲裁机构或技术合同仲裁机构申请仲裁，也可直接向人民法院起诉。</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六、本合同正本一式四份，甲、乙双方各两份；副本4份，其中包括中介方、登记机关各一份。如需鉴证，鉴证机关一份。</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七、技术合同的甲方：指技术合同的委托方和受让方；乙方指技术合同的研究开发方、转让方、顾问方和服务方。</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八、技术合同种类同分为：技术开发合同；技术转让合同；技术咨询合同和技术服务合同。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2"/>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技术服务合同</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甲方（招标单位）：</w:t>
      </w:r>
      <w:r>
        <w:rPr>
          <w:rFonts w:ascii="SimSun" w:hAnsi="SimSun" w:eastAsia="SimSun" w:cs="SimSun"/>
          <w:color w:val="000000"/>
          <w:sz w:val="28"/>
          <w:u w:val="single"/>
        </w:rPr>
        <w:t xml:space="preserve">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乙方（中标单位）：</w:t>
      </w:r>
      <w:r>
        <w:rPr>
          <w:rFonts w:ascii="SimSun" w:hAnsi="SimSun" w:eastAsia="SimSun" w:cs="SimSun"/>
          <w:color w:val="000000"/>
          <w:sz w:val="28"/>
          <w:u w:val="single"/>
        </w:rPr>
        <w:t xml:space="preserve">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本合同甲方委托乙方开展</w:t>
      </w:r>
      <w:r>
        <w:rPr>
          <w:rFonts w:ascii="SimSun" w:hAnsi="SimSun" w:eastAsia="SimSun" w:cs="SimSun"/>
          <w:color w:val="000000"/>
          <w:sz w:val="28"/>
          <w:u w:val="single"/>
        </w:rPr>
        <w:t xml:space="preserve">                      </w:t>
      </w:r>
      <w:r>
        <w:rPr>
          <w:rFonts w:ascii="SimSun" w:hAnsi="SimSun" w:eastAsia="SimSun" w:cs="SimSun"/>
          <w:color w:val="000000"/>
          <w:sz w:val="28"/>
        </w:rPr>
        <w:t xml:space="preserve">，并支付相应的技术服务报酬。双方经过平等协商，在真实、充分地表达各自意愿的基础上，根据《中华人民共和国民法典》的规定，达成如下协议，并由双方共同恪守。</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第一条甲方委托乙方进行技术服务的内容如下：</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在经开区管委会领导下对沭阳经济技术开发区（含循环经济产业园、沭阳现代纺织服装集聚区）所有企业进行全面安全风险辨识、隐患摸底日常检查、专项整治检查、安全培训、应急演练、总体应急预案编制、总体安全生产风险评价，建立经开区企业的安全信息档案，并协助完成隐患整治验收；对经开区企业的生产安全检查中发现的安全隐患提出整改意见，建立企业日常检查档案；组织开展企业安全培训教育，指导、协助企业开展安全文化建设，提升企业安全生产水平，为经开区管委会行政管理人员提供政策法规和标准解读，组织开展安全生产讲座。实现企业安全检查全覆盖</w:t>
      </w:r>
      <w:r>
        <w:rPr>
          <w:rFonts w:ascii="SimSun" w:hAnsi="SimSun" w:eastAsia="SimSun" w:cs="SimSun"/>
          <w:color w:val="000000"/>
          <w:sz w:val="28"/>
        </w:rPr>
        <w:t xml:space="preserve">（重点企业不低于4次，一般企业不低于2次，总计不低于1600家次/年）、安全教育培训不低于70次，中标供应商在服务期间根据采购人安全生产实际工作需要开展各项工作。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1.技术服务的目标：对经开区企业开展安全管理工作并组织安全培训，根据甲方制定的企业安全管家考核办法，成绩合格。</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2.技术服务的内容：</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通过全面开展安全生产标准化建设工作，全面加强安全管理，指导、协助企业开展安全文化建设，提升企业安全生产水平。建立经开区企业隐患排查治理、自动化控制、重大危险源管理、安全培训等方面的安全监管信息档案。加强对经开区内涉及“两重点一重大”企业的安全监管，强化对重大危险源的监控，严格落实重大危险源辨识、评价、登记、申报以及备案等规定。</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督促企业把隐患排查治理作为安全生产风险管理要素的重要内容，建立健全全员参与的隐患排查治理工作制度，定期组织开展隐患排查治理，做到横向到边、纵向到底、全面覆盖，确保各类安全生产隐患能够及时发现、及时整改，防止隐患演变为事故。对不符合安全生产要求，隐患严重而且难以整改的企业，要及时上报经开区安全主管部门。</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2.1专项整治。协助经开区进行安全生产专项整治，建立专项安全信息档案，提出安全生产管理重点，协助制定企业专项整治治理方案并出具报告。</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专家诊断。对经开区企业进行安全生产诊断，对照国家以及江苏省相关最新要求，组织对经开区所有企业进行全面排查摸底，评估企业风险等级（红、黄、橙、蓝），建立企业安全信息档案，提出企业安全生产管理重点，制定一企一策安全治理方案，出具诊断报告，做到一企一档（4 份），并协助完成整治验收，全面提升经开区企业安全状况。</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2.3日常检查。对企业生产安全开展日常巡检，对企业的生产工艺、设备设施中存在的安全隐患和检维修现场提出整改意见，建立企业日常检查档案，并做到一企一档（4 份）。</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2.4检查频率：中标供应商在服务期间根据采购人安全生产实际工作需要开展各项工作，对区内重点企业每年检查不低于4次，一般企业每年检查不低于2次，总计不低于1600家次/年；对上一次检查中发现的问题需进行复查。</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检查主要内容包括：</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合法、合规性检查。检查企业安全生产管理制度和操作规程的建立、落实情况；检查企业生产行政许可、备案办理情况；检查安全“三同时”办理情况；检查危化品企业的安全评价情况；检查建筑使用性质许可手续情况；检查人员持证情况；安全管理人员配备情况等。</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（2）安全设施检查。检查相应的防火、防爆、防毒、防雷、防静电、报警、安全标志等安全设施。</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（3）应急设施检查。检查企业的报警系统、消防设施、应急物资的配备及应急演练情况。</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（4）检维修现场管理。在检查过程中，对检查日常检维修作业现场的安全措施落实情况进行检查，对存在“三违”现象及时纠正。</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特殊作业检查。检查检维修作业、高处作业、临时起重作业、拆除作业、受限空间作业、临时用电作业、动土作业、临时动火作业现场的安全措施落实情况；如果作业人员为外来人员，对外来施工队伍资质及特种作业人员资质、安全管理协议签订、培训教育、危害告知、安全技术交底等相关资料的审查。对开车前安全条件确认检查表、系统气密置换及设备空试记录、装置开车方案、操作规程和应急预案、操作人员培训记录、开车前隐患排查与整改记录、停车方案、停车操作记录等内容进行审查。</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（6）特种设备监管。对企业的特种设备台账档案、特种设备及安全附件、安全保护装置、测量调控装置及有关附属仪器仪表定期校验情况，特种操作人员资格证书进行审查。</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（7）重大危险源监管。检查审核企业重大危险源的评估情况，安全管控情况。</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（8）生产过程检查。操作人员规范操作情况。</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（9）变更管理检查。检查生产工艺、设备的变更是否有申请、审批、变更验收，是否对变更过程中产生的风险进行分析，制定控制措施。</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（10）高危工艺自动化设计、运行情况。</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企业环境保护设施设备安全检查。对企业的安全设施设备是否需要办理安全手续、安全间距是否符合规范要求、日常安全管理过程是否存在安全事故隐患进行审查。针对每轮检查，对同类企业存在的主要问题和共性问题进行总结归纳，并以课件形式剖析讲解，提出可行性建议。督促指导企业安全隐患整改，形成一企一策材料，对检查情况形成闭环管理。</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（12）指导企业开展安全生产“六化”建设，重点工贸企业、双点（帮扶点、教学点）提升。</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2.5特殊作业第三方培训指导。危险等级较大企业在特殊作业及外来施工作业前，由企业提出申请，第三方安全技术服务机构指派2名以上专家到企业现场对作业进行指导，开展第三方监管，符合作业条件后，企业方可按照要求开展相关作业。对开停车过程安全生产条件进行检查、指导和确认。检查外来施工队伍资质及特种作业人员资质、明确安全管理协议签订、工作告知、安全交底等相关资料的审查，对施工方案进行指导。</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2.6安全培训。对照国家以及江苏省相关最新要求，为经开区企业提供“安全大讲堂”定制培训服务，1 年至少 70 次。主要包括：为经开区企业提供“安全大讲堂”专项培训，包括经开区安全监管人员、企业主要负责人、企业安全管理人员、企业特种作业人员等，提升企业安全意识、安全管理水平。</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2.7其他检查。配合经开区管委会、区安监局安排。</w:t>
      </w:r>
      <w:r/>
    </w:p>
    <w:p>
      <w:pPr>
        <w:ind w:left="480" w:right="0" w:firstLine="0"/>
        <w:jc w:val="both"/>
        <w:spacing w:before="0" w:after="0" w:line="47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3.技术服务的方式：国内外相关技术、事故资料的收集整理；现场调研、测试；企业日常检查诊断书。</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4.技术服务的对象及范围：沭阳经济技术开发区（含循环经济产业园、沭阳现代纺织服装集聚区）。</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第二条乙方应按下列要求完成技术服务工作：</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1.技术服务地点：</w:t>
      </w:r>
      <w:r>
        <w:rPr>
          <w:rFonts w:ascii="SimSun" w:hAnsi="SimSun" w:eastAsia="SimSun" w:cs="SimSun"/>
          <w:color w:val="000000"/>
          <w:sz w:val="28"/>
          <w:u w:val="single"/>
        </w:rPr>
        <w:t xml:space="preserve">沭阳经济技术开发区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2.技术服务期限：</w:t>
      </w:r>
      <w:r>
        <w:rPr>
          <w:rFonts w:ascii="SimSun" w:hAnsi="SimSun" w:eastAsia="SimSun" w:cs="SimSun"/>
          <w:color w:val="000000"/>
          <w:sz w:val="28"/>
          <w:u w:val="single"/>
        </w:rPr>
        <w:t xml:space="preserve">2年</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3.技术服务进度：</w:t>
      </w:r>
      <w:r>
        <w:rPr>
          <w:rFonts w:ascii="SimSun" w:hAnsi="SimSun" w:eastAsia="SimSun" w:cs="SimSun"/>
          <w:color w:val="000000"/>
          <w:sz w:val="28"/>
          <w:u w:val="single"/>
        </w:rPr>
        <w:t xml:space="preserve">企业安全管家按计划逐月推进。若因甲方原因延误，则顺延。</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4.技术服务质量要求：</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根据招标人制定的企业安全管家考核办法，实行百分制考核，具体见考核细则。</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 人员配备</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5.1在中标后自行配备开展安全管家服务工作相关等配套设施。经开区以及安监部门有需求时能及时响应。</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5.2经开区安全生产监管目前划分5个片区，每个片区须有专人提供技术服务，交通工具自备。根据项目内容及目标投标人综合考虑配备项目组成员数量、办公地点及交通工具，须保证提供服务期间的采购人需求且能及时响应到场检查等工作，项目组成员必须具备有效的中级及以上注册安全工程师或安全评价师(其中至少配备一名化工安全专业），中标后须提供相关证书、劳动合同及投标截止时间前任意一个月的养老保险证明。在沭工作期间人员保证相对稳定，原则上不允许变动。</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5.3工作时间为周一至周五，每天按时打卡；遇节假日和周末必须保障经开区安全工作需要，派专人值班。除安全生产基本工作外，需在区内配合开展安全生产专项整治检查。</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5.4签订合同后，中标人不能提供人员服务的，采购人有权取消其中标资格。</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6.企业安全管家考核标准与惩罚：</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中标后按照按采购文件要求收取履约保证金，按考核结果支付合同款；考评不合格的扣除应付合同款的</w:t>
      </w:r>
      <w:r>
        <w:rPr>
          <w:rFonts w:ascii="SimSun" w:hAnsi="SimSun" w:eastAsia="SimSun" w:cs="SimSun"/>
          <w:color w:val="000000"/>
          <w:sz w:val="28"/>
          <w:u w:val="single"/>
        </w:rPr>
        <w:t xml:space="preserve">    </w:t>
      </w:r>
      <w:r>
        <w:rPr>
          <w:rFonts w:ascii="SimSun" w:hAnsi="SimSun" w:eastAsia="SimSun" w:cs="SimSun"/>
          <w:color w:val="000000"/>
          <w:sz w:val="28"/>
        </w:rPr>
        <w:t xml:space="preserve">%，并按招标人要求整改到位；两次考核均不合格的、发生生产安全事故因履约不到位存在重大过错的、采购人有权终止合同并扣除履约保证金，报送相关部门纳入不良信誉管理。考核标准在中标后由招标人制定。</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7.建立健全安全责任制</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有责任在本项目服务期间，务必按相关规定做好安全防护工作，为现场工作人员购买意外险，负责处理产生的一切安全责任，安全责任由乙方自负。服务期间，包括但不限于上下班期间所有工伤、意外、人身伤害、财产损失、用工人员劳资纠纷等均由乙方承担，与甲方无关。</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第三条为保证乙方有效进行技术服务工作，甲方应当向乙方提供下列工作条件和协作事项：</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1.提供技术资料：</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（1）经开区涉及的有关政府部门文件</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（2）经开区内企业基本信息</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（3）其它所需的资料</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提供技术资料的具体名称由乙方在本协议签订后三日内书面告知甲方，甲方按乙方列明内容提供。</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2.提供工作条件：甲方应为乙方调研、召开会议等做好联系、安排和会务组织等配合，协助提供当地交通、食宿、会议等便利工作条件，费用由乙方负责。</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3.甲方保留对工作内容、范围及深度等进行适当调整的权利。</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第四条履约保证金</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本项目履约保证金金额：履约保证金应在采购合同签订前提交，履约保证金的金额：按采购合同总价的5%计取。除银行电汇、网上银行外，供应商还可选用银行保函、担保公司的保证担保或保险公司的保证保险等多种形式向采购人缴纳。</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履约保证金退还的方式：以银行电汇、网上银行形式缴纳履约保证金的，原路退回至供应商缴款账户（不计利息）；以保函、担保、保险等形式缴纳履约保证金的，在保函、担保、保险约定的保证期限届满之日起自行失效。</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3.履约保证金退还的条件：项目履约期满评价合格，出具履约评价报告及履约保证金收据申请退付。</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4.履约保证金退还时间：采购单位收到供应商退付申请后5个工作日内退还。</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履约保证金不予退还情形：除不可抗力外，供应商不履行与采购人订立的采购合同的，履约保证金不予退还，给采购人造成的损失超过履约保证金数额的，还应当对超过部分予以赔偿；采购合同约定的其他情形。</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6.逾期退还履约保证金的违约责任：除应当退还履约保证金外，还应当按中国人民银行同期贷款基准利率上浮20％后的利率支付超期资金占用费，但因供应商自身原因导致无法及时退还的除外。</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第五条甲方向乙方支付技术服务报酬及支付方式为：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1.技术服务费总额为：</w:t>
      </w:r>
      <w:r>
        <w:rPr>
          <w:rFonts w:ascii="SimSun" w:hAnsi="SimSun" w:eastAsia="SimSun" w:cs="SimSun"/>
          <w:color w:val="000000"/>
          <w:sz w:val="28"/>
          <w:u w:val="single"/>
        </w:rPr>
        <w:t xml:space="preserve">      </w:t>
      </w:r>
      <w:r>
        <w:rPr>
          <w:rFonts w:ascii="SimSun" w:hAnsi="SimSun" w:eastAsia="SimSun" w:cs="SimSun"/>
          <w:color w:val="000000"/>
          <w:sz w:val="28"/>
        </w:rPr>
        <w:t xml:space="preserve">元。此价格是固定价，包括乙方为完成本合同所需文件、设备使用、人员工资、差旅费、税金等全部费用。如果项目的工作范围发生变更，双方将在协商一致的前提下对项目的工作内容和项目费用进行变更并另行签署补充协议。</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具体支付方式和时间如下：</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服务每满半年，按考核结果支付合同价款，服务期满，资料交付经开区管委会后按考核结果付清余款。</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采购人可以采用数字人民币方式支付合同款。</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备注：1.本协议结算币种：人民币</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2.本协议结算期间：不计息</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3.每次支付需乙方出具申请书，在甲方履行完相关资金审批程序后，乙方凭正式发票领款。</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4.在签订合同时，中标人明确表示无需预付款或者主动要求降低预付款比例的金额，采购人可不适用预付款规定。</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第六条保密义务</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乙双方应对本合同履行过程中涉及的相关资料、数据及其它信息履行保密义务，未经对方书面同意，不得向除项目业主之外的任何第三方泄露，保密期为5年，但成果评审会和向政府报批除外。乙方若违反本合同约定的保密义务，甲方有权单方解除本合同，并要求赔偿。</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第七条交付和验收</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双方确定以上列标准和方式对乙方的技术服务工作成果进行验收：</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1.乙方完成技术服务工作的形式：企业安全信息监管档案。</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2.技术服务工作成果的验收标准：根据招标人制定的企业安全管家考核办法，成绩合格。</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3.技术服务工作成果的验收方法：企业安全管家考核办法</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4.验收的时间和地点：双方另行商定。</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第八条知识产权所有</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1.在本合同有效期内，甲方利用乙方提交的技术服务工作成果所完成的新的技术成果，归甲方所有。</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2.在本合同有效期内，乙方利用甲方提供的技术资料和工作条件所完成的新的技术成果，归双方所有。</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第九条违约责任</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1、甲方无正当理由拒收服务、拒付服务款的，由甲方向乙方偿付合同总价的 5%违约金。</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2、如乙方不能交付服务的，甲方有权扣留全部履约保证金；同时乙方应向甲方支付相应的违约金。</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3、乙方逾期交付的，每逾期1天，乙方向甲方偿付合同总额的 5‰的滞纳金。如乙方逾期交付达10天，甲方有权解除合同。</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4、乙方所交付的服务不符合合同规定的，甲方有权拒收。甲方拒收的，乙方应向甲方支付合同总款 5%的违约金，并赔偿相应的损失。</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5、乙方投标属虚假承诺的，或经权威部门监测提供的服务不能满足招标文件要求的，或是由乙方的过错造成合同无法继续履行的，乙方履约保证金不予退还外，还应向甲方支付不少于合同总价30%的赔偿金。</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6、本项目涉及外部作业活动，作业期间，乙方需按相关规范做好安全防护工作。因安全防护措施不到位引发的一切后果，均由乙方承担。</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第十条项目负责人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双方确定，在合同有效期内，甲方指定</w:t>
      </w:r>
      <w:r>
        <w:rPr>
          <w:rFonts w:ascii="SimSun" w:hAnsi="SimSun" w:eastAsia="SimSun" w:cs="SimSun"/>
          <w:color w:val="000000"/>
          <w:sz w:val="28"/>
          <w:u w:val="single"/>
        </w:rPr>
        <w:t xml:space="preserve">      </w:t>
      </w:r>
      <w:r>
        <w:rPr>
          <w:rFonts w:ascii="SimSun" w:hAnsi="SimSun" w:eastAsia="SimSun" w:cs="SimSun"/>
          <w:color w:val="000000"/>
          <w:sz w:val="28"/>
        </w:rPr>
        <w:t xml:space="preserve">为甲方项目负责人，乙方指定</w:t>
      </w:r>
      <w:r>
        <w:rPr>
          <w:rFonts w:ascii="SimSun" w:hAnsi="SimSun" w:eastAsia="SimSun" w:cs="SimSun"/>
          <w:color w:val="000000"/>
          <w:sz w:val="28"/>
          <w:u w:val="single"/>
        </w:rPr>
        <w:t xml:space="preserve">      </w:t>
      </w:r>
      <w:r>
        <w:rPr>
          <w:rFonts w:ascii="SimSun" w:hAnsi="SimSun" w:eastAsia="SimSun" w:cs="SimSun"/>
          <w:color w:val="000000"/>
          <w:sz w:val="28"/>
        </w:rPr>
        <w:t xml:space="preserve">为乙方项目负责人。乙方项目负责人必须常驻经开区办公，确保安全工作的开展，未经甲方同意不得离岗。</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（1）如经甲方同意或要求乙方更换后的新任项目负责人无法胜任岗位职责，并因此导致费用增加或服务期延误的，应由乙方承担。</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项目负责人出现以下情形时，视为不称职，发包人可要求承包人更换：①经常行为不轨或不认真，品行不端；②履行职责时不能胜任或玩忽职守；③不遵守合同的规定；④经常出现有损健康与安全的行为；⑤法律法规规定的其他不称职行为或违法行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（3）乙方擅自更换项目负责人的违约责任：乙方未经甲方书面同意自行更换项目负责人的，处以合同价的10%违约金额。</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（4）乙方无正当理由拒绝更换项目负责人的违约责任： 甲方有权单方面解除合同而不承担违约责任。</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一方变更项目负责人的，应当及时以书面形式通知另一方。未及时通知并影响本合同履行或造成损失的，应承担相应的责任。</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第十一条</w:t>
      </w:r>
      <w:r>
        <w:rPr>
          <w:rFonts w:ascii="SimSun" w:hAnsi="SimSun" w:eastAsia="SimSun" w:cs="SimSun"/>
          <w:color w:val="000000"/>
          <w:sz w:val="28"/>
        </w:rPr>
        <w:t xml:space="preserve">  双方确定，出现下列情形，致使本合同的履行成为不必要或不可能的，可以解除本合同：</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1.发生不可抗力。</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第十二条</w:t>
      </w:r>
      <w:r>
        <w:rPr>
          <w:rFonts w:ascii="SimSun" w:hAnsi="SimSun" w:eastAsia="SimSun" w:cs="SimSun"/>
          <w:color w:val="000000"/>
          <w:sz w:val="28"/>
        </w:rPr>
        <w:t xml:space="preserve">  双方因履行本合同而发生的争议，应协商、调解解决。协商、调解不成的，确定按以下第</w:t>
      </w:r>
      <w:r>
        <w:rPr>
          <w:rFonts w:ascii="SimSun" w:hAnsi="SimSun" w:eastAsia="SimSun" w:cs="SimSun"/>
          <w:color w:val="000000"/>
          <w:sz w:val="28"/>
          <w:u w:val="single"/>
        </w:rPr>
        <w:t xml:space="preserve">2 </w:t>
      </w:r>
      <w:r>
        <w:rPr>
          <w:rFonts w:ascii="SimSun" w:hAnsi="SimSun" w:eastAsia="SimSun" w:cs="SimSun"/>
          <w:color w:val="000000"/>
          <w:sz w:val="28"/>
        </w:rPr>
        <w:t xml:space="preserve">种方式处理：</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1.提交沭阳县仲裁委员会仲裁；</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2.依法向沭阳县人民法院起诉。</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第十三条</w:t>
      </w:r>
      <w:r>
        <w:rPr>
          <w:rFonts w:ascii="SimSun" w:hAnsi="SimSun" w:eastAsia="SimSun" w:cs="SimSun"/>
          <w:color w:val="000000"/>
          <w:sz w:val="28"/>
        </w:rPr>
        <w:t xml:space="preserve">  与履行本合同有关的下列技术文件，经双方以 电子邮件或传真方式确认后，为本合同的组成部分，具体文件见本合同第三条。</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第十四条</w:t>
      </w:r>
      <w:r>
        <w:rPr>
          <w:rFonts w:ascii="SimSun" w:hAnsi="SimSun" w:eastAsia="SimSun" w:cs="SimSun"/>
          <w:color w:val="000000"/>
          <w:sz w:val="28"/>
        </w:rPr>
        <w:t xml:space="preserve">  双方约定本合同其他相关事项为：乙方协助甲方根据监管部门要求办理相关事宜。</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第十五条</w:t>
      </w:r>
      <w:r>
        <w:rPr>
          <w:rFonts w:ascii="SimSun" w:hAnsi="SimSun" w:eastAsia="SimSun" w:cs="SimSun"/>
          <w:color w:val="000000"/>
          <w:sz w:val="28"/>
        </w:rPr>
        <w:t xml:space="preserve">  本合同应在甲方、乙方双方签字盖章，并在乙方向甲方缴纳履约保证金后生效。</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甲方（盖章）：乙方（盖章）：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法定代表人或授权代表（签字或签章）：法定代表人或授权代表（签字或签章）：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第六章投标文件格式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（盖</w:t>
      </w:r>
      <w:r>
        <w:rPr>
          <w:rFonts w:ascii="Times New Roman" w:hAnsi="Times New Roman" w:eastAsia="Times New Roman" w:cs="Times New Roman"/>
          <w:b/>
          <w:color w:val="000000"/>
          <w:sz w:val="36"/>
          <w:u w:val="single"/>
        </w:rPr>
        <w:t xml:space="preserve">CA</w:t>
      </w:r>
      <w:r>
        <w:rPr>
          <w:rFonts w:ascii="SimSun" w:hAnsi="SimSun" w:eastAsia="SimSun" w:cs="SimSun"/>
          <w:b/>
          <w:color w:val="000000"/>
          <w:sz w:val="36"/>
          <w:u w:val="single"/>
        </w:rPr>
        <w:t xml:space="preserve">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目录</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一、投标声明及承诺函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二、投标人基本情况</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三、满足特定资格要求的证明文件（如果设置特定资格要求，则需要提供）</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六、投标报价明细表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七、中小企业或残疾人福利性单位声明函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九、项目组成员</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十、企业业绩</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十一、投标所需其他材料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一、投标声明及承诺函</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（采购单位名称）：</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根据已收到的项目编号为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项目的招标文件，我方在参加本项目招投标活动中，特做出如下承诺：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一、我方</w:t>
      </w:r>
      <w:r>
        <w:rPr>
          <w:rFonts w:ascii="SimSun" w:hAnsi="SimSun" w:eastAsia="SimSun" w:cs="SimSun"/>
          <w:color w:val="000000"/>
          <w:sz w:val="24"/>
          <w:highlight w:val="white"/>
        </w:rPr>
        <w:t xml:space="preserve">具备《中华人民共和国政府采购法》第二十二条第一款规定的6项条件；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三、我方按招标文件要求提交投标文件，响应招标文件规定的投标有效期；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四、如果我方的投标文件被接受，我方将按《中华人民共和国民法典（第三编合同）》及其他有关法律、法规的规定，按期、按质、按量交付采购单位，全面做到履约守信；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五、我方若违背本声明及承诺约定，经查实，自愿接受采购人及相关主管部门相应的规定处理，并依法承担相应的法律责任。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六、我方同意采购人、采购代理机构将本声明及承诺函上网公开。</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 </w:t>
      </w:r>
      <w:r>
        <w:rPr>
          <w:rFonts w:ascii="SimSun" w:hAnsi="SimSun" w:eastAsia="SimSun" w:cs="SimSun"/>
          <w:color w:val="000000"/>
          <w:sz w:val="24"/>
          <w:u w:val="single"/>
        </w:rPr>
        <w:t xml:space="preserve">          </w:t>
      </w:r>
      <w:r>
        <w:rPr>
          <w:rFonts w:ascii="SimSun" w:hAnsi="SimSun" w:eastAsia="SimSun" w:cs="SimSun"/>
          <w:color w:val="000000"/>
          <w:sz w:val="24"/>
        </w:rPr>
        <w:t xml:space="preserve">（加盖CA电子公章）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w:t>
      </w:r>
      <w:r>
        <w:rPr>
          <w:rFonts w:ascii="SimSun" w:hAnsi="SimSun" w:eastAsia="SimSun" w:cs="SimSun"/>
          <w:b/>
          <w:color w:val="000000"/>
          <w:sz w:val="32"/>
        </w:rPr>
        <w:t xml:space="preserve">投标人基本情况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投标人基本情况表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6"/>
        <w:gridCol w:w="3118"/>
        <w:gridCol w:w="1276"/>
        <w:gridCol w:w="307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6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注册地区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注册号或社会信用代码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投标人类别</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8" w:type="dxa"/>
            <w:vAlign w:val="top"/>
            <w:textDirection w:val="lrTb"/>
            <w:noWrap w:val="false"/>
          </w:tcPr>
          <w:p>
            <w:pPr>
              <w:ind w:left="0" w:right="0" w:firstLine="143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无需提供营业执照等证明材料</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三、满足特定资格要求的证明文件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具备履行合同所必需的设备和专业技术能力的声明</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（采购人名称）</w:t>
      </w:r>
      <w:r>
        <w:rPr>
          <w:rFonts w:ascii="SimSun" w:hAnsi="SimSun" w:eastAsia="SimSun" w:cs="SimSun"/>
          <w:color w:val="000000"/>
          <w:sz w:val="24"/>
        </w:rPr>
        <w:t xml:space="preserve">：</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我公司具备履行</w:t>
      </w:r>
      <w:r>
        <w:rPr>
          <w:rFonts w:ascii="SimSun" w:hAnsi="SimSun" w:eastAsia="SimSun" w:cs="SimSun"/>
          <w:color w:val="000000"/>
          <w:sz w:val="24"/>
          <w:u w:val="single"/>
        </w:rPr>
        <w:t xml:space="preserve">                    </w:t>
      </w:r>
      <w:r>
        <w:rPr>
          <w:rFonts w:ascii="SimSun" w:hAnsi="SimSun" w:eastAsia="SimSun" w:cs="SimSun"/>
          <w:color w:val="000000"/>
          <w:sz w:val="24"/>
        </w:rPr>
        <w:t xml:space="preserve">项目合同的设备和专业技术能力。</w:t>
      </w:r>
      <w:r/>
    </w:p>
    <w:p>
      <w:pPr>
        <w:ind w:left="0" w:right="0" w:firstLine="9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r>
      <w:r/>
    </w:p>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无重大违法行为声明</w:t>
      </w:r>
      <w:r/>
    </w:p>
    <w:p>
      <w:pPr>
        <w:ind w:left="0" w:right="0" w:firstLine="0"/>
        <w:spacing w:before="240" w:after="240" w:line="579" w:lineRule="atLeast"/>
        <w:tabs>
          <w:tab w:val="left" w:pos="14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（采购人名称）   </w:t>
      </w:r>
      <w:r>
        <w:rPr>
          <w:rFonts w:ascii="SimSun" w:hAnsi="SimSun" w:eastAsia="SimSun" w:cs="SimSun"/>
          <w:color w:val="000000"/>
          <w:sz w:val="24"/>
        </w:rPr>
        <w:t xml:space="preserve">  ：</w:t>
      </w:r>
      <w:r/>
    </w:p>
    <w:p>
      <w:pPr>
        <w:ind w:left="0" w:right="0" w:firstLine="60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我公司在参加项目为</w:t>
      </w:r>
      <w:r>
        <w:rPr>
          <w:rFonts w:ascii="SimSun" w:hAnsi="SimSun" w:eastAsia="SimSun" w:cs="SimSun"/>
          <w:color w:val="000000"/>
          <w:sz w:val="24"/>
          <w:u w:val="single"/>
        </w:rPr>
        <w:t xml:space="preserve">                    </w:t>
      </w:r>
      <w:r>
        <w:rPr>
          <w:rFonts w:ascii="SimSun" w:hAnsi="SimSun" w:eastAsia="SimSun" w:cs="SimSun"/>
          <w:color w:val="000000"/>
          <w:sz w:val="24"/>
        </w:rPr>
        <w:t xml:space="preserve">的公开招标活动前3年内，在经营活动中没有重大违法记录。</w:t>
      </w:r>
      <w:r/>
    </w:p>
    <w:p>
      <w:pPr>
        <w:ind w:left="0" w:right="0" w:firstLine="60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60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注：重大违法记录，是指供应商因违法经营受到刑事处罚或者责令停产停业、吊销许可证或者执照、较大数额罚款等行政处罚。</w:t>
      </w:r>
      <w:r/>
    </w:p>
    <w:p>
      <w:pPr>
        <w:ind w:left="0" w:right="0" w:firstLine="60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四、法人授权书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招标编号：分包号：</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（人民币：元）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六、投标报价明细表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5"/>
        <w:gridCol w:w="1082"/>
        <w:gridCol w:w="1035"/>
        <w:gridCol w:w="758"/>
        <w:gridCol w:w="970"/>
        <w:gridCol w:w="1285"/>
        <w:gridCol w:w="1422"/>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分项服务名称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“投标分项报价表”中“投标总报价”数额应当与“开标一览表”中“投标总报价”数额一致。</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strike/>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strike/>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strike/>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strike/>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strike/>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strike/>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strike/>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strike/>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strike/>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strike/>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strike/>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strike/>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strike/>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strike/>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strike/>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strike/>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strike/>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strike/>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七、中小企业或残疾人福利性单位声明函</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中小微企业声明函</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号）的规定，本公司（联合体）参加江苏省政府采购代理机构组织的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（项目名称）（分包号：</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rPr>
          <w:rFonts w:ascii="SimSun" w:hAnsi="SimSun" w:eastAsia="SimSun" w:cs="SimSun"/>
          <w:color w:val="000000"/>
          <w:sz w:val="24"/>
        </w:rPr>
        <w:t xml:space="preserve">的采购活动，服务全部由符合政策的中小微企业承接。根据《工业和信息化部、国家统计局、国家发展和改革委员会、财政部关于印发中小企业划型标准规定的通知》（工信部联企业〔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号）的规定，相关企业（含联合体中的小微企业、签订分包意向协议的小微企业）的具体情况如下：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Times New Roman" w:hAnsi="Times New Roman" w:eastAsia="Times New Roman" w:cs="Times New Roma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Times New Roman" w:hAnsi="Times New Roman" w:eastAsia="Times New Roman" w:cs="Times New Roma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、从业人员、营业收入、资产总额填报上一年度数据，无上一年度数据的新成立企业可不填报。</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、投标人如不提供此声明函，不得参加专门面向中小企业采购项目或者不得享受小微企业价格扣除政策。此声明函将随成交结果同时公告，接受社会监督。</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、服务采购项目中，服务的承接商应当为中小企业，不对其中涉及的货物的制造商、工程的承建商作出要求。）</w:t>
      </w:r>
      <w:r/>
    </w:p>
    <w:p>
      <w:pPr>
        <w:ind w:left="0" w:right="72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残疾人福利性单位声明函</w:t>
      </w:r>
      <w:r/>
    </w:p>
    <w:p>
      <w:pPr>
        <w:ind w:left="0" w:right="0" w:firstLine="0"/>
        <w:spacing w:before="240" w:after="24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6"/>
          <w:sz w:val="30"/>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号）的规定，本单位为符合条件的残疾人福利性单位，且本单位参加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 </w:t>
      </w:r>
      <w:r>
        <w:rPr>
          <w:rFonts w:ascii="SimSun" w:hAnsi="SimSun" w:eastAsia="SimSun" w:cs="SimSun"/>
          <w:color w:val="000000"/>
          <w:sz w:val="24"/>
        </w:rPr>
        <w:t xml:space="preserve">采购活动提供本单位制造的货物（由本单位承担工程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提供服务），或者提供其他残疾人福利性单位制造的货物（不包括使用非残疾人福利性单位注册商标的货物）。</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381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3629"/>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rPr>
          <w:rFonts w:ascii="SimSun" w:hAnsi="SimSun" w:eastAsia="SimSun" w:cs="SimSun"/>
          <w:color w:val="000000"/>
          <w:sz w:val="24"/>
          <w:u w:val="single"/>
        </w:rPr>
        <w:t xml:space="preserve">              </w:t>
      </w:r>
      <w:r>
        <w:rPr>
          <w:rFonts w:ascii="SimSun" w:hAnsi="SimSun" w:eastAsia="SimSun" w:cs="SimSun"/>
          <w:color w:val="000000"/>
          <w:sz w:val="24"/>
        </w:rPr>
        <w:t xml:space="preserve">（盖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1560" w:firstLine="480"/>
        <w:jc w:val="center"/>
        <w:spacing w:before="240" w:after="24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357"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非残疾人福利性单位不需提供此函。</w:t>
      </w:r>
      <w:r/>
    </w:p>
    <w:p>
      <w:pPr>
        <w:ind w:left="0" w:right="0" w:firstLine="442"/>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符合报价折扣情形的请将此函填报上传至“企业报价折扣证明”一栏中。</w:t>
      </w:r>
      <w:r/>
    </w:p>
    <w:p>
      <w:pPr>
        <w:ind w:left="0" w:right="0" w:firstLine="44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2"/>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2"/>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2"/>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2"/>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2"/>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2"/>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2"/>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w:t>
      </w:r>
      <w:r>
        <w:rPr>
          <w:rFonts w:ascii="SimHei" w:hAnsi="SimHei" w:eastAsia="SimHei" w:cs="SimHei"/>
          <w:b/>
          <w:color w:val="000000"/>
          <w:sz w:val="32"/>
        </w:rPr>
        <w:t xml:space="preserve">技术要求响应及偏离表（分包号：</w:t>
      </w:r>
      <w:r>
        <w:rPr>
          <w:rFonts w:ascii="Times New Roman" w:hAnsi="Times New Roman" w:eastAsia="Times New Roman" w:cs="Times New Roman"/>
          <w:b/>
          <w:color w:val="000000"/>
          <w:sz w:val="32"/>
        </w:rPr>
        <w:t xml:space="preserve">**</w:t>
      </w:r>
      <w:r>
        <w:rPr>
          <w:rFonts w:ascii="SimHei" w:hAnsi="SimHei" w:eastAsia="SimHei" w:cs="SimHei"/>
          <w:b/>
          <w:color w:val="000000"/>
          <w:sz w:val="32"/>
        </w:rPr>
        <w:t xml:space="preserve">）</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79"/>
        <w:gridCol w:w="2376"/>
        <w:gridCol w:w="1986"/>
        <w:gridCol w:w="2214"/>
      </w:tblGrid>
      <w:tr>
        <w:trPr>
          <w:trHeight w:val="6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10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招标文件内容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10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投标文件内容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10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偏离情况</w:t>
            </w:r>
            <w:r/>
          </w:p>
          <w:p>
            <w:pPr>
              <w:ind w:left="0" w:right="0" w:firstLine="0"/>
              <w:jc w:val="center"/>
              <w:spacing w:before="10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SimSun" w:hAnsi="SimSun" w:eastAsia="SimSun" w:cs="SimSun"/>
                <w:b/>
                <w:color w:val="000000"/>
                <w:sz w:val="24"/>
              </w:rPr>
              <w:t xml:space="preserve">正偏离、负偏离、无偏离</w:t>
            </w:r>
            <w:r>
              <w:rPr>
                <w:rFonts w:ascii="SimSun" w:hAnsi="SimSun" w:eastAsia="SimSun" w:cs="SimSun"/>
                <w:color w:val="000000"/>
                <w:sz w:val="28"/>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10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jc w:val="right"/>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rPr>
          <w:rFonts w:ascii="SimSun" w:hAnsi="SimSun" w:eastAsia="SimSun" w:cs="SimSun"/>
          <w:color w:val="000000"/>
          <w:sz w:val="24"/>
          <w:u w:val="single"/>
        </w:rPr>
        <w:t xml:space="preserve">             </w:t>
      </w:r>
      <w:r>
        <w:rPr>
          <w:rFonts w:ascii="SimSun" w:hAnsi="SimSun" w:eastAsia="SimSun" w:cs="SimSun"/>
          <w:color w:val="000000"/>
          <w:sz w:val="24"/>
        </w:rPr>
        <w:t xml:space="preserve">（盖CA电子公章）</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rPr>
          <w:rFonts w:ascii="Times New Roman" w:hAnsi="Times New Roman" w:eastAsia="Times New Roman" w:cs="Times New Roman"/>
          <w:color w:val="000000"/>
          <w:sz w:val="24"/>
        </w:rPr>
        <w:t xml:space="preserve">1</w:t>
      </w:r>
      <w:r>
        <w:rPr>
          <w:rFonts w:ascii="Times New Roman" w:hAnsi="Times New Roman" w:eastAsia="Times New Roman" w:cs="Times New Roman"/>
          <w:color w:val="000000"/>
          <w:sz w:val="24"/>
          <w:u w:val="none"/>
        </w:rPr>
        <w:t xml:space="preserve">.</w:t>
      </w:r>
      <w:r>
        <w:rPr>
          <w:rFonts w:ascii="SimSun" w:hAnsi="SimSun" w:eastAsia="SimSun" w:cs="SimSun"/>
          <w:color w:val="000000"/>
          <w:sz w:val="24"/>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ascii="SimSun" w:hAnsi="SimSun" w:eastAsia="SimSun" w:cs="SimSun"/>
          <w:b/>
          <w:color w:val="000000"/>
          <w:sz w:val="24"/>
        </w:rPr>
        <w:t xml:space="preserve">作无效响应处理。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对采购需求的其他非实质性要求，投标人按所投产品情况在此表中详细列出偏离情况（包括正偏离、负偏离、无偏离）并说明理由；未列明的均视为未响应招标文件要求。</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九</w:t>
      </w:r>
      <w:r>
        <w:rPr>
          <w:rFonts w:ascii="SimSun" w:hAnsi="SimSun" w:eastAsia="SimSun" w:cs="SimSun"/>
          <w:b/>
          <w:color w:val="000000"/>
          <w:sz w:val="32"/>
        </w:rPr>
        <w:t xml:space="preserve">、项目组人员</w:t>
      </w:r>
      <w:r/>
    </w:p>
    <w:p>
      <w:pPr>
        <w:ind w:left="0" w:right="0" w:firstLine="0"/>
        <w:jc w:val="center"/>
        <w:spacing w:before="100" w:after="1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项目组成员</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28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相关证书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2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注：如供应商中标，项目组成员按本表承诺人员操作，不得随意更换。按采购文件要求附相关人员证书。</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21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21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十、企业业绩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投标人承担类似项目业绩一览表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17"/>
        <w:gridCol w:w="3782"/>
        <w:gridCol w:w="2406"/>
        <w:gridCol w:w="1381"/>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17"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8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0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8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合同金额</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7"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8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7"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8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7"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8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7"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8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注：请填写此表，并按要求上传业绩资料电子件。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none"/>
        </w:rPr>
        <w:t xml:space="preserve">十</w:t>
      </w:r>
      <w:r>
        <w:rPr>
          <w:rFonts w:ascii="SimHei" w:hAnsi="SimHei" w:eastAsia="SimHei" w:cs="SimHei"/>
          <w:color w:val="000000"/>
          <w:sz w:val="32"/>
        </w:rPr>
        <w:t xml:space="preserve">一、投标所需其他材料</w:t>
      </w:r>
      <w:r/>
    </w:p>
    <w:p>
      <w:pPr>
        <w:ind w:left="0" w:right="0" w:firstLine="42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请在此文档中增加投标所需其他相关内容（包括评分办法、采购需求中涉及的证件证明及其它投标人认为有必要提供的资料），如没有请将此空文档上传。</w:t>
      </w:r>
      <w:r/>
    </w:p>
    <w:p>
      <w:pPr>
        <w:ind w:left="0" w:right="0" w:firstLine="42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FangSong">
    <w:panose1 w:val="02010609060101010101"/>
  </w:font>
  <w:font w:name="SimHei">
    <w:panose1 w:val="02010609060101010101"/>
  </w:font>
  <w:font w:name="Calibri">
    <w:panose1 w:val="020F05020202040302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name w:val="Heading 1"/>
    <w:link w:val="637"/>
    <w:uiPriority w:val="9"/>
    <w:qFormat/>
    <w:pPr>
      <w:keepLines/>
      <w:keepNext/>
      <w:spacing w:before="480" w:after="200"/>
      <w:outlineLvl w:val="0"/>
    </w:pPr>
    <w:rPr>
      <w:rFonts w:ascii="Arial" w:hAnsi="Arial" w:eastAsia="Arial" w:cs="Arial"/>
      <w:sz w:val="40"/>
      <w:szCs w:val="40"/>
    </w:rPr>
  </w:style>
  <w:style w:type="character" w:styleId="637">
    <w:name w:val="Heading 1 Char"/>
    <w:link w:val="636"/>
    <w:uiPriority w:val="9"/>
    <w:rPr>
      <w:rFonts w:ascii="Arial" w:hAnsi="Arial" w:eastAsia="Arial" w:cs="Arial"/>
      <w:sz w:val="40"/>
      <w:szCs w:val="40"/>
    </w:rPr>
  </w:style>
  <w:style w:type="paragraph" w:styleId="638">
    <w:name w:val="Heading 2"/>
    <w:link w:val="639"/>
    <w:uiPriority w:val="9"/>
    <w:unhideWhenUsed/>
    <w:qFormat/>
    <w:pPr>
      <w:keepLines/>
      <w:keepNext/>
      <w:spacing w:before="360" w:after="200"/>
      <w:outlineLvl w:val="1"/>
    </w:pPr>
    <w:rPr>
      <w:rFonts w:ascii="Arial" w:hAnsi="Arial" w:eastAsia="Arial" w:cs="Arial"/>
      <w:sz w:val="34"/>
    </w:rPr>
  </w:style>
  <w:style w:type="character" w:styleId="639">
    <w:name w:val="Heading 2 Char"/>
    <w:link w:val="638"/>
    <w:uiPriority w:val="9"/>
    <w:rPr>
      <w:rFonts w:ascii="Arial" w:hAnsi="Arial" w:eastAsia="Arial" w:cs="Arial"/>
      <w:sz w:val="34"/>
    </w:rPr>
  </w:style>
  <w:style w:type="paragraph" w:styleId="640">
    <w:name w:val="Heading 3"/>
    <w:link w:val="641"/>
    <w:uiPriority w:val="9"/>
    <w:unhideWhenUsed/>
    <w:qFormat/>
    <w:pPr>
      <w:keepLines/>
      <w:keepNext/>
      <w:spacing w:before="320" w:after="200"/>
      <w:outlineLvl w:val="2"/>
    </w:pPr>
    <w:rPr>
      <w:rFonts w:ascii="Arial" w:hAnsi="Arial" w:eastAsia="Arial" w:cs="Arial"/>
      <w:sz w:val="30"/>
      <w:szCs w:val="30"/>
    </w:rPr>
  </w:style>
  <w:style w:type="character" w:styleId="641">
    <w:name w:val="Heading 3 Char"/>
    <w:link w:val="640"/>
    <w:uiPriority w:val="9"/>
    <w:rPr>
      <w:rFonts w:ascii="Arial" w:hAnsi="Arial" w:eastAsia="Arial" w:cs="Arial"/>
      <w:sz w:val="30"/>
      <w:szCs w:val="30"/>
    </w:rPr>
  </w:style>
  <w:style w:type="paragraph" w:styleId="642">
    <w:name w:val="Heading 4"/>
    <w:link w:val="643"/>
    <w:uiPriority w:val="9"/>
    <w:unhideWhenUsed/>
    <w:qFormat/>
    <w:pPr>
      <w:keepLines/>
      <w:keepNext/>
      <w:spacing w:before="320" w:after="200"/>
      <w:outlineLvl w:val="3"/>
    </w:pPr>
    <w:rPr>
      <w:rFonts w:ascii="Arial" w:hAnsi="Arial" w:eastAsia="Arial" w:cs="Arial"/>
      <w:b/>
      <w:bCs/>
      <w:sz w:val="26"/>
      <w:szCs w:val="26"/>
    </w:rPr>
  </w:style>
  <w:style w:type="character" w:styleId="643">
    <w:name w:val="Heading 4 Char"/>
    <w:link w:val="642"/>
    <w:uiPriority w:val="9"/>
    <w:rPr>
      <w:rFonts w:ascii="Arial" w:hAnsi="Arial" w:eastAsia="Arial" w:cs="Arial"/>
      <w:b/>
      <w:bCs/>
      <w:sz w:val="26"/>
      <w:szCs w:val="26"/>
    </w:rPr>
  </w:style>
  <w:style w:type="paragraph" w:styleId="644">
    <w:name w:val="Heading 5"/>
    <w:link w:val="645"/>
    <w:uiPriority w:val="9"/>
    <w:unhideWhenUsed/>
    <w:qFormat/>
    <w:pPr>
      <w:keepLines/>
      <w:keepNext/>
      <w:spacing w:before="320" w:after="200"/>
      <w:outlineLvl w:val="4"/>
    </w:pPr>
    <w:rPr>
      <w:rFonts w:ascii="Arial" w:hAnsi="Arial" w:eastAsia="Arial" w:cs="Arial"/>
      <w:b/>
      <w:bCs/>
      <w:sz w:val="24"/>
      <w:szCs w:val="24"/>
    </w:rPr>
  </w:style>
  <w:style w:type="character" w:styleId="645">
    <w:name w:val="Heading 5 Char"/>
    <w:link w:val="644"/>
    <w:uiPriority w:val="9"/>
    <w:rPr>
      <w:rFonts w:ascii="Arial" w:hAnsi="Arial" w:eastAsia="Arial" w:cs="Arial"/>
      <w:b/>
      <w:bCs/>
      <w:sz w:val="24"/>
      <w:szCs w:val="24"/>
    </w:rPr>
  </w:style>
  <w:style w:type="paragraph" w:styleId="646">
    <w:name w:val="Heading 6"/>
    <w:link w:val="647"/>
    <w:uiPriority w:val="9"/>
    <w:unhideWhenUsed/>
    <w:qFormat/>
    <w:pPr>
      <w:keepLines/>
      <w:keepNext/>
      <w:spacing w:before="320" w:after="200"/>
      <w:outlineLvl w:val="5"/>
    </w:pPr>
    <w:rPr>
      <w:rFonts w:ascii="Arial" w:hAnsi="Arial" w:eastAsia="Arial" w:cs="Arial"/>
      <w:b/>
      <w:bCs/>
      <w:sz w:val="22"/>
      <w:szCs w:val="22"/>
    </w:rPr>
  </w:style>
  <w:style w:type="character" w:styleId="647">
    <w:name w:val="Heading 6 Char"/>
    <w:link w:val="646"/>
    <w:uiPriority w:val="9"/>
    <w:rPr>
      <w:rFonts w:ascii="Arial" w:hAnsi="Arial" w:eastAsia="Arial" w:cs="Arial"/>
      <w:b/>
      <w:bCs/>
      <w:sz w:val="22"/>
      <w:szCs w:val="22"/>
    </w:rPr>
  </w:style>
  <w:style w:type="paragraph" w:styleId="648">
    <w:name w:val="Heading 7"/>
    <w:link w:val="649"/>
    <w:uiPriority w:val="9"/>
    <w:unhideWhenUsed/>
    <w:qFormat/>
    <w:pPr>
      <w:keepLines/>
      <w:keepNext/>
      <w:spacing w:before="320" w:after="200"/>
      <w:outlineLvl w:val="6"/>
    </w:pPr>
    <w:rPr>
      <w:rFonts w:ascii="Arial" w:hAnsi="Arial" w:eastAsia="Arial" w:cs="Arial"/>
      <w:b/>
      <w:bCs/>
      <w:i/>
      <w:iCs/>
      <w:sz w:val="22"/>
      <w:szCs w:val="22"/>
    </w:rPr>
  </w:style>
  <w:style w:type="character" w:styleId="649">
    <w:name w:val="Heading 7 Char"/>
    <w:link w:val="648"/>
    <w:uiPriority w:val="9"/>
    <w:rPr>
      <w:rFonts w:ascii="Arial" w:hAnsi="Arial" w:eastAsia="Arial" w:cs="Arial"/>
      <w:b/>
      <w:bCs/>
      <w:i/>
      <w:iCs/>
      <w:sz w:val="22"/>
      <w:szCs w:val="22"/>
    </w:rPr>
  </w:style>
  <w:style w:type="paragraph" w:styleId="650">
    <w:name w:val="Heading 8"/>
    <w:link w:val="651"/>
    <w:uiPriority w:val="9"/>
    <w:unhideWhenUsed/>
    <w:qFormat/>
    <w:pPr>
      <w:keepLines/>
      <w:keepNext/>
      <w:spacing w:before="320" w:after="200"/>
      <w:outlineLvl w:val="7"/>
    </w:pPr>
    <w:rPr>
      <w:rFonts w:ascii="Arial" w:hAnsi="Arial" w:eastAsia="Arial" w:cs="Arial"/>
      <w:i/>
      <w:iCs/>
      <w:sz w:val="22"/>
      <w:szCs w:val="22"/>
    </w:rPr>
  </w:style>
  <w:style w:type="character" w:styleId="651">
    <w:name w:val="Heading 8 Char"/>
    <w:link w:val="650"/>
    <w:uiPriority w:val="9"/>
    <w:rPr>
      <w:rFonts w:ascii="Arial" w:hAnsi="Arial" w:eastAsia="Arial" w:cs="Arial"/>
      <w:i/>
      <w:iCs/>
      <w:sz w:val="22"/>
      <w:szCs w:val="22"/>
    </w:rPr>
  </w:style>
  <w:style w:type="paragraph" w:styleId="652">
    <w:name w:val="Heading 9"/>
    <w:link w:val="653"/>
    <w:uiPriority w:val="9"/>
    <w:unhideWhenUsed/>
    <w:qFormat/>
    <w:pPr>
      <w:keepLines/>
      <w:keepNext/>
      <w:spacing w:before="320" w:after="200"/>
      <w:outlineLvl w:val="8"/>
    </w:pPr>
    <w:rPr>
      <w:rFonts w:ascii="Arial" w:hAnsi="Arial" w:eastAsia="Arial" w:cs="Arial"/>
      <w:i/>
      <w:iCs/>
      <w:sz w:val="21"/>
      <w:szCs w:val="21"/>
    </w:rPr>
  </w:style>
  <w:style w:type="character" w:styleId="653">
    <w:name w:val="Heading 9 Char"/>
    <w:link w:val="652"/>
    <w:uiPriority w:val="9"/>
    <w:rPr>
      <w:rFonts w:ascii="Arial" w:hAnsi="Arial" w:eastAsia="Arial" w:cs="Arial"/>
      <w:i/>
      <w:iCs/>
      <w:sz w:val="21"/>
      <w:szCs w:val="21"/>
    </w:rPr>
  </w:style>
  <w:style w:type="paragraph" w:styleId="654">
    <w:name w:val="List Paragraph"/>
    <w:uiPriority w:val="34"/>
    <w:qFormat/>
    <w:pPr>
      <w:contextualSpacing/>
      <w:ind w:left="720"/>
    </w:pPr>
  </w:style>
  <w:style w:type="paragraph" w:styleId="655">
    <w:name w:val="No Spacing"/>
    <w:uiPriority w:val="1"/>
    <w:qFormat/>
    <w:pPr>
      <w:spacing w:before="0" w:after="0" w:line="240" w:lineRule="auto"/>
    </w:pPr>
  </w:style>
  <w:style w:type="paragraph" w:styleId="656">
    <w:name w:val="Title"/>
    <w:link w:val="657"/>
    <w:uiPriority w:val="10"/>
    <w:qFormat/>
    <w:pPr>
      <w:contextualSpacing/>
      <w:spacing w:before="300" w:after="200"/>
    </w:pPr>
    <w:rPr>
      <w:sz w:val="48"/>
      <w:szCs w:val="48"/>
    </w:rPr>
  </w:style>
  <w:style w:type="character" w:styleId="657">
    <w:name w:val="Title Char"/>
    <w:link w:val="656"/>
    <w:uiPriority w:val="10"/>
    <w:rPr>
      <w:sz w:val="48"/>
      <w:szCs w:val="48"/>
    </w:rPr>
  </w:style>
  <w:style w:type="paragraph" w:styleId="658">
    <w:name w:val="Subtitle"/>
    <w:link w:val="659"/>
    <w:uiPriority w:val="11"/>
    <w:qFormat/>
    <w:pPr>
      <w:spacing w:before="200" w:after="200"/>
    </w:pPr>
    <w:rPr>
      <w:sz w:val="24"/>
      <w:szCs w:val="24"/>
    </w:rPr>
  </w:style>
  <w:style w:type="character" w:styleId="659">
    <w:name w:val="Subtitle Char"/>
    <w:link w:val="658"/>
    <w:uiPriority w:val="11"/>
    <w:rPr>
      <w:sz w:val="24"/>
      <w:szCs w:val="24"/>
    </w:rPr>
  </w:style>
  <w:style w:type="paragraph" w:styleId="660">
    <w:name w:val="Quote"/>
    <w:link w:val="661"/>
    <w:uiPriority w:val="29"/>
    <w:qFormat/>
    <w:pPr>
      <w:ind w:left="720" w:right="720"/>
    </w:pPr>
    <w:rPr>
      <w:i/>
    </w:rPr>
  </w:style>
  <w:style w:type="character" w:styleId="661">
    <w:name w:val="Quote Char"/>
    <w:link w:val="660"/>
    <w:uiPriority w:val="29"/>
    <w:rPr>
      <w:i/>
    </w:rPr>
  </w:style>
  <w:style w:type="paragraph" w:styleId="662">
    <w:name w:val="Intense Quote"/>
    <w:link w:val="6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3">
    <w:name w:val="Intense Quote Char"/>
    <w:link w:val="662"/>
    <w:uiPriority w:val="30"/>
    <w:rPr>
      <w:i/>
    </w:rPr>
  </w:style>
  <w:style w:type="paragraph" w:styleId="664">
    <w:name w:val="Header"/>
    <w:link w:val="665"/>
    <w:uiPriority w:val="99"/>
    <w:unhideWhenUsed/>
    <w:pPr>
      <w:spacing w:after="0" w:line="240" w:lineRule="auto"/>
      <w:tabs>
        <w:tab w:val="center" w:pos="7143" w:leader="none"/>
        <w:tab w:val="right" w:pos="14287" w:leader="none"/>
      </w:tabs>
    </w:pPr>
  </w:style>
  <w:style w:type="character" w:styleId="665">
    <w:name w:val="Header Char"/>
    <w:link w:val="664"/>
    <w:uiPriority w:val="99"/>
  </w:style>
  <w:style w:type="paragraph" w:styleId="666">
    <w:name w:val="Footer"/>
    <w:link w:val="669"/>
    <w:uiPriority w:val="99"/>
    <w:unhideWhenUsed/>
    <w:pPr>
      <w:spacing w:after="0" w:line="240" w:lineRule="auto"/>
      <w:tabs>
        <w:tab w:val="center" w:pos="7143" w:leader="none"/>
        <w:tab w:val="right" w:pos="14287" w:leader="none"/>
      </w:tabs>
    </w:pPr>
  </w:style>
  <w:style w:type="character" w:styleId="667">
    <w:name w:val="Footer Char"/>
    <w:link w:val="666"/>
    <w:uiPriority w:val="99"/>
  </w:style>
  <w:style w:type="paragraph" w:styleId="668">
    <w:name w:val="Caption"/>
    <w:uiPriority w:val="35"/>
    <w:semiHidden/>
    <w:unhideWhenUsed/>
    <w:qFormat/>
    <w:pPr>
      <w:spacing w:line="276" w:lineRule="auto"/>
    </w:pPr>
    <w:rPr>
      <w:b/>
      <w:bCs/>
      <w:color w:val="4f81bd" w:themeColor="accent1"/>
      <w:sz w:val="18"/>
      <w:szCs w:val="18"/>
    </w:rPr>
  </w:style>
  <w:style w:type="character" w:styleId="669">
    <w:name w:val="Caption Char"/>
    <w:basedOn w:val="668"/>
    <w:link w:val="666"/>
    <w:uiPriority w:val="99"/>
  </w:style>
  <w:style w:type="table" w:styleId="6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6">
    <w:name w:val="Hyperlink"/>
    <w:uiPriority w:val="99"/>
    <w:unhideWhenUsed/>
    <w:rPr>
      <w:color w:val="0000ff" w:themeColor="hyperlink"/>
      <w:u w:val="single"/>
    </w:rPr>
  </w:style>
  <w:style w:type="paragraph" w:styleId="797">
    <w:name w:val="footnote text"/>
    <w:link w:val="798"/>
    <w:uiPriority w:val="99"/>
    <w:semiHidden/>
    <w:unhideWhenUsed/>
    <w:pPr>
      <w:spacing w:after="40" w:line="240" w:lineRule="auto"/>
    </w:pPr>
    <w:rPr>
      <w:sz w:val="18"/>
    </w:rPr>
  </w:style>
  <w:style w:type="character" w:styleId="798">
    <w:name w:val="Footnote Text Char"/>
    <w:link w:val="797"/>
    <w:uiPriority w:val="99"/>
    <w:rPr>
      <w:sz w:val="18"/>
    </w:rPr>
  </w:style>
  <w:style w:type="character" w:styleId="799">
    <w:name w:val="footnote reference"/>
    <w:uiPriority w:val="99"/>
    <w:unhideWhenUsed/>
    <w:rPr>
      <w:vertAlign w:val="superscript"/>
    </w:rPr>
  </w:style>
  <w:style w:type="paragraph" w:styleId="800">
    <w:name w:val="endnote text"/>
    <w:link w:val="801"/>
    <w:uiPriority w:val="99"/>
    <w:semiHidden/>
    <w:unhideWhenUsed/>
    <w:pPr>
      <w:spacing w:after="0" w:line="240" w:lineRule="auto"/>
    </w:pPr>
    <w:rPr>
      <w:sz w:val="20"/>
    </w:rPr>
  </w:style>
  <w:style w:type="character" w:styleId="801">
    <w:name w:val="Endnote Text Char"/>
    <w:link w:val="800"/>
    <w:uiPriority w:val="99"/>
    <w:rPr>
      <w:sz w:val="20"/>
    </w:rPr>
  </w:style>
  <w:style w:type="character" w:styleId="802">
    <w:name w:val="endnote reference"/>
    <w:uiPriority w:val="99"/>
    <w:semiHidden/>
    <w:unhideWhenUsed/>
    <w:rPr>
      <w:vertAlign w:val="superscript"/>
    </w:rPr>
  </w:style>
  <w:style w:type="paragraph" w:styleId="803">
    <w:name w:val="toc 1"/>
    <w:uiPriority w:val="39"/>
    <w:unhideWhenUsed/>
    <w:pPr>
      <w:ind w:left="0" w:right="0" w:firstLine="0"/>
      <w:spacing w:after="57"/>
    </w:pPr>
  </w:style>
  <w:style w:type="paragraph" w:styleId="804">
    <w:name w:val="toc 2"/>
    <w:uiPriority w:val="39"/>
    <w:unhideWhenUsed/>
    <w:pPr>
      <w:ind w:left="283" w:right="0" w:firstLine="0"/>
      <w:spacing w:after="57"/>
    </w:pPr>
  </w:style>
  <w:style w:type="paragraph" w:styleId="805">
    <w:name w:val="toc 3"/>
    <w:uiPriority w:val="39"/>
    <w:unhideWhenUsed/>
    <w:pPr>
      <w:ind w:left="567" w:right="0" w:firstLine="0"/>
      <w:spacing w:after="57"/>
    </w:pPr>
  </w:style>
  <w:style w:type="paragraph" w:styleId="806">
    <w:name w:val="toc 4"/>
    <w:uiPriority w:val="39"/>
    <w:unhideWhenUsed/>
    <w:pPr>
      <w:ind w:left="850" w:right="0" w:firstLine="0"/>
      <w:spacing w:after="57"/>
    </w:pPr>
  </w:style>
  <w:style w:type="paragraph" w:styleId="807">
    <w:name w:val="toc 5"/>
    <w:uiPriority w:val="39"/>
    <w:unhideWhenUsed/>
    <w:pPr>
      <w:ind w:left="1134" w:right="0" w:firstLine="0"/>
      <w:spacing w:after="57"/>
    </w:pPr>
  </w:style>
  <w:style w:type="paragraph" w:styleId="808">
    <w:name w:val="toc 6"/>
    <w:uiPriority w:val="39"/>
    <w:unhideWhenUsed/>
    <w:pPr>
      <w:ind w:left="1417" w:right="0" w:firstLine="0"/>
      <w:spacing w:after="57"/>
    </w:pPr>
  </w:style>
  <w:style w:type="paragraph" w:styleId="809">
    <w:name w:val="toc 7"/>
    <w:uiPriority w:val="39"/>
    <w:unhideWhenUsed/>
    <w:pPr>
      <w:ind w:left="1701" w:right="0" w:firstLine="0"/>
      <w:spacing w:after="57"/>
    </w:pPr>
  </w:style>
  <w:style w:type="paragraph" w:styleId="810">
    <w:name w:val="toc 8"/>
    <w:uiPriority w:val="39"/>
    <w:unhideWhenUsed/>
    <w:pPr>
      <w:ind w:left="1984" w:right="0" w:firstLine="0"/>
      <w:spacing w:after="57"/>
    </w:pPr>
  </w:style>
  <w:style w:type="paragraph" w:styleId="811">
    <w:name w:val="toc 9"/>
    <w:uiPriority w:val="39"/>
    <w:unhideWhenUsed/>
    <w:pPr>
      <w:ind w:left="2268" w:right="0" w:firstLine="0"/>
      <w:spacing w:after="57"/>
    </w:pPr>
  </w:style>
  <w:style w:type="paragraph" w:styleId="812">
    <w:name w:val="TOC Heading"/>
    <w:uiPriority w:val="39"/>
    <w:unhideWhenUsed/>
  </w:style>
  <w:style w:type="paragraph" w:styleId="813">
    <w:name w:val="table of figures"/>
    <w:uiPriority w:val="99"/>
    <w:unhideWhenUsed/>
    <w:pPr>
      <w:spacing w:after="0" w:afterAutospacing="0"/>
    </w:pPr>
  </w:style>
  <w:style w:type="character" w:styleId="814" w:default="1">
    <w:name w:val="Default Paragraph Font"/>
    <w:uiPriority w:val="1"/>
    <w:semiHidden/>
    <w:unhideWhenUsed/>
  </w:style>
  <w:style w:type="numbering" w:styleId="815" w:default="1">
    <w:name w:val="No List"/>
    <w:uiPriority w:val="99"/>
    <w:semiHidden/>
    <w:unhideWhenUsed/>
  </w:style>
  <w:style w:type="paragraph" w:styleId="816" w:default="1">
    <w:name w:val="Normal"/>
    <w:qFormat/>
  </w:style>
  <w:style w:type="table" w:styleId="8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813"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9425"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7996"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2314"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513"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2937"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张翠翠</cp:lastModifiedBy>
  <cp:revision>6</cp:revision>
  <dcterms:created xsi:type="dcterms:W3CDTF">2026-08-26T02:25:10Z</dcterms:created>
  <dcterms:modified xsi:type="dcterms:W3CDTF">2026-08-31T03:07:45Z</dcterms:modified>
</cp:coreProperties>
</file>