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jc w:val="left"/>
        <w:spacing w:before="120" w:after="120" w:line="360" w:lineRule="auto"/>
        <w:rPr>
          <w:rFonts w:hint="eastAsia" w:ascii="Arial" w:hAnsi="Arial"/>
          <w:b/>
          <w:bCs/>
          <w:color w:val="000000"/>
          <w:sz w:val="30"/>
          <w:szCs w:val="30"/>
          <w:highlight w:val="none"/>
        </w:rPr>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Arial" w:hAnsi="Arial"/>
          <w:b/>
          <w:bCs/>
          <w:color w:val="000000"/>
          <w:sz w:val="30"/>
          <w:szCs w:val="30"/>
          <w:highlight w:val="none"/>
        </w:rPr>
      </w:r>
      <w:r/>
    </w:p>
    <w:p>
      <w:pPr>
        <w:pStyle w:val="1004"/>
        <w:jc w:val="center"/>
        <w:spacing w:before="120" w:after="120" w:line="360" w:lineRule="auto"/>
        <w:rPr>
          <w:rFonts w:hint="eastAsia" w:ascii="Arial" w:hAnsi="Arial" w:eastAsia="宋体" w:cs="Times New Roman"/>
          <w:b/>
          <w:bCs/>
          <w:color w:val="000000"/>
          <w:sz w:val="40"/>
          <w:szCs w:val="40"/>
          <w:highlight w:val="none"/>
          <w:lang w:eastAsia="zh-CN"/>
        </w:rPr>
      </w:pPr>
      <w:r>
        <w:rPr>
          <w:rFonts w:hint="eastAsia" w:ascii="Arial" w:hAnsi="Arial" w:cs="Times New Roman"/>
          <w:b/>
          <w:bCs/>
          <w:color w:val="000000"/>
          <w:sz w:val="36"/>
          <w:szCs w:val="36"/>
          <w:highlight w:val="none"/>
          <w:lang w:val="en-US" w:eastAsia="zh-CN"/>
        </w:rPr>
        <w:t xml:space="preserve">南通市通州区平潮镇采购安置房电梯“保险+服务”综合服务项目</w:t>
      </w:r>
      <w:r>
        <w:rPr>
          <w:rFonts w:hint="eastAsia" w:ascii="Arial" w:hAnsi="Arial" w:eastAsia="宋体" w:cs="Times New Roman"/>
          <w:b/>
          <w:bCs/>
          <w:color w:val="000000"/>
          <w:sz w:val="40"/>
          <w:szCs w:val="40"/>
          <w:highlight w:val="none"/>
          <w:lang w:eastAsia="zh-CN"/>
        </w:rPr>
      </w:r>
      <w:r/>
    </w:p>
    <w:p>
      <w:pPr>
        <w:pStyle w:val="1004"/>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r>
      <w:r/>
    </w:p>
    <w:p>
      <w:pPr>
        <w:pStyle w:val="1004"/>
        <w:jc w:val="center"/>
        <w:spacing w:before="120" w:after="120" w:line="360" w:lineRule="auto"/>
        <w:rPr>
          <w:rFonts w:hint="eastAsia" w:ascii="Arial" w:hAnsi="Arial" w:eastAsia="宋体"/>
          <w:b/>
          <w:bCs/>
          <w:color w:val="000000"/>
          <w:sz w:val="84"/>
          <w:szCs w:val="24"/>
          <w:highlight w:val="none"/>
          <w:lang w:eastAsia="zh-CN"/>
        </w:rPr>
      </w:pPr>
      <w:r>
        <w:rPr>
          <w:rFonts w:hint="eastAsia" w:ascii="Arial" w:hAnsi="Arial"/>
          <w:b/>
          <w:bCs/>
          <w:color w:val="000000"/>
          <w:sz w:val="32"/>
          <w:szCs w:val="32"/>
          <w:highlight w:val="none"/>
        </w:rPr>
        <w:t xml:space="preserve">项目编号：JSZC-320612-NTJD-C2026-0025</w:t>
      </w:r>
      <w:r>
        <w:rPr>
          <w:rFonts w:hint="eastAsia" w:ascii="Arial" w:hAnsi="Arial" w:eastAsia="宋体"/>
          <w:b/>
          <w:bCs/>
          <w:color w:val="000000"/>
          <w:sz w:val="84"/>
          <w:szCs w:val="24"/>
          <w:highlight w:val="none"/>
          <w:lang w:eastAsia="zh-CN"/>
        </w:rPr>
      </w:r>
      <w:r/>
    </w:p>
    <w:p>
      <w:pPr>
        <w:pStyle w:val="100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2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04"/>
        <w:rPr>
          <w:rFonts w:hint="eastAsia"/>
          <w:color w:val="000000"/>
          <w:highlight w:val="none"/>
        </w:rPr>
      </w:pPr>
      <w:r>
        <w:rPr>
          <w:rFonts w:hint="eastAsia"/>
          <w:color w:val="000000"/>
          <w:highlight w:val="none"/>
        </w:rPr>
      </w:r>
      <w:r/>
    </w:p>
    <w:p>
      <w:pPr>
        <w:pStyle w:val="100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2" o:title=""/>
          </v:shape>
          <o:OLEObject DrawAspect="Content" r:id="rId23" ObjectID="_1525046" ProgID="" ShapeID="_x0000_i6" Type="Embed"/>
        </w:object>
      </w:r>
      <w:r>
        <w:rPr>
          <w:rFonts w:hint="eastAsia" w:ascii="Times New Roman" w:hAnsi="Times New Roman"/>
          <w:b/>
          <w:color w:val="000000"/>
          <w:sz w:val="30"/>
          <w:szCs w:val="30"/>
          <w:highlight w:val="none"/>
        </w:rPr>
      </w:r>
      <w:r/>
    </w:p>
    <w:p>
      <w:pPr>
        <w:pStyle w:val="1221"/>
        <w:rPr>
          <w:rFonts w:hint="eastAsia"/>
          <w:color w:val="000000"/>
          <w:highlight w:val="none"/>
        </w:rPr>
      </w:pPr>
      <w:r>
        <w:rPr>
          <w:rFonts w:hint="eastAsia"/>
          <w:color w:val="000000"/>
          <w:highlight w:val="none"/>
        </w:rPr>
      </w:r>
      <w:r/>
    </w:p>
    <w:p>
      <w:pPr>
        <w:pStyle w:val="1004"/>
        <w:rPr>
          <w:rFonts w:hint="eastAsia"/>
          <w:color w:val="000000"/>
          <w:highlight w:val="none"/>
        </w:rPr>
      </w:pPr>
      <w:r>
        <w:rPr>
          <w:rFonts w:hint="eastAsia"/>
          <w:color w:val="000000"/>
          <w:highlight w:val="none"/>
        </w:rPr>
      </w:r>
      <w:r/>
    </w:p>
    <w:p>
      <w:pPr>
        <w:pStyle w:val="100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0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南通市通州区平潮镇人民政府</w:t>
      </w:r>
      <w:r>
        <w:rPr>
          <w:rFonts w:ascii="宋体" w:hAnsi="宋体" w:eastAsia="宋体" w:cs="宋体"/>
          <w:b/>
          <w:bCs/>
          <w:color w:val="000000"/>
          <w:sz w:val="30"/>
          <w:szCs w:val="30"/>
          <w:highlight w:val="none"/>
          <w:u w:val="none"/>
          <w:lang w:val="en-US" w:eastAsia="zh-CN"/>
        </w:rPr>
      </w:r>
      <w:r/>
    </w:p>
    <w:p>
      <w:pPr>
        <w:pStyle w:val="128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0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8</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0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0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04"/>
        <w:rPr>
          <w:color w:val="000000"/>
          <w:highlight w:val="none"/>
        </w:rPr>
      </w:pPr>
      <w:r>
        <w:rPr>
          <w:color w:val="000000"/>
          <w:highlight w:val="none"/>
        </w:rPr>
      </w:r>
      <w:r/>
    </w:p>
    <w:p>
      <w:pPr>
        <w:pStyle w:val="100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0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0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0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0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04"/>
        <w:numPr>
          <w:ilvl w:val="0"/>
          <w:numId w:val="0"/>
        </w:numPr>
        <w:jc w:val="center"/>
        <w:spacing w:line="480" w:lineRule="auto"/>
        <w:rPr>
          <w:rFonts w:hint="eastAsia" w:ascii="宋体" w:hAnsi="宋体" w:eastAsia="宋体" w:cs="宋体"/>
          <w:b/>
          <w:bCs/>
          <w:color w:val="000000"/>
          <w:sz w:val="36"/>
          <w:szCs w:val="21"/>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36"/>
          <w:szCs w:val="21"/>
          <w:highlight w:val="none"/>
        </w:rPr>
      </w:r>
      <w:r/>
    </w:p>
    <w:p>
      <w:pPr>
        <w:pStyle w:val="100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南通市通州区平潮镇人民政府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南通市通州区平潮镇采购安置房电梯“保险+服务”综合服务项目（</w:t>
      </w:r>
      <w:r>
        <w:rPr>
          <w:rFonts w:hint="eastAsia" w:ascii="宋体" w:hAnsi="宋体" w:cs="宋体"/>
          <w:color w:val="000000"/>
          <w:sz w:val="24"/>
          <w:szCs w:val="24"/>
          <w:highlight w:val="none"/>
          <w:lang w:val="en-US" w:eastAsia="zh-CN"/>
        </w:rPr>
        <w:t xml:space="preserve">项目编号： JSZC-320612-NTJD-C2026-0025 ）</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南通市通州区平潮镇采购安置房电梯“保险+服务”综合服务项目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 9 时 00 </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28359002"/>
      <w:r/>
      <w:bookmarkStart w:id="7" w:name="_Hlk24379207"/>
      <w:r/>
      <w:bookmarkStart w:id="8" w:name="_Toc38985263"/>
      <w:r/>
      <w:bookmarkStart w:id="9" w:name="_Toc35393790"/>
      <w:r/>
      <w:bookmarkStart w:id="10" w:name="_Toc28359079"/>
      <w:r/>
      <w:bookmarkStart w:id="11" w:name="_Toc35393621"/>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cs="宋体"/>
          <w:color w:val="000000"/>
          <w:sz w:val="24"/>
          <w:szCs w:val="24"/>
          <w:highlight w:val="none"/>
          <w:lang w:val="en-US" w:eastAsia="zh-CN"/>
        </w:rPr>
      </w:pPr>
      <w:r/>
      <w:bookmarkStart w:id="12" w:name="_Toc35393791"/>
      <w:r/>
      <w:bookmarkStart w:id="13" w:name="_Toc28359080"/>
      <w:r/>
      <w:bookmarkStart w:id="14" w:name="_Toc38985264"/>
      <w:r/>
      <w:bookmarkStart w:id="15" w:name="_Toc35393622"/>
      <w:r/>
      <w:bookmarkStart w:id="16" w:name="_Toc28359003"/>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JSZC-320612-NTJD-C2026-0025</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u w:val="none"/>
          <w:lang w:eastAsia="zh-CN"/>
        </w:rPr>
        <w:t xml:space="preserve">南通市通州区平潮镇采购安置房电梯“保险+服务”综合服务项目</w:t>
      </w:r>
      <w:r>
        <w:rPr>
          <w:rFonts w:hint="eastAsia" w:ascii="宋体" w:hAnsi="宋体" w:eastAsia="宋体" w:cs="宋体"/>
          <w:color w:val="000000"/>
          <w:sz w:val="24"/>
          <w:szCs w:val="24"/>
          <w:highlight w:val="none"/>
          <w:lang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w:t>
      </w:r>
      <w:r>
        <w:rPr>
          <w:rFonts w:hint="eastAsia" w:ascii="宋体" w:hAnsi="宋体" w:cs="宋体"/>
          <w:color w:val="000000"/>
          <w:sz w:val="24"/>
          <w:szCs w:val="24"/>
          <w:highlight w:val="none"/>
          <w:lang w:val="en-US" w:eastAsia="zh-CN"/>
        </w:rPr>
        <w:t xml:space="preserve">金融业</w:t>
      </w:r>
      <w:r>
        <w:rPr>
          <w:rFonts w:hint="eastAsia" w:ascii="宋体" w:hAnsi="宋体" w:eastAsia="宋体" w:cs="宋体"/>
          <w:color w:val="000000"/>
          <w:sz w:val="24"/>
          <w:szCs w:val="24"/>
          <w:highlight w:val="none"/>
          <w:lang w:eastAsia="zh-CN"/>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227.52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4800 元/台/年，</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平潮</w:t>
      </w:r>
      <w:r>
        <w:rPr>
          <w:rFonts w:hint="eastAsia" w:ascii="宋体" w:hAnsi="宋体" w:cs="宋体"/>
          <w:color w:val="000000"/>
          <w:sz w:val="24"/>
          <w:szCs w:val="24"/>
          <w:highlight w:val="none"/>
        </w:rPr>
        <w:t xml:space="preserve">镇安置小区电梯共</w:t>
      </w:r>
      <w:r>
        <w:rPr>
          <w:rFonts w:hint="eastAsia" w:ascii="宋体" w:hAnsi="宋体" w:cs="宋体"/>
          <w:color w:val="000000"/>
          <w:sz w:val="24"/>
          <w:szCs w:val="24"/>
          <w:highlight w:val="none"/>
          <w:lang w:val="en-US" w:eastAsia="zh-CN"/>
        </w:rPr>
        <w:t xml:space="preserve">474</w:t>
      </w:r>
      <w:r>
        <w:rPr>
          <w:rFonts w:hint="eastAsia" w:ascii="宋体" w:hAnsi="宋体" w:cs="宋体"/>
          <w:color w:val="000000"/>
          <w:sz w:val="24"/>
          <w:szCs w:val="24"/>
          <w:highlight w:val="none"/>
        </w:rPr>
        <w:t xml:space="preserve">台电梯，为进一步加强电梯质量安全工作，保障人民群众乘用安全和出行便利，通过推动发展电梯责任保险优化发展“保险+服务”新模式,发挥保险的事故赔偿和风险预防作用,促进电梯使用管理和维保水平提升。详见第四章项目需求。</w:t>
      </w:r>
      <w:r>
        <w:rPr>
          <w:rFonts w:hint="eastAsia" w:ascii="宋体" w:hAnsi="宋体" w:cs="宋体"/>
          <w:color w:val="000000"/>
          <w:sz w:val="24"/>
          <w:szCs w:val="24"/>
          <w:highlight w:val="none"/>
        </w:rPr>
      </w:r>
      <w:r/>
    </w:p>
    <w:tbl>
      <w:tblPr>
        <w:tblW w:w="9776" w:type="dxa"/>
        <w:tblInd w:w="-12" w:type="dxa"/>
        <w:tblLayout w:type="fixed"/>
        <w:tblCellMar>
          <w:left w:w="108" w:type="dxa"/>
          <w:top w:w="0" w:type="dxa"/>
          <w:right w:w="108" w:type="dxa"/>
          <w:bottom w:w="0" w:type="dxa"/>
        </w:tblCellMar>
        <w:tblLook w:val="04A0" w:firstRow="1" w:lastRow="0" w:firstColumn="1" w:lastColumn="0" w:noHBand="0" w:noVBand="1"/>
      </w:tblPr>
      <w:tblGrid>
        <w:gridCol w:w="346"/>
        <w:gridCol w:w="1090"/>
        <w:gridCol w:w="2106"/>
        <w:gridCol w:w="1185"/>
        <w:gridCol w:w="1935"/>
        <w:gridCol w:w="1065"/>
        <w:gridCol w:w="947"/>
        <w:gridCol w:w="1102"/>
      </w:tblGrid>
      <w:tr>
        <w:trPr>
          <w:trHeight w:val="582"/>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安置小区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hint="eastAsia" w:ascii="宋体" w:hAnsi="宋体" w:eastAsia="宋体"/>
                <w:color w:val="000000"/>
                <w:highlight w:val="none"/>
                <w:lang w:eastAsia="zh-CN"/>
              </w:rPr>
            </w:pPr>
            <w:r>
              <w:rPr>
                <w:rFonts w:hint="eastAsia" w:ascii="宋体" w:hAnsi="宋体"/>
                <w:color w:val="000000"/>
                <w:highlight w:val="none"/>
                <w:lang w:eastAsia="zh-CN"/>
              </w:rPr>
              <w:t xml:space="preserve">楼栋号</w:t>
            </w:r>
            <w:r>
              <w:rPr>
                <w:rFonts w:hint="eastAsia" w:ascii="宋体" w:hAnsi="宋体" w:eastAsia="宋体"/>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电梯品牌</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电梯</w:t>
            </w:r>
            <w:r>
              <w:rPr>
                <w:rFonts w:hint="eastAsia" w:ascii="宋体" w:hAnsi="宋体"/>
                <w:color w:val="000000"/>
                <w:highlight w:val="none"/>
                <w:lang w:eastAsia="zh-CN"/>
              </w:rPr>
              <w:t xml:space="preserve">型号</w:t>
            </w:r>
            <w:r>
              <w:rPr>
                <w:rFonts w:hint="eastAsia" w:ascii="宋体" w:hAnsi="宋体"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数量</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竣工时间</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电梯维保</w:t>
            </w:r>
            <w:r>
              <w:rPr>
                <w:rFonts w:hint="eastAsia" w:ascii="宋体" w:hAnsi="宋体"/>
                <w:color w:val="000000"/>
                <w:highlight w:val="none"/>
              </w:rPr>
              <w:br w:type="textWrapping" w:clear="all"/>
            </w:r>
            <w:r>
              <w:rPr>
                <w:rFonts w:hint="eastAsia" w:ascii="宋体" w:hAnsi="宋体"/>
                <w:color w:val="000000"/>
                <w:highlight w:val="none"/>
              </w:rPr>
              <w:t xml:space="preserve">到期时间</w:t>
            </w:r>
            <w:r>
              <w:rPr>
                <w:rFonts w:hint="eastAsia" w:ascii="宋体" w:hAnsi="宋体"/>
                <w:color w:val="000000"/>
                <w:highlight w:val="none"/>
              </w:rPr>
            </w:r>
            <w:r/>
          </w:p>
        </w:tc>
      </w:tr>
      <w:tr>
        <w:trPr>
          <w:trHeight w:val="614"/>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1</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沪通家园</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lang w:eastAsia="zh-CN"/>
              </w:rPr>
              <w:t xml:space="preserve">一</w:t>
            </w:r>
            <w:r>
              <w:rPr>
                <w:rFonts w:hint="eastAsia" w:ascii="宋体" w:hAnsi="宋体"/>
                <w:color w:val="000000"/>
                <w:highlight w:val="none"/>
              </w:rPr>
              <w:t xml:space="preserve">标5、8、9、10、11、12、14、15</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富士达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ZEXIA-S(TKJ800/1.75)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42台</w:t>
            </w:r>
            <w:r>
              <w:rPr>
                <w:rFonts w:hint="eastAsia" w:ascii="宋体" w:hAnsi="宋体" w:eastAsia="宋体"/>
                <w:color w:val="000000"/>
                <w:highlight w:val="none"/>
                <w:lang w:val="en-US" w:eastAsia="zh-CN"/>
              </w:rPr>
            </w:r>
            <w:r/>
          </w:p>
        </w:tc>
        <w:tc>
          <w:tcPr>
            <w:tcBorders>
              <w:top w:val="single" w:color="000000" w:sz="4" w:space="0"/>
              <w:left w:val="none" w:color="000000" w:sz="4" w:space="0"/>
              <w:bottom w:val="none" w:color="000000" w:sz="0" w:space="0"/>
              <w:right w:val="single" w:color="000000" w:sz="4" w:space="0"/>
            </w:tcBorders>
            <w:tcW w:w="947"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2019.12</w:t>
            </w:r>
            <w:r>
              <w:rPr>
                <w:rFonts w:ascii="Times New Roman" w:hAnsi="Times New Roman" w:cs="Times New Roman"/>
                <w:color w:val="000000"/>
                <w:highlight w:val="none"/>
              </w:rPr>
            </w:r>
            <w:r/>
          </w:p>
        </w:tc>
        <w:tc>
          <w:tcPr>
            <w:tcBorders>
              <w:top w:val="single" w:color="000000" w:sz="4" w:space="0"/>
              <w:left w:val="none" w:color="000000" w:sz="4" w:space="0"/>
              <w:bottom w:val="none" w:color="000000" w:sz="0" w:space="0"/>
              <w:right w:val="single" w:color="000000" w:sz="4" w:space="0"/>
            </w:tcBorders>
            <w:tcW w:w="1102"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2025.9</w:t>
            </w:r>
            <w:r>
              <w:rPr>
                <w:rFonts w:ascii="Times New Roman" w:hAnsi="Times New Roman" w:cs="Times New Roman"/>
                <w:color w:val="000000"/>
                <w:highlight w:val="none"/>
              </w:rPr>
            </w:r>
            <w:r/>
          </w:p>
        </w:tc>
      </w:tr>
      <w:tr>
        <w:trPr>
          <w:trHeight w:val="694"/>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二标13、16、17、19、20、22、23、25、26、27、28</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通力</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KONEMiniSpace(TKJ1000/1.75)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31台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476"/>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2</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丰园人家A区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一标1、2、3、4、5、8、9、10</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迅达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33台</w:t>
            </w:r>
            <w:r>
              <w:rPr>
                <w:rFonts w:ascii="宋体" w:hAnsi="宋体" w:eastAsia="宋体"/>
                <w:color w:val="000000"/>
                <w:highlight w:val="none"/>
                <w:lang w:val="en-US" w:eastAsia="zh-CN"/>
              </w:rPr>
            </w:r>
            <w:r/>
          </w:p>
        </w:tc>
        <w:tc>
          <w:tcPr>
            <w:tcBorders>
              <w:top w:val="none" w:color="000000" w:sz="4" w:space="0"/>
              <w:left w:val="none" w:color="000000" w:sz="4" w:space="0"/>
              <w:bottom w:val="none" w:color="000000" w:sz="0" w:space="0"/>
              <w:right w:val="single" w:color="000000" w:sz="4" w:space="0"/>
            </w:tcBorders>
            <w:tcW w:w="947" w:type="dxa"/>
            <w:vAlign w:val="center"/>
            <w:vMerge w:val="restart"/>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2020.10</w:t>
            </w:r>
            <w:r>
              <w:rPr>
                <w:rFonts w:ascii="Times New Roman" w:hAnsi="Times New Roman" w:cs="Times New Roman"/>
                <w:color w:val="000000"/>
                <w:highlight w:val="none"/>
              </w:rPr>
            </w:r>
            <w:r/>
          </w:p>
        </w:tc>
        <w:tc>
          <w:tcPr>
            <w:tcBorders>
              <w:top w:val="none" w:color="000000" w:sz="4" w:space="0"/>
              <w:left w:val="none" w:color="000000" w:sz="4" w:space="0"/>
              <w:bottom w:val="none" w:color="000000" w:sz="0" w:space="0"/>
              <w:right w:val="single" w:color="000000" w:sz="4" w:space="0"/>
            </w:tcBorders>
            <w:tcW w:w="1102" w:type="dxa"/>
            <w:vAlign w:val="center"/>
            <w:vMerge w:val="restart"/>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w:t>
            </w:r>
            <w:r>
              <w:rPr>
                <w:rFonts w:hint="eastAsia" w:ascii="Times New Roman" w:hAnsi="Times New Roman" w:cs="Times New Roman"/>
                <w:color w:val="000000"/>
                <w:highlight w:val="none"/>
              </w:rPr>
              <w:t xml:space="preserve">7</w:t>
            </w:r>
            <w:r>
              <w:rPr>
                <w:rFonts w:ascii="Times New Roman" w:hAnsi="Times New Roman" w:cs="Times New Roman"/>
                <w:color w:val="000000"/>
                <w:highlight w:val="none"/>
              </w:rPr>
              <w:t xml:space="preserve">.1</w:t>
            </w:r>
            <w:r>
              <w:rPr>
                <w:rFonts w:ascii="Times New Roman" w:hAnsi="Times New Roman" w:cs="Times New Roman"/>
                <w:color w:val="000000"/>
                <w:highlight w:val="none"/>
              </w:rPr>
            </w:r>
            <w:r/>
          </w:p>
        </w:tc>
      </w:tr>
      <w:tr>
        <w:trPr>
          <w:trHeight w:val="637"/>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二标6、7、12、13、14、15、16</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日立</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Helvetica" w:hAnsi="Helvetica" w:eastAsia="Helvetica" w:cs="Helvetica"/>
                <w:i w:val="0"/>
                <w:iCs w:val="0"/>
                <w:caps w:val="0"/>
                <w:color w:val="000000"/>
                <w:spacing w:val="0"/>
                <w:sz w:val="21"/>
                <w:szCs w:val="21"/>
                <w:highlight w:val="none"/>
                <w:shd w:val="clear" w:color="auto" w:fill="ffffff"/>
              </w:rPr>
            </w:pPr>
            <w:r>
              <w:rPr>
                <w:rFonts w:hint="eastAsia" w:ascii="Helvetica" w:hAnsi="Helvetica" w:eastAsia="Helvetica" w:cs="Helvetica"/>
                <w:i w:val="0"/>
                <w:iCs w:val="0"/>
                <w:caps w:val="0"/>
                <w:color w:val="000000"/>
                <w:spacing w:val="0"/>
                <w:sz w:val="21"/>
                <w:szCs w:val="21"/>
                <w:highlight w:val="none"/>
                <w:shd w:val="clear" w:color="auto" w:fill="ffffff"/>
              </w:rPr>
              <w:t xml:space="preserve">HGE-1050-CO105</w:t>
            </w:r>
            <w:r>
              <w:rPr>
                <w:rFonts w:ascii="Helvetica" w:hAnsi="Helvetica" w:eastAsia="Helvetica" w:cs="Helvetica"/>
                <w:i w:val="0"/>
                <w:iCs w:val="0"/>
                <w:caps w:val="0"/>
                <w:color w:val="000000"/>
                <w:spacing w:val="0"/>
                <w:sz w:val="21"/>
                <w:szCs w:val="21"/>
                <w:highlight w:val="none"/>
                <w:shd w:val="clear" w:color="auto" w:fill="ffffff"/>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26台</w:t>
            </w:r>
            <w:r>
              <w:rPr>
                <w:rFonts w:ascii="宋体" w:hAnsi="宋体" w:eastAsia="宋体"/>
                <w:color w:val="000000"/>
                <w:highlight w:val="none"/>
                <w:lang w:val="en-US" w:eastAsia="zh-CN"/>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none" w:color="000000" w:sz="0" w:space="0"/>
              <w:right w:val="single" w:color="000000" w:sz="4" w:space="0"/>
            </w:tcBorders>
            <w:tcW w:w="1102" w:type="dxa"/>
            <w:vAlign w:val="center"/>
            <w:vMerge w:val="continue"/>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539"/>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3</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丰园人家B区</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三标17、18、19、20、21、24、25、26</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日立</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Helvetica" w:hAnsi="Helvetica" w:eastAsia="Helvetica" w:cs="Helvetica"/>
                <w:i w:val="0"/>
                <w:iCs w:val="0"/>
                <w:caps w:val="0"/>
                <w:color w:val="000000"/>
                <w:spacing w:val="0"/>
                <w:sz w:val="21"/>
                <w:szCs w:val="21"/>
                <w:highlight w:val="none"/>
                <w:shd w:val="clear" w:color="auto" w:fill="ffffff"/>
              </w:rPr>
            </w:pPr>
            <w:r>
              <w:rPr>
                <w:rFonts w:ascii="Helvetica" w:hAnsi="Helvetica" w:eastAsia="Helvetica" w:cs="Helvetica"/>
                <w:i w:val="0"/>
                <w:iCs w:val="0"/>
                <w:caps w:val="0"/>
                <w:color w:val="000000"/>
                <w:spacing w:val="0"/>
                <w:sz w:val="21"/>
                <w:szCs w:val="21"/>
                <w:highlight w:val="none"/>
                <w:shd w:val="clear" w:color="auto" w:fill="ffffff"/>
              </w:rPr>
              <w:t xml:space="preserve">HGE-1050-CO105</w:t>
            </w:r>
            <w:r>
              <w:rPr>
                <w:rFonts w:ascii="Helvetica" w:hAnsi="Helvetica" w:eastAsia="Helvetica" w:cs="Helvetica"/>
                <w:i w:val="0"/>
                <w:iCs w:val="0"/>
                <w:caps w:val="0"/>
                <w:color w:val="000000"/>
                <w:spacing w:val="0"/>
                <w:sz w:val="21"/>
                <w:szCs w:val="21"/>
                <w:highlight w:val="none"/>
                <w:shd w:val="clear" w:color="auto" w:fill="ffffff"/>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34台</w:t>
            </w:r>
            <w:r>
              <w:rPr>
                <w:rFonts w:ascii="宋体" w:hAnsi="宋体"/>
                <w:color w:val="000000"/>
                <w:highlight w:val="none"/>
              </w:rPr>
            </w:r>
            <w:r/>
          </w:p>
        </w:tc>
        <w:tc>
          <w:tcPr>
            <w:tcBorders>
              <w:top w:val="none" w:color="000000" w:sz="4" w:space="0"/>
              <w:left w:val="none" w:color="000000" w:sz="4" w:space="0"/>
              <w:bottom w:val="none" w:color="000000" w:sz="0" w:space="0"/>
              <w:right w:val="single" w:color="000000" w:sz="4" w:space="0"/>
            </w:tcBorders>
            <w:tcW w:w="947" w:type="dxa"/>
            <w:vAlign w:val="center"/>
            <w:vMerge w:val="restart"/>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2020.10</w:t>
            </w:r>
            <w:r>
              <w:rPr>
                <w:rFonts w:ascii="Times New Roman" w:hAnsi="Times New Roman" w:cs="Times New Roman"/>
                <w:color w:val="000000"/>
                <w:highlight w:val="none"/>
              </w:rPr>
            </w:r>
            <w:r/>
          </w:p>
        </w:tc>
        <w:tc>
          <w:tcPr>
            <w:tcBorders>
              <w:top w:val="none" w:color="000000" w:sz="0" w:space="0"/>
              <w:left w:val="none" w:color="000000" w:sz="4" w:space="0"/>
              <w:bottom w:val="none" w:color="000000" w:sz="0" w:space="0"/>
              <w:right w:val="single" w:color="000000" w:sz="4" w:space="0"/>
            </w:tcBorders>
            <w:tcW w:w="1102" w:type="dxa"/>
            <w:vAlign w:val="center"/>
            <w:vMerge w:val="continue"/>
            <w:textDirection w:val="lrTb"/>
            <w:noWrap w:val="false"/>
          </w:tcPr>
          <w:p>
            <w:pPr>
              <w:pStyle w:val="1004"/>
              <w:ind w:firstLine="0"/>
              <w:jc w:val="center"/>
              <w:spacing w:line="24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58"/>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四标22、23、27、28、29、30、31、32、33、34、35</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迅达</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36台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val="false"/>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val="false"/>
          </w:tcPr>
          <w:p>
            <w:pPr>
              <w:pStyle w:val="1004"/>
              <w:ind w:firstLine="0"/>
              <w:jc w:val="center"/>
              <w:spacing w:line="240" w:lineRule="auto"/>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582"/>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4</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周港花苑</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迅达</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5200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44台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2020.12</w:t>
            </w:r>
            <w:r>
              <w:rPr>
                <w:rFonts w:ascii="Times New Roman" w:hAnsi="Times New Roman"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w:t>
            </w:r>
            <w:r>
              <w:rPr>
                <w:rFonts w:hint="eastAsia" w:ascii="Times New Roman" w:hAnsi="Times New Roman" w:cs="Times New Roman"/>
                <w:color w:val="000000"/>
                <w:highlight w:val="none"/>
              </w:rPr>
              <w:t xml:space="preserve">7</w:t>
            </w:r>
            <w:r>
              <w:rPr>
                <w:rFonts w:ascii="Times New Roman" w:hAnsi="Times New Roman" w:cs="Times New Roman"/>
                <w:color w:val="000000"/>
                <w:highlight w:val="none"/>
              </w:rPr>
              <w:t xml:space="preserve">.1</w:t>
            </w:r>
            <w:r>
              <w:rPr>
                <w:rFonts w:ascii="Times New Roman" w:hAnsi="Times New Roman" w:cs="Times New Roman"/>
                <w:color w:val="000000"/>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5</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东富佳苑</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日立</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val="false"/>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HGE-825-CO105</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111台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2023.10</w:t>
            </w:r>
            <w:r>
              <w:rPr>
                <w:rFonts w:ascii="Times New Roman" w:hAnsi="Times New Roman" w:cs="Times New Roman"/>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Times New Roman" w:hAnsi="Times New Roman" w:cs="Times New Roman"/>
                <w:color w:val="000000"/>
                <w:highlight w:val="none"/>
              </w:rPr>
            </w:pPr>
            <w:r>
              <w:rPr>
                <w:rFonts w:ascii="Times New Roman" w:hAnsi="Times New Roman" w:cs="Times New Roman"/>
                <w:color w:val="000000"/>
                <w:highlight w:val="none"/>
              </w:rPr>
              <w:t xml:space="preserve">2025.11</w:t>
            </w:r>
            <w:r>
              <w:rPr>
                <w:rFonts w:ascii="Times New Roman" w:hAnsi="Times New Roman" w:cs="Times New Roman"/>
                <w:color w:val="000000"/>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6</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栖凤二期</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蒂森克虏伯</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RF1</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20台</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2026.01</w:t>
            </w:r>
            <w:r>
              <w:rPr>
                <w:rFonts w:hint="eastAsia" w:ascii="宋体" w:hAnsi="宋体"/>
                <w:color w:val="000000"/>
                <w:highlight w:val="none"/>
              </w:rPr>
            </w:r>
            <w:r/>
          </w:p>
        </w:tc>
      </w:tr>
      <w:tr>
        <w:trPr>
          <w:trHeight w:val="481"/>
        </w:trPr>
        <w:tc>
          <w:tcPr>
            <w:tcBorders>
              <w:top w:val="single" w:color="000000" w:sz="4" w:space="0"/>
              <w:left w:val="single" w:color="000000" w:sz="4" w:space="0"/>
              <w:bottom w:val="none" w:color="000000" w:sz="0" w:space="0"/>
              <w:right w:val="single" w:color="000000" w:sz="4" w:space="0"/>
            </w:tcBorders>
            <w:tcW w:w="346" w:type="dxa"/>
            <w:vAlign w:val="center"/>
            <w:vMerge w:val="restart"/>
            <w:textDirection w:val="lrTb"/>
            <w:noWrap w:val="false"/>
          </w:tcPr>
          <w:p>
            <w:pPr>
              <w:pStyle w:val="1004"/>
              <w:jc w:val="center"/>
              <w:rPr>
                <w:rFonts w:ascii="宋体" w:hAnsi="宋体"/>
                <w:b/>
                <w:bCs/>
                <w:color w:val="000000"/>
                <w:highlight w:val="none"/>
              </w:rPr>
            </w:pPr>
            <w:r>
              <w:rPr>
                <w:rFonts w:hint="eastAsia" w:ascii="宋体" w:hAnsi="宋体"/>
                <w:b/>
                <w:bCs/>
                <w:color w:val="000000"/>
                <w:highlight w:val="none"/>
              </w:rPr>
              <w:t xml:space="preserve">7</w:t>
            </w:r>
            <w:r>
              <w:rPr>
                <w:rFonts w:ascii="宋体" w:hAnsi="宋体"/>
                <w:b/>
                <w:bCs/>
                <w:color w:val="000000"/>
                <w:highlight w:val="none"/>
              </w:rPr>
            </w:r>
            <w:r/>
          </w:p>
        </w:tc>
        <w:tc>
          <w:tcPr>
            <w:tcBorders>
              <w:top w:val="single" w:color="000000" w:sz="4" w:space="0"/>
              <w:left w:val="none" w:color="000000" w:sz="4" w:space="0"/>
              <w:bottom w:val="none" w:color="000000" w:sz="0" w:space="0"/>
              <w:right w:val="single" w:color="000000" w:sz="4" w:space="0"/>
            </w:tcBorders>
            <w:tcW w:w="1090" w:type="dxa"/>
            <w:vAlign w:val="center"/>
            <w:vMerge w:val="restart"/>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栖凤三期</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eastAsia="宋体"/>
                <w:color w:val="000000"/>
                <w:highlight w:val="none"/>
                <w:lang w:val="en-US" w:eastAsia="zh-CN"/>
              </w:rPr>
            </w:pPr>
            <w:r>
              <w:rPr>
                <w:rFonts w:hint="eastAsia" w:ascii="宋体" w:hAnsi="宋体"/>
                <w:color w:val="000000"/>
                <w:highlight w:val="none"/>
              </w:rPr>
              <w:t xml:space="preserve">一标1、2、7、11、12、13、14</w:t>
            </w:r>
            <w:r>
              <w:rPr>
                <w:rFonts w:hint="eastAsia" w:ascii="宋体" w:hAnsi="宋体" w:eastAsia="宋体"/>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ascii="宋体" w:hAnsi="宋体"/>
                <w:color w:val="000000"/>
                <w:highlight w:val="none"/>
              </w:rPr>
            </w:pPr>
            <w:r>
              <w:rPr>
                <w:rFonts w:hint="eastAsia" w:ascii="宋体" w:hAnsi="宋体"/>
                <w:color w:val="000000"/>
                <w:highlight w:val="none"/>
              </w:rPr>
              <w:t xml:space="preserve">通力</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KONE MiniSpace</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44台</w:t>
            </w:r>
            <w:r>
              <w:rPr>
                <w:rFonts w:ascii="宋体" w:hAnsi="宋体"/>
                <w:color w:val="000000"/>
                <w:highlight w:val="none"/>
              </w:rPr>
            </w:r>
            <w:r/>
          </w:p>
        </w:tc>
        <w:tc>
          <w:tcPr>
            <w:tcBorders>
              <w:top w:val="single" w:color="000000" w:sz="4" w:space="0"/>
              <w:left w:val="none" w:color="000000" w:sz="4" w:space="0"/>
              <w:bottom w:val="none" w:color="000000" w:sz="0" w:space="0"/>
              <w:right w:val="single" w:color="000000" w:sz="4" w:space="0"/>
            </w:tcBorders>
            <w:tcW w:w="947" w:type="dxa"/>
            <w:vAlign w:val="center"/>
            <w:vMerge w:val="restart"/>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none" w:color="000000" w:sz="0" w:space="0"/>
              <w:right w:val="single" w:color="000000" w:sz="4" w:space="0"/>
            </w:tcBorders>
            <w:tcW w:w="1102" w:type="dxa"/>
            <w:vAlign w:val="center"/>
            <w:vMerge w:val="restart"/>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t xml:space="preserve">2025.10-11</w:t>
            </w:r>
            <w:r>
              <w:rPr>
                <w:rFonts w:hint="eastAsia" w:ascii="宋体" w:hAnsi="宋体"/>
                <w:color w:val="000000"/>
                <w:highlight w:val="none"/>
              </w:rPr>
            </w:r>
            <w:r/>
          </w:p>
        </w:tc>
      </w:tr>
      <w:tr>
        <w:trPr>
          <w:trHeight w:val="623"/>
        </w:trPr>
        <w:tc>
          <w:tcPr>
            <w:tcBorders>
              <w:top w:val="none" w:color="000000" w:sz="0"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1004"/>
              <w:jc w:val="center"/>
              <w:rPr>
                <w:rFonts w:hint="eastAsia" w:ascii="宋体" w:hAnsi="宋体"/>
                <w:b/>
                <w:bCs/>
                <w:color w:val="000000"/>
                <w:highlight w:val="none"/>
              </w:rPr>
            </w:pPr>
            <w:r>
              <w:rPr>
                <w:rFonts w:hint="eastAsia" w:ascii="宋体" w:hAnsi="宋体"/>
                <w:b/>
                <w:bCs/>
                <w:color w:val="000000"/>
                <w:highlight w:val="none"/>
              </w:rPr>
            </w:r>
            <w:r/>
          </w:p>
        </w:tc>
        <w:tc>
          <w:tcPr>
            <w:tcBorders>
              <w:top w:val="none" w:color="000000" w:sz="0" w:space="0"/>
              <w:left w:val="none" w:color="000000" w:sz="4" w:space="0"/>
              <w:bottom w:val="single" w:color="000000" w:sz="4" w:space="0"/>
              <w:right w:val="single" w:color="000000" w:sz="4" w:space="0"/>
            </w:tcBorders>
            <w:tcW w:w="1090"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二标3、4、5、6、8、9、10</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pStyle w:val="1004"/>
              <w:jc w:val="center"/>
              <w:rPr>
                <w:rFonts w:hint="eastAsia" w:ascii="宋体" w:hAnsi="宋体"/>
                <w:color w:val="000000"/>
                <w:highlight w:val="none"/>
              </w:rPr>
            </w:pPr>
            <w:r>
              <w:rPr>
                <w:rFonts w:hint="eastAsia" w:ascii="宋体" w:hAnsi="宋体"/>
                <w:color w:val="000000"/>
                <w:highlight w:val="none"/>
              </w:rPr>
              <w:t xml:space="preserve">迅达</w:t>
            </w:r>
            <w:r>
              <w:rPr>
                <w:rFonts w:hint="eastAsia"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color w:val="000000"/>
                <w:highlight w:val="none"/>
              </w:rPr>
            </w:pPr>
            <w:r>
              <w:rPr>
                <w:rFonts w:ascii="Helvetica" w:hAnsi="Helvetica" w:eastAsia="Helvetica" w:cs="Helvetica"/>
                <w:i w:val="0"/>
                <w:iCs w:val="0"/>
                <w:caps w:val="0"/>
                <w:color w:val="000000"/>
                <w:spacing w:val="0"/>
                <w:sz w:val="21"/>
                <w:szCs w:val="21"/>
                <w:highlight w:val="none"/>
                <w:shd w:val="clear" w:color="auto" w:fill="ffffff"/>
              </w:rPr>
              <w:t xml:space="preserve">Schindler 3600</w:t>
            </w: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rPr>
              <w:t xml:space="preserve">36台</w:t>
            </w:r>
            <w:r>
              <w:rPr>
                <w:rFonts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947"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c>
          <w:tcPr>
            <w:tcBorders>
              <w:top w:val="none" w:color="000000" w:sz="0" w:space="0"/>
              <w:left w:val="none" w:color="000000" w:sz="4" w:space="0"/>
              <w:bottom w:val="single" w:color="000000" w:sz="4" w:space="0"/>
              <w:right w:val="single" w:color="000000" w:sz="4" w:space="0"/>
            </w:tcBorders>
            <w:tcW w:w="1102" w:type="dxa"/>
            <w:vAlign w:val="center"/>
            <w:vMerge w:val="continue"/>
            <w:textDirection w:val="lrTb"/>
            <w:noWrap/>
          </w:tcPr>
          <w:p>
            <w:pPr>
              <w:pStyle w:val="1004"/>
              <w:jc w:val="center"/>
              <w:rPr>
                <w:rFonts w:hint="eastAsia" w:ascii="宋体" w:hAnsi="宋体"/>
                <w:color w:val="000000"/>
                <w:highlight w:val="none"/>
              </w:rPr>
            </w:pPr>
            <w:r>
              <w:rPr>
                <w:rFonts w:hint="eastAsia" w:ascii="宋体" w:hAnsi="宋体"/>
                <w:color w:val="00000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1004"/>
              <w:jc w:val="center"/>
              <w:rPr>
                <w:rFonts w:hint="eastAsia"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8</w:t>
            </w:r>
            <w:r>
              <w:rPr>
                <w:rFonts w:hint="eastAsia" w:ascii="宋体" w:hAnsi="宋体" w:eastAsia="宋体"/>
                <w:b/>
                <w:bCs/>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hint="eastAsia" w:ascii="宋体" w:hAnsi="宋体" w:eastAsia="宋体"/>
                <w:b/>
                <w:bCs/>
                <w:color w:val="000000"/>
                <w:highlight w:val="none"/>
                <w:lang w:eastAsia="zh-CN"/>
              </w:rPr>
            </w:pPr>
            <w:r>
              <w:rPr>
                <w:rFonts w:hint="eastAsia" w:ascii="宋体" w:hAnsi="宋体"/>
                <w:b/>
                <w:bCs/>
                <w:color w:val="000000"/>
                <w:highlight w:val="none"/>
                <w:lang w:eastAsia="zh-CN"/>
              </w:rPr>
              <w:t xml:space="preserve">滨江花苑三期一批次</w:t>
            </w:r>
            <w:r>
              <w:rPr>
                <w:rFonts w:hint="eastAsia" w:ascii="宋体" w:hAnsi="宋体" w:eastAsia="宋体"/>
                <w:b/>
                <w:bCs/>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ascii="宋体" w:hAnsi="宋体" w:eastAsia="宋体"/>
                <w:b/>
                <w:bCs/>
                <w:color w:val="000000"/>
                <w:highlight w:val="none"/>
                <w:lang w:val="en-US" w:eastAsia="zh-CN"/>
              </w:rPr>
            </w:pPr>
            <w:r>
              <w:rPr>
                <w:rFonts w:hint="eastAsia" w:ascii="宋体" w:hAnsi="宋体"/>
                <w:b/>
                <w:bCs/>
                <w:color w:val="000000"/>
                <w:highlight w:val="none"/>
                <w:lang w:val="en-US" w:eastAsia="zh-CN"/>
              </w:rPr>
              <w:t xml:space="preserve">1、2、3、4、5、6</w:t>
            </w:r>
            <w:r>
              <w:rPr>
                <w:rFonts w:ascii="宋体" w:hAnsi="宋体" w:eastAsia="宋体"/>
                <w:b/>
                <w:bCs/>
                <w:color w:val="000000"/>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b/>
                <w:bCs/>
                <w:color w:val="000000"/>
                <w:highlight w:val="none"/>
              </w:rPr>
            </w:pPr>
            <w:r>
              <w:rPr>
                <w:rFonts w:hint="eastAsia" w:ascii="宋体" w:hAnsi="宋体"/>
                <w:b/>
                <w:bCs/>
                <w:color w:val="000000"/>
                <w:highlight w:val="none"/>
                <w:lang w:val="en-US" w:eastAsia="zh-CN"/>
              </w:rPr>
              <w:t xml:space="preserve">日立</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b/>
                <w:bCs/>
                <w:color w:val="000000"/>
                <w:highlight w:val="none"/>
              </w:rPr>
            </w:pPr>
            <w:r>
              <w:rPr>
                <w:rFonts w:hint="eastAsia" w:ascii="宋体" w:hAnsi="宋体"/>
                <w:b/>
                <w:bCs/>
                <w:color w:val="000000"/>
                <w:highlight w:val="none"/>
                <w:lang w:val="en-US" w:eastAsia="zh-CN"/>
              </w:rPr>
              <w:t xml:space="preserve">HGE-825-CO105</w:t>
            </w:r>
            <w:r>
              <w:rPr>
                <w:rFonts w:ascii="宋体" w:hAnsi="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eastAsia="宋体"/>
                <w:b/>
                <w:bCs/>
                <w:color w:val="000000"/>
                <w:highlight w:val="none"/>
                <w:lang w:eastAsia="zh-CN"/>
              </w:rPr>
            </w:pPr>
            <w:r>
              <w:rPr>
                <w:rFonts w:hint="eastAsia" w:ascii="宋体" w:hAnsi="宋体"/>
                <w:b/>
                <w:bCs/>
                <w:color w:val="000000"/>
                <w:highlight w:val="none"/>
                <w:lang w:val="en-US" w:eastAsia="zh-CN"/>
              </w:rPr>
              <w:t xml:space="preserve">17</w:t>
            </w:r>
            <w:r>
              <w:rPr>
                <w:rFonts w:hint="eastAsia" w:ascii="宋体" w:hAnsi="宋体"/>
                <w:b/>
                <w:bCs/>
                <w:color w:val="000000"/>
                <w:highlight w:val="none"/>
                <w:lang w:eastAsia="zh-CN"/>
              </w:rPr>
              <w:t xml:space="preserve">台</w:t>
            </w:r>
            <w:r>
              <w:rPr>
                <w:rFonts w:hint="eastAsia" w:ascii="宋体" w:hAnsi="宋体" w:eastAsia="宋体"/>
                <w:b/>
                <w:bCs/>
                <w:color w:val="000000"/>
                <w:highlight w:val="none"/>
                <w:lang w:eastAsia="zh-CN"/>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宋体" w:hAnsi="宋体"/>
                <w:color w:val="000000"/>
                <w:highlight w:val="none"/>
              </w:rPr>
            </w:pPr>
            <w:r>
              <w:rPr>
                <w:rFonts w:hint="eastAsia" w:ascii="宋体" w:hAnsi="宋体"/>
                <w:color w:val="000000"/>
                <w:highlight w:val="none"/>
                <w:lang w:val="en-US" w:eastAsia="zh-CN"/>
              </w:rPr>
              <w:t xml:space="preserve">2027.12.31</w:t>
            </w:r>
            <w:r>
              <w:rPr>
                <w:rFonts w:ascii="宋体" w:hAnsi="宋体"/>
                <w:color w:val="00000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1004"/>
              <w:jc w:val="center"/>
              <w:rPr>
                <w:rFonts w:hint="eastAsia" w:ascii="宋体" w:hAnsi="宋体" w:eastAsia="宋体" w:cs="Times New Roman"/>
                <w:b/>
                <w:bCs/>
                <w:color w:val="000000"/>
                <w:sz w:val="21"/>
                <w:szCs w:val="22"/>
                <w:highlight w:val="none"/>
                <w:lang w:val="en-US" w:eastAsia="zh-CN" w:bidi="ar-SA"/>
              </w:rPr>
            </w:pPr>
            <w:r>
              <w:rPr>
                <w:rFonts w:hint="eastAsia" w:ascii="宋体" w:hAnsi="宋体"/>
                <w:b/>
                <w:bCs/>
                <w:color w:val="000000"/>
                <w:highlight w:val="none"/>
              </w:rPr>
              <w:t xml:space="preserve">合计</w:t>
            </w:r>
            <w:r>
              <w:rPr>
                <w:rFonts w:hint="eastAsia"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90"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2106"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pStyle w:val="1004"/>
              <w:jc w:val="center"/>
              <w:rPr>
                <w:rFonts w:ascii="宋体" w:hAnsi="宋体" w:eastAsia="宋体" w:cs="Times New Roman"/>
                <w:b/>
                <w:bCs/>
                <w:color w:val="000000"/>
                <w:sz w:val="21"/>
                <w:szCs w:val="22"/>
                <w:highlight w:val="none"/>
                <w:lang w:val="en-US" w:eastAsia="zh-CN" w:bidi="ar-SA"/>
              </w:rPr>
            </w:pPr>
            <w:r>
              <w:rPr>
                <w:rFonts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tcPr>
          <w:p>
            <w:pPr>
              <w:pStyle w:val="1004"/>
              <w:jc w:val="center"/>
              <w:rPr>
                <w:rFonts w:hint="eastAsia" w:ascii="宋体" w:hAnsi="宋体" w:eastAsia="宋体" w:cs="Times New Roman"/>
                <w:b/>
                <w:bCs/>
                <w:color w:val="000000"/>
                <w:sz w:val="21"/>
                <w:szCs w:val="22"/>
                <w:highlight w:val="none"/>
                <w:lang w:val="en-US" w:eastAsia="zh-CN" w:bidi="ar-SA"/>
              </w:rPr>
            </w:pPr>
            <w:r>
              <w:rPr>
                <w:rFonts w:hint="eastAsia" w:ascii="宋体" w:hAnsi="宋体"/>
                <w:b/>
                <w:bCs/>
                <w:color w:val="000000"/>
                <w:highlight w:val="none"/>
              </w:rPr>
              <w:t xml:space="preserve">4</w:t>
            </w:r>
            <w:r>
              <w:rPr>
                <w:rFonts w:hint="eastAsia" w:ascii="宋体" w:hAnsi="宋体"/>
                <w:b/>
                <w:bCs/>
                <w:color w:val="000000"/>
                <w:highlight w:val="none"/>
                <w:lang w:val="en-US" w:eastAsia="zh-CN"/>
              </w:rPr>
              <w:t xml:space="preserve">74</w:t>
            </w:r>
            <w:r>
              <w:rPr>
                <w:rFonts w:hint="eastAsia" w:ascii="宋体" w:hAnsi="宋体"/>
                <w:b/>
                <w:bCs/>
                <w:color w:val="000000"/>
                <w:highlight w:val="none"/>
                <w:lang w:eastAsia="zh-CN"/>
              </w:rPr>
              <w:t xml:space="preserve">台</w:t>
            </w:r>
            <w:r>
              <w:rPr>
                <w:rFonts w:hint="eastAsia" w:ascii="宋体" w:hAnsi="宋体" w:eastAsia="宋体" w:cs="Times New Roman"/>
                <w:b/>
                <w:bCs/>
                <w:color w:val="000000"/>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c>
          <w:tcPr>
            <w:tcBorders>
              <w:top w:val="single" w:color="000000" w:sz="4" w:space="0"/>
              <w:left w:val="none" w:color="000000" w:sz="4" w:space="0"/>
              <w:bottom w:val="single" w:color="000000" w:sz="4" w:space="0"/>
              <w:right w:val="single" w:color="000000" w:sz="4" w:space="0"/>
            </w:tcBorders>
            <w:tcW w:w="1102" w:type="dxa"/>
            <w:vAlign w:val="center"/>
            <w:textDirection w:val="lrTb"/>
            <w:noWrap/>
          </w:tcPr>
          <w:p>
            <w:pPr>
              <w:pStyle w:val="1004"/>
              <w:jc w:val="center"/>
              <w:rPr>
                <w:rFonts w:ascii="宋体" w:hAnsi="宋体"/>
                <w:color w:val="000000"/>
                <w:highlight w:val="none"/>
              </w:rPr>
            </w:pPr>
            <w:r>
              <w:rPr>
                <w:rFonts w:ascii="宋体" w:hAnsi="宋体"/>
                <w:color w:val="000000"/>
                <w:highlight w:val="none"/>
              </w:rPr>
            </w:r>
            <w:r/>
          </w:p>
        </w:tc>
      </w:tr>
    </w:tbl>
    <w:p>
      <w:pPr>
        <w:pStyle w:val="1004"/>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自行踏勘现场，评估了解电梯状况后进行合理报价，成交后不得以任何理由要求额外增加费用</w:t>
      </w:r>
      <w:r>
        <w:rPr>
          <w:rFonts w:hint="eastAsia" w:ascii="宋体" w:hAnsi="宋体" w:eastAsia="宋体" w:cs="宋体"/>
          <w:color w:val="000000"/>
          <w:sz w:val="24"/>
          <w:szCs w:val="24"/>
          <w:highlight w:val="none"/>
          <w:lang w:eastAsia="zh-CN"/>
        </w:rPr>
        <w:t xml:space="preserve">。另滨江花苑三期一批次日立</w:t>
      </w:r>
      <w:r>
        <w:rPr>
          <w:rFonts w:hint="eastAsia" w:ascii="宋体" w:hAnsi="宋体" w:eastAsia="宋体" w:cs="宋体"/>
          <w:color w:val="000000"/>
          <w:sz w:val="24"/>
          <w:szCs w:val="24"/>
          <w:highlight w:val="none"/>
          <w:lang w:val="en-US" w:eastAsia="zh-CN"/>
        </w:rPr>
        <w:t xml:space="preserve">HGE-825-CO105，共17台电梯待第二年续签后同步实施（第一年不实施），具体按业主要求。</w:t>
      </w:r>
      <w:r>
        <w:rPr>
          <w:rFonts w:ascii="宋体" w:hAnsi="宋体" w:eastAsia="宋体" w:cs="宋体"/>
          <w:color w:val="000000"/>
          <w:sz w:val="24"/>
          <w:szCs w:val="24"/>
          <w:highlight w:val="none"/>
          <w:lang w:val="en-US" w:eastAsia="zh-CN"/>
        </w:rPr>
      </w:r>
      <w:r/>
    </w:p>
    <w:p>
      <w:pPr>
        <w:pStyle w:val="100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：一年，</w:t>
      </w:r>
      <w:r>
        <w:rPr>
          <w:rFonts w:hint="eastAsia" w:ascii="宋体" w:hAnsi="宋体" w:eastAsia="宋体" w:cs="宋体"/>
          <w:color w:val="000000"/>
          <w:sz w:val="24"/>
          <w:szCs w:val="24"/>
          <w:highlight w:val="none"/>
          <w:lang w:eastAsia="zh-CN"/>
        </w:rPr>
        <w:t xml:space="preserve">以每张保单载明的生效日期起算</w:t>
      </w:r>
      <w:r>
        <w:rPr>
          <w:rFonts w:hint="eastAsia" w:ascii="宋体" w:hAnsi="宋体" w:eastAsia="宋体" w:cs="宋体"/>
          <w:color w:val="000000"/>
          <w:sz w:val="24"/>
          <w:szCs w:val="24"/>
          <w:highlight w:val="none"/>
        </w:rPr>
        <w:t xml:space="preserve">（在预算保障的前提下，对于购买内容相对固定、连续性强、经费来源稳定、价格变化幅度小的政府购买服务项目。）供应商经采购方经考核结果优级（</w:t>
      </w:r>
      <w:r>
        <w:rPr>
          <w:rFonts w:hint="eastAsia" w:ascii="宋体" w:hAnsi="宋体" w:cs="宋体"/>
          <w:color w:val="000000"/>
          <w:sz w:val="24"/>
          <w:szCs w:val="24"/>
          <w:highlight w:val="none"/>
          <w:lang w:eastAsia="zh-CN"/>
        </w:rPr>
        <w:t xml:space="preserve">90分及以上</w:t>
      </w:r>
      <w:r>
        <w:rPr>
          <w:rFonts w:hint="eastAsia" w:ascii="宋体" w:hAnsi="宋体" w:eastAsia="宋体" w:cs="宋体"/>
          <w:color w:val="000000"/>
          <w:sz w:val="24"/>
          <w:szCs w:val="24"/>
          <w:highlight w:val="none"/>
        </w:rPr>
        <w:t xml:space="preserve">），采购方可以续签合同，合同一年一签，续签不超过</w:t>
      </w:r>
      <w:r>
        <w:rPr>
          <w:rFonts w:hint="eastAsia" w:ascii="宋体" w:hAnsi="宋体" w:cs="宋体"/>
          <w:color w:val="000000"/>
          <w:sz w:val="24"/>
          <w:szCs w:val="24"/>
          <w:highlight w:val="none"/>
          <w:lang w:eastAsia="zh-CN"/>
        </w:rPr>
        <w:t xml:space="preserve">两次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b/>
          <w:bCs/>
          <w:color w:val="000000"/>
          <w:sz w:val="24"/>
          <w:szCs w:val="24"/>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提供2025年度由会计师事务所（或者审计机构）出具的财务报告；（总公司的财务报告，成立不满一年不需提供）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04"/>
        <w:ind w:left="0" w:firstLine="480"/>
        <w:pageBreakBefore w:val="0"/>
        <w:spacing w:line="360" w:lineRule="auto"/>
        <w:rPr>
          <w:rFonts w:hint="eastAsia" w:ascii="宋体" w:hAnsi="宋体" w:eastAsia="宋体" w:cs="宋体"/>
          <w:b w:val="0"/>
          <w:bCs w:val="0"/>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w:t>
      </w:r>
      <w:r>
        <w:rPr>
          <w:rFonts w:hint="eastAsia" w:ascii="宋体" w:hAnsi="宋体"/>
          <w:b w:val="0"/>
          <w:bCs w:val="0"/>
          <w:color w:val="000000"/>
          <w:sz w:val="24"/>
          <w:szCs w:val="24"/>
          <w:highlight w:val="none"/>
        </w:rPr>
        <w:t xml:space="preserve">无需提供证明材料）</w:t>
      </w:r>
      <w:r>
        <w:rPr>
          <w:rFonts w:hint="eastAsia" w:ascii="宋体" w:hAnsi="宋体" w:eastAsia="宋体" w:cs="宋体"/>
          <w:b w:val="0"/>
          <w:bCs w:val="0"/>
          <w:color w:val="000000"/>
          <w:sz w:val="36"/>
          <w:szCs w:val="36"/>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3. 落实政府采购政策需满足的资格要求：本项目采用合同分包方式落实中小企业扶持政策，</w:t>
      </w:r>
      <w:r>
        <w:rPr>
          <w:rFonts w:hint="eastAsia" w:ascii="宋体" w:hAnsi="宋体" w:eastAsia="宋体" w:cs="宋体"/>
          <w:b w:val="0"/>
          <w:bCs w:val="0"/>
          <w:color w:val="000000"/>
          <w:sz w:val="24"/>
          <w:szCs w:val="24"/>
          <w:highlight w:val="none"/>
          <w:lang w:eastAsia="zh-CN"/>
        </w:rPr>
        <w:t xml:space="preserve">供应商</w:t>
      </w:r>
      <w:r>
        <w:rPr>
          <w:rFonts w:ascii="宋体" w:hAnsi="宋体" w:eastAsia="宋体" w:cs="宋体"/>
          <w:b w:val="0"/>
          <w:bCs w:val="0"/>
          <w:color w:val="000000"/>
          <w:sz w:val="24"/>
          <w:szCs w:val="24"/>
          <w:highlight w:val="none"/>
        </w:rPr>
        <w:t xml:space="preserve">可选择以下任意一种方式参与： </w:t>
      </w:r>
      <w:r>
        <w:rPr>
          <w:rFonts w:ascii="宋体" w:hAnsi="宋体" w:eastAsia="宋体" w:cs="宋体"/>
          <w:b w:val="0"/>
          <w:bCs w:val="0"/>
          <w:color w:val="000000"/>
          <w:sz w:val="24"/>
          <w:szCs w:val="24"/>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（1）供应商为小微型企业的，提供《中小企业声明函（服务）》（残疾人福利性单位、监狱企业视同小微企业，提供对应证明材料）； </w:t>
      </w:r>
      <w:r>
        <w:rPr>
          <w:rFonts w:ascii="宋体" w:hAnsi="宋体" w:eastAsia="宋体" w:cs="宋体"/>
          <w:b w:val="0"/>
          <w:bCs w:val="0"/>
          <w:color w:val="000000"/>
          <w:sz w:val="24"/>
          <w:szCs w:val="24"/>
          <w:highlight w:val="none"/>
        </w:rPr>
      </w:r>
      <w:r/>
    </w:p>
    <w:p>
      <w:pPr>
        <w:pStyle w:val="1004"/>
        <w:ind w:firstLine="480"/>
        <w:spacing w:line="360" w:lineRule="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（2）大中型企业须将本</w:t>
      </w:r>
      <w:r>
        <w:rPr>
          <w:rFonts w:hint="eastAsia" w:ascii="宋体" w:hAnsi="宋体" w:eastAsia="宋体" w:cs="宋体"/>
          <w:b w:val="0"/>
          <w:bCs w:val="0"/>
          <w:color w:val="000000"/>
          <w:sz w:val="24"/>
          <w:szCs w:val="24"/>
          <w:highlight w:val="none"/>
        </w:rPr>
        <w:t xml:space="preserve">项目合同总金额40% 及以上分包给一家或多家</w:t>
      </w:r>
      <w:r>
        <w:rPr>
          <w:rFonts w:hint="eastAsia" w:ascii="宋体" w:hAnsi="宋体" w:eastAsia="宋体" w:cs="宋体"/>
          <w:b w:val="0"/>
          <w:bCs w:val="0"/>
          <w:color w:val="000000"/>
          <w:sz w:val="24"/>
          <w:szCs w:val="24"/>
          <w:highlight w:val="none"/>
          <w:lang w:eastAsia="zh-CN"/>
        </w:rPr>
        <w:t xml:space="preserve">小微</w:t>
      </w:r>
      <w:r>
        <w:rPr>
          <w:rFonts w:ascii="宋体" w:hAnsi="宋体" w:eastAsia="宋体" w:cs="宋体"/>
          <w:b w:val="0"/>
          <w:bCs w:val="0"/>
          <w:color w:val="000000"/>
          <w:sz w:val="24"/>
          <w:szCs w:val="24"/>
          <w:highlight w:val="none"/>
        </w:rPr>
        <w:t xml:space="preserve">企业，响应文件中须提交双方盖章的分包意向协议、全部分包单位的《中小企业声明函（服务）》（残疾人福利性单位、监狱企业提供对应证明材料）；分包单位与投标人不得存在直接控股、管理关系。 </w:t>
      </w:r>
      <w:r>
        <w:rPr>
          <w:rFonts w:ascii="宋体" w:hAnsi="宋体" w:eastAsia="宋体" w:cs="宋体"/>
          <w:b w:val="0"/>
          <w:bCs w:val="0"/>
          <w:color w:val="000000"/>
          <w:sz w:val="24"/>
          <w:szCs w:val="24"/>
          <w:highlight w:val="none"/>
        </w:rPr>
      </w:r>
      <w:r/>
    </w:p>
    <w:p>
      <w:pPr>
        <w:pStyle w:val="1004"/>
        <w:ind w:firstLine="48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rPr>
        <w:t xml:space="preserve">不满足上述任一条件的，资格审查不予通过。</w:t>
      </w:r>
      <w:r>
        <w:rPr>
          <w:rFonts w:hint="eastAsia" w:ascii="宋体" w:hAnsi="宋体" w:eastAsia="宋体" w:cs="宋体"/>
          <w:b w:val="0"/>
          <w:bCs w:val="0"/>
          <w:color w:val="000000"/>
          <w:sz w:val="24"/>
          <w:szCs w:val="24"/>
          <w:highlight w:val="none"/>
          <w:lang w:val="en-US" w:eastAsia="zh-CN"/>
        </w:rPr>
      </w:r>
      <w:r/>
    </w:p>
    <w:p>
      <w:pPr>
        <w:pStyle w:val="1004"/>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注：（1）</w:t>
      </w:r>
      <w:r>
        <w:rPr>
          <w:rFonts w:ascii="宋体" w:hAnsi="宋体" w:eastAsia="宋体" w:cs="宋体"/>
          <w:b w:val="0"/>
          <w:bCs w:val="0"/>
          <w:color w:val="000000"/>
          <w:sz w:val="24"/>
          <w:szCs w:val="24"/>
          <w:highlight w:val="none"/>
        </w:rPr>
        <w:t xml:space="preserve">属于通过分包方式预留中小企业份额项目，不适用价格扣除评审优惠。</w:t>
      </w:r>
      <w:r>
        <w:rPr>
          <w:rFonts w:ascii="宋体" w:hAnsi="宋体" w:eastAsia="宋体" w:cs="宋体"/>
          <w:b w:val="0"/>
          <w:bCs w:val="0"/>
          <w:color w:val="000000"/>
          <w:sz w:val="24"/>
          <w:szCs w:val="24"/>
          <w:highlight w:val="none"/>
        </w:rPr>
      </w:r>
      <w:r/>
    </w:p>
    <w:p>
      <w:pPr>
        <w:pStyle w:val="100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t xml:space="preserve">采购标的对应的中小企业划分标准所属行业为金融业（保险业），执行《金融业企业划型标准规定》（银发〔2015〕309 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保险业金融机构资产总额 5000 亿元以下为中小微型企业，其中资产总额 400 亿元及以上为中型企业，20 亿元（含）‑400 亿元为小型企业，20 亿元以下为微型企业。供应商为保险分支机构的，以其总公司资产总额作为划型依据。</w:t>
      </w:r>
      <w:r>
        <w:rPr>
          <w:rFonts w:hint="eastAsia" w:ascii="宋体" w:hAnsi="宋体" w:eastAsia="宋体" w:cs="宋体"/>
          <w:b w:val="0"/>
          <w:bCs w:val="0"/>
          <w:color w:val="000000"/>
          <w:sz w:val="24"/>
          <w:szCs w:val="24"/>
          <w:highlight w:val="none"/>
          <w:lang w:val="en-US" w:eastAsia="zh-CN"/>
        </w:rPr>
      </w:r>
      <w:r/>
    </w:p>
    <w:p>
      <w:pPr>
        <w:pStyle w:val="1004"/>
        <w:ind w:firstLine="480"/>
        <w:spacing w:line="36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享受扶持政策获得政府采购合同的，小微企业不得将合同分包给大中型企业，中型企业不得将合同分包给大型企业。</w:t>
      </w:r>
      <w:r>
        <w:rPr>
          <w:rFonts w:ascii="宋体" w:hAnsi="宋体" w:eastAsia="宋体" w:cs="宋体"/>
          <w:b w:val="0"/>
          <w:bCs w:val="0"/>
          <w:color w:val="000000"/>
          <w:sz w:val="24"/>
          <w:szCs w:val="24"/>
          <w:highlight w:val="none"/>
        </w:rPr>
      </w:r>
      <w:r/>
    </w:p>
    <w:p>
      <w:pPr>
        <w:pStyle w:val="100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0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供应商具有中国银行保险监督管理委员会颁发的《经营保险业务许可证》；</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参加投标的供应商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不接受单位负责人为同一人或者存在控股、管理关系的不同单位参与同一项目投标；</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法定代表人（单位负责人）为同一个人的两个及两个以上法人，母公司、全资子公司及其控股公司，都不得在同一采购项目相同标段中同时参加投标，一经发现，将视同围标处理；</w:t>
      </w:r>
      <w:r>
        <w:rPr>
          <w:rFonts w:hint="eastAsia" w:ascii="宋体" w:hAnsi="宋体" w:eastAsia="宋体" w:cs="宋体"/>
          <w:color w:val="000000"/>
          <w:sz w:val="24"/>
          <w:szCs w:val="24"/>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为本项目提供整体设计、规范编制或者项目管理、监理、检测等服务的供应商，不得再参加该采购项目的其他采购活动。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000000"/>
          <w:sz w:val="24"/>
          <w:szCs w:val="24"/>
          <w:highlight w:val="none"/>
        </w:rPr>
        <w:t xml:space="preserve">1.时间：自磋商文件公告发布之日起5个工作日。</w:t>
      </w:r>
      <w:r>
        <w:rPr>
          <w:rFonts w:hint="eastAsia" w:ascii="宋体" w:hAnsi="宋体" w:eastAsia="宋体" w:cs="宋体"/>
          <w:b/>
          <w:color w:val="000000"/>
          <w:sz w:val="24"/>
          <w:szCs w:val="24"/>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2.1潜在供应商访问电子招标响应交易平台的网络地址和方法：</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2.2潜在供应商访问“苏采云”系统的网络地址和方法：“苏采云”系统的网址：http://jszfcg.jsczt.cn/。</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2.3“CA数字证书”的获取：</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2.5采购人或采购代理机构将数据电文形式的采购文件加载至“苏采云”系统，供潜在供应商下载或者查阅。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1004"/>
        <w:ind w:firstLine="48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eastAsia="宋体" w:cs="宋体"/>
          <w:b/>
          <w:bCs/>
          <w:color w:val="000000"/>
          <w:sz w:val="24"/>
          <w:szCs w:val="24"/>
          <w:highlight w:val="none"/>
        </w:rPr>
      </w:r>
      <w:r/>
    </w:p>
    <w:p>
      <w:pPr>
        <w:pStyle w:val="10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04"/>
        <w:ind w:firstLine="480"/>
        <w:pageBreakBefore w:val="0"/>
        <w:spacing w:line="360" w:lineRule="auto"/>
        <w:rPr>
          <w:rFonts w:hint="eastAsia" w:ascii="宋体" w:hAnsi="宋体" w:eastAsia="宋体" w:cs="宋体"/>
          <w:color w:val="000000"/>
          <w:sz w:val="24"/>
          <w:szCs w:val="24"/>
          <w:highlight w:val="none"/>
        </w:rPr>
      </w:pPr>
      <w:r/>
      <w:bookmarkStart w:id="27" w:name="_Toc28359084"/>
      <w:r/>
      <w:bookmarkStart w:id="28" w:name="_Toc28359007"/>
      <w:r/>
      <w:bookmarkStart w:id="29" w:name="_Toc35393625"/>
      <w:r/>
      <w:bookmarkStart w:id="30" w:name="_Toc38985267"/>
      <w:r/>
      <w:bookmarkStart w:id="31" w:name="_Toc35393794"/>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 7</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 9 时 00 </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04"/>
        <w:numPr>
          <w:ilvl w:val="0"/>
          <w:numId w:val="5"/>
        </w:numPr>
        <w:ind w:firstLine="480"/>
        <w:pageBreakBefore w:val="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地点：“苏采云”政府采购交易系统网上开标大厅。</w:t>
      </w:r>
      <w:r>
        <w:rPr>
          <w:rFonts w:hint="eastAsia" w:ascii="宋体" w:hAnsi="宋体" w:eastAsia="宋体" w:cs="宋体"/>
          <w:color w:val="000000"/>
          <w:sz w:val="24"/>
          <w:szCs w:val="24"/>
          <w:highlight w:val="none"/>
        </w:rPr>
      </w:r>
      <w:r/>
    </w:p>
    <w:p>
      <w:pPr>
        <w:pStyle w:val="100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各供应商请关注开标大厅交流区，在开标结束后，请勿离开开标大厅。资格评审、符合性审查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rPr>
          <w:rFonts w:hint="eastAsia" w:ascii="宋体" w:hAnsi="宋体"/>
          <w:bCs/>
          <w:color w:val="000000"/>
          <w:sz w:val="24"/>
          <w:szCs w:val="24"/>
          <w:highlight w:val="none"/>
        </w:rPr>
      </w:r>
      <w:r/>
    </w:p>
    <w:p>
      <w:pPr>
        <w:pStyle w:val="1004"/>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2.线上开标地点：“苏采云”系统（网址：http://jszfcg.jsczt.cn/）“开标大厅”。</w:t>
      </w:r>
      <w:r>
        <w:rPr>
          <w:rFonts w:hint="eastAsia" w:ascii="宋体" w:hAnsi="宋体"/>
          <w:bCs/>
          <w:color w:val="000000"/>
          <w:sz w:val="24"/>
          <w:szCs w:val="24"/>
          <w:highlight w:val="none"/>
        </w:rPr>
      </w:r>
      <w:r/>
    </w:p>
    <w:p>
      <w:pPr>
        <w:pStyle w:val="1004"/>
        <w:ind w:firstLine="480"/>
        <w:spacing w:line="360" w:lineRule="auto"/>
        <w:rPr>
          <w:rFonts w:hint="eastAsia"/>
        </w:rPr>
      </w:pPr>
      <w:r>
        <w:rPr>
          <w:rFonts w:hint="eastAsia" w:ascii="宋体" w:hAnsi="宋体"/>
          <w:bCs/>
          <w:color w:val="000000"/>
          <w:sz w:val="24"/>
          <w:szCs w:val="24"/>
          <w:highlight w:val="none"/>
        </w:rPr>
        <w:t xml:space="preserve">3.响应文件的解密：开标当天各供应商及</w:t>
      </w:r>
      <w:r>
        <w:rPr>
          <w:rFonts w:hint="eastAsia" w:ascii="宋体" w:hAnsi="宋体"/>
          <w:bCs/>
          <w:color w:val="000000"/>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04"/>
        <w:ind w:left="0" w:firstLine="480"/>
        <w:pageBreakBefore w:val="0"/>
        <w:spacing w:line="360" w:lineRule="auto"/>
        <w:rPr>
          <w:rFonts w:hint="eastAsia" w:ascii="宋体" w:hAnsi="宋体" w:eastAsia="宋体" w:cs="宋体"/>
          <w:color w:val="000000"/>
          <w:sz w:val="24"/>
          <w:szCs w:val="24"/>
          <w:highlight w:val="none"/>
        </w:rPr>
      </w:pPr>
      <w:r/>
      <w:bookmarkStart w:id="32" w:name="_Toc35393626"/>
      <w:r/>
      <w:bookmarkStart w:id="33" w:name="_Toc35393795"/>
      <w:r/>
      <w:bookmarkStart w:id="34" w:name="_Toc38985268"/>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0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04"/>
        <w:ind w:firstLine="480"/>
        <w:spacing w:line="360" w:lineRule="auto"/>
        <w:rPr>
          <w:rFonts w:hint="eastAsia" w:ascii="宋体" w:hAnsi="宋体" w:cs="宋体"/>
          <w:color w:val="000000"/>
          <w:sz w:val="24"/>
          <w:szCs w:val="24"/>
          <w:highlight w:val="none"/>
        </w:rPr>
      </w:pPr>
      <w:r/>
      <w:bookmarkStart w:id="35" w:name="_Toc35393627"/>
      <w:r/>
      <w:bookmarkStart w:id="36" w:name="_Toc28359085"/>
      <w:r/>
      <w:bookmarkStart w:id="37" w:name="_Toc38985269"/>
      <w:r/>
      <w:bookmarkStart w:id="38" w:name="_Toc28359008"/>
      <w:r/>
      <w:bookmarkStart w:id="39" w:name="_Toc35393796"/>
      <w:r>
        <w:rPr>
          <w:rFonts w:hint="eastAsia" w:ascii="宋体" w:hAnsi="宋体" w:cs="宋体"/>
          <w:color w:val="000000"/>
          <w:sz w:val="24"/>
          <w:szCs w:val="24"/>
          <w:highlight w:val="none"/>
        </w:rPr>
        <w:t xml:space="preserve">1.磋商保证金：本项目不收磋商保证金，采购文件中涉及磋商保证金的事项，均按免收磋商保证金执行。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2.项目磋商活动模式：不见面远程磋商模式，供应商在各自地点通过不见面交易系统参加开标会。 </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5.潜在供应商对竞争性磋商文件的询问、质疑请向采购人提出，由采购人负责答复。</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6.磋商响应文件制作份数要求：本项目为远程不见面电子标，成交供应商在公示结束后须提供叁份纸质版响应文件正本至招标代理处，纸质版响应文件须与电子文件一致，否则不予签订合同。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7.有关本次磋商采购的事项若存在变动或修改，敬请及时关注“江苏政府采购网”发布的更正公告。</w:t>
      </w:r>
      <w:r>
        <w:rPr>
          <w:rFonts w:hint="eastAsia" w:ascii="宋体" w:hAnsi="宋体" w:cs="宋体"/>
          <w:color w:val="000000"/>
          <w:sz w:val="24"/>
          <w:szCs w:val="24"/>
          <w:highlight w:val="none"/>
        </w:rPr>
      </w:r>
      <w:r/>
    </w:p>
    <w:p>
      <w:pPr>
        <w:pStyle w:val="100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8.本次采购项目磋商结束后需提供最终报价。</w:t>
      </w:r>
      <w:r>
        <w:rPr>
          <w:rFonts w:hint="eastAsia" w:ascii="宋体" w:hAnsi="宋体" w:eastAsia="宋体" w:cs="宋体"/>
          <w:color w:val="000000"/>
          <w:sz w:val="24"/>
          <w:szCs w:val="24"/>
          <w:highlight w:val="none"/>
          <w:lang w:val="en-US" w:eastAsia="zh-CN" w:bidi="ar-SA"/>
        </w:rPr>
      </w:r>
      <w:r/>
    </w:p>
    <w:p>
      <w:pPr>
        <w:pStyle w:val="1004"/>
        <w:ind w:firstLine="321"/>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0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南通市通州区平潮镇人民政府</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w:t>
      </w:r>
      <w:r>
        <w:rPr>
          <w:rFonts w:hint="eastAsia" w:ascii="宋体" w:hAnsi="宋体" w:cs="宋体"/>
          <w:color w:val="000000"/>
          <w:sz w:val="24"/>
          <w:szCs w:val="24"/>
          <w:highlight w:val="none"/>
          <w:u w:val="single"/>
          <w:lang w:val="en-US" w:eastAsia="zh-CN"/>
        </w:rPr>
        <w:t xml:space="preserve">平潮</w:t>
      </w:r>
      <w:r>
        <w:rPr>
          <w:rFonts w:hint="eastAsia" w:ascii="宋体" w:hAnsi="宋体" w:cs="宋体"/>
          <w:color w:val="000000"/>
          <w:sz w:val="24"/>
          <w:szCs w:val="24"/>
          <w:highlight w:val="none"/>
          <w:u w:val="single"/>
          <w:lang w:eastAsia="zh-CN"/>
        </w:rPr>
        <w:t xml:space="preserve">镇</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吕先生</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u w:val="single"/>
          <w:lang w:val="en-US" w:eastAsia="zh-CN"/>
        </w:rPr>
        <w:t xml:space="preserve">0513-86571270</w:t>
      </w:r>
      <w:r>
        <w:rPr>
          <w:rFonts w:ascii="宋体" w:hAnsi="宋体" w:eastAsia="宋体" w:cs="宋体"/>
          <w:color w:val="000000"/>
          <w:sz w:val="24"/>
          <w:szCs w:val="24"/>
          <w:highlight w:val="none"/>
          <w:u w:val="single"/>
          <w:lang w:val="en-US" w:eastAsia="zh-CN"/>
        </w:rPr>
      </w:r>
      <w:r/>
    </w:p>
    <w:p>
      <w:pPr>
        <w:pStyle w:val="100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10"/>
      <w:r/>
      <w:bookmarkStart w:id="41" w:name="_Toc28359087"/>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0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w:t>
      </w:r>
      <w:r>
        <w:rPr>
          <w:rFonts w:hint="eastAsia" w:ascii="宋体" w:hAnsi="宋体" w:cs="宋体"/>
          <w:color w:val="000000"/>
          <w:sz w:val="24"/>
          <w:szCs w:val="24"/>
          <w:highlight w:val="none"/>
          <w:u w:val="single"/>
          <w:lang w:val="en-US" w:eastAsia="zh-CN"/>
        </w:rPr>
        <w:t xml:space="preserve">崇川区外环东路80号</w:t>
      </w:r>
      <w:r>
        <w:rPr>
          <w:rFonts w:ascii="宋体" w:hAnsi="宋体" w:eastAsia="宋体" w:cs="宋体"/>
          <w:color w:val="000000"/>
          <w:sz w:val="24"/>
          <w:szCs w:val="24"/>
          <w:highlight w:val="none"/>
          <w:lang w:val="en-US" w:eastAsia="zh-CN"/>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纪女士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04"/>
        <w:ind w:left="0" w:firstLine="7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13182486119、0513-86101116</w:t>
      </w:r>
      <w:r>
        <w:rPr>
          <w:rFonts w:ascii="宋体" w:hAnsi="宋体" w:cs="宋体"/>
          <w:color w:val="000000"/>
          <w:sz w:val="24"/>
          <w:szCs w:val="24"/>
          <w:highlight w:val="none"/>
          <w:u w:val="single"/>
          <w:lang w:val="en-US" w:eastAsia="zh-CN"/>
        </w:rPr>
      </w:r>
      <w:r/>
    </w:p>
    <w:p>
      <w:pPr>
        <w:pStyle w:val="100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0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0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0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20614214"/>
      <w:r/>
      <w:bookmarkStart w:id="44" w:name="_Toc513029203"/>
      <w:r/>
      <w:bookmarkStart w:id="45" w:name="_Toc20823275"/>
      <w:r/>
      <w:bookmarkStart w:id="46" w:name="_Toc16938519"/>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20823276"/>
      <w:r/>
      <w:bookmarkStart w:id="50" w:name="_Toc513029204"/>
      <w:r/>
      <w:bookmarkStart w:id="51" w:name="_Toc16938520"/>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20823278"/>
      <w:r/>
      <w:bookmarkStart w:id="56" w:name="_Toc16938522"/>
      <w:r/>
      <w:bookmarkStart w:id="57" w:name="_Toc513029206"/>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20823279"/>
      <w:r/>
      <w:bookmarkStart w:id="59" w:name="_Toc462564067"/>
      <w:r/>
      <w:bookmarkStart w:id="60" w:name="_Toc16938523"/>
      <w:r/>
      <w:bookmarkStart w:id="61" w:name="_Toc513029207"/>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0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66.3pt;height:56.6pt;mso-wrap-distance-left:0.0pt;mso-wrap-distance-top:0.0pt;mso-wrap-distance-right:0.0pt;mso-wrap-distance-bottom:0.0pt;" stroked="f">
                <v:path textboxrect="0,0,0,0"/>
                <v:imagedata r:id="rId24" o:title=""/>
              </v:shape>
            </w:pict>
          </mc:Fallback>
        </mc:AlternateContent>
      </w:r>
      <w:r>
        <w:rPr>
          <w:rFonts w:hint="eastAsia" w:ascii="宋体" w:hAnsi="宋体" w:eastAsia="宋体" w:cs="Times New Roman"/>
          <w:color w:val="000000"/>
          <w:sz w:val="24"/>
          <w:highlight w:val="none"/>
          <w:lang w:val="en-US" w:eastAsia="zh-CN"/>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5.1供应商一旦参加本项目采购活动，即被认为接受了本磋商文件的规定和约束。</w:t>
      </w:r>
      <w:r>
        <w:rPr>
          <w:rFonts w:hint="eastAsia" w:ascii="宋体" w:hAnsi="宋体" w:eastAsia="宋体" w:cs="宋体"/>
          <w:color w:val="000000"/>
          <w:sz w:val="24"/>
          <w:szCs w:val="24"/>
          <w:highlight w:val="none"/>
          <w:lang w:val="en-US" w:eastAsia="zh-CN"/>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513029209"/>
      <w:r/>
      <w:bookmarkStart w:id="63" w:name="_Toc16938525"/>
      <w:r/>
      <w:bookmarkStart w:id="64" w:name="_Toc20823281"/>
      <w:r/>
      <w:bookmarkStart w:id="65" w:name="_Toc120614215"/>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20823282"/>
      <w:r/>
      <w:bookmarkStart w:id="67" w:name="_Toc513029210"/>
      <w:r/>
      <w:bookmarkStart w:id="68" w:name="_Toc16938526"/>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513029211"/>
      <w:r/>
      <w:bookmarkStart w:id="70" w:name="_Toc20823283"/>
      <w:r/>
      <w:bookmarkStart w:id="71" w:name="_Toc16938527"/>
      <w:r/>
      <w:bookmarkStart w:id="72" w:name="_Toc462564070"/>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462564071"/>
      <w:r/>
      <w:bookmarkStart w:id="74" w:name="_Toc20823284"/>
      <w:r/>
      <w:bookmarkStart w:id="75" w:name="_Toc513029212"/>
      <w:r/>
      <w:bookmarkStart w:id="76" w:name="_Toc16938528"/>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20823285"/>
      <w:r/>
      <w:bookmarkStart w:id="78" w:name="_Toc16938529"/>
      <w:r/>
      <w:bookmarkStart w:id="79" w:name="_Toc513029213"/>
      <w:r/>
      <w:bookmarkStart w:id="80" w:name="_Toc120614216"/>
      <w:r/>
      <w:bookmarkStart w:id="81" w:name="_Toc462564072"/>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513029214"/>
      <w:r/>
      <w:bookmarkStart w:id="83" w:name="_Toc20823286"/>
      <w:r/>
      <w:bookmarkStart w:id="84" w:name="_Toc462564073"/>
      <w:r/>
      <w:bookmarkStart w:id="85" w:name="_Toc16938530"/>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462564074"/>
      <w:r/>
      <w:bookmarkStart w:id="87" w:name="_Toc513029215"/>
      <w:r/>
      <w:bookmarkStart w:id="88" w:name="_Toc16938531"/>
      <w:r/>
      <w:bookmarkStart w:id="89" w:name="_Toc20823287"/>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14577359"/>
      <w:r/>
      <w:bookmarkStart w:id="94" w:name="_Toc49090510"/>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12、分项报价表</w:t>
      </w:r>
      <w:r>
        <w:rPr>
          <w:rFonts w:hint="eastAsia" w:ascii="宋体" w:hAnsi="宋体" w:eastAsia="宋体" w:cs="宋体"/>
          <w:color w:val="000000"/>
          <w:sz w:val="28"/>
          <w:szCs w:val="28"/>
          <w:highlight w:val="none"/>
          <w:lang w:val="en-US" w:eastAsia="zh-CN"/>
        </w:rPr>
      </w:r>
      <w:r/>
    </w:p>
    <w:p>
      <w:pPr>
        <w:pStyle w:val="1004"/>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12.1</w:t>
      </w:r>
      <w:r>
        <w:rPr>
          <w:rFonts w:hint="eastAsia" w:ascii="宋体" w:hAnsi="宋体" w:cs="宋体"/>
          <w:color w:val="000000"/>
          <w:sz w:val="24"/>
          <w:szCs w:val="24"/>
          <w:highlight w:val="none"/>
        </w:rPr>
        <w:t xml:space="preserve">供应商应按照磋商文件规定格式填报分项报价表。</w:t>
      </w:r>
      <w:r>
        <w:rPr>
          <w:rFonts w:hint="eastAsia" w:ascii="宋体" w:hAnsi="宋体" w:cs="宋体"/>
          <w:bCs/>
          <w:color w:val="000000"/>
          <w:sz w:val="24"/>
          <w:szCs w:val="24"/>
          <w:highlight w:val="none"/>
        </w:rPr>
      </w:r>
      <w:r/>
    </w:p>
    <w:p>
      <w:pPr>
        <w:pStyle w:val="100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hint="eastAsia" w:ascii="宋体" w:hAnsi="宋体" w:cs="宋体"/>
          <w:bCs/>
          <w:color w:val="000000"/>
          <w:sz w:val="24"/>
          <w:szCs w:val="24"/>
          <w:highlight w:val="none"/>
        </w:rPr>
        <w:t xml:space="preserve">磋商货币。响应文件中的单价和总价无特殊规定的采用人民币报价，以元为单位标注。</w:t>
      </w:r>
      <w:r>
        <w:rPr>
          <w:rFonts w:hint="eastAsia" w:ascii="宋体" w:hAnsi="宋体" w:cs="宋体"/>
          <w:color w:val="000000"/>
          <w:sz w:val="24"/>
          <w:szCs w:val="24"/>
          <w:highlight w:val="none"/>
        </w:rPr>
        <w:t xml:space="preserve">磋商文件中另有规定的按规定执行。</w:t>
      </w:r>
      <w:r>
        <w:rPr>
          <w:rFonts w:hint="eastAsia" w:ascii="宋体" w:hAnsi="宋体" w:cs="宋体"/>
          <w:color w:val="000000"/>
          <w:sz w:val="24"/>
          <w:szCs w:val="24"/>
          <w:highlight w:val="none"/>
        </w:rPr>
      </w:r>
      <w:r/>
    </w:p>
    <w:p>
      <w:pPr>
        <w:pStyle w:val="1004"/>
        <w:ind w:firstLine="48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12.3</w:t>
      </w:r>
      <w:r>
        <w:rPr>
          <w:rFonts w:hint="eastAsia" w:ascii="宋体" w:hAnsi="宋体" w:cs="宋体"/>
          <w:color w:val="000000"/>
          <w:sz w:val="24"/>
          <w:szCs w:val="24"/>
          <w:highlight w:val="none"/>
          <w:lang w:val="zh-CN"/>
        </w:rPr>
        <w:t xml:space="preserve">最后报价应包括完成该服务项目所需的所有费用包括但不限于人工费</w:t>
      </w:r>
      <w:r>
        <w:rPr>
          <w:rFonts w:hint="eastAsia" w:ascii="宋体" w:hAnsi="宋体" w:cs="宋体"/>
          <w:bCs/>
          <w:color w:val="000000"/>
          <w:sz w:val="24"/>
          <w:szCs w:val="24"/>
          <w:highlight w:val="none"/>
          <w:lang w:val="zh-CN"/>
        </w:rPr>
        <w:t xml:space="preserve">、食宿费、差旅费、保险费、维护维修</w:t>
      </w:r>
      <w:r>
        <w:rPr>
          <w:rFonts w:hint="eastAsia" w:ascii="宋体" w:hAnsi="宋体" w:cs="宋体"/>
          <w:bCs/>
          <w:color w:val="000000"/>
          <w:sz w:val="24"/>
          <w:szCs w:val="24"/>
          <w:highlight w:val="none"/>
        </w:rPr>
        <w:t xml:space="preserve">费、</w:t>
      </w:r>
      <w:r>
        <w:rPr>
          <w:rFonts w:hint="eastAsia" w:ascii="宋体" w:hAnsi="宋体" w:cs="宋体"/>
          <w:bCs/>
          <w:color w:val="000000"/>
          <w:sz w:val="24"/>
          <w:szCs w:val="24"/>
          <w:highlight w:val="none"/>
          <w:lang w:eastAsia="zh-CN"/>
        </w:rPr>
        <w:t xml:space="preserve">检测费、</w:t>
      </w:r>
      <w:r>
        <w:rPr>
          <w:rFonts w:hint="eastAsia" w:ascii="宋体" w:hAnsi="宋体" w:cs="宋体"/>
          <w:color w:val="000000"/>
          <w:sz w:val="24"/>
          <w:szCs w:val="24"/>
          <w:highlight w:val="none"/>
          <w:lang w:val="zh-CN"/>
        </w:rPr>
        <w:t xml:space="preserve">管理费、税费、合理利润等及政策性文件规定及合同包含的所有风险、责任等各项应有费用。供应商投标时一次包定,采购方不再支付本次招标价格以外的任何费用(采购方要求变更的除外)。</w:t>
      </w:r>
      <w:r>
        <w:rPr>
          <w:rFonts w:hint="eastAsia" w:ascii="宋体" w:hAnsi="宋体" w:cs="宋体"/>
          <w:bCs/>
          <w:color w:val="000000"/>
          <w:sz w:val="24"/>
          <w:szCs w:val="24"/>
          <w:highlight w:val="none"/>
        </w:rPr>
      </w:r>
      <w:r/>
    </w:p>
    <w:p>
      <w:pPr>
        <w:pStyle w:val="1004"/>
        <w:ind w:firstLine="560"/>
        <w:keepLines/>
        <w:keepNext/>
        <w:pageBreakBefore w:val="0"/>
        <w:spacing w:line="360" w:lineRule="auto"/>
        <w:widowControl w:val="off"/>
        <w:rPr>
          <w:rFonts w:hint="eastAsia" w:ascii="宋体" w:hAnsi="宋体" w:cs="宋体"/>
          <w:color w:val="000000"/>
          <w:sz w:val="28"/>
          <w:szCs w:val="28"/>
          <w:highlight w:val="none"/>
          <w:lang w:val="en-US" w:eastAsia="zh-CN"/>
        </w:rPr>
        <w:outlineLvl w:val="3"/>
      </w:pPr>
      <w:r>
        <w:rPr>
          <w:rFonts w:hint="eastAsia" w:ascii="宋体" w:hAnsi="宋体" w:cs="宋体"/>
          <w:color w:val="000000"/>
          <w:sz w:val="28"/>
          <w:szCs w:val="28"/>
          <w:highlight w:val="none"/>
          <w:lang w:val="en-US" w:eastAsia="zh-CN"/>
        </w:rPr>
        <w:t xml:space="preserve">13、技术要求响应及偏离表、商务要求响应及偏离表</w:t>
      </w:r>
      <w:r>
        <w:rPr>
          <w:rFonts w:hint="eastAsia" w:ascii="宋体" w:hAnsi="宋体" w:cs="宋体"/>
          <w:color w:val="000000"/>
          <w:sz w:val="28"/>
          <w:szCs w:val="28"/>
          <w:highlight w:val="none"/>
          <w:lang w:val="en-US" w:eastAsia="zh-CN"/>
        </w:rPr>
      </w:r>
      <w:r/>
    </w:p>
    <w:p>
      <w:pPr>
        <w:pStyle w:val="1004"/>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13.1供应商需对磋商文件中的技术要求与商务要求逐项作出响应或偏离，并说明原因。</w:t>
      </w:r>
      <w:r>
        <w:rPr>
          <w:rFonts w:hint="eastAsia" w:ascii="宋体" w:hAnsi="宋体" w:cs="宋体"/>
          <w:color w:val="000000"/>
          <w:sz w:val="24"/>
          <w:szCs w:val="24"/>
          <w:highlight w:val="none"/>
          <w:lang w:val="en-US" w:eastAsia="zh-CN"/>
        </w:rPr>
      </w:r>
      <w:r/>
    </w:p>
    <w:p>
      <w:pPr>
        <w:pStyle w:val="1004"/>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13.2供应商可在响应文件中提供认为需要的其他技术文件或说明。</w:t>
      </w:r>
      <w:r>
        <w:rPr>
          <w:rFonts w:hint="eastAsia" w:ascii="宋体" w:hAnsi="宋体" w:cs="宋体"/>
          <w:color w:val="000000"/>
          <w:sz w:val="24"/>
          <w:szCs w:val="24"/>
          <w:highlight w:val="none"/>
          <w:lang w:val="en-US" w:eastAsia="zh-CN"/>
        </w:rPr>
      </w:r>
      <w:r/>
    </w:p>
    <w:p>
      <w:pPr>
        <w:pStyle w:val="1004"/>
        <w:ind w:firstLine="560"/>
        <w:keepLines/>
        <w:keepNext/>
        <w:pageBreakBefore w:val="0"/>
        <w:spacing w:line="360" w:lineRule="auto"/>
        <w:widowControl w:val="off"/>
        <w:rPr>
          <w:rFonts w:hint="eastAsia" w:ascii="宋体" w:hAnsi="宋体" w:cs="宋体"/>
          <w:color w:val="000000"/>
          <w:sz w:val="28"/>
          <w:szCs w:val="28"/>
          <w:highlight w:val="none"/>
          <w:lang w:val="en-US" w:eastAsia="zh-CN"/>
        </w:rPr>
        <w:outlineLvl w:val="3"/>
      </w:pPr>
      <w:r>
        <w:rPr>
          <w:rFonts w:hint="eastAsia" w:ascii="宋体" w:hAnsi="宋体" w:cs="宋体"/>
          <w:color w:val="000000"/>
          <w:sz w:val="28"/>
          <w:szCs w:val="28"/>
          <w:highlight w:val="none"/>
          <w:lang w:val="en-US" w:eastAsia="zh-CN"/>
        </w:rPr>
        <w:t xml:space="preserve">14、服务方案及其他</w:t>
      </w:r>
      <w:r>
        <w:rPr>
          <w:rFonts w:hint="eastAsia" w:ascii="宋体" w:hAnsi="宋体" w:cs="宋体"/>
          <w:color w:val="000000"/>
          <w:sz w:val="28"/>
          <w:szCs w:val="28"/>
          <w:highlight w:val="none"/>
          <w:lang w:val="en-US" w:eastAsia="zh-CN"/>
        </w:rPr>
      </w:r>
      <w:r/>
    </w:p>
    <w:p>
      <w:pPr>
        <w:pStyle w:val="1004"/>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14.1供应商需根据磋商文件要求编制服务方案等。</w:t>
      </w:r>
      <w:r>
        <w:rPr>
          <w:rFonts w:hint="eastAsia" w:ascii="宋体" w:hAnsi="宋体" w:cs="宋体"/>
          <w:color w:val="000000"/>
          <w:sz w:val="24"/>
          <w:szCs w:val="24"/>
          <w:highlight w:val="none"/>
          <w:lang w:val="zh-CN"/>
        </w:rPr>
      </w:r>
      <w:r/>
    </w:p>
    <w:p>
      <w:pPr>
        <w:pStyle w:val="1004"/>
        <w:ind w:firstLine="480"/>
        <w:spacing w:line="360" w:lineRule="auto"/>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49090511"/>
      <w:r/>
      <w:bookmarkStart w:id="96" w:name="_Toc14577360"/>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739"/>
      <w:r/>
      <w:bookmarkEnd w:id="97"/>
      <w:r/>
      <w:bookmarkStart w:id="98" w:name="_Hlt26954852"/>
      <w:r/>
      <w:bookmarkEnd w:id="98"/>
      <w:r/>
      <w:bookmarkStart w:id="99" w:name="_Toc513029224"/>
      <w:r/>
      <w:bookmarkStart w:id="100" w:name="_Toc120614217"/>
      <w:r/>
      <w:bookmarkStart w:id="101" w:name="_Toc20823296"/>
      <w:r/>
      <w:bookmarkStart w:id="102" w:name="_Toc16938540"/>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462564084"/>
      <w:r/>
      <w:bookmarkStart w:id="104" w:name="_Toc513029225"/>
      <w:r/>
      <w:bookmarkStart w:id="105" w:name="_Toc16938541"/>
      <w:r/>
      <w:bookmarkStart w:id="106" w:name="_Toc20823297"/>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16938542"/>
      <w:r/>
      <w:bookmarkStart w:id="108" w:name="_Toc20823298"/>
      <w:r/>
      <w:bookmarkStart w:id="109" w:name="_Toc513029226"/>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9</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0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19</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16938543"/>
      <w:r/>
      <w:bookmarkStart w:id="111" w:name="_Toc513029227"/>
      <w:r/>
      <w:bookmarkStart w:id="112" w:name="_Toc20823299"/>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20</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16938544"/>
      <w:r/>
      <w:bookmarkStart w:id="114" w:name="_Toc20823300"/>
      <w:r/>
      <w:bookmarkStart w:id="115" w:name="_Toc513029228"/>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20823301"/>
      <w:r/>
      <w:bookmarkStart w:id="117" w:name="_Toc120614218"/>
      <w:r/>
      <w:bookmarkStart w:id="118" w:name="_Toc513029229"/>
      <w:r/>
      <w:bookmarkStart w:id="119" w:name="_Toc16938545"/>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513029230"/>
      <w:r/>
      <w:bookmarkStart w:id="121" w:name="_Toc16938546"/>
      <w:r/>
      <w:bookmarkStart w:id="122" w:name="_Toc20823302"/>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22</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513029231"/>
      <w:r/>
      <w:bookmarkStart w:id="124" w:name="_Toc16938547"/>
      <w:r/>
      <w:bookmarkStart w:id="125" w:name="_Toc20823303"/>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24</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513029232"/>
      <w:r/>
      <w:bookmarkStart w:id="127" w:name="_Toc16938548"/>
      <w:r/>
      <w:bookmarkStart w:id="128" w:name="_Toc20823304"/>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16938549"/>
      <w:r/>
      <w:bookmarkStart w:id="130" w:name="_Toc513029233"/>
      <w:r/>
      <w:bookmarkStart w:id="131" w:name="_Toc20823305"/>
      <w:r>
        <w:rPr>
          <w:rFonts w:hint="eastAsia" w:ascii="宋体" w:hAnsi="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.3.5供应商的最后报价超过了</w:t>
      </w:r>
      <w:r>
        <w:rPr>
          <w:rFonts w:hint="eastAsia" w:ascii="宋体" w:hAnsi="宋体" w:cs="宋体"/>
          <w:bCs/>
          <w:color w:val="000000"/>
          <w:sz w:val="24"/>
          <w:szCs w:val="21"/>
          <w:highlight w:val="none"/>
          <w:lang w:eastAsia="zh-CN"/>
        </w:rPr>
        <w:t xml:space="preserve">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16938550"/>
      <w:r/>
      <w:bookmarkStart w:id="133" w:name="_Toc513029234"/>
      <w:r/>
      <w:bookmarkStart w:id="134" w:name="_Toc20823306"/>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0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04"/>
        <w:ind w:left="479" w:firstLine="64"/>
        <w:pageBreakBefore w:val="0"/>
        <w:spacing w:line="360" w:lineRule="auto"/>
        <w:widowControl w:val="off"/>
        <w:tabs>
          <w:tab w:val="left" w:pos="900" w:leader="none"/>
        </w:tabs>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.3.4在苏采云系统规定时间内成功解密电子响应文件的供应商不足3家的。</w:t>
      </w:r>
      <w:bookmarkStart w:id="135" w:name="_Toc120614219"/>
      <w:r/>
      <w:bookmarkStart w:id="136" w:name="_Toc16938551"/>
      <w:r/>
      <w:bookmarkStart w:id="137" w:name="_Toc513029235"/>
      <w:r/>
      <w:bookmarkStart w:id="138" w:name="_Toc20823307"/>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9</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0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30</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0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120614220"/>
      <w:r/>
      <w:bookmarkStart w:id="144" w:name="_Toc16938552"/>
      <w:r/>
      <w:bookmarkStart w:id="145" w:name="_Toc513029236"/>
      <w:r/>
      <w:bookmarkStart w:id="146" w:name="_Toc20823308"/>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16938553"/>
      <w:r/>
      <w:bookmarkStart w:id="148" w:name="_Toc513029237"/>
      <w:r/>
      <w:bookmarkStart w:id="149" w:name="_Toc20823309"/>
      <w:r>
        <w:rPr>
          <w:rFonts w:hint="eastAsia" w:ascii="宋体" w:hAnsi="宋体" w:cs="宋体"/>
          <w:bCs/>
          <w:color w:val="000000"/>
          <w:sz w:val="30"/>
          <w:szCs w:val="30"/>
          <w:highlight w:val="none"/>
          <w:lang w:val="en-US" w:eastAsia="zh-CN"/>
        </w:rPr>
        <w:t xml:space="preserve">31</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32</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04"/>
        <w:numPr>
          <w:ilvl w:val="0"/>
          <w:numId w:val="0"/>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33、</w:t>
      </w: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rPr>
        <w:t xml:space="preserve">.3履约保证金的退还：</w:t>
      </w:r>
      <w:r>
        <w:rPr>
          <w:rFonts w:hint="eastAsia" w:ascii="宋体" w:hAnsi="宋体" w:cs="宋体"/>
          <w:color w:val="000000"/>
          <w:sz w:val="24"/>
          <w:szCs w:val="24"/>
          <w:highlight w:val="none"/>
        </w:rPr>
        <w:t xml:space="preserve">合同履行结束后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成交供应商办理履约保证金退还手续；依约扣除的履约保证金不予退还。采购人逾期退还履约保证金的，按照同期银行活期存款利率承担违约责任。</w:t>
      </w:r>
      <w:r>
        <w:rPr>
          <w:rFonts w:hint="eastAsia" w:ascii="宋体" w:hAnsi="宋体" w:eastAsia="宋体" w:cs="宋体"/>
          <w:bCs/>
          <w:color w:val="000000"/>
          <w:sz w:val="24"/>
          <w:szCs w:val="24"/>
          <w:highlight w:val="none"/>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479757207"/>
      <w:r/>
      <w:bookmarkStart w:id="151" w:name="_Toc16938558"/>
      <w:r/>
      <w:bookmarkStart w:id="152" w:name="_Toc120614221"/>
      <w:r/>
      <w:bookmarkStart w:id="153" w:name="_Toc513029242"/>
      <w:r/>
      <w:bookmarkStart w:id="154" w:name="_Toc20823314"/>
      <w:r>
        <w:rPr>
          <w:rFonts w:hint="eastAsia" w:ascii="宋体" w:hAnsi="宋体" w:cs="宋体"/>
          <w:bCs/>
          <w:color w:val="000000"/>
          <w:sz w:val="30"/>
          <w:szCs w:val="30"/>
          <w:highlight w:val="none"/>
          <w:lang w:val="en-US" w:eastAsia="zh-CN"/>
        </w:rPr>
        <w:t xml:space="preserve">33</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0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100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4</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004"/>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.1履约验收的基本要求：</w:t>
      </w:r>
      <w:r>
        <w:rPr>
          <w:rFonts w:hint="eastAsia" w:ascii="宋体" w:hAnsi="宋体" w:cs="宋体"/>
          <w:bCs/>
          <w:sz w:val="24"/>
          <w:szCs w:val="24"/>
          <w:lang w:eastAsia="zh-CN"/>
        </w:rPr>
        <w:t xml:space="preserve">成交</w:t>
      </w:r>
      <w:r>
        <w:rPr>
          <w:rFonts w:hint="eastAsia" w:ascii="宋体" w:hAnsi="宋体" w:cs="宋体"/>
          <w:bCs/>
          <w:sz w:val="24"/>
          <w:szCs w:val="24"/>
        </w:rPr>
        <w:t xml:space="preserve">供应商应按照合同约定的时间、质量、数量等要求完成本项目。本项目将严格按照项目需求中的质量和技术要求和标准进行履约验收。</w:t>
      </w:r>
      <w:r>
        <w:rPr>
          <w:rFonts w:hint="eastAsia" w:ascii="宋体" w:hAnsi="宋体" w:cs="宋体"/>
          <w:bCs/>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.2履约验收的实施主体：由采购人作为实施主体，负责组织开展本项目的履约验收工作。也可根据实际需要委托具有相关专业资质和能力的第三方机构协助开</w:t>
      </w:r>
      <w:r>
        <w:rPr>
          <w:rFonts w:hint="eastAsia" w:ascii="宋体" w:hAnsi="宋体" w:cs="宋体"/>
          <w:sz w:val="24"/>
          <w:szCs w:val="24"/>
        </w:rPr>
        <w:t xml:space="preserve">展验收工作。</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.3履约验收的时间方式：政府采购合同约定的履约验收条件达到时，采购人应当在30 个工作日内启动履约验收工作，并向供应商发出《政府采购履约验收通知单》（见附件）</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.4履约验收的内容：涵盖实施项目的完整性，包含项目需求中的质量和技术要求等。</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.5履约验收的标准：按国家、合同等有关规定的验收要求。</w:t>
      </w:r>
      <w:r>
        <w:rPr>
          <w:rFonts w:hint="eastAsia" w:ascii="宋体" w:hAnsi="宋体" w:cs="宋体"/>
          <w:sz w:val="24"/>
          <w:szCs w:val="24"/>
        </w:rPr>
      </w:r>
      <w:r/>
    </w:p>
    <w:p>
      <w:pPr>
        <w:pStyle w:val="1004"/>
        <w:ind w:firstLine="480"/>
        <w:spacing w:line="360" w:lineRule="auto"/>
        <w:tabs>
          <w:tab w:val="left" w:pos="900" w:leader="none"/>
        </w:tabs>
        <w:rPr>
          <w:rFonts w:hint="eastAsia" w:ascii="宋体" w:hAnsi="宋体" w:cs="宋体"/>
          <w:sz w:val="24"/>
          <w:szCs w:val="24"/>
        </w:rPr>
        <w:sectPr>
          <w:footerReference w:type="default" r:id="rId18"/>
          <w:footerReference w:type="first" r:id="rId19"/>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.6采购人、供应商应当对验收小组出具的验收意见进行确认，并形成验收证明。</w:t>
      </w:r>
      <w:r>
        <w:rPr>
          <w:rFonts w:hint="eastAsia" w:ascii="宋体" w:hAnsi="宋体" w:cs="宋体"/>
          <w:sz w:val="24"/>
          <w:szCs w:val="24"/>
        </w:rPr>
      </w:r>
      <w:r/>
    </w:p>
    <w:p>
      <w:pPr>
        <w:pStyle w:val="100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0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20823315"/>
      <w:r/>
      <w:bookmarkStart w:id="156" w:name="_Toc16938559"/>
      <w:r/>
      <w:bookmarkStart w:id="157" w:name="_Toc513029243"/>
      <w:r/>
      <w:bookmarkStart w:id="158" w:name="_Toc20823346"/>
      <w:r/>
      <w:bookmarkStart w:id="159" w:name="_Toc120614244"/>
      <w:r/>
      <w:bookmarkStart w:id="160" w:name="_Toc16938590"/>
      <w:r/>
      <w:bookmarkStart w:id="161" w:name="_Toc479757211"/>
      <w:r/>
      <w:bookmarkStart w:id="162" w:name="_Toc462564139"/>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63"/>
        <w:jc w:val="center"/>
        <w:tabs>
          <w:tab w:val="right" w:pos="8720" w:leader="dot"/>
        </w:tabs>
        <w:rPr>
          <w:rFonts w:hint="eastAsia" w:ascii="宋体" w:hAnsi="宋体" w:cs="宋体"/>
          <w:color w:val="000000"/>
          <w:sz w:val="24"/>
          <w:szCs w:val="24"/>
          <w:highlight w:val="none"/>
        </w:rPr>
      </w:pPr>
      <w:r/>
      <w:bookmarkEnd w:id="155"/>
      <w:r/>
      <w:bookmarkEnd w:id="156"/>
      <w:r/>
      <w:bookmarkEnd w:id="157"/>
      <w:r>
        <w:rPr>
          <w:rFonts w:hint="eastAsia" w:cs="宋体"/>
          <w:b/>
          <w:bCs/>
          <w:color w:val="000000"/>
          <w:sz w:val="36"/>
          <w:szCs w:val="36"/>
          <w:highlight w:val="none"/>
          <w:lang w:eastAsia="zh-CN"/>
        </w:rPr>
        <w:t xml:space="preserve">南通市通州区平潮镇采购安置房电梯“保险+服务”综合服务项目合同</w:t>
      </w:r>
      <w:r>
        <w:rPr>
          <w:rFonts w:hint="eastAsia" w:ascii="宋体" w:hAnsi="宋体" w:cs="宋体"/>
          <w:color w:val="000000"/>
          <w:sz w:val="24"/>
          <w:szCs w:val="24"/>
          <w:highlight w:val="none"/>
        </w:rPr>
      </w:r>
      <w:r/>
    </w:p>
    <w:p>
      <w:pPr>
        <w:pStyle w:val="1004"/>
        <w:ind w:firstLine="480"/>
        <w:spacing w:line="460" w:lineRule="exact"/>
        <w:rPr>
          <w:rFonts w:hint="eastAsia" w:ascii="宋体" w:hAnsi="宋体" w:cs="宋体"/>
          <w:color w:val="000000"/>
          <w:sz w:val="24"/>
          <w:highlight w:val="none"/>
          <w:u w:val="single"/>
        </w:rPr>
      </w:pPr>
      <w:r>
        <w:rPr>
          <w:rFonts w:hint="eastAsia" w:ascii="宋体" w:hAnsi="宋体" w:cs="宋体"/>
          <w:color w:val="000000"/>
          <w:sz w:val="24"/>
          <w:szCs w:val="24"/>
          <w:highlight w:val="none"/>
        </w:rPr>
        <w:t xml:space="preserve">甲方（投保人）：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u w:val="singl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乙方（保险人）：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根据《中华人民共和国</w:t>
      </w:r>
      <w:r>
        <w:rPr>
          <w:rFonts w:hint="eastAsia" w:ascii="宋体" w:hAnsi="宋体" w:cs="宋体"/>
          <w:color w:val="000000"/>
          <w:sz w:val="24"/>
          <w:szCs w:val="24"/>
          <w:highlight w:val="none"/>
          <w:lang w:eastAsia="en-US"/>
        </w:rPr>
        <w:t xml:space="preserve">民法典</w:t>
      </w:r>
      <w:r>
        <w:rPr>
          <w:rFonts w:hint="eastAsia" w:ascii="宋体" w:hAnsi="宋体" w:cs="宋体"/>
          <w:color w:val="000000"/>
          <w:sz w:val="24"/>
          <w:szCs w:val="24"/>
          <w:highlight w:val="none"/>
        </w:rPr>
        <w:t xml:space="preserve">》、《中华人民共和国特种设备安全法》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《特种设备安全监察条例》、《特种设备使用管理规则》（TSG 08—2026）、 《电梯主要部件报废技术条件》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GB/T 31821-2015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以及《</w:t>
      </w:r>
      <w:r>
        <w:rPr>
          <w:rFonts w:hint="eastAsia" w:ascii="宋体" w:hAnsi="宋体" w:cs="宋体"/>
          <w:color w:val="000000"/>
          <w:sz w:val="24"/>
          <w:szCs w:val="24"/>
          <w:highlight w:val="none"/>
          <w:lang w:eastAsia="zh-CN"/>
        </w:rPr>
        <w:t xml:space="preserve">江苏省</w:t>
      </w:r>
      <w:r>
        <w:rPr>
          <w:rFonts w:hint="eastAsia" w:ascii="宋体" w:hAnsi="宋体" w:cs="宋体"/>
          <w:color w:val="000000"/>
          <w:sz w:val="24"/>
          <w:szCs w:val="24"/>
          <w:highlight w:val="none"/>
        </w:rPr>
        <w:t xml:space="preserve">物业管理条例》等有关规定，遵循平等、自愿、公平和诚实信用的原则，甲乙双方就</w:t>
      </w:r>
      <w:r>
        <w:rPr>
          <w:rFonts w:hint="eastAsia" w:ascii="宋体" w:hAnsi="宋体" w:cs="宋体"/>
          <w:color w:val="000000"/>
          <w:sz w:val="24"/>
          <w:szCs w:val="24"/>
          <w:highlight w:val="none"/>
          <w:u w:val="single"/>
        </w:rPr>
        <w:t xml:space="preserve"> 南通市通州区平潮镇采购安置房电梯“保险+服务”综合服务项目</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474</w:t>
      </w:r>
      <w:r>
        <w:rPr>
          <w:rFonts w:hint="eastAsia" w:ascii="宋体" w:hAnsi="宋体" w:cs="宋体"/>
          <w:color w:val="000000"/>
          <w:sz w:val="24"/>
          <w:szCs w:val="24"/>
          <w:highlight w:val="none"/>
          <w:u w:val="none"/>
        </w:rPr>
        <w:t xml:space="preserve"> 台</w:t>
      </w:r>
      <w:r>
        <w:rPr>
          <w:rFonts w:hint="eastAsia" w:ascii="宋体" w:hAnsi="宋体" w:cs="宋体"/>
          <w:color w:val="000000"/>
          <w:sz w:val="24"/>
          <w:szCs w:val="24"/>
          <w:highlight w:val="none"/>
        </w:rPr>
        <w:t xml:space="preserve">电梯综合保险服务事宜协商一致，达成如下合同条款：</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lang w:eastAsia="en-US"/>
        </w:rPr>
        <w:outlineLvl w:val="0"/>
      </w:pPr>
      <w:r>
        <w:rPr>
          <w:rFonts w:hint="eastAsia" w:ascii="Calibri Light" w:hAnsi="Calibri Light"/>
          <w:b/>
          <w:bCs/>
          <w:color w:val="000000"/>
          <w:sz w:val="24"/>
          <w:szCs w:val="24"/>
          <w:highlight w:val="none"/>
        </w:rPr>
        <w:t xml:space="preserve">一、</w:t>
      </w:r>
      <w:r>
        <w:rPr>
          <w:rFonts w:hint="eastAsia" w:ascii="Calibri Light" w:hAnsi="Calibri Light"/>
          <w:b/>
          <w:bCs/>
          <w:color w:val="000000"/>
          <w:sz w:val="24"/>
          <w:szCs w:val="24"/>
          <w:highlight w:val="none"/>
          <w:lang w:eastAsia="en-US"/>
        </w:rPr>
        <w:t xml:space="preserve">保险方案</w:t>
      </w:r>
      <w:r>
        <w:rPr>
          <w:rFonts w:ascii="Calibri Light" w:hAnsi="Calibri Light"/>
          <w:b/>
          <w:bCs/>
          <w:color w:val="000000"/>
          <w:sz w:val="24"/>
          <w:highlight w:val="none"/>
          <w:lang w:eastAsia="en-US"/>
        </w:rPr>
      </w:r>
      <w:r/>
    </w:p>
    <w:p>
      <w:pPr>
        <w:pStyle w:val="1004"/>
        <w:ind w:firstLine="48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lang w:eastAsia="zh-CN"/>
        </w:rPr>
        <w:t xml:space="preserve">投保人</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en-US"/>
        </w:rPr>
        <w:t xml:space="preserve">被保险人：</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保险人</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en-US"/>
        </w:rPr>
        <w:t xml:space="preserve">.投保</w:t>
      </w:r>
      <w:r>
        <w:rPr>
          <w:rFonts w:hint="eastAsia" w:ascii="宋体" w:hAnsi="宋体" w:cs="宋体"/>
          <w:color w:val="000000"/>
          <w:sz w:val="24"/>
          <w:szCs w:val="24"/>
          <w:highlight w:val="none"/>
          <w:lang w:eastAsia="zh-CN"/>
        </w:rPr>
        <w:t xml:space="preserve">标的</w:t>
      </w:r>
      <w:r>
        <w:rPr>
          <w:rFonts w:hint="eastAsia" w:ascii="宋体" w:hAnsi="宋体" w:cs="宋体"/>
          <w:color w:val="000000"/>
          <w:sz w:val="24"/>
          <w:szCs w:val="24"/>
          <w:highlight w:val="none"/>
          <w:lang w:eastAsia="en-US"/>
        </w:rPr>
        <w:t xml:space="preserve">及内容：</w:t>
      </w:r>
      <w:r>
        <w:rPr>
          <w:rFonts w:hint="eastAsia" w:ascii="宋体" w:hAnsi="宋体" w:cs="宋体"/>
          <w:color w:val="000000"/>
          <w:sz w:val="24"/>
          <w:highlight w:val="none"/>
          <w:lang w:eastAsia="en-US"/>
        </w:rPr>
      </w:r>
      <w:r/>
    </w:p>
    <w:p>
      <w:pPr>
        <w:pStyle w:val="1004"/>
        <w:ind w:firstLine="480"/>
        <w:spacing w:line="460" w:lineRule="exact"/>
        <w:widowControl/>
        <w:rPr>
          <w:rFonts w:eastAsia="Times New Roman"/>
          <w:color w:val="000000"/>
          <w:sz w:val="24"/>
          <w:highlight w:val="none"/>
        </w:rPr>
      </w:pPr>
      <w:r>
        <w:rPr>
          <w:rFonts w:hint="eastAsia" w:ascii="宋体" w:hAnsi="宋体" w:cs="宋体"/>
          <w:color w:val="000000"/>
          <w:sz w:val="24"/>
          <w:szCs w:val="24"/>
          <w:highlight w:val="none"/>
        </w:rPr>
        <w:t xml:space="preserve">（1）</w:t>
      </w:r>
      <w:r>
        <w:rPr>
          <w:rFonts w:eastAsia="Times New Roman"/>
          <w:color w:val="000000"/>
          <w:sz w:val="24"/>
          <w:szCs w:val="24"/>
          <w:highlight w:val="none"/>
        </w:rPr>
        <w:t xml:space="preserve">本</w:t>
      </w:r>
      <w:r>
        <w:rPr>
          <w:rFonts w:hint="eastAsia" w:eastAsia="宋体"/>
          <w:color w:val="000000"/>
          <w:sz w:val="24"/>
          <w:szCs w:val="24"/>
          <w:highlight w:val="none"/>
          <w:lang w:eastAsia="zh-CN"/>
        </w:rPr>
        <w:t xml:space="preserve">保险合同</w:t>
      </w:r>
      <w:r>
        <w:rPr>
          <w:rFonts w:eastAsia="Times New Roman"/>
          <w:color w:val="000000"/>
          <w:sz w:val="24"/>
          <w:szCs w:val="24"/>
          <w:highlight w:val="none"/>
        </w:rPr>
        <w:t xml:space="preserve">承保</w:t>
      </w:r>
      <w:r>
        <w:rPr>
          <w:rFonts w:hint="eastAsia" w:ascii="宋体" w:hAnsi="宋体" w:cs="宋体"/>
          <w:color w:val="000000"/>
          <w:sz w:val="24"/>
          <w:szCs w:val="24"/>
          <w:highlight w:val="none"/>
        </w:rPr>
        <w:t xml:space="preserve">项目</w:t>
      </w:r>
      <w:r>
        <w:rPr>
          <w:rFonts w:eastAsia="Times New Roman"/>
          <w:color w:val="000000"/>
          <w:sz w:val="24"/>
          <w:szCs w:val="24"/>
          <w:highlight w:val="none"/>
        </w:rPr>
        <w:t xml:space="preserve">:</w:t>
      </w:r>
      <w:r>
        <w:rPr>
          <w:rFonts w:hint="eastAsia" w:ascii="宋体" w:hAnsi="宋体" w:cs="宋体"/>
          <w:color w:val="000000"/>
          <w:sz w:val="24"/>
          <w:szCs w:val="24"/>
          <w:highlight w:val="none"/>
          <w:u w:val="single"/>
          <w:lang w:eastAsia="zh-CN"/>
        </w:rPr>
        <w:t xml:space="preserve">南通市通州区平潮镇采购安置房电梯“保险+服务”综合服务项目</w:t>
      </w:r>
      <w:r>
        <w:rPr>
          <w:rFonts w:eastAsia="Times New Roman"/>
          <w:color w:val="000000"/>
          <w:sz w:val="24"/>
          <w:szCs w:val="24"/>
          <w:highlight w:val="none"/>
        </w:rPr>
        <w:t xml:space="preserve">，以</w:t>
      </w:r>
      <w:r>
        <w:rPr>
          <w:rFonts w:hint="eastAsia" w:eastAsia="宋体"/>
          <w:color w:val="000000"/>
          <w:sz w:val="24"/>
          <w:szCs w:val="24"/>
          <w:highlight w:val="none"/>
          <w:lang w:eastAsia="zh-CN"/>
        </w:rPr>
        <w:t xml:space="preserve">合同签订时点</w:t>
      </w:r>
      <w:r>
        <w:rPr>
          <w:rFonts w:eastAsia="Times New Roman"/>
          <w:color w:val="000000"/>
          <w:sz w:val="24"/>
          <w:szCs w:val="24"/>
          <w:highlight w:val="none"/>
        </w:rPr>
        <w:t xml:space="preserve">现状进行移</w:t>
      </w:r>
      <w:r>
        <w:rPr>
          <w:rFonts w:hint="eastAsia" w:eastAsia="Times New Roman"/>
          <w:color w:val="000000"/>
          <w:sz w:val="24"/>
          <w:szCs w:val="24"/>
          <w:highlight w:val="none"/>
        </w:rPr>
        <w:t xml:space="preserve">交。</w:t>
      </w:r>
      <w:r>
        <w:rPr>
          <w:rFonts w:eastAsia="Times New Roman"/>
          <w:color w:val="000000"/>
          <w:sz w:val="24"/>
          <w:highlight w:val="none"/>
        </w:rPr>
      </w:r>
      <w:r/>
    </w:p>
    <w:p>
      <w:pPr>
        <w:pStyle w:val="1004"/>
        <w:ind w:firstLine="480"/>
        <w:spacing w:line="460" w:lineRule="exact"/>
        <w:rPr>
          <w:color w:val="000000"/>
          <w:sz w:val="24"/>
          <w:highlight w:val="none"/>
          <w:lang w:eastAsia="en-US"/>
        </w:rPr>
      </w:pPr>
      <w:r>
        <w:rPr>
          <w:rFonts w:hint="eastAsia"/>
          <w:color w:val="000000"/>
          <w:sz w:val="24"/>
          <w:szCs w:val="24"/>
          <w:highlight w:val="none"/>
        </w:rPr>
        <w:t xml:space="preserve">（2）</w:t>
      </w:r>
      <w:r>
        <w:rPr>
          <w:color w:val="000000"/>
          <w:sz w:val="24"/>
          <w:szCs w:val="24"/>
          <w:highlight w:val="none"/>
        </w:rPr>
        <w:t xml:space="preserve">承保电梯品牌、型号</w:t>
      </w:r>
      <w:r>
        <w:rPr>
          <w:rFonts w:hint="eastAsia"/>
          <w:color w:val="000000"/>
          <w:sz w:val="24"/>
          <w:szCs w:val="24"/>
          <w:highlight w:val="none"/>
        </w:rPr>
        <w:t xml:space="preserve">等信息</w:t>
      </w:r>
      <w:r>
        <w:rPr>
          <w:color w:val="000000"/>
          <w:sz w:val="24"/>
          <w:szCs w:val="24"/>
          <w:highlight w:val="none"/>
        </w:rPr>
        <w:t xml:space="preserve">详见</w:t>
      </w:r>
      <w:r>
        <w:rPr>
          <w:rFonts w:hint="eastAsia"/>
          <w:color w:val="000000"/>
          <w:sz w:val="24"/>
          <w:szCs w:val="24"/>
          <w:highlight w:val="none"/>
          <w:lang w:eastAsia="zh-CN"/>
        </w:rPr>
        <w:t xml:space="preserve">所附</w:t>
      </w:r>
      <w:r>
        <w:rPr>
          <w:color w:val="000000"/>
          <w:sz w:val="24"/>
          <w:szCs w:val="24"/>
          <w:highlight w:val="none"/>
        </w:rPr>
        <w:t xml:space="preserve">清单。</w:t>
      </w:r>
      <w:r>
        <w:rPr>
          <w:color w:val="000000"/>
          <w:sz w:val="24"/>
          <w:highlight w:val="none"/>
          <w:lang w:eastAsia="en-US"/>
        </w:rPr>
      </w:r>
      <w:r/>
    </w:p>
    <w:p>
      <w:pPr>
        <w:pStyle w:val="1004"/>
        <w:ind w:firstLine="480"/>
        <w:spacing w:line="460" w:lineRule="exact"/>
        <w:rPr>
          <w:color w:val="000000"/>
          <w:sz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投保</w:t>
      </w:r>
      <w:r>
        <w:rPr>
          <w:rFonts w:hint="eastAsia" w:ascii="宋体" w:hAnsi="宋体" w:cs="宋体"/>
          <w:color w:val="000000"/>
          <w:sz w:val="24"/>
          <w:szCs w:val="24"/>
          <w:highlight w:val="none"/>
          <w:lang w:eastAsia="zh-CN"/>
        </w:rPr>
        <w:t xml:space="preserve">综合险各</w:t>
      </w:r>
      <w:r>
        <w:rPr>
          <w:rFonts w:hint="eastAsia" w:ascii="宋体" w:hAnsi="宋体" w:cs="宋体"/>
          <w:color w:val="000000"/>
          <w:sz w:val="24"/>
          <w:szCs w:val="24"/>
          <w:highlight w:val="none"/>
        </w:rPr>
        <w:t xml:space="preserve">险种</w:t>
      </w:r>
      <w:r>
        <w:rPr>
          <w:rFonts w:hint="eastAsia" w:ascii="宋体" w:hAnsi="宋体" w:cs="宋体"/>
          <w:color w:val="000000"/>
          <w:sz w:val="24"/>
          <w:szCs w:val="24"/>
          <w:highlight w:val="none"/>
          <w:lang w:eastAsia="en-US"/>
        </w:rPr>
        <w:t xml:space="preserve">：</w:t>
      </w:r>
      <w:r>
        <w:rPr>
          <w:color w:val="000000"/>
          <w:sz w:val="24"/>
          <w:highlight w:val="none"/>
        </w:rPr>
      </w:r>
      <w:r/>
    </w:p>
    <w:p>
      <w:pPr>
        <w:pStyle w:val="1004"/>
        <w:ind w:firstLine="480"/>
        <w:spacing w:line="460" w:lineRule="exact"/>
        <w:rPr>
          <w:rFonts w:hint="eastAsia" w:eastAsia="宋体"/>
          <w:color w:val="000000"/>
          <w:sz w:val="24"/>
          <w:szCs w:val="24"/>
          <w:highlight w:val="none"/>
          <w:lang w:eastAsia="zh-CN"/>
        </w:rPr>
      </w:pPr>
      <w:r>
        <w:rPr>
          <w:rFonts w:hint="eastAsia" w:eastAsia="宋体"/>
          <w:color w:val="000000"/>
          <w:sz w:val="24"/>
          <w:szCs w:val="24"/>
          <w:highlight w:val="none"/>
          <w:lang w:eastAsia="en-US"/>
        </w:rPr>
        <w:t xml:space="preserve">第一部分：</w:t>
      </w:r>
      <w:r>
        <w:rPr>
          <w:rFonts w:hint="eastAsia" w:eastAsia="宋体"/>
          <w:color w:val="000000"/>
          <w:sz w:val="24"/>
          <w:szCs w:val="24"/>
          <w:highlight w:val="none"/>
        </w:rPr>
        <w:t xml:space="preserve">电梯第三者责任保障</w:t>
      </w:r>
      <w:r>
        <w:rPr>
          <w:rFonts w:hint="eastAsia" w:eastAsia="宋体"/>
          <w:color w:val="000000"/>
          <w:sz w:val="24"/>
          <w:szCs w:val="24"/>
          <w:highlight w:val="none"/>
          <w:lang w:eastAsia="zh-CN"/>
        </w:rPr>
        <w:t xml:space="preserve">（第三者责任险</w:t>
      </w:r>
      <w:r>
        <w:rPr>
          <w:rFonts w:hint="eastAsia"/>
          <w:color w:val="000000"/>
          <w:sz w:val="24"/>
          <w:szCs w:val="24"/>
          <w:highlight w:val="none"/>
          <w:lang w:eastAsia="zh-CN"/>
        </w:rPr>
        <w:t xml:space="preserve">类</w:t>
      </w:r>
      <w:r>
        <w:rPr>
          <w:rFonts w:hint="eastAsia" w:eastAsia="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1004"/>
        <w:ind w:firstLine="480"/>
        <w:spacing w:line="460" w:lineRule="exact"/>
        <w:rPr>
          <w:rFonts w:hint="eastAsia" w:ascii="宋体" w:hAnsi="宋体" w:cs="宋体"/>
          <w:b w:val="0"/>
          <w:bCs w:val="0"/>
          <w:color w:val="000000"/>
          <w:sz w:val="24"/>
          <w:highlight w:val="none"/>
          <w:lang w:eastAsia="en-US"/>
        </w:rPr>
      </w:pPr>
      <w:r>
        <w:rPr>
          <w:rFonts w:hint="eastAsia" w:ascii="宋体" w:hAnsi="宋体" w:cs="宋体"/>
          <w:b w:val="0"/>
          <w:bCs w:val="0"/>
          <w:color w:val="000000"/>
          <w:sz w:val="24"/>
          <w:szCs w:val="24"/>
          <w:highlight w:val="none"/>
          <w:lang w:eastAsia="en-US"/>
        </w:rPr>
        <w:t xml:space="preserve">①电梯人员伤亡或财产损失补偿</w:t>
      </w:r>
      <w:r>
        <w:rPr>
          <w:rFonts w:hint="eastAsia" w:ascii="宋体" w:hAnsi="宋体" w:cs="宋体"/>
          <w:b w:val="0"/>
          <w:bCs w:val="0"/>
          <w:color w:val="000000"/>
          <w:sz w:val="24"/>
          <w:highlight w:val="none"/>
          <w:lang w:eastAsia="en-US"/>
        </w:rPr>
      </w:r>
      <w:r/>
    </w:p>
    <w:p>
      <w:pPr>
        <w:pStyle w:val="1004"/>
        <w:ind w:firstLine="482"/>
        <w:spacing w:line="460" w:lineRule="exact"/>
        <w:rPr>
          <w:rFonts w:hint="eastAsia" w:ascii="宋体" w:hAnsi="宋体" w:cs="宋体"/>
          <w:b w:val="0"/>
          <w:bCs w:val="0"/>
          <w:color w:val="000000"/>
          <w:sz w:val="24"/>
          <w:highlight w:val="none"/>
        </w:rPr>
      </w:pPr>
      <w:r>
        <w:rPr>
          <w:rFonts w:hint="eastAsia" w:ascii="宋体" w:hAnsi="宋体" w:cs="宋体"/>
          <w:b w:val="0"/>
          <w:bCs w:val="0"/>
          <w:color w:val="000000"/>
          <w:sz w:val="24"/>
          <w:szCs w:val="24"/>
          <w:highlight w:val="none"/>
          <w:lang w:eastAsia="en-US"/>
        </w:rPr>
        <w:t xml:space="preserve">每梯每年累计赔偿限额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5</w:t>
      </w:r>
      <w:r>
        <w:rPr>
          <w:rFonts w:hint="eastAsia" w:ascii="宋体" w:hAnsi="宋体" w:cs="宋体"/>
          <w:b w:val="0"/>
          <w:bCs w:val="0"/>
          <w:color w:val="000000"/>
          <w:sz w:val="24"/>
          <w:szCs w:val="24"/>
          <w:highlight w:val="none"/>
          <w:u w:val="single"/>
        </w:rPr>
        <w:t xml:space="preserve">00</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highlight w:val="none"/>
        </w:rPr>
      </w:r>
      <w:r/>
    </w:p>
    <w:p>
      <w:pPr>
        <w:pStyle w:val="1004"/>
        <w:ind w:firstLine="482"/>
        <w:spacing w:line="460" w:lineRule="exact"/>
        <w:rPr>
          <w:rFonts w:hint="eastAsia" w:ascii="宋体" w:hAnsi="宋体" w:cs="宋体"/>
          <w:b w:val="0"/>
          <w:bCs w:val="0"/>
          <w:color w:val="000000"/>
          <w:sz w:val="24"/>
          <w:highlight w:val="none"/>
        </w:rPr>
      </w:pPr>
      <w:r>
        <w:rPr>
          <w:rFonts w:hint="eastAsia" w:ascii="宋体" w:hAnsi="宋体" w:cs="宋体"/>
          <w:b w:val="0"/>
          <w:bCs w:val="0"/>
          <w:color w:val="000000"/>
          <w:sz w:val="24"/>
          <w:szCs w:val="24"/>
          <w:highlight w:val="none"/>
          <w:lang w:eastAsia="en-US"/>
        </w:rPr>
        <w:t xml:space="preserve">每人身故或伤残赔偿限额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80</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万元。</w:t>
      </w:r>
      <w:r>
        <w:rPr>
          <w:rFonts w:hint="eastAsia" w:ascii="宋体" w:hAnsi="宋体" w:cs="宋体"/>
          <w:b w:val="0"/>
          <w:bCs w:val="0"/>
          <w:color w:val="000000"/>
          <w:sz w:val="24"/>
          <w:highlight w:val="none"/>
        </w:rPr>
      </w:r>
      <w:r/>
    </w:p>
    <w:p>
      <w:pPr>
        <w:pStyle w:val="1004"/>
        <w:ind w:firstLine="482"/>
        <w:spacing w:line="460" w:lineRule="exact"/>
        <w:rPr>
          <w:rFonts w:hint="eastAsia" w:ascii="宋体" w:hAnsi="宋体" w:cs="宋体"/>
          <w:b w:val="0"/>
          <w:bCs w:val="0"/>
          <w:color w:val="000000"/>
          <w:sz w:val="24"/>
          <w:highlight w:val="none"/>
          <w:lang w:eastAsia="en-US"/>
        </w:rPr>
      </w:pPr>
      <w:r>
        <w:rPr>
          <w:rFonts w:hint="eastAsia" w:ascii="宋体" w:hAnsi="宋体" w:cs="宋体"/>
          <w:b w:val="0"/>
          <w:bCs w:val="0"/>
          <w:color w:val="000000"/>
          <w:sz w:val="24"/>
          <w:szCs w:val="24"/>
          <w:highlight w:val="none"/>
          <w:lang w:eastAsia="en-US"/>
        </w:rPr>
        <w:t xml:space="preserve">每人每年事故医疗费用赔偿限额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8</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highlight w:val="none"/>
          <w:lang w:eastAsia="en-US"/>
        </w:rPr>
      </w:r>
      <w:r/>
    </w:p>
    <w:p>
      <w:pPr>
        <w:pStyle w:val="1004"/>
        <w:ind w:firstLine="482"/>
        <w:spacing w:line="460" w:lineRule="exact"/>
        <w:rPr>
          <w:rFonts w:hint="eastAsia" w:ascii="宋体" w:hAnsi="宋体" w:cs="宋体"/>
          <w:b w:val="0"/>
          <w:bCs w:val="0"/>
          <w:color w:val="000000"/>
          <w:sz w:val="24"/>
          <w:szCs w:val="24"/>
          <w:highlight w:val="none"/>
          <w:lang w:eastAsia="en-US"/>
        </w:rPr>
      </w:pPr>
      <w:r>
        <w:rPr>
          <w:rFonts w:hint="eastAsia" w:ascii="宋体" w:hAnsi="宋体" w:cs="宋体"/>
          <w:b w:val="0"/>
          <w:bCs w:val="0"/>
          <w:color w:val="000000"/>
          <w:sz w:val="24"/>
          <w:szCs w:val="24"/>
          <w:highlight w:val="none"/>
          <w:lang w:eastAsia="en-US"/>
        </w:rPr>
        <w:t xml:space="preserve">每人每年事故财产损失赔偿限额</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2</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lang w:eastAsia="en-US"/>
        </w:rPr>
        <w:t xml:space="preserve">万元。</w:t>
      </w:r>
      <w:r>
        <w:rPr>
          <w:rFonts w:hint="eastAsia" w:ascii="宋体" w:hAnsi="宋体" w:cs="宋体"/>
          <w:b w:val="0"/>
          <w:bCs w:val="0"/>
          <w:color w:val="000000"/>
          <w:sz w:val="24"/>
          <w:szCs w:val="24"/>
          <w:highlight w:val="none"/>
          <w:lang w:eastAsia="en-US"/>
        </w:rPr>
      </w:r>
      <w:r/>
    </w:p>
    <w:p>
      <w:pPr>
        <w:pStyle w:val="1063"/>
        <w:ind w:firstLine="480"/>
        <w:tabs>
          <w:tab w:val="right" w:pos="8720" w:leader="dot"/>
        </w:tabs>
        <w:rPr>
          <w:rFonts w:hint="eastAsia"/>
          <w:lang w:eastAsia="en-US"/>
        </w:rPr>
      </w:pPr>
      <w:r>
        <w:rPr>
          <w:rFonts w:hint="eastAsia"/>
          <w:lang w:eastAsia="en-US"/>
        </w:rPr>
        <w:t xml:space="preserve">②人员滞留赔偿</w:t>
      </w:r>
      <w:r>
        <w:rPr>
          <w:rFonts w:hint="eastAsia"/>
          <w:lang w:eastAsia="en-US"/>
        </w:rPr>
      </w:r>
      <w:r/>
    </w:p>
    <w:p>
      <w:pPr>
        <w:pStyle w:val="1063"/>
        <w:ind w:firstLine="480"/>
        <w:tabs>
          <w:tab w:val="right" w:pos="8720" w:leader="dot"/>
        </w:tabs>
        <w:rPr>
          <w:rFonts w:hint="eastAsia"/>
          <w:lang w:eastAsia="en-US"/>
        </w:rPr>
      </w:pPr>
      <w:r>
        <w:rPr>
          <w:rFonts w:hint="eastAsia"/>
          <w:lang w:eastAsia="en-US"/>
        </w:rPr>
        <w:t xml:space="preserve">每梯滞留责任累计赔偿限额1000元</w:t>
      </w:r>
      <w:r>
        <w:rPr>
          <w:rFonts w:hint="eastAsia"/>
          <w:lang w:eastAsia="en-US"/>
        </w:rPr>
      </w:r>
      <w:r/>
    </w:p>
    <w:p>
      <w:pPr>
        <w:pStyle w:val="1063"/>
        <w:ind w:firstLine="480"/>
        <w:tabs>
          <w:tab w:val="right" w:pos="8720" w:leader="dot"/>
        </w:tabs>
        <w:rPr>
          <w:rFonts w:hint="eastAsia"/>
          <w:lang w:eastAsia="en-US"/>
        </w:rPr>
      </w:pPr>
      <w:r>
        <w:rPr>
          <w:rFonts w:hint="eastAsia"/>
          <w:lang w:eastAsia="en-US"/>
        </w:rPr>
        <w:t xml:space="preserve">每人滞留责任赔偿限额200元</w:t>
      </w:r>
      <w:r>
        <w:rPr>
          <w:rFonts w:hint="eastAsia"/>
          <w:lang w:eastAsia="en-US"/>
        </w:rPr>
      </w:r>
      <w:r/>
    </w:p>
    <w:p>
      <w:pPr>
        <w:pStyle w:val="1063"/>
        <w:ind w:firstLine="480"/>
        <w:tabs>
          <w:tab w:val="right" w:pos="8720" w:leader="dot"/>
        </w:tabs>
        <w:rPr>
          <w:rFonts w:hint="eastAsia"/>
          <w:lang w:eastAsia="en-US"/>
        </w:rPr>
      </w:pPr>
      <w:r>
        <w:rPr>
          <w:rFonts w:hint="eastAsia"/>
          <w:lang w:eastAsia="zh-CN"/>
        </w:rPr>
        <w:t xml:space="preserve">注：</w:t>
      </w:r>
      <w:r>
        <w:rPr>
          <w:rFonts w:hint="eastAsia"/>
          <w:lang w:eastAsia="en-US"/>
        </w:rPr>
        <w:t xml:space="preserve">电梯因故障或事故，导致梯内人员滞留30分钟及以上，视为滞留责任事故发生。</w:t>
      </w:r>
      <w:r>
        <w:rPr>
          <w:rFonts w:hint="eastAsia"/>
          <w:lang w:eastAsia="en-US"/>
        </w:rPr>
      </w:r>
      <w:r/>
    </w:p>
    <w:p>
      <w:pPr>
        <w:pStyle w:val="1063"/>
        <w:ind w:firstLine="480"/>
        <w:tabs>
          <w:tab w:val="right" w:pos="8720" w:leader="dot"/>
        </w:tabs>
        <w:rPr>
          <w:rFonts w:hint="eastAsia" w:ascii="宋体" w:hAnsi="宋体" w:eastAsia="宋体" w:cs="Times New Roman"/>
          <w:lang w:eastAsia="zh-CN"/>
        </w:rPr>
      </w:pPr>
      <w:r>
        <w:rPr>
          <w:rFonts w:hint="eastAsia" w:ascii="宋体" w:hAnsi="宋体" w:eastAsia="宋体" w:cs="Times New Roman"/>
          <w:lang w:eastAsia="en-US"/>
        </w:rPr>
        <w:t xml:space="preserve">第二部分：电梯财产</w:t>
      </w:r>
      <w:r>
        <w:rPr>
          <w:rFonts w:hint="eastAsia" w:ascii="宋体" w:hAnsi="宋体" w:eastAsia="宋体" w:cs="Times New Roman"/>
          <w:lang w:eastAsia="zh-CN"/>
        </w:rPr>
        <w:t xml:space="preserve">费用损失</w:t>
      </w:r>
      <w:r>
        <w:rPr>
          <w:rFonts w:hint="eastAsia" w:cs="Times New Roman"/>
          <w:lang w:eastAsia="zh-CN"/>
        </w:rPr>
        <w:t xml:space="preserve">保障（财产费用损失险类）</w:t>
      </w:r>
      <w:r>
        <w:rPr>
          <w:rFonts w:hint="eastAsia" w:ascii="宋体" w:hAnsi="宋体" w:eastAsia="宋体" w:cs="Times New Roman"/>
          <w:lang w:eastAsia="zh-CN"/>
        </w:rPr>
      </w:r>
      <w:r/>
    </w:p>
    <w:p>
      <w:pPr>
        <w:pStyle w:val="1063"/>
        <w:ind w:firstLine="480"/>
        <w:tabs>
          <w:tab w:val="right" w:pos="8720" w:leader="dot"/>
        </w:tabs>
        <w:rPr>
          <w:rFonts w:hint="eastAsia" w:ascii="宋体" w:hAnsi="宋体" w:eastAsia="宋体" w:cs="Times New Roman"/>
          <w:highlight w:val="none"/>
          <w:lang w:val="en-US" w:eastAsia="zh-CN"/>
        </w:rPr>
      </w:pPr>
      <w:r>
        <w:rPr>
          <w:rFonts w:hint="eastAsia" w:ascii="宋体" w:hAnsi="宋体" w:eastAsia="宋体" w:cs="Times New Roman"/>
          <w:lang w:val="en-US" w:eastAsia="en-US"/>
        </w:rPr>
        <w:t xml:space="preserve">按照电梯管理的相关规定，保险人承担日常维护维修费用、以及电梯故障产生的一切费用，包括零配件费用和人工费、现场安装调试达到正常可使用状态产生的一切费用</w:t>
      </w:r>
      <w:r>
        <w:rPr>
          <w:rFonts w:hint="eastAsia" w:ascii="宋体" w:hAnsi="宋体" w:eastAsia="宋体" w:cs="Times New Roman"/>
          <w:lang w:val="en-US" w:eastAsia="zh-CN"/>
        </w:rPr>
        <w:t xml:space="preserve">。</w:t>
      </w:r>
      <w:r>
        <w:rPr>
          <w:rFonts w:hint="eastAsia" w:ascii="宋体" w:hAnsi="宋体" w:eastAsia="宋体" w:cs="Times New Roman"/>
          <w:highlight w:val="none"/>
          <w:lang w:val="en-US" w:eastAsia="zh-CN"/>
        </w:rPr>
        <w:t xml:space="preserve">每台电梯</w:t>
      </w:r>
      <w:r>
        <w:rPr>
          <w:rFonts w:hint="eastAsia" w:cs="Times New Roman"/>
          <w:highlight w:val="none"/>
          <w:lang w:val="en-US" w:eastAsia="zh-CN"/>
        </w:rPr>
        <w:t xml:space="preserve">最高</w:t>
      </w:r>
      <w:r>
        <w:rPr>
          <w:rFonts w:hint="eastAsia" w:ascii="宋体" w:hAnsi="宋体" w:eastAsia="宋体" w:cs="Times New Roman"/>
          <w:highlight w:val="none"/>
          <w:lang w:val="en-US" w:eastAsia="zh-CN"/>
        </w:rPr>
        <w:t xml:space="preserve">责任限额 20 万元</w:t>
      </w:r>
      <w:r>
        <w:rPr>
          <w:rFonts w:hint="eastAsia"/>
          <w:sz w:val="24"/>
          <w:szCs w:val="24"/>
          <w:lang w:val="en-US" w:eastAsia="zh-CN"/>
        </w:rPr>
        <w:t xml:space="preserve">，其中维修责任限额8万元/台</w:t>
      </w:r>
      <w:r>
        <w:rPr>
          <w:rFonts w:hint="eastAsia" w:ascii="宋体" w:hAnsi="宋体" w:eastAsia="宋体" w:cs="Times New Roman"/>
          <w:highlight w:val="none"/>
          <w:lang w:val="en-US" w:eastAsia="zh-CN"/>
        </w:rPr>
        <w:t xml:space="preserve">。</w:t>
      </w:r>
      <w:r>
        <w:rPr>
          <w:rFonts w:hint="eastAsia" w:ascii="宋体" w:hAnsi="宋体" w:eastAsia="宋体" w:cs="Times New Roman"/>
          <w:highlight w:val="none"/>
          <w:lang w:val="en-US" w:eastAsia="zh-CN"/>
        </w:rPr>
      </w:r>
      <w:r/>
    </w:p>
    <w:p>
      <w:pPr>
        <w:pStyle w:val="1063"/>
        <w:ind w:firstLine="480"/>
        <w:tabs>
          <w:tab w:val="right" w:pos="8720" w:leader="dot"/>
        </w:tabs>
        <w:rPr>
          <w:rFonts w:hint="eastAsia" w:ascii="宋体" w:hAnsi="宋体" w:eastAsia="宋体" w:cs="Times New Roman"/>
          <w:lang w:val="en-US" w:eastAsia="zh-CN"/>
        </w:rPr>
      </w:pPr>
      <w:r>
        <w:rPr>
          <w:rFonts w:hint="eastAsia" w:ascii="宋体" w:hAnsi="宋体" w:eastAsia="宋体" w:cs="Times New Roman"/>
          <w:lang w:val="en-US" w:eastAsia="en-US"/>
        </w:rPr>
        <w:t xml:space="preserve">第三部分：</w:t>
      </w:r>
      <w:r>
        <w:rPr>
          <w:rFonts w:hint="eastAsia" w:ascii="宋体" w:hAnsi="宋体" w:eastAsia="宋体" w:cs="Times New Roman"/>
          <w:lang w:val="en-US" w:eastAsia="zh-CN"/>
        </w:rPr>
        <w:t xml:space="preserve">安全</w:t>
      </w:r>
      <w:r>
        <w:rPr>
          <w:rFonts w:hint="eastAsia" w:cs="Times New Roman"/>
          <w:lang w:val="en-US" w:eastAsia="zh-CN"/>
        </w:rPr>
        <w:t xml:space="preserve">检查类</w:t>
      </w:r>
      <w:r>
        <w:rPr>
          <w:rFonts w:hint="eastAsia" w:ascii="宋体" w:hAnsi="宋体" w:eastAsia="宋体" w:cs="Times New Roman"/>
          <w:lang w:val="en-US" w:eastAsia="en-US"/>
        </w:rPr>
        <w:t xml:space="preserve">服务</w:t>
      </w:r>
      <w:r>
        <w:rPr>
          <w:rFonts w:hint="eastAsia" w:ascii="宋体" w:hAnsi="宋体" w:eastAsia="宋体" w:cs="Times New Roman"/>
          <w:lang w:val="en-US" w:eastAsia="zh-CN"/>
        </w:rPr>
      </w:r>
      <w:r/>
    </w:p>
    <w:p>
      <w:pPr>
        <w:pStyle w:val="1029"/>
        <w:spacing w:line="360" w:lineRule="auto"/>
      </w:pPr>
      <w:r>
        <w:rPr>
          <w:rFonts w:hint="eastAsia" w:ascii="宋体" w:hAnsi="宋体" w:eastAsia="宋体" w:cs="Times New Roman"/>
          <w:caps/>
          <w:sz w:val="24"/>
          <w:szCs w:val="24"/>
          <w:lang w:val="en-US" w:eastAsia="zh-CN" w:bidi="ar-SA"/>
        </w:rPr>
        <w:t xml:space="preserve">    按本项目服务标准，承担投保电梯设备的安全检查类费用，从而落实各项安全规范要求，保障设备稳定运行，确保整体安全合规。</w:t>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二、服务方案</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、确定电梯服务机构</w:t>
      </w:r>
      <w:r>
        <w:rPr>
          <w:rFonts w:hint="eastAsia" w:ascii="宋体" w:hAnsi="宋体" w:cs="宋体"/>
          <w:color w:val="000000"/>
          <w:sz w:val="24"/>
          <w:highlight w:val="none"/>
        </w:rPr>
      </w:r>
      <w:r/>
    </w:p>
    <w:p>
      <w:pPr>
        <w:pStyle w:val="1004"/>
        <w:ind w:left="29"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eastAsia="zh-CN"/>
        </w:rPr>
        <w:t xml:space="preserve">乙方遴选合格优质的</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zh-CN"/>
        </w:rPr>
        <w:t xml:space="preserve">并报备</w:t>
      </w: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lang w:eastAsia="zh-CN"/>
        </w:rPr>
        <w:t xml:space="preserve">该机构</w:t>
      </w:r>
      <w:r>
        <w:rPr>
          <w:rFonts w:hint="eastAsia" w:ascii="宋体" w:hAnsi="宋体" w:cs="宋体"/>
          <w:color w:val="000000"/>
          <w:sz w:val="24"/>
          <w:szCs w:val="24"/>
          <w:highlight w:val="none"/>
        </w:rPr>
        <w:t xml:space="preserve">同甲、乙双方签订</w:t>
      </w:r>
      <w:r>
        <w:rPr>
          <w:rFonts w:hint="eastAsia" w:ascii="宋体" w:hAnsi="宋体" w:cs="宋体"/>
          <w:color w:val="000000"/>
          <w:sz w:val="24"/>
          <w:szCs w:val="24"/>
          <w:highlight w:val="none"/>
          <w:lang w:eastAsia="zh-CN"/>
        </w:rPr>
        <w:t xml:space="preserve">合作</w:t>
      </w:r>
      <w:r>
        <w:rPr>
          <w:rFonts w:hint="eastAsia" w:ascii="宋体" w:hAnsi="宋体" w:cs="宋体"/>
          <w:color w:val="000000"/>
          <w:sz w:val="24"/>
          <w:szCs w:val="24"/>
          <w:highlight w:val="none"/>
        </w:rPr>
        <w:t xml:space="preserve">协议后，成为</w:t>
      </w:r>
      <w:r>
        <w:rPr>
          <w:rFonts w:hint="eastAsia" w:ascii="宋体" w:hAnsi="宋体" w:cs="宋体"/>
          <w:color w:val="000000"/>
          <w:sz w:val="24"/>
          <w:szCs w:val="24"/>
          <w:highlight w:val="none"/>
          <w:lang w:eastAsia="zh-CN"/>
        </w:rPr>
        <w:t xml:space="preserve">本</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eastAsia="zh-CN"/>
        </w:rPr>
        <w:t xml:space="preserve">项下</w:t>
      </w:r>
      <w:r>
        <w:rPr>
          <w:rFonts w:hint="eastAsia" w:ascii="宋体" w:hAnsi="宋体" w:cs="宋体"/>
          <w:color w:val="000000"/>
          <w:sz w:val="24"/>
          <w:szCs w:val="24"/>
          <w:highlight w:val="none"/>
        </w:rPr>
        <w:t xml:space="preserve">电梯的服务机构。乙方及电梯服务机构应接受和服从甲方</w:t>
      </w:r>
      <w:r>
        <w:rPr>
          <w:rFonts w:hint="eastAsia" w:ascii="宋体" w:hAnsi="宋体" w:cs="宋体"/>
          <w:color w:val="000000"/>
          <w:sz w:val="24"/>
          <w:szCs w:val="24"/>
          <w:highlight w:val="none"/>
          <w:lang w:eastAsia="zh-CN"/>
        </w:rPr>
        <w:t xml:space="preserve">基于本保险合同项下甲方权利范围内的</w:t>
      </w:r>
      <w:r>
        <w:rPr>
          <w:rFonts w:hint="eastAsia" w:ascii="宋体" w:hAnsi="宋体" w:cs="宋体"/>
          <w:color w:val="000000"/>
          <w:sz w:val="24"/>
          <w:szCs w:val="24"/>
          <w:highlight w:val="none"/>
        </w:rPr>
        <w:t xml:space="preserve">管理，否则甲方有权按照合同文件及相关规定进行相应处罚。</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2、乙方负责采购和安装</w:t>
      </w:r>
      <w:r>
        <w:rPr>
          <w:rFonts w:hint="eastAsia" w:ascii="宋体" w:hAnsi="宋体" w:cs="宋体"/>
          <w:color w:val="000000"/>
          <w:sz w:val="24"/>
          <w:szCs w:val="24"/>
          <w:highlight w:val="none"/>
          <w:lang w:eastAsia="zh-CN"/>
        </w:rPr>
        <w:t xml:space="preserve">相关</w:t>
      </w:r>
      <w:r>
        <w:rPr>
          <w:rFonts w:hint="eastAsia" w:ascii="宋体" w:hAnsi="宋体" w:cs="宋体"/>
          <w:color w:val="000000"/>
          <w:sz w:val="24"/>
          <w:szCs w:val="24"/>
          <w:highlight w:val="none"/>
        </w:rPr>
        <w:t xml:space="preserve">电梯物联网监控</w:t>
      </w:r>
      <w:r>
        <w:rPr>
          <w:rFonts w:hint="eastAsia" w:ascii="宋体" w:hAnsi="宋体" w:cs="宋体"/>
          <w:color w:val="000000"/>
          <w:sz w:val="24"/>
          <w:szCs w:val="24"/>
          <w:highlight w:val="none"/>
          <w:lang w:eastAsia="zh-CN"/>
        </w:rPr>
        <w:t xml:space="preserve">设施</w:t>
      </w:r>
      <w:r>
        <w:rPr>
          <w:rFonts w:hint="eastAsia" w:ascii="宋体" w:hAnsi="宋体" w:cs="宋体"/>
          <w:color w:val="000000"/>
          <w:sz w:val="24"/>
          <w:szCs w:val="24"/>
          <w:highlight w:val="none"/>
        </w:rPr>
        <w:t xml:space="preserve">，该</w:t>
      </w:r>
      <w:r>
        <w:rPr>
          <w:rFonts w:hint="eastAsia" w:ascii="宋体" w:hAnsi="宋体" w:cs="宋体"/>
          <w:color w:val="000000"/>
          <w:sz w:val="24"/>
          <w:szCs w:val="24"/>
          <w:highlight w:val="none"/>
          <w:lang w:eastAsia="zh-CN"/>
        </w:rPr>
        <w:t xml:space="preserve">设施具备协助保险人监控管理电梯服务的基础</w:t>
      </w:r>
      <w:r>
        <w:rPr>
          <w:rFonts w:hint="eastAsia" w:ascii="宋体" w:hAnsi="宋体" w:cs="宋体"/>
          <w:color w:val="000000"/>
          <w:sz w:val="24"/>
          <w:szCs w:val="24"/>
          <w:highlight w:val="none"/>
        </w:rPr>
        <w:t xml:space="preserve">功能</w:t>
      </w:r>
      <w:r>
        <w:rPr>
          <w:rFonts w:hint="eastAsia" w:ascii="宋体" w:hAnsi="宋体" w:cs="宋体"/>
          <w:color w:val="000000"/>
          <w:sz w:val="24"/>
          <w:szCs w:val="24"/>
          <w:highlight w:val="none"/>
          <w:lang w:eastAsia="zh-CN"/>
        </w:rPr>
        <w:t xml:space="preserve">（另可提高预算规模另行增加选装设施，从而实现高阶监控功能）</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、提升电梯安全检查服务</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eastAsia="zh-CN"/>
        </w:rPr>
        <w:t xml:space="preserve">及电梯服务</w:t>
      </w: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lang w:eastAsia="zh-CN"/>
        </w:rPr>
        <w:t xml:space="preserve">遵循</w:t>
      </w:r>
      <w:r>
        <w:rPr>
          <w:rFonts w:hint="eastAsia" w:ascii="宋体" w:hAnsi="宋体" w:cs="宋体"/>
          <w:color w:val="000000"/>
          <w:sz w:val="24"/>
          <w:szCs w:val="24"/>
          <w:highlight w:val="none"/>
        </w:rPr>
        <w:t xml:space="preserve">《国务院关于修改〈特种设备安全监察条例〉的决定》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国务院第 549 号令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、《电梯制造与安装安全规范》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GB/T 7588.1—2020、GB/T 7588.2—2020)等相关规定</w:t>
      </w:r>
      <w:r>
        <w:rPr>
          <w:rFonts w:hint="eastAsia" w:ascii="宋体" w:hAnsi="宋体" w:cs="宋体"/>
          <w:color w:val="000000"/>
          <w:sz w:val="24"/>
          <w:szCs w:val="24"/>
          <w:highlight w:val="none"/>
          <w:lang w:eastAsia="zh-CN"/>
        </w:rPr>
        <w:t xml:space="preserve">开展工作</w:t>
      </w:r>
      <w:r>
        <w:rPr>
          <w:rFonts w:hint="eastAsia" w:ascii="宋体" w:hAnsi="宋体" w:cs="宋体"/>
          <w:color w:val="000000"/>
          <w:sz w:val="24"/>
          <w:szCs w:val="24"/>
          <w:highlight w:val="none"/>
        </w:rPr>
        <w:t xml:space="preserve">，确保电梯服务机构工作的质量和时效。</w:t>
      </w:r>
      <w:r>
        <w:rPr>
          <w:rFonts w:hint="eastAsia" w:ascii="宋体" w:hAnsi="宋体" w:cs="宋体"/>
          <w:color w:val="000000"/>
          <w:sz w:val="24"/>
          <w:highlight w:val="none"/>
        </w:rPr>
      </w:r>
      <w:r/>
    </w:p>
    <w:p>
      <w:pPr>
        <w:pStyle w:val="1004"/>
        <w:ind w:firstLine="504"/>
        <w:spacing w:line="460" w:lineRule="exact"/>
        <w:rPr>
          <w:rFonts w:hint="eastAsia" w:ascii="宋体" w:hAnsi="宋体" w:cs="宋体"/>
          <w:color w:val="000000"/>
          <w:spacing w:val="6"/>
          <w:sz w:val="24"/>
          <w:highlight w:val="none"/>
        </w:rPr>
      </w:pPr>
      <w:r>
        <w:rPr>
          <w:rFonts w:ascii="宋体" w:hAnsi="宋体" w:cs="宋体"/>
          <w:color w:val="000000"/>
          <w:spacing w:val="6"/>
          <w:sz w:val="24"/>
          <w:szCs w:val="24"/>
          <w:highlight w:val="none"/>
        </w:rPr>
        <w:t xml:space="preserve">4</w:t>
      </w:r>
      <w:r>
        <w:rPr>
          <w:rFonts w:hint="eastAsia" w:ascii="宋体" w:hAnsi="宋体" w:cs="宋体"/>
          <w:color w:val="000000"/>
          <w:spacing w:val="6"/>
          <w:sz w:val="24"/>
          <w:szCs w:val="24"/>
          <w:highlight w:val="none"/>
        </w:rPr>
        <w:t xml:space="preserve">、提升电梯维修服务</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（1）针对服务期间发现零部件损坏的督促</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进行维修更换；</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（2）针对突发性电梯故障造成零部件损坏的督促</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进行维修更换；</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（3）对于电梯故障零部件的更换，乙方需严格审核，严禁使用残次或功能不匹配的电梯配件，保证电梯安全、平稳运行；</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w:t>
      </w:r>
      <w:r>
        <w:rPr>
          <w:rFonts w:ascii="宋体" w:hAnsi="宋体" w:cs="宋体"/>
          <w:color w:val="000000"/>
          <w:spacing w:val="6"/>
          <w:sz w:val="24"/>
          <w:szCs w:val="24"/>
          <w:highlight w:val="none"/>
        </w:rPr>
        <w:t xml:space="preserve">4</w:t>
      </w:r>
      <w:r>
        <w:rPr>
          <w:rFonts w:hint="eastAsia" w:ascii="宋体" w:hAnsi="宋体" w:cs="宋体"/>
          <w:color w:val="000000"/>
          <w:spacing w:val="6"/>
          <w:sz w:val="24"/>
          <w:szCs w:val="24"/>
          <w:highlight w:val="none"/>
        </w:rPr>
        <w:t xml:space="preserve">）严厉制止</w:t>
      </w:r>
      <w:r>
        <w:rPr>
          <w:rFonts w:hint="eastAsia" w:ascii="宋体" w:hAnsi="宋体" w:cs="宋体"/>
          <w:color w:val="000000"/>
          <w:sz w:val="24"/>
          <w:szCs w:val="24"/>
          <w:highlight w:val="none"/>
        </w:rPr>
        <w:t xml:space="preserve">电梯服务机构</w:t>
      </w:r>
      <w:r>
        <w:rPr>
          <w:rFonts w:hint="eastAsia" w:ascii="宋体" w:hAnsi="宋体" w:cs="宋体"/>
          <w:color w:val="000000"/>
          <w:spacing w:val="6"/>
          <w:sz w:val="24"/>
          <w:szCs w:val="24"/>
          <w:highlight w:val="none"/>
        </w:rPr>
        <w:t xml:space="preserve">拆除电梯安全部件或短接电梯安全、门锁回路后让电梯继续运行使用。</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服务方案包括但不限于有关电梯维修的时效保证、品质保证。</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ascii="宋体" w:hAnsi="宋体" w:cs="宋体"/>
          <w:color w:val="000000"/>
          <w:spacing w:val="6"/>
          <w:sz w:val="24"/>
          <w:szCs w:val="24"/>
          <w:highlight w:val="none"/>
        </w:rPr>
        <w:t xml:space="preserve">5</w:t>
      </w:r>
      <w:r>
        <w:rPr>
          <w:rFonts w:hint="eastAsia" w:ascii="宋体" w:hAnsi="宋体" w:cs="宋体"/>
          <w:color w:val="000000"/>
          <w:spacing w:val="6"/>
          <w:sz w:val="24"/>
          <w:szCs w:val="24"/>
          <w:highlight w:val="none"/>
        </w:rPr>
        <w:t xml:space="preserve">、安全宣传服务</w:t>
      </w:r>
      <w:r>
        <w:rPr>
          <w:rFonts w:hint="eastAsia" w:ascii="宋体" w:hAnsi="宋体" w:cs="宋体"/>
          <w:color w:val="000000"/>
          <w:spacing w:val="6"/>
          <w:sz w:val="24"/>
          <w:highlight w:val="none"/>
        </w:rPr>
      </w:r>
      <w:r/>
    </w:p>
    <w:p>
      <w:pPr>
        <w:pStyle w:val="1004"/>
        <w:ind w:firstLine="504"/>
        <w:spacing w:line="460" w:lineRule="exact"/>
        <w:rPr>
          <w:rFonts w:hint="eastAsia" w:ascii="宋体" w:hAnsi="宋体" w:cs="宋体"/>
          <w:color w:val="000000"/>
          <w:spacing w:val="6"/>
          <w:sz w:val="24"/>
          <w:highlight w:val="none"/>
        </w:rPr>
      </w:pPr>
      <w:r>
        <w:rPr>
          <w:rFonts w:hint="eastAsia" w:ascii="宋体" w:hAnsi="宋体" w:cs="宋体"/>
          <w:color w:val="000000"/>
          <w:spacing w:val="6"/>
          <w:sz w:val="24"/>
          <w:szCs w:val="24"/>
          <w:highlight w:val="none"/>
        </w:rPr>
        <w:t xml:space="preserve">乙方可根据需要制定电梯安全知识宣传折页、宣传海报，在装设电梯的场所进行投放、张贴。向公众宣传电梯安全使用知识，并定期开展防灾安全救援演练，如甲方需要，组织甲方现场人员进行电梯安全培训，提升现场应对突发事件的能力。</w:t>
      </w:r>
      <w:r>
        <w:rPr>
          <w:rFonts w:hint="eastAsia" w:ascii="宋体" w:hAnsi="宋体" w:cs="宋体"/>
          <w:color w:val="000000"/>
          <w:spacing w:val="6"/>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三、保险期限</w:t>
      </w:r>
      <w:r>
        <w:rPr>
          <w:rFonts w:ascii="Calibri Light" w:hAnsi="Calibri Light"/>
          <w:b/>
          <w:bCs/>
          <w:color w:val="000000"/>
          <w:sz w:val="24"/>
          <w:highlight w:val="none"/>
        </w:rPr>
      </w:r>
      <w:r/>
    </w:p>
    <w:p>
      <w:pPr>
        <w:pStyle w:val="1004"/>
        <w:ind w:firstLine="482"/>
        <w:spacing w:line="46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共</w:t>
      </w:r>
      <w:r>
        <w:rPr>
          <w:rFonts w:hint="eastAsia" w:ascii="宋体" w:hAnsi="宋体" w:cs="宋体"/>
          <w:b w:val="0"/>
          <w:bCs w:val="0"/>
          <w:color w:val="000000"/>
          <w:sz w:val="24"/>
          <w:szCs w:val="24"/>
          <w:highlight w:val="none"/>
          <w:u w:val="single"/>
          <w:lang w:val="en-US" w:eastAsia="zh-CN"/>
        </w:rPr>
        <w:t xml:space="preserve">12</w:t>
      </w:r>
      <w:r>
        <w:rPr>
          <w:rFonts w:hint="eastAsia" w:ascii="宋体" w:hAnsi="宋体" w:cs="宋体"/>
          <w:b w:val="0"/>
          <w:bCs w:val="0"/>
          <w:color w:val="000000"/>
          <w:sz w:val="24"/>
          <w:szCs w:val="24"/>
          <w:highlight w:val="none"/>
        </w:rPr>
        <w:t xml:space="preserve">个月，自</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年</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月</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日 </w:t>
      </w:r>
      <w:r>
        <w:rPr>
          <w:rFonts w:hint="eastAsia"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none"/>
          <w:lang w:eastAsia="zh-CN"/>
        </w:rPr>
        <w:t xml:space="preserve">时</w:t>
      </w:r>
      <w:r>
        <w:rPr>
          <w:rFonts w:hint="eastAsia" w:ascii="宋体" w:hAnsi="宋体" w:cs="宋体"/>
          <w:b w:val="0"/>
          <w:bCs w:val="0"/>
          <w:color w:val="000000"/>
          <w:sz w:val="24"/>
          <w:szCs w:val="24"/>
          <w:highlight w:val="none"/>
        </w:rPr>
        <w:t xml:space="preserve">起至</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年</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月</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rPr>
        <w:t xml:space="preserve">   </w:t>
      </w:r>
      <w:r>
        <w:rPr>
          <w:rFonts w:ascii="宋体" w:hAnsi="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rPr>
        <w:t xml:space="preserve">日 </w:t>
      </w:r>
      <w:r>
        <w:rPr>
          <w:rFonts w:hint="eastAsia" w:ascii="宋体" w:hAnsi="宋体" w:cs="宋体"/>
          <w:b w:val="0"/>
          <w:bCs w:val="0"/>
          <w:color w:val="000000"/>
          <w:sz w:val="24"/>
          <w:szCs w:val="24"/>
          <w:highlight w:val="none"/>
          <w:u w:val="single"/>
        </w:rPr>
        <w:t xml:space="preserve">   时</w:t>
      </w:r>
      <w:r>
        <w:rPr>
          <w:rFonts w:hint="eastAsia" w:ascii="宋体" w:hAnsi="宋体" w:cs="宋体"/>
          <w:b w:val="0"/>
          <w:bCs w:val="0"/>
          <w:color w:val="000000"/>
          <w:sz w:val="24"/>
          <w:szCs w:val="24"/>
          <w:highlight w:val="none"/>
        </w:rPr>
        <w:t xml:space="preserve">止。</w:t>
      </w:r>
      <w:r>
        <w:rPr>
          <w:rFonts w:hint="eastAsia" w:ascii="宋体" w:hAnsi="宋体" w:cs="宋体"/>
          <w:b w:val="0"/>
          <w:bCs w:val="0"/>
          <w:color w:val="000000"/>
          <w:sz w:val="24"/>
          <w:szCs w:val="24"/>
          <w:highlight w:val="none"/>
        </w:rPr>
      </w:r>
      <w:r/>
    </w:p>
    <w:p>
      <w:pPr>
        <w:pStyle w:val="1004"/>
        <w:ind w:firstLine="482"/>
        <w:spacing w:line="460" w:lineRule="exact"/>
        <w:rPr>
          <w:rFonts w:hint="eastAsia" w:ascii="宋体" w:hAnsi="宋体" w:cs="宋体"/>
          <w:b/>
          <w:bCs/>
          <w:color w:val="000000"/>
          <w:sz w:val="24"/>
          <w:highlight w:val="none"/>
          <w:lang w:eastAsia="en-US"/>
        </w:rPr>
      </w:pPr>
      <w:r>
        <w:rPr>
          <w:rFonts w:hint="eastAsia" w:ascii="宋体" w:hAnsi="宋体" w:cs="宋体"/>
          <w:color w:val="000000"/>
          <w:sz w:val="24"/>
          <w:szCs w:val="24"/>
          <w:highlight w:val="none"/>
          <w:lang w:eastAsia="zh-CN"/>
        </w:rPr>
        <w:t xml:space="preserve">本项目适用：</w:t>
      </w:r>
      <w:r>
        <w:rPr>
          <w:rFonts w:hint="eastAsia" w:ascii="宋体" w:hAnsi="宋体" w:cs="宋体"/>
          <w:color w:val="000000"/>
          <w:sz w:val="24"/>
          <w:szCs w:val="24"/>
          <w:highlight w:val="none"/>
        </w:rPr>
        <w:t xml:space="preserve">在预算保障的前提下，对于购买内容相对固定、连续性强、经费来源稳定、价格变化幅度小的政府购买服务项目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供应商经采购方考核结果</w:t>
      </w:r>
      <w:r>
        <w:rPr>
          <w:rFonts w:hint="eastAsia" w:ascii="宋体" w:hAnsi="宋体" w:cs="宋体"/>
          <w:color w:val="000000"/>
          <w:sz w:val="24"/>
          <w:szCs w:val="24"/>
          <w:highlight w:val="none"/>
          <w:lang w:eastAsia="zh-CN"/>
        </w:rPr>
        <w:t xml:space="preserve">达</w:t>
      </w:r>
      <w:r>
        <w:rPr>
          <w:rFonts w:hint="eastAsia" w:ascii="宋体" w:hAnsi="宋体" w:cs="宋体"/>
          <w:color w:val="000000"/>
          <w:sz w:val="24"/>
          <w:szCs w:val="24"/>
          <w:highlight w:val="none"/>
        </w:rPr>
        <w:t xml:space="preserve">优级（90分</w:t>
      </w:r>
      <w:r>
        <w:rPr>
          <w:rFonts w:hint="eastAsia" w:ascii="宋体" w:hAnsi="宋体" w:cs="宋体"/>
          <w:color w:val="000000"/>
          <w:sz w:val="24"/>
          <w:szCs w:val="24"/>
          <w:highlight w:val="none"/>
          <w:lang w:eastAsia="zh-CN"/>
        </w:rPr>
        <w:t xml:space="preserve">及</w:t>
      </w:r>
      <w:r>
        <w:rPr>
          <w:rFonts w:hint="eastAsia" w:ascii="宋体" w:hAnsi="宋体" w:cs="宋体"/>
          <w:color w:val="000000"/>
          <w:sz w:val="24"/>
          <w:szCs w:val="24"/>
          <w:highlight w:val="none"/>
        </w:rPr>
        <w:t xml:space="preserve">以上），采购方可以</w:t>
      </w:r>
      <w:r>
        <w:rPr>
          <w:rFonts w:hint="eastAsia" w:ascii="宋体" w:hAnsi="宋体" w:cs="宋体"/>
          <w:color w:val="000000"/>
          <w:sz w:val="24"/>
          <w:szCs w:val="24"/>
          <w:highlight w:val="none"/>
          <w:lang w:eastAsia="zh-CN"/>
        </w:rPr>
        <w:t xml:space="preserve">与供应商</w:t>
      </w:r>
      <w:r>
        <w:rPr>
          <w:rFonts w:hint="eastAsia" w:ascii="宋体" w:hAnsi="宋体" w:cs="宋体"/>
          <w:color w:val="000000"/>
          <w:sz w:val="24"/>
          <w:szCs w:val="24"/>
          <w:highlight w:val="none"/>
        </w:rPr>
        <w:t xml:space="preserve">续签合同，</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rPr>
        <w:t xml:space="preserve">一年一签，续签不超过</w:t>
      </w:r>
      <w:r>
        <w:rPr>
          <w:rFonts w:hint="eastAsia" w:ascii="宋体" w:hAnsi="宋体" w:cs="宋体"/>
          <w:color w:val="000000"/>
          <w:sz w:val="24"/>
          <w:szCs w:val="24"/>
          <w:highlight w:val="none"/>
          <w:lang w:eastAsia="zh-CN"/>
        </w:rPr>
        <w:t xml:space="preserve">两次</w:t>
      </w:r>
      <w:r>
        <w:rPr>
          <w:rFonts w:hint="eastAsia" w:ascii="宋体" w:hAnsi="宋体" w:cs="宋体"/>
          <w:color w:val="000000"/>
          <w:sz w:val="24"/>
          <w:szCs w:val="24"/>
          <w:highlight w:val="none"/>
        </w:rPr>
        <w:t xml:space="preserve">。</w:t>
      </w:r>
      <w:r>
        <w:rPr>
          <w:rFonts w:hint="eastAsia" w:ascii="宋体" w:hAnsi="宋体" w:cs="宋体"/>
          <w:b/>
          <w:bCs/>
          <w:color w:val="000000"/>
          <w:sz w:val="24"/>
          <w:highlight w:val="none"/>
          <w:lang w:eastAsia="en-US"/>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四、</w:t>
      </w:r>
      <w:r>
        <w:rPr>
          <w:rFonts w:hint="eastAsia" w:ascii="Calibri Light" w:hAnsi="Calibri Light"/>
          <w:b/>
          <w:bCs/>
          <w:color w:val="000000"/>
          <w:sz w:val="24"/>
          <w:szCs w:val="24"/>
          <w:highlight w:val="none"/>
          <w:lang w:eastAsia="zh-CN"/>
        </w:rPr>
        <w:t xml:space="preserve">合同签订与</w:t>
      </w:r>
      <w:r>
        <w:rPr>
          <w:rFonts w:hint="eastAsia" w:ascii="Calibri Light" w:hAnsi="Calibri Light"/>
          <w:b/>
          <w:bCs/>
          <w:color w:val="000000"/>
          <w:sz w:val="24"/>
          <w:szCs w:val="24"/>
          <w:highlight w:val="none"/>
        </w:rPr>
        <w:t xml:space="preserve">保费的金额与支付</w:t>
      </w:r>
      <w:r>
        <w:rPr>
          <w:rFonts w:ascii="Calibri Light" w:hAnsi="Calibri Light"/>
          <w:b/>
          <w:bCs/>
          <w:color w:val="000000"/>
          <w:sz w:val="24"/>
          <w:highlight w:val="none"/>
        </w:rPr>
      </w:r>
      <w:r/>
    </w:p>
    <w:p>
      <w:pPr>
        <w:pStyle w:val="1004"/>
        <w:ind w:firstLine="480"/>
        <w:spacing w:line="460" w:lineRule="exact"/>
        <w:widowControl/>
        <w:rPr>
          <w:rFonts w:hint="eastAsia" w:eastAsia="Times New Roman"/>
          <w:color w:val="000000"/>
          <w:sz w:val="24"/>
          <w:szCs w:val="24"/>
          <w:highlight w:val="none"/>
        </w:rPr>
      </w:pPr>
      <w:r>
        <w:rPr>
          <w:rFonts w:hint="eastAsia" w:eastAsia="Times New Roman"/>
          <w:color w:val="000000"/>
          <w:sz w:val="24"/>
          <w:szCs w:val="24"/>
          <w:highlight w:val="none"/>
        </w:rPr>
        <w:t xml:space="preserve">1.合同签订：双方签订本保险合同后，甲方配合乙方陆续办理各具体安置房小区电梯的单个保单，保单内容不得实质性违背本项目招投标文件及保险合同约定。</w:t>
      </w:r>
      <w:r>
        <w:rPr>
          <w:rFonts w:hint="eastAsia" w:eastAsia="Times New Roman"/>
          <w:color w:val="000000"/>
          <w:sz w:val="24"/>
          <w:szCs w:val="24"/>
          <w:highlight w:val="none"/>
        </w:rPr>
      </w:r>
      <w:r/>
    </w:p>
    <w:p>
      <w:pPr>
        <w:pStyle w:val="1004"/>
        <w:ind w:firstLine="480"/>
        <w:spacing w:line="460" w:lineRule="exact"/>
        <w:widowControl/>
        <w:rPr>
          <w:rFonts w:hint="eastAsia" w:eastAsia="Times New Roman"/>
          <w:color w:val="000000"/>
          <w:sz w:val="24"/>
          <w:szCs w:val="24"/>
          <w:highlight w:val="none"/>
        </w:rPr>
      </w:pPr>
      <w:r>
        <w:rPr>
          <w:rFonts w:hint="eastAsia" w:eastAsia="宋体"/>
          <w:color w:val="000000"/>
          <w:sz w:val="24"/>
          <w:szCs w:val="24"/>
          <w:highlight w:val="none"/>
          <w:lang w:val="en-US" w:eastAsia="zh-CN"/>
        </w:rPr>
        <w:t xml:space="preserve">2</w:t>
      </w:r>
      <w:r>
        <w:rPr>
          <w:rFonts w:hint="eastAsia" w:eastAsia="Times New Roman"/>
          <w:color w:val="000000"/>
          <w:sz w:val="24"/>
          <w:szCs w:val="24"/>
          <w:highlight w:val="none"/>
        </w:rPr>
        <w:t xml:space="preserve">.投标报价系总包金额，保障项目包含：电梯</w:t>
      </w:r>
      <w:r>
        <w:rPr>
          <w:rFonts w:hint="eastAsia" w:eastAsia="宋体"/>
          <w:color w:val="000000"/>
          <w:sz w:val="24"/>
          <w:szCs w:val="24"/>
          <w:highlight w:val="none"/>
          <w:lang w:eastAsia="zh-CN"/>
        </w:rPr>
        <w:t xml:space="preserve">日常</w:t>
      </w:r>
      <w:r>
        <w:rPr>
          <w:rFonts w:hint="eastAsia" w:eastAsia="Times New Roman"/>
          <w:color w:val="000000"/>
          <w:sz w:val="24"/>
          <w:szCs w:val="24"/>
          <w:highlight w:val="none"/>
        </w:rPr>
        <w:t xml:space="preserve">安全检查费用、维修费用、意外</w:t>
      </w:r>
      <w:r>
        <w:rPr>
          <w:rFonts w:hint="eastAsia" w:eastAsia="宋体"/>
          <w:color w:val="000000"/>
          <w:sz w:val="24"/>
          <w:szCs w:val="24"/>
          <w:highlight w:val="none"/>
          <w:lang w:eastAsia="zh-CN"/>
        </w:rPr>
        <w:t xml:space="preserve">三责</w:t>
      </w:r>
      <w:r>
        <w:rPr>
          <w:rFonts w:hint="eastAsia" w:eastAsia="Times New Roman"/>
          <w:color w:val="000000"/>
          <w:sz w:val="24"/>
          <w:szCs w:val="24"/>
          <w:highlight w:val="none"/>
        </w:rPr>
        <w:t xml:space="preserve">事故补偿费用</w:t>
      </w:r>
      <w:r>
        <w:rPr>
          <w:rFonts w:hint="eastAsia" w:eastAsia="宋体"/>
          <w:color w:val="000000"/>
          <w:sz w:val="24"/>
          <w:szCs w:val="24"/>
          <w:highlight w:val="none"/>
          <w:lang w:eastAsia="zh-CN"/>
        </w:rPr>
        <w:t xml:space="preserve">、检验检测费用</w:t>
      </w:r>
      <w:r>
        <w:rPr>
          <w:rFonts w:hint="eastAsia" w:eastAsia="Times New Roman"/>
          <w:color w:val="000000"/>
          <w:sz w:val="24"/>
          <w:szCs w:val="24"/>
          <w:highlight w:val="none"/>
        </w:rPr>
        <w:t xml:space="preserve">。</w:t>
      </w:r>
      <w:r>
        <w:rPr>
          <w:rFonts w:hint="eastAsia" w:eastAsia="Times New Roman"/>
          <w:color w:val="000000"/>
          <w:sz w:val="24"/>
          <w:szCs w:val="24"/>
          <w:highlight w:val="none"/>
        </w:rPr>
      </w:r>
      <w:r/>
    </w:p>
    <w:p>
      <w:pPr>
        <w:pStyle w:val="1004"/>
        <w:ind w:firstLine="480"/>
        <w:spacing w:line="460" w:lineRule="exact"/>
        <w:rPr>
          <w:rFonts w:hint="eastAsia" w:ascii="宋体" w:hAnsi="宋体" w:cs="宋体"/>
          <w:color w:val="000000"/>
          <w:sz w:val="24"/>
          <w:szCs w:val="24"/>
          <w:highlight w:val="none"/>
          <w:u w:val="none"/>
        </w:rPr>
      </w:pPr>
      <w:r>
        <w:rPr>
          <w:rFonts w:hint="eastAsia" w:eastAsia="宋体"/>
          <w:color w:val="000000"/>
          <w:sz w:val="24"/>
          <w:szCs w:val="24"/>
          <w:highlight w:val="none"/>
          <w:lang w:val="en-US" w:eastAsia="zh-CN"/>
        </w:rPr>
        <w:t xml:space="preserve">3.</w:t>
      </w:r>
      <w:r>
        <w:rPr>
          <w:rFonts w:hint="eastAsia" w:eastAsia="Times New Roman"/>
          <w:color w:val="000000"/>
          <w:sz w:val="24"/>
          <w:szCs w:val="24"/>
          <w:highlight w:val="none"/>
        </w:rPr>
        <w:t xml:space="preserve">保费金额：</w:t>
      </w:r>
      <w:r>
        <w:rPr>
          <w:rFonts w:hint="eastAsia" w:ascii="宋体" w:hAnsi="宋体" w:cs="宋体"/>
          <w:b/>
          <w:bCs/>
          <w:color w:val="000000"/>
          <w:sz w:val="24"/>
          <w:szCs w:val="24"/>
          <w:highlight w:val="none"/>
          <w:u w:val="none"/>
        </w:rPr>
        <w:t xml:space="preserve"> </w:t>
      </w:r>
      <w:r>
        <w:rPr>
          <w:rFonts w:hint="eastAsia" w:ascii="宋体" w:hAnsi="宋体" w:cs="宋体"/>
          <w:b/>
          <w:bCs/>
          <w:color w:val="000000"/>
          <w:sz w:val="24"/>
          <w:szCs w:val="24"/>
          <w:highlight w:val="none"/>
          <w:u w:val="none"/>
          <w:lang w:val="en-US" w:eastAsia="zh-CN"/>
        </w:rPr>
        <w:t xml:space="preserve">    </w:t>
      </w:r>
      <w:r>
        <w:rPr>
          <w:rFonts w:hint="eastAsia" w:ascii="宋体" w:hAnsi="宋体" w:cs="宋体"/>
          <w:b w:val="0"/>
          <w:bCs/>
          <w:color w:val="000000"/>
          <w:sz w:val="24"/>
          <w:szCs w:val="24"/>
          <w:highlight w:val="none"/>
          <w:u w:val="none"/>
        </w:rPr>
        <w:t xml:space="preserve">元/台/年 </w:t>
      </w:r>
      <w:r>
        <w:rPr>
          <w:rFonts w:hint="eastAsia" w:ascii="宋体" w:hAnsi="宋体" w:cs="宋体"/>
          <w:color w:val="000000"/>
          <w:sz w:val="24"/>
          <w:szCs w:val="24"/>
          <w:highlight w:val="none"/>
          <w:u w:val="none"/>
        </w:rPr>
        <w:t xml:space="preserve">（大写： </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r>
      <w:r/>
    </w:p>
    <w:tbl>
      <w:tblPr>
        <w:tblW w:w="931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249"/>
        <w:gridCol w:w="1430"/>
        <w:gridCol w:w="1990"/>
      </w:tblGrid>
      <w:tr>
        <w:trPr>
          <w:trHeight w:val="1154"/>
        </w:trPr>
        <w:tc>
          <w:tcPr>
            <w:tcW w:w="1646"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szCs w:val="24"/>
                <w:highlight w:val="none"/>
              </w:rPr>
            </w:r>
            <w:r/>
          </w:p>
        </w:tc>
        <w:tc>
          <w:tcPr>
            <w:tcW w:w="4249"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szCs w:val="24"/>
                <w:highlight w:val="none"/>
              </w:rPr>
            </w:r>
            <w:r/>
          </w:p>
        </w:tc>
        <w:tc>
          <w:tcPr>
            <w:tcW w:w="143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数量(台）</w:t>
            </w:r>
            <w:r>
              <w:rPr>
                <w:rFonts w:hint="eastAsia" w:ascii="宋体" w:hAnsi="宋体" w:cs="宋体"/>
                <w:color w:val="000000"/>
                <w:sz w:val="24"/>
                <w:szCs w:val="24"/>
                <w:highlight w:val="none"/>
              </w:rPr>
            </w:r>
            <w:r/>
          </w:p>
        </w:tc>
        <w:tc>
          <w:tcPr>
            <w:tcW w:w="199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综合单价报价（元/台/年）</w:t>
            </w:r>
            <w:r>
              <w:rPr>
                <w:rFonts w:hint="eastAsia" w:ascii="宋体" w:hAnsi="宋体" w:cs="宋体"/>
                <w:color w:val="000000"/>
                <w:sz w:val="24"/>
                <w:szCs w:val="24"/>
                <w:highlight w:val="none"/>
              </w:rPr>
            </w:r>
            <w:r/>
          </w:p>
        </w:tc>
      </w:tr>
      <w:tr>
        <w:trPr>
          <w:trHeight w:val="1228" w:hRule="exact"/>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color w:val="000000"/>
                <w:szCs w:val="20"/>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4821"/>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1340"/>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szCs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592"/>
        </w:trPr>
        <w:tc>
          <w:tcPr>
            <w:gridSpan w:val="3"/>
            <w:tcW w:w="7325"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综合保险费合计人民币（含税）：</w:t>
            </w:r>
            <w:r>
              <w:rPr>
                <w:rFonts w:hint="eastAsia" w:ascii="宋体" w:hAnsi="宋体" w:cs="宋体"/>
                <w:color w:val="000000"/>
                <w:sz w:val="24"/>
                <w:szCs w:val="24"/>
                <w:highlight w:val="none"/>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bl>
    <w:p>
      <w:pPr>
        <w:pStyle w:val="1004"/>
        <w:ind w:firstLine="480"/>
        <w:spacing w:line="460" w:lineRule="exact"/>
        <w:widowControl/>
        <w:rPr>
          <w:rFonts w:hint="eastAsia" w:eastAsia="Times New Roman"/>
          <w:color w:val="000000"/>
          <w:sz w:val="24"/>
          <w:szCs w:val="24"/>
          <w:highlight w:val="none"/>
        </w:rPr>
      </w:pPr>
      <w:r>
        <w:rPr>
          <w:rFonts w:hint="eastAsia" w:eastAsia="Times New Roman"/>
          <w:color w:val="000000"/>
          <w:sz w:val="24"/>
          <w:szCs w:val="24"/>
          <w:highlight w:val="none"/>
        </w:rPr>
        <w:t xml:space="preserve">每年保费金额以实际开通投保数量为准</w:t>
      </w:r>
      <w:r>
        <w:rPr>
          <w:rFonts w:hint="eastAsia" w:eastAsia="宋体"/>
          <w:color w:val="000000"/>
          <w:sz w:val="24"/>
          <w:szCs w:val="24"/>
          <w:highlight w:val="none"/>
          <w:lang w:eastAsia="zh-CN"/>
        </w:rPr>
        <w:t xml:space="preserve">（</w:t>
      </w:r>
      <w:r>
        <w:rPr>
          <w:rFonts w:hint="eastAsia" w:eastAsia="Times New Roman"/>
          <w:color w:val="000000"/>
          <w:sz w:val="24"/>
          <w:szCs w:val="24"/>
          <w:highlight w:val="none"/>
        </w:rPr>
        <w:t xml:space="preserve">具体清单以双方签字为准），保险期间内新增运行的电梯按月计收保费。</w:t>
      </w:r>
      <w:r>
        <w:rPr>
          <w:rFonts w:hint="eastAsia" w:eastAsia="Times New Roman"/>
          <w:color w:val="000000"/>
          <w:sz w:val="24"/>
          <w:szCs w:val="24"/>
          <w:highlight w:val="none"/>
        </w:rPr>
      </w:r>
      <w:r/>
    </w:p>
    <w:p>
      <w:pPr>
        <w:pStyle w:val="1004"/>
        <w:numPr>
          <w:ilvl w:val="0"/>
          <w:numId w:val="5"/>
        </w:numPr>
        <w:ind w:left="0" w:firstLine="480"/>
        <w:spacing w:line="460" w:lineRule="exact"/>
        <w:widowControl/>
        <w:tabs>
          <w:tab w:val="left" w:pos="312" w:leader="none"/>
        </w:tabs>
        <w:rPr>
          <w:rFonts w:hint="eastAsia" w:eastAsia="Times New Roman"/>
          <w:color w:val="000000"/>
          <w:sz w:val="24"/>
          <w:szCs w:val="24"/>
          <w:highlight w:val="none"/>
        </w:rPr>
      </w:pPr>
      <w:r>
        <w:rPr>
          <w:rFonts w:hint="eastAsia" w:eastAsia="Times New Roman"/>
          <w:color w:val="000000"/>
          <w:sz w:val="24"/>
          <w:szCs w:val="24"/>
          <w:highlight w:val="none"/>
        </w:rPr>
        <w:t xml:space="preserve">支付方式：本项目保险费约定分三期支付，由甲方转账至乙方账户，乙方收到保费后5个工作日内提供正式保费发票。首期保费支付一个合同年度总保费的35%（首期保费       元），确保支付时间为合同签订后、第一张保单生效前10日内；第二期保费支付一个合同年度总保费的35%（第二期保费       元），确保支付时间为第一张保单起保后180天内；第三期保费支付一个合同年度总保费的30%（第三期保费       元），确保支付时间为第一张保单生效后330日内（且不晚于保险责任终止日前30个自然日）。</w:t>
      </w:r>
      <w:r>
        <w:rPr>
          <w:rFonts w:hint="eastAsia" w:eastAsia="Times New Roman"/>
          <w:color w:val="000000"/>
          <w:sz w:val="24"/>
          <w:szCs w:val="24"/>
          <w:highlight w:val="none"/>
        </w:rPr>
      </w:r>
      <w:r/>
    </w:p>
    <w:p>
      <w:pPr>
        <w:pStyle w:val="1004"/>
        <w:numPr>
          <w:ilvl w:val="0"/>
          <w:numId w:val="5"/>
        </w:numPr>
        <w:ind w:left="0" w:firstLine="480"/>
        <w:spacing w:line="460" w:lineRule="exact"/>
        <w:widowControl/>
        <w:tabs>
          <w:tab w:val="left" w:pos="312" w:leader="none"/>
        </w:tabs>
        <w:rPr>
          <w:rFonts w:eastAsia="Times New Roman"/>
          <w:color w:val="000000"/>
          <w:sz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eastAsia="Times New Roman"/>
          <w:color w:val="000000"/>
          <w:sz w:val="24"/>
          <w:szCs w:val="24"/>
          <w:highlight w:val="none"/>
        </w:rPr>
        <w:t xml:space="preserve">保费通过银行转账方式支付，乙方的账户信息如下:</w:t>
      </w:r>
      <w:r>
        <w:rPr>
          <w:rFonts w:eastAsia="Times New Roman"/>
          <w:color w:val="000000"/>
          <w:sz w:val="24"/>
          <w:highlight w:val="none"/>
        </w:rPr>
      </w:r>
      <w:r/>
    </w:p>
    <w:tbl>
      <w:tblPr>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单位名称</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纳税人识别号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开户银行</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银行账号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单位地址</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电话号码</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bl>
    <w:p>
      <w:pPr>
        <w:pStyle w:val="1004"/>
        <w:ind w:firstLine="480"/>
        <w:spacing w:line="460" w:lineRule="exact"/>
        <w:widowControl/>
        <w:rPr>
          <w:rFonts w:eastAsia="Times New Roman"/>
          <w:color w:val="000000"/>
          <w:sz w:val="24"/>
          <w:highlight w:val="none"/>
        </w:rPr>
      </w:pPr>
      <w:r>
        <w:rPr>
          <w:rFonts w:hint="eastAsia" w:eastAsia="宋体"/>
          <w:color w:val="000000"/>
          <w:sz w:val="24"/>
          <w:szCs w:val="24"/>
          <w:highlight w:val="none"/>
          <w:lang w:val="en-US" w:eastAsia="zh-CN"/>
        </w:rPr>
        <w:t xml:space="preserve">6</w:t>
      </w:r>
      <w:r>
        <w:rPr>
          <w:rFonts w:eastAsia="Times New Roman"/>
          <w:color w:val="000000"/>
          <w:sz w:val="24"/>
          <w:szCs w:val="24"/>
          <w:highlight w:val="none"/>
        </w:rPr>
        <w:t xml:space="preserve">.甲方的开票信息如下:</w:t>
      </w:r>
      <w:r>
        <w:rPr>
          <w:rFonts w:eastAsia="Times New Roman"/>
          <w:color w:val="000000"/>
          <w:sz w:val="24"/>
          <w:highlight w:val="none"/>
        </w:rPr>
      </w:r>
      <w:r/>
    </w:p>
    <w:tbl>
      <w:tblPr>
        <w:tblW w:w="8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单位名称</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纳税人识别号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开户银行</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银行账号</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单位地址</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r>
        <w:trPr/>
        <w:tc>
          <w:tcPr>
            <w:tcW w:w="1696" w:type="dxa"/>
            <w:vAlign w:val="top"/>
            <w:textDirection w:val="lrTb"/>
            <w:noWrap w:val="false"/>
          </w:tcPr>
          <w:p>
            <w:pPr>
              <w:pStyle w:val="1004"/>
              <w:jc w:val="center"/>
              <w:spacing w:line="460" w:lineRule="exact"/>
              <w:widowControl/>
              <w:rPr>
                <w:rFonts w:ascii="Calibri" w:hAnsi="Calibri" w:eastAsia="Times New Roman"/>
                <w:color w:val="000000"/>
                <w:sz w:val="24"/>
                <w:highlight w:val="none"/>
              </w:rPr>
            </w:pPr>
            <w:r>
              <w:rPr>
                <w:rFonts w:hint="eastAsia" w:ascii="Calibri" w:hAnsi="Calibri" w:eastAsia="Times New Roman"/>
                <w:color w:val="000000"/>
                <w:sz w:val="24"/>
                <w:szCs w:val="24"/>
                <w:highlight w:val="none"/>
              </w:rPr>
              <w:t xml:space="preserve">电话号码</w:t>
            </w:r>
            <w:r>
              <w:rPr>
                <w:rFonts w:ascii="Calibri" w:hAnsi="Calibri" w:eastAsia="Times New Roman"/>
                <w:color w:val="000000"/>
                <w:sz w:val="24"/>
                <w:highlight w:val="none"/>
              </w:rPr>
            </w:r>
            <w:r/>
          </w:p>
        </w:tc>
        <w:tc>
          <w:tcPr>
            <w:tcW w:w="6600" w:type="dxa"/>
            <w:vAlign w:val="top"/>
            <w:textDirection w:val="lrTb"/>
            <w:noWrap w:val="false"/>
          </w:tcPr>
          <w:p>
            <w:pPr>
              <w:pStyle w:val="1004"/>
              <w:spacing w:line="460" w:lineRule="exact"/>
              <w:widowControl/>
              <w:rPr>
                <w:rFonts w:ascii="Calibri" w:hAnsi="Calibri" w:eastAsia="Times New Roman"/>
                <w:color w:val="000000"/>
                <w:sz w:val="24"/>
                <w:highlight w:val="none"/>
              </w:rPr>
            </w:pPr>
            <w:r>
              <w:rPr>
                <w:rFonts w:ascii="Calibri" w:hAnsi="Calibri" w:eastAsia="Times New Roman"/>
                <w:color w:val="000000"/>
                <w:sz w:val="24"/>
                <w:highlight w:val="none"/>
              </w:rPr>
            </w:r>
            <w:r/>
          </w:p>
        </w:tc>
      </w:tr>
    </w:tbl>
    <w:p>
      <w:pPr>
        <w:pStyle w:val="1004"/>
        <w:numPr>
          <w:ilvl w:val="0"/>
          <w:numId w:val="6"/>
        </w:numPr>
        <w:ind w:left="420"/>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履约保证金</w:t>
      </w:r>
      <w:r>
        <w:rPr>
          <w:rFonts w:ascii="Calibri Light" w:hAnsi="Calibri Light"/>
          <w:b/>
          <w:bCs/>
          <w:color w:val="000000"/>
          <w:sz w:val="24"/>
          <w:highlight w:val="none"/>
        </w:rPr>
      </w:r>
      <w:r/>
    </w:p>
    <w:p>
      <w:pPr>
        <w:pStyle w:val="1004"/>
        <w:ind w:left="239" w:firstLine="307"/>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1.</w:t>
      </w:r>
      <w:r>
        <w:rPr>
          <w:rFonts w:ascii="Calibri Light" w:hAnsi="Calibri Light"/>
          <w:color w:val="000000"/>
          <w:sz w:val="24"/>
          <w:szCs w:val="24"/>
          <w:highlight w:val="none"/>
        </w:rPr>
        <w:t xml:space="preserve">本项目履约保证金为</w:t>
      </w:r>
      <w:r>
        <w:rPr>
          <w:rFonts w:hint="eastAsia" w:ascii="Calibri Light" w:hAnsi="Calibri Light"/>
          <w:color w:val="000000"/>
          <w:sz w:val="24"/>
          <w:szCs w:val="24"/>
          <w:highlight w:val="none"/>
        </w:rPr>
        <w:t xml:space="preserve"> </w:t>
      </w:r>
      <w:r>
        <w:rPr>
          <w:rFonts w:hint="eastAsia" w:ascii="Calibri Light" w:hAnsi="Calibri Light"/>
          <w:color w:val="000000"/>
          <w:sz w:val="24"/>
          <w:szCs w:val="24"/>
          <w:highlight w:val="none"/>
          <w:u w:val="single"/>
        </w:rPr>
        <w:t xml:space="preserve">     </w:t>
      </w:r>
      <w:r>
        <w:rPr>
          <w:rFonts w:ascii="Calibri Light" w:hAnsi="Calibri Light"/>
          <w:color w:val="000000"/>
          <w:sz w:val="24"/>
          <w:szCs w:val="24"/>
          <w:highlight w:val="none"/>
        </w:rPr>
        <w:t xml:space="preserve">万元（</w:t>
      </w:r>
      <w:r>
        <w:rPr>
          <w:rFonts w:hint="eastAsia" w:ascii="Calibri Light" w:hAnsi="Calibri Light"/>
          <w:color w:val="000000"/>
          <w:sz w:val="24"/>
          <w:szCs w:val="24"/>
          <w:highlight w:val="none"/>
          <w:lang w:eastAsia="zh-CN"/>
        </w:rPr>
        <w:t xml:space="preserve">为本项目年度合同总金额的</w:t>
      </w:r>
      <w:r>
        <w:rPr>
          <w:rFonts w:hint="eastAsia" w:ascii="Calibri Light" w:hAnsi="Calibri Light"/>
          <w:color w:val="000000"/>
          <w:sz w:val="24"/>
          <w:szCs w:val="24"/>
          <w:highlight w:val="none"/>
          <w:lang w:val="en-US" w:eastAsia="zh-CN"/>
        </w:rPr>
        <w:t xml:space="preserve">10%，</w:t>
      </w:r>
      <w:r>
        <w:rPr>
          <w:rFonts w:ascii="Calibri Light" w:hAnsi="Calibri Light"/>
          <w:color w:val="000000"/>
          <w:sz w:val="24"/>
          <w:szCs w:val="24"/>
          <w:highlight w:val="none"/>
        </w:rPr>
        <w:t xml:space="preserve">以</w:t>
      </w:r>
      <w:r>
        <w:rPr>
          <w:rFonts w:hint="eastAsia" w:ascii="Calibri Light" w:hAnsi="Calibri Light"/>
          <w:color w:val="000000"/>
          <w:sz w:val="24"/>
          <w:szCs w:val="24"/>
          <w:highlight w:val="none"/>
          <w:u w:val="single"/>
          <w:lang w:val="en-US" w:eastAsia="zh-CN"/>
        </w:rPr>
        <w:t xml:space="preserve"> </w:t>
      </w:r>
      <w:r>
        <w:rPr>
          <w:rFonts w:ascii="Calibri Light" w:hAnsi="Calibri Light"/>
          <w:color w:val="000000"/>
          <w:sz w:val="24"/>
          <w:szCs w:val="24"/>
          <w:highlight w:val="none"/>
          <w:u w:val="single"/>
        </w:rPr>
        <w:t xml:space="preserve">  </w:t>
      </w:r>
      <w:r>
        <w:rPr>
          <w:rFonts w:hint="eastAsia" w:ascii="Calibri Light" w:hAnsi="Calibri Light"/>
          <w:color w:val="000000"/>
          <w:sz w:val="24"/>
          <w:szCs w:val="24"/>
          <w:highlight w:val="none"/>
          <w:u w:val="single"/>
        </w:rPr>
        <w:t xml:space="preserve"> </w:t>
      </w:r>
      <w:r>
        <w:rPr>
          <w:rFonts w:ascii="Calibri Light" w:hAnsi="Calibri Light"/>
          <w:color w:val="000000"/>
          <w:sz w:val="24"/>
          <w:szCs w:val="24"/>
          <w:highlight w:val="none"/>
          <w:u w:val="single"/>
        </w:rPr>
        <w:t xml:space="preserve">    </w:t>
      </w:r>
      <w:r>
        <w:rPr>
          <w:rFonts w:hint="eastAsia" w:ascii="Calibri Light" w:hAnsi="Calibri Light"/>
          <w:color w:val="000000"/>
          <w:sz w:val="24"/>
          <w:szCs w:val="24"/>
          <w:highlight w:val="none"/>
          <w:u w:val="single"/>
          <w:lang w:val="en-US" w:eastAsia="zh-CN"/>
        </w:rPr>
        <w:t xml:space="preserve"> </w:t>
      </w:r>
      <w:r>
        <w:rPr>
          <w:rFonts w:ascii="Calibri Light" w:hAnsi="Calibri Light"/>
          <w:color w:val="000000"/>
          <w:sz w:val="24"/>
          <w:szCs w:val="24"/>
          <w:highlight w:val="none"/>
        </w:rPr>
        <w:t xml:space="preserve">形式递交），在履约结束经甲方检查服务合格后返还。如</w:t>
      </w:r>
      <w:r>
        <w:rPr>
          <w:rFonts w:hint="eastAsia" w:ascii="Calibri Light" w:hAnsi="Calibri Light"/>
          <w:color w:val="000000"/>
          <w:sz w:val="24"/>
          <w:szCs w:val="24"/>
          <w:highlight w:val="none"/>
          <w:lang w:eastAsia="zh-CN"/>
        </w:rPr>
        <w:t xml:space="preserve">乙方</w:t>
      </w:r>
      <w:r>
        <w:rPr>
          <w:rFonts w:ascii="Calibri Light" w:hAnsi="Calibri Light"/>
          <w:color w:val="000000"/>
          <w:sz w:val="24"/>
          <w:szCs w:val="24"/>
          <w:highlight w:val="none"/>
        </w:rPr>
        <w:t xml:space="preserve">达不到本合同约定的服务标准，履约保证金不予退还，同时必须在规定期限内整改到位。如经整改仍不符合约定的服务标准或未在规定期限内整改的，甲方还有权解除合同。</w:t>
      </w:r>
      <w:r>
        <w:rPr>
          <w:rFonts w:ascii="Calibri Light" w:hAnsi="Calibri Light"/>
          <w:color w:val="000000"/>
          <w:sz w:val="24"/>
          <w:highlight w:val="none"/>
        </w:rPr>
      </w:r>
      <w:r/>
    </w:p>
    <w:p>
      <w:pPr>
        <w:pStyle w:val="1004"/>
        <w:ind w:firstLine="480"/>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2.</w:t>
      </w:r>
      <w:r>
        <w:rPr>
          <w:rFonts w:ascii="Calibri Light" w:hAnsi="Calibri Light"/>
          <w:color w:val="000000"/>
          <w:sz w:val="24"/>
          <w:szCs w:val="24"/>
          <w:highlight w:val="none"/>
        </w:rPr>
        <w:t xml:space="preserve">如乙方未能履行合同规定的义务，甲方有权从履约保证金中取得补偿。</w:t>
      </w:r>
      <w:r>
        <w:rPr>
          <w:rFonts w:ascii="Calibri Light" w:hAnsi="Calibri Light"/>
          <w:color w:val="000000"/>
          <w:sz w:val="24"/>
          <w:highlight w:val="none"/>
        </w:rPr>
      </w:r>
      <w:r/>
    </w:p>
    <w:p>
      <w:pPr>
        <w:pStyle w:val="1004"/>
        <w:ind w:firstLine="480"/>
        <w:jc w:val="left"/>
        <w:spacing w:line="460" w:lineRule="exact"/>
        <w:rPr>
          <w:rFonts w:ascii="Calibri Light" w:hAnsi="Calibri Light"/>
          <w:color w:val="000000"/>
          <w:sz w:val="24"/>
          <w:highlight w:val="none"/>
        </w:rPr>
        <w:outlineLvl w:val="0"/>
      </w:pPr>
      <w:r>
        <w:rPr>
          <w:rFonts w:hint="eastAsia" w:ascii="Calibri Light" w:hAnsi="Calibri Light"/>
          <w:color w:val="000000"/>
          <w:sz w:val="24"/>
          <w:szCs w:val="24"/>
          <w:highlight w:val="none"/>
        </w:rPr>
        <w:t xml:space="preserve">3.</w:t>
      </w:r>
      <w:r>
        <w:rPr>
          <w:rFonts w:ascii="Calibri Light" w:hAnsi="Calibri Light"/>
          <w:color w:val="000000"/>
          <w:sz w:val="24"/>
          <w:szCs w:val="24"/>
          <w:highlight w:val="none"/>
        </w:rPr>
        <w:t xml:space="preserve">履约保证金扣除甲方应得的补偿后的余额在服务期满后退还给乙方。</w:t>
      </w:r>
      <w:r>
        <w:rPr>
          <w:rFonts w:ascii="Calibri Light" w:hAnsi="Calibri Light"/>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六、甲方的权利和义务</w:t>
      </w:r>
      <w:r>
        <w:rPr>
          <w:rFonts w:ascii="Calibri Light" w:hAnsi="Calibri Light"/>
          <w:b/>
          <w:bCs/>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参与对乙方履约验收的权利，并对服务及理赔情况进行监督；</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遵守采购的各项法律、法规和规章制度；</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接受和配合采购监督管理部门的监督检查，同时还要接受和配合审计机关的审计监督以及监察机关的监察；</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妥善保存反映每项采购活动的采购文件；</w:t>
      </w:r>
      <w:r>
        <w:rPr>
          <w:rFonts w:hint="eastAsia" w:ascii="宋体" w:hAnsi="宋体" w:cs="宋体"/>
          <w:color w:val="000000"/>
          <w:sz w:val="24"/>
          <w:highlight w:val="none"/>
        </w:rPr>
      </w:r>
      <w:r/>
    </w:p>
    <w:p>
      <w:pPr>
        <w:pStyle w:val="1004"/>
        <w:numPr>
          <w:ilvl w:val="0"/>
          <w:numId w:val="7"/>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其他合法权利和义务。</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七、乙方的权利和义务</w:t>
      </w:r>
      <w:r>
        <w:rPr>
          <w:rFonts w:ascii="Calibri Light" w:hAnsi="Calibri Light"/>
          <w:b/>
          <w:bCs/>
          <w:color w:val="000000"/>
          <w:sz w:val="24"/>
          <w:highlight w:val="none"/>
        </w:rPr>
      </w:r>
      <w:r/>
    </w:p>
    <w:p>
      <w:pPr>
        <w:pStyle w:val="1004"/>
        <w:ind w:firstLine="240"/>
        <w:spacing w:line="460" w:lineRule="exact"/>
        <w:rPr>
          <w:rFonts w:hint="eastAsia" w:ascii="宋体" w:hAnsi="宋体" w:cs="宋体"/>
          <w:color w:val="000000"/>
          <w:sz w:val="24"/>
          <w:highlight w:val="none"/>
          <w:lang w:eastAsia="en-US"/>
        </w:rPr>
      </w:pPr>
      <w:r>
        <w:rPr>
          <w:rFonts w:eastAsia="Times New Roman"/>
          <w:color w:val="000000"/>
          <w:sz w:val="24"/>
          <w:szCs w:val="24"/>
          <w:highlight w:val="none"/>
        </w:rPr>
        <w:t xml:space="preserve">   </w:t>
      </w:r>
      <w:r>
        <w:rPr>
          <w:rFonts w:ascii="宋体" w:hAnsi="宋体" w:cs="宋体"/>
          <w:color w:val="000000"/>
          <w:sz w:val="24"/>
          <w:szCs w:val="24"/>
          <w:highlight w:val="none"/>
          <w:lang w:eastAsia="en-US"/>
        </w:rPr>
        <w:t xml:space="preserve">1</w:t>
      </w:r>
      <w:r>
        <w:rPr>
          <w:rFonts w:hint="eastAsia" w:ascii="宋体" w:hAnsi="宋体" w:cs="宋体"/>
          <w:color w:val="000000"/>
          <w:sz w:val="24"/>
          <w:szCs w:val="24"/>
          <w:highlight w:val="none"/>
          <w:lang w:eastAsia="en-US"/>
        </w:rPr>
        <w:t xml:space="preserve">．乙方须组建专业电梯服务团队，为本项目进行专项服务，做好</w:t>
      </w:r>
      <w:r>
        <w:rPr>
          <w:rFonts w:hint="eastAsia" w:ascii="宋体" w:hAnsi="宋体" w:cs="宋体"/>
          <w:color w:val="000000"/>
          <w:sz w:val="24"/>
          <w:szCs w:val="24"/>
          <w:highlight w:val="none"/>
          <w:lang w:eastAsia="zh-CN"/>
        </w:rPr>
        <w:t xml:space="preserve">电梯综合</w:t>
      </w:r>
      <w:r>
        <w:rPr>
          <w:rFonts w:hint="eastAsia" w:ascii="宋体" w:hAnsi="宋体" w:cs="宋体"/>
          <w:color w:val="000000"/>
          <w:sz w:val="24"/>
          <w:szCs w:val="24"/>
          <w:highlight w:val="none"/>
          <w:lang w:eastAsia="en-US"/>
        </w:rPr>
        <w:t xml:space="preserve">保险相关</w:t>
      </w:r>
      <w:r>
        <w:rPr>
          <w:rFonts w:hint="eastAsia" w:ascii="宋体" w:hAnsi="宋体" w:cs="宋体"/>
          <w:color w:val="000000"/>
          <w:sz w:val="24"/>
          <w:szCs w:val="24"/>
          <w:highlight w:val="none"/>
          <w:lang w:eastAsia="zh-CN"/>
        </w:rPr>
        <w:t xml:space="preserve">保障</w:t>
      </w:r>
      <w:r>
        <w:rPr>
          <w:rFonts w:hint="eastAsia" w:ascii="宋体" w:hAnsi="宋体" w:cs="宋体"/>
          <w:color w:val="000000"/>
          <w:sz w:val="24"/>
          <w:szCs w:val="24"/>
          <w:highlight w:val="none"/>
          <w:lang w:eastAsia="en-US"/>
        </w:rPr>
        <w:t xml:space="preserve">服务工作。</w:t>
      </w:r>
      <w:r>
        <w:rPr>
          <w:rFonts w:hint="eastAsia" w:ascii="宋体" w:hAnsi="宋体" w:cs="宋体"/>
          <w:color w:val="000000"/>
          <w:sz w:val="24"/>
          <w:highlight w:val="none"/>
          <w:lang w:eastAsia="en-US"/>
        </w:rPr>
      </w:r>
      <w:r/>
    </w:p>
    <w:p>
      <w:pPr>
        <w:pStyle w:val="1004"/>
        <w:ind w:firstLine="24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lang w:eastAsia="en-US"/>
        </w:rPr>
        <w:t xml:space="preserve"> </w:t>
      </w:r>
      <w:r>
        <w:rPr>
          <w:rFonts w:ascii="宋体" w:hAnsi="宋体" w:cs="宋体"/>
          <w:color w:val="000000"/>
          <w:sz w:val="24"/>
          <w:szCs w:val="24"/>
          <w:highlight w:val="none"/>
          <w:lang w:eastAsia="en-US"/>
        </w:rPr>
        <w:t xml:space="preserve"> 2</w:t>
      </w:r>
      <w:r>
        <w:rPr>
          <w:rFonts w:hint="eastAsia" w:ascii="宋体" w:hAnsi="宋体" w:cs="宋体"/>
          <w:color w:val="000000"/>
          <w:sz w:val="24"/>
          <w:szCs w:val="24"/>
          <w:highlight w:val="none"/>
        </w:rPr>
        <w:t xml:space="preserve">．乙方须对甲方（若甲方需要）、电梯服务机构相关人员进行物联网监控设备培训。</w:t>
      </w:r>
      <w:r>
        <w:rPr>
          <w:rFonts w:hint="eastAsia" w:ascii="宋体" w:hAnsi="宋体" w:cs="宋体"/>
          <w:color w:val="000000"/>
          <w:sz w:val="24"/>
          <w:highlight w:val="none"/>
        </w:rPr>
      </w:r>
      <w:r/>
    </w:p>
    <w:p>
      <w:pPr>
        <w:pStyle w:val="1004"/>
        <w:ind w:firstLine="240"/>
        <w:spacing w:line="460" w:lineRule="exact"/>
        <w:rPr>
          <w:rFonts w:hint="eastAsia" w:ascii="宋体" w:hAnsi="宋体" w:cs="宋体"/>
          <w:color w:val="000000"/>
          <w:sz w:val="24"/>
          <w:highlight w:val="none"/>
          <w:lang w:eastAsia="en-US"/>
        </w:rPr>
      </w:pPr>
      <w:r>
        <w:rPr>
          <w:rFonts w:hint="eastAsia" w:ascii="宋体" w:hAnsi="宋体" w:cs="宋体"/>
          <w:color w:val="000000"/>
          <w:sz w:val="24"/>
          <w:szCs w:val="24"/>
          <w:highlight w:val="none"/>
          <w:lang w:eastAsia="en-US"/>
        </w:rPr>
        <w:t xml:space="preserve"> </w:t>
      </w:r>
      <w:r>
        <w:rPr>
          <w:rFonts w:ascii="宋体" w:hAnsi="宋体" w:cs="宋体"/>
          <w:color w:val="000000"/>
          <w:sz w:val="24"/>
          <w:szCs w:val="24"/>
          <w:highlight w:val="none"/>
          <w:lang w:eastAsia="en-US"/>
        </w:rPr>
        <w:t xml:space="preserve"> 3</w:t>
      </w:r>
      <w:r>
        <w:rPr>
          <w:rFonts w:hint="eastAsia" w:ascii="宋体" w:hAnsi="宋体" w:cs="宋体"/>
          <w:color w:val="000000"/>
          <w:sz w:val="24"/>
          <w:szCs w:val="24"/>
          <w:highlight w:val="none"/>
          <w:lang w:eastAsia="en-US"/>
        </w:rPr>
        <w:t xml:space="preserve">．乙方为甲方</w:t>
      </w:r>
      <w:r>
        <w:rPr>
          <w:rFonts w:hint="eastAsia" w:ascii="宋体" w:hAnsi="宋体" w:cs="宋体"/>
          <w:color w:val="000000"/>
          <w:sz w:val="24"/>
          <w:szCs w:val="24"/>
          <w:highlight w:val="none"/>
          <w:lang w:eastAsia="zh-CN"/>
        </w:rPr>
        <w:t xml:space="preserve">搭建</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使用</w:t>
      </w:r>
      <w:r>
        <w:rPr>
          <w:rFonts w:hint="eastAsia" w:ascii="宋体" w:hAnsi="宋体" w:cs="宋体"/>
          <w:color w:val="000000"/>
          <w:sz w:val="24"/>
          <w:szCs w:val="24"/>
          <w:highlight w:val="none"/>
          <w:lang w:eastAsia="en-US"/>
        </w:rPr>
        <w:t xml:space="preserve">电梯风险管理平台，通过专业技术团队，对甲方电梯运行情况进行安全监控、数据分析、风险预警。</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lang w:eastAsia="en-US"/>
        </w:rPr>
        <w:t xml:space="preserve">4</w:t>
      </w:r>
      <w:r>
        <w:rPr>
          <w:rFonts w:hint="eastAsia" w:ascii="宋体" w:hAnsi="宋体" w:cs="宋体"/>
          <w:color w:val="000000"/>
          <w:sz w:val="24"/>
          <w:szCs w:val="24"/>
          <w:highlight w:val="none"/>
        </w:rPr>
        <w:t xml:space="preserve">．乙方对电梯服务机构的服务工作进行监督。乙方通过专业电梯服务团队、物联网设备监督电梯服务机构对电梯的安全检查工作，通过安全检查评分表对服务工作进行评分，确保服务人员对每台电梯服务规范到位，防止电梯安全检查过程弄虚作假、偷工减料。</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．乙方对电梯服务机构维修工作进行监督。</w:t>
      </w:r>
      <w:r>
        <w:rPr>
          <w:rFonts w:hint="eastAsia" w:ascii="宋体" w:hAnsi="宋体" w:cs="宋体"/>
          <w:color w:val="000000"/>
          <w:sz w:val="24"/>
          <w:szCs w:val="24"/>
          <w:highlight w:val="none"/>
          <w:lang w:eastAsia="en-US"/>
        </w:rPr>
        <w:t xml:space="preserve">在电梯发生故障需要维修时，按照保险合同约定，乙方应第一时间响应，督促电梯</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en-US"/>
        </w:rPr>
        <w:t xml:space="preserve">及时对故障电梯进行维修。如电梯配件损坏需要更换时，乙方须对</w:t>
      </w:r>
      <w:r>
        <w:rPr>
          <w:rFonts w:hint="eastAsia" w:ascii="宋体" w:hAnsi="宋体" w:cs="宋体"/>
          <w:color w:val="000000"/>
          <w:sz w:val="24"/>
          <w:szCs w:val="24"/>
          <w:highlight w:val="none"/>
        </w:rPr>
        <w:t xml:space="preserve">电梯服务机构</w:t>
      </w:r>
      <w:r>
        <w:rPr>
          <w:rFonts w:hint="eastAsia" w:ascii="宋体" w:hAnsi="宋体" w:cs="宋体"/>
          <w:color w:val="000000"/>
          <w:sz w:val="24"/>
          <w:szCs w:val="24"/>
          <w:highlight w:val="none"/>
          <w:lang w:eastAsia="en-US"/>
        </w:rPr>
        <w:t xml:space="preserve">提供的配件进行严格审核，严禁以次充好，确保配件合格合规，功能匹配。并及时赔付维修费用，保障电梯尽快恢复安全正常运行。</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lang w:eastAsia="en-US"/>
        </w:rPr>
        <w:t xml:space="preserve">6</w:t>
      </w:r>
      <w:r>
        <w:rPr>
          <w:rFonts w:hint="eastAsia" w:ascii="宋体" w:hAnsi="宋体" w:cs="宋体"/>
          <w:color w:val="000000"/>
          <w:sz w:val="24"/>
          <w:szCs w:val="24"/>
          <w:highlight w:val="none"/>
          <w:lang w:eastAsia="en-US"/>
        </w:rPr>
        <w:t xml:space="preserve">.乙方有义务提供</w:t>
      </w:r>
      <w:r>
        <w:rPr>
          <w:rFonts w:hint="eastAsia" w:ascii="宋体" w:hAnsi="宋体" w:cs="宋体"/>
          <w:color w:val="000000"/>
          <w:sz w:val="24"/>
          <w:szCs w:val="24"/>
          <w:highlight w:val="none"/>
        </w:rPr>
        <w:t xml:space="preserve">出险告知服务，对于电梯因故障需要维修的，承诺做好出险告知服务，同时定期对电梯承保后的维修、服务情况予以公示，以充分保障</w:t>
      </w:r>
      <w:r>
        <w:rPr>
          <w:rFonts w:hint="eastAsia" w:ascii="宋体" w:hAnsi="宋体" w:cs="宋体"/>
          <w:color w:val="000000"/>
          <w:sz w:val="24"/>
          <w:szCs w:val="24"/>
          <w:highlight w:val="none"/>
          <w:lang w:eastAsia="en-US"/>
        </w:rPr>
        <w:t xml:space="preserve">甲方</w:t>
      </w:r>
      <w:r>
        <w:rPr>
          <w:rFonts w:hint="eastAsia" w:ascii="宋体" w:hAnsi="宋体" w:cs="宋体"/>
          <w:color w:val="000000"/>
          <w:sz w:val="24"/>
          <w:szCs w:val="24"/>
          <w:highlight w:val="none"/>
        </w:rPr>
        <w:t xml:space="preserve">知情权，方便</w:t>
      </w:r>
      <w:r>
        <w:rPr>
          <w:rFonts w:hint="eastAsia" w:ascii="宋体" w:hAnsi="宋体" w:cs="宋体"/>
          <w:color w:val="000000"/>
          <w:sz w:val="24"/>
          <w:szCs w:val="24"/>
          <w:highlight w:val="none"/>
          <w:lang w:eastAsia="en-US"/>
        </w:rPr>
        <w:t xml:space="preserve">甲方</w:t>
      </w:r>
      <w:r>
        <w:rPr>
          <w:rFonts w:hint="eastAsia" w:ascii="宋体" w:hAnsi="宋体" w:cs="宋体"/>
          <w:color w:val="000000"/>
          <w:sz w:val="24"/>
          <w:szCs w:val="24"/>
          <w:highlight w:val="none"/>
        </w:rPr>
        <w:t xml:space="preserve">监督。</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乙方应对被保险人信息予以严格保密。除了根据法律法规应予披露的情况以外，乙方未经甲方书面许可，不得向其他任何社会组织或个人泄露与被保险人有关的资料和信息，否则将依法承担一切责任。</w:t>
      </w:r>
      <w:r>
        <w:rPr>
          <w:rFonts w:hint="eastAsia" w:ascii="宋体" w:hAnsi="宋体" w:cs="宋体"/>
          <w:color w:val="000000"/>
          <w:sz w:val="24"/>
          <w:highlight w:val="none"/>
          <w:lang w:eastAsia="en-US"/>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乙方在合同履约过程中，不得有弄虚作假、徇私舞弊等行为发生，否则将按照有关法律法规依法追究法律责任。</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lang w:eastAsia="en-US"/>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lang w:eastAsia="en-US"/>
        </w:rPr>
        <w:t xml:space="preserve">.其他合法权利和义务。</w:t>
      </w:r>
      <w:r>
        <w:rPr>
          <w:rFonts w:hint="eastAsia" w:ascii="宋体" w:hAnsi="宋体" w:cs="宋体"/>
          <w:color w:val="000000"/>
          <w:sz w:val="24"/>
          <w:highlight w:val="none"/>
          <w:lang w:eastAsia="en-US"/>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八、损害赔偿</w:t>
      </w:r>
      <w:r>
        <w:rPr>
          <w:rFonts w:ascii="Calibri Light" w:hAnsi="Calibri Light"/>
          <w:b/>
          <w:bCs/>
          <w:color w:val="000000"/>
          <w:sz w:val="24"/>
          <w:highlight w:val="none"/>
        </w:rPr>
      </w:r>
      <w:r/>
    </w:p>
    <w:p>
      <w:pPr>
        <w:pStyle w:val="1004"/>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在服务期限内，任何一方故意或者过失给另一方或其员工、第三方造成人身或者财产损害的，则其应当赔偿另一方或其员工、第三方的损失。该等损失包括人身、财产损失及采取救济措施支付的合理费用（如诉讼费、仲裁费、差旅费、评估费、鉴定费、律师代理费等）。</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九、保密</w:t>
      </w:r>
      <w:r>
        <w:rPr>
          <w:rFonts w:ascii="Calibri Light" w:hAnsi="Calibri Light"/>
          <w:b/>
          <w:bCs/>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乙方必须采取措施对本项目实施过程中的技术资料保密，否则，由于乙方过错导致的上述资料泄密的，乙方必须承担一切责任。项目完成后，甲、乙双方均有责任对本项目的技术保密承担責任。</w:t>
      </w:r>
      <w:r>
        <w:rPr>
          <w:rFonts w:hint="eastAsia" w:ascii="宋体" w:hAnsi="宋体" w:cs="宋体"/>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未经甲方事先书面同意，乙方不得将由甲方为本合同提供的技术资料提供给与本合同无关的任何第三方，不得将其用于履行本合同之外的其它用途。即使向与履行本合同有关的人员提供，也应注意保密并限于履行合同所必需的范围。</w:t>
      </w:r>
      <w:r>
        <w:rPr>
          <w:rFonts w:hint="eastAsia" w:ascii="宋体" w:hAnsi="宋体" w:cs="宋体"/>
          <w:color w:val="000000"/>
          <w:sz w:val="24"/>
          <w:highlight w:val="none"/>
        </w:rPr>
      </w:r>
      <w:r/>
    </w:p>
    <w:p>
      <w:pPr>
        <w:pStyle w:val="1004"/>
        <w:numPr>
          <w:ilvl w:val="0"/>
          <w:numId w:val="8"/>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如果甲方有要求，乙方在完成合同后应将有关资料还给甲方。</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宋体" w:hAnsi="宋体"/>
          <w:b/>
          <w:bCs/>
          <w:color w:val="000000"/>
          <w:sz w:val="24"/>
          <w:szCs w:val="24"/>
          <w:highlight w:val="none"/>
        </w:rPr>
        <w:t xml:space="preserve">十、消费者权益保</w:t>
      </w:r>
      <w:r>
        <w:rPr>
          <w:rFonts w:hint="eastAsia" w:ascii="Calibri Light" w:hAnsi="Calibri Light"/>
          <w:b/>
          <w:bCs/>
          <w:color w:val="000000"/>
          <w:sz w:val="24"/>
          <w:szCs w:val="24"/>
          <w:highlight w:val="none"/>
        </w:rPr>
        <w:t xml:space="preserve">护条款</w:t>
      </w:r>
      <w:r>
        <w:rPr>
          <w:rFonts w:ascii="Calibri Light" w:hAnsi="Calibri Light"/>
          <w:b/>
          <w:bCs/>
          <w:color w:val="000000"/>
          <w:sz w:val="24"/>
          <w:highlight w:val="none"/>
        </w:rPr>
      </w:r>
      <w:r/>
    </w:p>
    <w:p>
      <w:pPr>
        <w:pStyle w:val="1004"/>
        <w:ind w:firstLine="480"/>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1．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rPr>
          <w:rFonts w:hint="eastAsia" w:ascii="宋体" w:hAnsi="宋体" w:cs="宋体"/>
          <w:color w:val="000000"/>
          <w:sz w:val="24"/>
          <w:highlight w:val="none"/>
        </w:rPr>
      </w:r>
      <w:r/>
    </w:p>
    <w:p>
      <w:pPr>
        <w:pStyle w:val="1004"/>
        <w:ind w:firstLine="468"/>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rPr>
          <w:rFonts w:hint="eastAsia" w:ascii="宋体" w:hAnsi="宋体" w:cs="宋体"/>
          <w:color w:val="000000"/>
          <w:sz w:val="24"/>
          <w:highlight w:val="none"/>
        </w:rPr>
      </w:r>
      <w:r/>
    </w:p>
    <w:p>
      <w:pPr>
        <w:pStyle w:val="1004"/>
        <w:ind w:firstLine="482"/>
        <w:jc w:val="left"/>
        <w:spacing w:line="460" w:lineRule="exact"/>
        <w:rPr>
          <w:rFonts w:hint="eastAsia" w:ascii="宋体" w:hAnsi="宋体"/>
          <w:b/>
          <w:bCs/>
          <w:color w:val="000000"/>
          <w:sz w:val="24"/>
          <w:highlight w:val="none"/>
        </w:rPr>
        <w:outlineLvl w:val="0"/>
      </w:pPr>
      <w:r>
        <w:rPr>
          <w:rFonts w:hint="eastAsia" w:ascii="宋体" w:hAnsi="宋体"/>
          <w:b/>
          <w:bCs/>
          <w:color w:val="000000"/>
          <w:sz w:val="24"/>
          <w:szCs w:val="24"/>
          <w:highlight w:val="none"/>
        </w:rPr>
        <w:t xml:space="preserve">十一、客户信息保护条款</w:t>
      </w:r>
      <w:r>
        <w:rPr>
          <w:rFonts w:hint="eastAsia" w:ascii="宋体" w:hAnsi="宋体"/>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1.收集、使用及处理客户个人信息必须是依据法定义务或履行本协议所必要的行为，并在履行本协议必要范围内收集客户信息。未经客户授权同意，不得将客户个人信息公开披露，不得转移、出售给第三方。</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3.涉及客户敏感信息处理的，应具有特定的目的和充分的必要性，取得客户的单独同意，符合个人信息保护相关法律法规规定和管理要求。</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4.乙方应对客户个人信息严格保密，采取技术措施和其他必要措施，确保客户信息安全。若乙方发生或者可能发生客户个人信息泄露、篡改、丢失的，应当立即采取补救措施，并同步通知甲方，减轻对客户及甲方的危害。</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十二、违约责任</w:t>
      </w:r>
      <w:r>
        <w:rPr>
          <w:rFonts w:ascii="Calibri Light" w:hAnsi="Calibri Light"/>
          <w:b/>
          <w:bCs/>
          <w:color w:val="000000"/>
          <w:sz w:val="24"/>
          <w:highlight w:val="none"/>
        </w:rPr>
      </w:r>
      <w:r/>
    </w:p>
    <w:p>
      <w:pPr>
        <w:pStyle w:val="1004"/>
        <w:numPr>
          <w:ilvl w:val="0"/>
          <w:numId w:val="9"/>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合同一方不履行合同义务或者履行合同义务不符合约定的，应当承担继续履行、釆取补救措施或赔偿损失等违约责任。</w:t>
      </w:r>
      <w:r>
        <w:rPr>
          <w:rFonts w:hint="eastAsia" w:ascii="宋体" w:hAnsi="宋体" w:cs="宋体"/>
          <w:color w:val="000000"/>
          <w:sz w:val="24"/>
          <w:highlight w:val="none"/>
        </w:rPr>
      </w:r>
      <w:r/>
    </w:p>
    <w:p>
      <w:pPr>
        <w:pStyle w:val="1004"/>
        <w:numPr>
          <w:ilvl w:val="0"/>
          <w:numId w:val="9"/>
        </w:numPr>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如乙方不能按约定进行服务的，乙方违反约定的，甲方有权要求乙方按照合同总价1%的标准支付违约金。</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十三、不可抗力</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.因不可抗力致使不能履行合同的(包括导致延期履行</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，根据不可抗力的影响，免除相应的责任，但在一方迟延履行期间发生不可抗力的除外。</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.本合同所称不可抗力指不可预见、不能避免并不能克服的客观情况，不可抗力包括战争、地震、动乱、空中飞行物体坠落或其他非合同双方责任造成的爆炸、火灾。</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.因发生不可抗力影响合同履行的，遭受不可抗力的一方须及时通知对方，并在不可抗力结束后合理期限内向对方提交发生不可抗力的充分有效的证明，否则，不能免除相应责任。</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十四、合同修改</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rPr>
          <w:rFonts w:hint="eastAsia" w:ascii="宋体" w:hAnsi="宋体" w:cs="宋体"/>
          <w:color w:val="000000"/>
          <w:sz w:val="24"/>
          <w:highlight w:val="none"/>
        </w:rPr>
      </w:r>
      <w:r/>
    </w:p>
    <w:p>
      <w:pPr>
        <w:pStyle w:val="1004"/>
        <w:ind w:firstLine="482"/>
        <w:jc w:val="left"/>
        <w:spacing w:line="460" w:lineRule="exact"/>
        <w:rPr>
          <w:rFonts w:ascii="Calibri Light" w:hAnsi="Calibri Light"/>
          <w:b/>
          <w:bCs/>
          <w:color w:val="000000"/>
          <w:sz w:val="24"/>
          <w:highlight w:val="none"/>
        </w:rPr>
        <w:outlineLvl w:val="0"/>
      </w:pPr>
      <w:r>
        <w:rPr>
          <w:rFonts w:hint="eastAsia" w:ascii="Calibri Light" w:hAnsi="Calibri Light"/>
          <w:b/>
          <w:bCs/>
          <w:color w:val="000000"/>
          <w:sz w:val="24"/>
          <w:szCs w:val="24"/>
          <w:highlight w:val="none"/>
        </w:rPr>
        <w:t xml:space="preserve">十五、合同生效及其它</w:t>
      </w:r>
      <w:r>
        <w:rPr>
          <w:rFonts w:ascii="Calibri Light" w:hAnsi="Calibri Light"/>
          <w:b/>
          <w:bCs/>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甲乙双方代表签字并加盖公章(或合同章)后生效。</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合同在执行过程中出现的未尽事宜，双方在不违背本合同和招标文件的原则下协商解决，协商结果以书面形式盖章记录在案，作为本合同的附件，与本合同具有同等效力，但需提交招标代理机构一份备存。</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本合同壹式</w:t>
      </w:r>
      <w:r>
        <w:rPr>
          <w:rFonts w:hint="eastAsia" w:ascii="宋体" w:hAnsi="宋体" w:cs="宋体"/>
          <w:color w:val="000000"/>
          <w:sz w:val="24"/>
          <w:szCs w:val="24"/>
          <w:highlight w:val="none"/>
          <w:lang w:val="en-US" w:eastAsia="zh-CN"/>
        </w:rPr>
        <w:t xml:space="preserve">伍</w:t>
      </w:r>
      <w:r>
        <w:rPr>
          <w:rFonts w:hint="eastAsia" w:ascii="宋体" w:hAnsi="宋体" w:cs="宋体"/>
          <w:color w:val="000000"/>
          <w:sz w:val="24"/>
          <w:szCs w:val="24"/>
          <w:highlight w:val="none"/>
        </w:rPr>
        <w:t xml:space="preserve">份，甲方执</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份，乙方执</w:t>
      </w:r>
      <w:r>
        <w:rPr>
          <w:rFonts w:hint="eastAsia" w:ascii="宋体" w:hAnsi="宋体" w:cs="宋体"/>
          <w:color w:val="000000"/>
          <w:sz w:val="24"/>
          <w:szCs w:val="24"/>
          <w:highlight w:val="none"/>
          <w:lang w:val="en-US" w:eastAsia="zh-CN"/>
        </w:rPr>
        <w:t xml:space="preserve">贰</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lang w:eastAsia="zh-CN"/>
        </w:rPr>
        <w:t xml:space="preserve">，通州区公共资源交易中心壹份</w:t>
      </w: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r>
      <w:r/>
    </w:p>
    <w:p>
      <w:pPr>
        <w:pStyle w:val="100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如发生本合同继续履行将损害国家利益和社会公共利益，甲方有权变更、中止或者终止、解除合同；合同履行过程中出现危害国家利益和社会公共利益问题的，甲方有权立即终止合同。</w:t>
      </w:r>
      <w:r>
        <w:rPr>
          <w:rFonts w:hint="eastAsia" w:ascii="宋体" w:hAnsi="宋体" w:cs="宋体"/>
          <w:color w:val="000000"/>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4"/>
          <w:sz w:val="24"/>
          <w:szCs w:val="24"/>
          <w:highlight w:val="none"/>
        </w:rPr>
      </w:pPr>
      <w:r>
        <w:rPr>
          <w:rFonts w:hint="eastAsia" w:ascii="宋体" w:hAnsi="宋体" w:cs="宋体"/>
          <w:color w:val="000000"/>
          <w:spacing w:val="-4"/>
          <w:sz w:val="24"/>
          <w:szCs w:val="24"/>
          <w:highlight w:val="none"/>
        </w:rPr>
      </w:r>
      <w:r/>
    </w:p>
    <w:p>
      <w:pPr>
        <w:pStyle w:val="1004"/>
        <w:ind w:firstLine="464"/>
        <w:spacing w:line="460" w:lineRule="exact"/>
        <w:rPr>
          <w:rFonts w:hint="eastAsia" w:ascii="宋体" w:hAnsi="宋体" w:cs="宋体"/>
          <w:color w:val="000000"/>
          <w:spacing w:val="3"/>
          <w:sz w:val="24"/>
          <w:highlight w:val="none"/>
        </w:rPr>
      </w:pPr>
      <w:r>
        <w:rPr>
          <w:rFonts w:hint="eastAsia" w:ascii="宋体" w:hAnsi="宋体" w:cs="宋体"/>
          <w:color w:val="000000"/>
          <w:spacing w:val="-4"/>
          <w:sz w:val="24"/>
          <w:szCs w:val="24"/>
          <w:highlight w:val="none"/>
        </w:rPr>
        <w:t xml:space="preserve">甲方</w:t>
      </w:r>
      <w:r>
        <w:rPr>
          <w:rFonts w:hint="eastAsia" w:ascii="宋体" w:hAnsi="宋体" w:cs="宋体"/>
          <w:color w:val="000000"/>
          <w:spacing w:val="-3"/>
          <w:sz w:val="24"/>
          <w:szCs w:val="24"/>
          <w:highlight w:val="none"/>
        </w:rPr>
        <w:t xml:space="preserve">：                                </w:t>
      </w:r>
      <w:r>
        <w:rPr>
          <w:rFonts w:hint="eastAsia" w:ascii="宋体" w:hAnsi="宋体" w:cs="宋体"/>
          <w:color w:val="000000"/>
          <w:spacing w:val="-2"/>
          <w:sz w:val="24"/>
          <w:szCs w:val="24"/>
          <w:highlight w:val="none"/>
        </w:rPr>
        <w:t xml:space="preserve">乙方：                           </w:t>
      </w:r>
      <w:r>
        <w:rPr>
          <w:rFonts w:hint="eastAsia" w:ascii="宋体" w:hAnsi="宋体" w:cs="宋体"/>
          <w:color w:val="000000"/>
          <w:spacing w:val="3"/>
          <w:sz w:val="24"/>
          <w:highlight w:val="none"/>
        </w:rPr>
      </w:r>
      <w:r/>
    </w:p>
    <w:p>
      <w:pPr>
        <w:pStyle w:val="1004"/>
        <w:ind w:firstLine="492"/>
        <w:spacing w:line="460" w:lineRule="exact"/>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r>
      <w:r/>
    </w:p>
    <w:p>
      <w:pPr>
        <w:pStyle w:val="1004"/>
        <w:ind w:firstLine="492"/>
        <w:spacing w:line="460" w:lineRule="exact"/>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r>
      <w:r/>
    </w:p>
    <w:p>
      <w:pPr>
        <w:pStyle w:val="1004"/>
        <w:ind w:firstLine="492"/>
        <w:spacing w:line="460" w:lineRule="exact"/>
        <w:rPr>
          <w:rFonts w:hint="eastAsia" w:ascii="宋体" w:hAnsi="宋体" w:cs="宋体"/>
          <w:color w:val="000000"/>
          <w:spacing w:val="-2"/>
          <w:sz w:val="24"/>
          <w:highlight w:val="none"/>
        </w:rPr>
      </w:pPr>
      <w:r>
        <w:rPr>
          <w:rFonts w:hint="eastAsia" w:ascii="宋体" w:hAnsi="宋体" w:cs="宋体"/>
          <w:color w:val="000000"/>
          <w:spacing w:val="3"/>
          <w:sz w:val="24"/>
          <w:szCs w:val="24"/>
          <w:highlight w:val="none"/>
        </w:rPr>
        <w:t xml:space="preserve">法定代表人或授权人(签名)：         法定代表人或授权人(签名)：</w:t>
      </w:r>
      <w:r>
        <w:rPr>
          <w:rFonts w:hint="eastAsia" w:ascii="宋体" w:hAnsi="宋体" w:cs="宋体"/>
          <w:color w:val="000000"/>
          <w:spacing w:val="-2"/>
          <w:sz w:val="24"/>
          <w:highlight w:val="none"/>
        </w:rPr>
      </w:r>
      <w:r/>
    </w:p>
    <w:p>
      <w:pPr>
        <w:pStyle w:val="1004"/>
        <w:ind w:firstLine="472"/>
        <w:spacing w:line="460" w:lineRule="exact"/>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004"/>
        <w:ind w:firstLine="472"/>
        <w:spacing w:line="460" w:lineRule="exact"/>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p>
      <w:pPr>
        <w:pStyle w:val="1004"/>
        <w:ind w:firstLine="472"/>
        <w:spacing w:line="460" w:lineRule="exact"/>
      </w:pPr>
      <w:r>
        <w:rPr>
          <w:rFonts w:hint="eastAsia" w:ascii="宋体" w:hAnsi="宋体" w:cs="宋体"/>
          <w:color w:val="000000"/>
          <w:spacing w:val="-2"/>
          <w:sz w:val="24"/>
          <w:szCs w:val="24"/>
          <w:highlight w:val="none"/>
        </w:rPr>
        <w:t xml:space="preserve">时间：    年  月  日                 时间：   年  月  日</w:t>
      </w:r>
      <w:r/>
    </w:p>
    <w:p>
      <w:pPr>
        <w:pStyle w:val="1323"/>
        <w:ind w:firstLine="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323"/>
        <w:ind w:firstLine="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323"/>
        <w:ind w:firstLine="0"/>
        <w:spacing w:line="440" w:lineRule="exact"/>
        <w:rPr>
          <w:rFonts w:hint="eastAsia" w:ascii="宋体" w:hAnsi="宋体" w:eastAsia="宋体" w:cs="宋体"/>
          <w:b/>
          <w:color w:val="000000"/>
          <w:spacing w:val="20"/>
          <w:sz w:val="35"/>
          <w:highlight w:val="none"/>
          <w:lang w:eastAsia="zh-CN"/>
        </w:rPr>
      </w:pPr>
      <w:r>
        <w:rPr>
          <w:rFonts w:hint="eastAsia" w:ascii="宋体" w:hAnsi="宋体" w:cs="宋体"/>
          <w:color w:val="000000"/>
          <w:highlight w:val="none"/>
        </w:rPr>
        <w:t xml:space="preserve">注：业主对合同有最终修改权</w:t>
      </w:r>
      <w:r>
        <w:rPr>
          <w:rFonts w:hint="eastAsia" w:ascii="宋体" w:hAnsi="宋体" w:cs="宋体"/>
          <w:color w:val="000000"/>
          <w:highlight w:val="none"/>
          <w:lang w:eastAsia="zh-CN"/>
        </w:rPr>
        <w:t xml:space="preserve">力</w:t>
      </w:r>
      <w:r>
        <w:rPr>
          <w:rFonts w:hint="eastAsia" w:ascii="宋体" w:hAnsi="宋体" w:eastAsia="宋体" w:cs="宋体"/>
          <w:b/>
          <w:color w:val="000000"/>
          <w:spacing w:val="20"/>
          <w:sz w:val="35"/>
          <w:highlight w:val="none"/>
          <w:lang w:eastAsia="zh-CN"/>
        </w:rPr>
      </w:r>
      <w:r/>
    </w:p>
    <w:p>
      <w:pPr>
        <w:pStyle w:val="1004"/>
        <w:numPr>
          <w:ilvl w:val="0"/>
          <w:numId w:val="0"/>
        </w:numPr>
        <w:ind w:firstLine="3080"/>
        <w:jc w:val="both"/>
        <w:keepLines w:val="0"/>
        <w:keepNext w:val="0"/>
        <w:pageBreakBefore w:val="0"/>
        <w:spacing w:line="360" w:lineRule="auto"/>
        <w:widowControl w:val="off"/>
        <w:rPr>
          <w:rFonts w:hint="eastAsia" w:ascii="宋体" w:hAnsi="宋体" w:cs="宋体"/>
          <w:bCs/>
          <w:color w:val="ff0000"/>
          <w:sz w:val="44"/>
          <w:szCs w:val="21"/>
          <w:highlight w:val="none"/>
          <w:lang w:val="en-US" w:eastAsia="zh-CN"/>
        </w:rPr>
      </w:pPr>
      <w:r>
        <w:rPr>
          <w:rFonts w:hint="eastAsia" w:ascii="宋体" w:hAnsi="宋体" w:cs="宋体"/>
          <w:bCs/>
          <w:color w:val="ff0000"/>
          <w:sz w:val="44"/>
          <w:szCs w:val="21"/>
          <w:highlight w:val="none"/>
          <w:lang w:val="en-US" w:eastAsia="zh-CN"/>
        </w:rPr>
      </w:r>
      <w:r/>
    </w:p>
    <w:p>
      <w:pPr>
        <w:pStyle w:val="1004"/>
        <w:numPr>
          <w:ilvl w:val="0"/>
          <w:numId w:val="0"/>
        </w:numPr>
        <w:jc w:val="both"/>
        <w:keepLines w:val="0"/>
        <w:keepNext w:val="0"/>
        <w:pageBreakBefore w:val="0"/>
        <w:spacing w:line="360" w:lineRule="auto"/>
        <w:widowControl w:val="off"/>
        <w:rPr>
          <w:rFonts w:hint="eastAsia" w:ascii="宋体" w:hAnsi="宋体" w:cs="宋体"/>
          <w:bCs/>
          <w:color w:val="ff0000"/>
          <w:sz w:val="44"/>
          <w:szCs w:val="21"/>
          <w:highlight w:val="none"/>
          <w:lang w:val="en-US" w:eastAsia="zh-CN"/>
        </w:rPr>
      </w:pPr>
      <w:r>
        <w:rPr>
          <w:rFonts w:hint="eastAsia" w:ascii="宋体" w:hAnsi="宋体" w:cs="宋体"/>
          <w:bCs/>
          <w:color w:val="ff0000"/>
          <w:sz w:val="44"/>
          <w:szCs w:val="21"/>
          <w:highlight w:val="none"/>
          <w:lang w:val="en-US" w:eastAsia="zh-CN"/>
        </w:rPr>
      </w:r>
      <w:r/>
    </w:p>
    <w:p>
      <w:pPr>
        <w:pStyle w:val="1004"/>
        <w:numPr>
          <w:ilvl w:val="0"/>
          <w:numId w:val="0"/>
        </w:numPr>
        <w:ind w:firstLine="3080"/>
        <w:jc w:val="both"/>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cs="宋体"/>
          <w:bCs/>
          <w:color w:val="000000"/>
          <w:sz w:val="44"/>
          <w:szCs w:val="21"/>
          <w:highlight w:val="none"/>
          <w:lang w:val="en-US" w:eastAsia="zh-CN"/>
        </w:rPr>
        <w:t xml:space="preserve">第四章  </w:t>
      </w: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58"/>
      <w:r/>
      <w:bookmarkEnd w:id="159"/>
      <w:r/>
      <w:bookmarkEnd w:id="160"/>
      <w:r/>
      <w:bookmarkStart w:id="163" w:name="_Toc26554093"/>
      <w:r/>
      <w:bookmarkStart w:id="164" w:name="_Toc49090575"/>
      <w:r>
        <w:rPr>
          <w:rFonts w:hint="eastAsia" w:ascii="宋体" w:hAnsi="宋体" w:eastAsia="宋体" w:cs="宋体"/>
          <w:bCs/>
          <w:color w:val="000000"/>
          <w:sz w:val="44"/>
          <w:szCs w:val="21"/>
          <w:highlight w:val="none"/>
        </w:rPr>
      </w:r>
      <w:r/>
    </w:p>
    <w:p>
      <w:pPr>
        <w:pStyle w:val="1004"/>
        <w:ind w:firstLine="480"/>
        <w:spacing w:line="360" w:lineRule="auto"/>
        <w:rPr>
          <w:rFonts w:hint="eastAsia" w:ascii="宋体" w:hAnsi="宋体" w:eastAsia="宋体" w:cs="宋体"/>
          <w:color w:val="000000"/>
          <w:sz w:val="24"/>
          <w:highlight w:val="none"/>
          <w:lang w:eastAsia="zh-CN"/>
        </w:rPr>
      </w:pPr>
      <w:r/>
      <w:bookmarkStart w:id="165" w:name="_Toc120614281"/>
      <w:r>
        <w:rPr>
          <w:rFonts w:hint="eastAsia" w:ascii="宋体" w:hAnsi="宋体" w:cs="宋体"/>
          <w:color w:val="000000"/>
          <w:sz w:val="24"/>
          <w:highlight w:val="none"/>
          <w:lang w:eastAsia="zh-CN"/>
        </w:rPr>
        <w:t xml:space="preserve">一、需求内容</w:t>
      </w:r>
      <w:r>
        <w:rPr>
          <w:rFonts w:hint="eastAsia" w:ascii="宋体" w:hAnsi="宋体" w:eastAsia="宋体" w:cs="宋体"/>
          <w:color w:val="000000"/>
          <w:sz w:val="24"/>
          <w:highlight w:val="none"/>
          <w:lang w:eastAsia="zh-CN"/>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1、项目背景：因南通市通州区</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镇人民政府管理需要，所管辖</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镇安置</w:t>
      </w:r>
      <w:r>
        <w:rPr>
          <w:rFonts w:hint="eastAsia" w:ascii="宋体" w:hAnsi="宋体" w:cs="宋体"/>
          <w:color w:val="000000"/>
          <w:sz w:val="24"/>
          <w:highlight w:val="none"/>
          <w:lang w:eastAsia="zh-CN"/>
        </w:rPr>
        <w:t xml:space="preserve">房</w:t>
      </w:r>
      <w:r>
        <w:rPr>
          <w:rFonts w:hint="eastAsia" w:ascii="宋体" w:hAnsi="宋体" w:cs="宋体"/>
          <w:color w:val="000000"/>
          <w:sz w:val="24"/>
          <w:highlight w:val="none"/>
        </w:rPr>
        <w:t xml:space="preserve">小区合计</w:t>
      </w:r>
      <w:r>
        <w:rPr>
          <w:rFonts w:hint="eastAsia" w:ascii="宋体" w:hAnsi="宋体" w:cs="宋体"/>
          <w:color w:val="000000"/>
          <w:sz w:val="24"/>
          <w:highlight w:val="none"/>
          <w:lang w:val="en-US" w:eastAsia="zh-CN"/>
        </w:rPr>
        <w:t xml:space="preserve">474</w:t>
      </w:r>
      <w:r>
        <w:rPr>
          <w:rFonts w:hint="eastAsia" w:ascii="宋体" w:hAnsi="宋体" w:cs="宋体"/>
          <w:color w:val="000000"/>
          <w:sz w:val="24"/>
          <w:highlight w:val="none"/>
        </w:rPr>
        <w:t xml:space="preserve">台电梯，部分电梯设备设备较陈旧，为确保电梯各功能运行正常，保障电梯安全，南通市通州区</w:t>
      </w:r>
      <w:r>
        <w:rPr>
          <w:rFonts w:hint="eastAsia" w:ascii="宋体" w:hAnsi="宋体" w:cs="宋体"/>
          <w:color w:val="000000"/>
          <w:sz w:val="24"/>
          <w:highlight w:val="none"/>
          <w:lang w:eastAsia="zh-CN"/>
        </w:rPr>
        <w:t xml:space="preserve">平潮</w:t>
      </w:r>
      <w:r>
        <w:rPr>
          <w:rFonts w:hint="eastAsia" w:ascii="宋体" w:hAnsi="宋体" w:cs="宋体"/>
          <w:color w:val="000000"/>
          <w:sz w:val="24"/>
          <w:highlight w:val="none"/>
        </w:rPr>
        <w:t xml:space="preserve">镇人民政府拟通过推动发展电梯</w:t>
      </w:r>
      <w:r>
        <w:rPr>
          <w:rFonts w:hint="eastAsia" w:ascii="宋体" w:hAnsi="宋体" w:cs="宋体"/>
          <w:color w:val="000000"/>
          <w:sz w:val="24"/>
          <w:highlight w:val="none"/>
          <w:lang w:eastAsia="zh-CN"/>
        </w:rPr>
        <w:t xml:space="preserve">综合</w:t>
      </w:r>
      <w:r>
        <w:rPr>
          <w:rFonts w:hint="eastAsia" w:ascii="宋体" w:hAnsi="宋体" w:cs="宋体"/>
          <w:color w:val="000000"/>
          <w:sz w:val="24"/>
          <w:highlight w:val="none"/>
        </w:rPr>
        <w:t xml:space="preserve">保险,优化发展“保险+服务”新模式,发挥保险的事故赔偿和风险预防作用,促进电梯使用管理和维保水平提升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现选聘第三方服务机构开展电梯“保险+服务”项目工作。</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、项目目标：保证设备安全正常运行；年审</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检验一次性合格。</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、采购内容：本</w:t>
      </w:r>
      <w:r>
        <w:rPr>
          <w:rFonts w:hint="eastAsia" w:ascii="宋体" w:hAnsi="宋体" w:cs="宋体"/>
          <w:color w:val="000000"/>
          <w:sz w:val="24"/>
          <w:highlight w:val="none"/>
          <w:lang w:eastAsia="zh-CN"/>
        </w:rPr>
        <w:t xml:space="preserve">项目拟</w:t>
      </w:r>
      <w:r>
        <w:rPr>
          <w:rFonts w:hint="eastAsia" w:ascii="宋体" w:hAnsi="宋体" w:cs="宋体"/>
          <w:color w:val="000000"/>
          <w:sz w:val="24"/>
          <w:highlight w:val="none"/>
        </w:rPr>
        <w:t xml:space="preserve">采用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保险+服务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的模式 (全包模式)，包括但不限于包含电梯日常维保、维修年检、限速器检测、配件维修更换、物联网电梯运行状态监控，电梯事故善后赔偿等，简称“全包”(招标后政府不再产生任何电梯方面</w:t>
      </w:r>
      <w:r>
        <w:rPr>
          <w:rFonts w:hint="eastAsia" w:ascii="宋体" w:hAnsi="宋体" w:cs="宋体"/>
          <w:color w:val="000000"/>
          <w:sz w:val="24"/>
          <w:highlight w:val="none"/>
          <w:lang w:eastAsia="zh-CN"/>
        </w:rPr>
        <w:t xml:space="preserve">上述</w:t>
      </w:r>
      <w:r>
        <w:rPr>
          <w:rFonts w:hint="eastAsia" w:ascii="宋体" w:hAnsi="宋体" w:cs="宋体"/>
          <w:color w:val="000000"/>
          <w:sz w:val="24"/>
          <w:highlight w:val="none"/>
        </w:rPr>
        <w:t xml:space="preserve">费用)。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、保费：</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限价（人民币）</w:t>
      </w:r>
      <w:r>
        <w:rPr>
          <w:rFonts w:hint="eastAsia" w:ascii="宋体" w:hAnsi="宋体" w:cs="宋体"/>
          <w:color w:val="000000"/>
          <w:sz w:val="24"/>
          <w:highlight w:val="none"/>
          <w:u w:val="single"/>
        </w:rPr>
        <w:t xml:space="preserve">   综合单价</w:t>
      </w:r>
      <w:r>
        <w:rPr>
          <w:rFonts w:hint="eastAsia" w:ascii="宋体" w:hAnsi="宋体" w:cs="宋体"/>
          <w:color w:val="000000"/>
          <w:sz w:val="24"/>
          <w:highlight w:val="none"/>
          <w:u w:val="single"/>
          <w:lang w:val="en-US" w:eastAsia="zh-CN"/>
        </w:rPr>
        <w:t xml:space="preserve"> 4800</w:t>
      </w:r>
      <w:r>
        <w:rPr>
          <w:rFonts w:hint="eastAsia" w:ascii="宋体" w:hAnsi="宋体" w:cs="宋体"/>
          <w:color w:val="000000"/>
          <w:sz w:val="24"/>
          <w:highlight w:val="none"/>
          <w:u w:val="single"/>
        </w:rPr>
        <w:t xml:space="preserve">元/台/年  </w:t>
      </w:r>
      <w:r>
        <w:rPr>
          <w:rFonts w:hint="eastAsia" w:ascii="宋体" w:hAnsi="宋体" w:cs="宋体"/>
          <w:color w:val="000000"/>
          <w:sz w:val="24"/>
          <w:highlight w:val="none"/>
          <w:u w:val="single"/>
        </w:rPr>
      </w:r>
      <w:r/>
    </w:p>
    <w:tbl>
      <w:tblPr>
        <w:tblW w:w="9392" w:type="dxa"/>
        <w:tblInd w:w="-123" w:type="dxa"/>
        <w:tblLayout w:type="fixed"/>
        <w:tblCellMar>
          <w:left w:w="108" w:type="dxa"/>
          <w:top w:w="0" w:type="dxa"/>
          <w:right w:w="108" w:type="dxa"/>
          <w:bottom w:w="0" w:type="dxa"/>
        </w:tblCellMar>
        <w:tblLook w:val="04A0" w:firstRow="1" w:lastRow="0" w:firstColumn="1" w:lastColumn="0" w:noHBand="0" w:noVBand="1"/>
      </w:tblPr>
      <w:tblGrid>
        <w:gridCol w:w="1654"/>
        <w:gridCol w:w="6388"/>
        <w:gridCol w:w="1350"/>
      </w:tblGrid>
      <w:tr>
        <w:trPr>
          <w:trHeight w:val="27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数量(台）</w:t>
            </w:r>
            <w:r>
              <w:rPr>
                <w:rFonts w:hint="eastAsia" w:ascii="宋体" w:hAnsi="宋体" w:cs="宋体"/>
                <w:color w:val="000000"/>
                <w:sz w:val="24"/>
                <w:highlight w:val="none"/>
              </w:rPr>
            </w:r>
            <w:r/>
          </w:p>
        </w:tc>
      </w:tr>
      <w:tr>
        <w:trPr>
          <w:trHeight w:val="1038"/>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r>
        <w:trPr>
          <w:trHeight w:val="495"/>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r>
        <w:trPr>
          <w:trHeight w:val="89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pStyle w:val="1004"/>
              <w:jc w:val="left"/>
              <w:spacing w:line="360" w:lineRule="auto"/>
              <w:widowControl/>
              <w:rPr>
                <w:rFonts w:hint="eastAsia" w:ascii="宋体" w:hAnsi="宋体" w:cs="宋体"/>
                <w:color w:val="000000"/>
                <w:sz w:val="24"/>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1004"/>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04"/>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s="宋体"/>
                <w:color w:val="000000"/>
                <w:sz w:val="24"/>
                <w:highlight w:val="none"/>
                <w:lang w:val="en-US" w:eastAsia="zh-CN"/>
              </w:rPr>
            </w:r>
            <w:r/>
          </w:p>
        </w:tc>
      </w:tr>
    </w:tbl>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（1）每年保费金额以单台电梯保费乘以实际投保数量为准。</w:t>
      </w:r>
      <w:r>
        <w:rPr>
          <w:rFonts w:hint="eastAsia" w:ascii="宋体" w:hAnsi="宋体" w:cs="宋体"/>
          <w:color w:val="000000"/>
          <w:sz w:val="24"/>
          <w:highlight w:val="none"/>
        </w:rPr>
      </w:r>
      <w:r/>
    </w:p>
    <w:p>
      <w:pPr>
        <w:pStyle w:val="1004"/>
        <w:ind w:firstLine="480"/>
        <w:spacing w:line="360" w:lineRule="auto"/>
        <w:rPr>
          <w:rFonts w:hint="eastAsia" w:eastAsia="Times New Roman"/>
          <w:color w:val="000000"/>
          <w:sz w:val="24"/>
          <w:szCs w:val="24"/>
          <w:highlight w:val="none"/>
        </w:rPr>
      </w:pPr>
      <w:r>
        <w:rPr>
          <w:rFonts w:hint="eastAsia" w:ascii="宋体" w:hAnsi="宋体" w:cs="宋体"/>
          <w:color w:val="000000"/>
          <w:sz w:val="24"/>
          <w:highlight w:val="none"/>
        </w:rPr>
        <w:t xml:space="preserve">（2）</w:t>
      </w:r>
      <w:r>
        <w:rPr>
          <w:rFonts w:hint="eastAsia" w:eastAsia="Times New Roman"/>
          <w:color w:val="000000"/>
          <w:sz w:val="24"/>
          <w:szCs w:val="24"/>
          <w:highlight w:val="none"/>
        </w:rPr>
        <w:t xml:space="preserve">支付方式：本项目保险费约定分三期支付，由甲方转账至乙方账户，乙方收到保费后5个工作日内提供正式保费发票。首期保费支付一个合同年度总保费的35%（首期保费       元），确保支付时间为合同签订后、第一张保单生效前10日内；第二期保费支付一个合同年度总保费的35%（第二期保费       元），确保支付时间为第一张保单起保后180天内；第三期保费支付一个合同年度总保费的30%（第三期保费       元），确保支付时间为第一张保单生效后330日内（且不晚于保险责任终止日前30个自然日）。</w:t>
      </w:r>
      <w:r>
        <w:rPr>
          <w:rFonts w:hint="eastAsia" w:eastAsia="Times New Roman"/>
          <w:color w:val="000000"/>
          <w:sz w:val="24"/>
          <w:szCs w:val="24"/>
          <w:highlight w:val="none"/>
        </w:rPr>
      </w:r>
      <w:r/>
    </w:p>
    <w:p>
      <w:pPr>
        <w:pStyle w:val="10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自行踏勘现场，评估了解电梯状况后进行合理报价，成交后不得以任何理由要求额外增加费用。</w:t>
      </w:r>
      <w:r>
        <w:rPr>
          <w:rFonts w:hint="eastAsia" w:ascii="宋体" w:hAnsi="宋体" w:eastAsia="宋体" w:cs="宋体"/>
          <w:color w:val="000000"/>
          <w:sz w:val="24"/>
          <w:szCs w:val="24"/>
          <w:highlight w:val="none"/>
        </w:rPr>
      </w:r>
      <w:r/>
    </w:p>
    <w:p>
      <w:pPr>
        <w:pStyle w:val="1004"/>
        <w:numPr>
          <w:ilvl w:val="0"/>
          <w:numId w:val="1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本项目适用：在预算保障的前提下，对于购买内容相对固定、连续性强、经费来源稳定、价格变化幅度小的政府购买服务项目，供应商经采购方考核结果达优级（90分</w:t>
      </w:r>
      <w:r>
        <w:rPr>
          <w:rFonts w:hint="eastAsia" w:ascii="宋体" w:hAnsi="宋体" w:cs="宋体"/>
          <w:color w:val="000000"/>
          <w:sz w:val="24"/>
          <w:highlight w:val="none"/>
          <w:lang w:eastAsia="zh-CN"/>
        </w:rPr>
        <w:t xml:space="preserve">及</w:t>
      </w:r>
      <w:r>
        <w:rPr>
          <w:rFonts w:hint="eastAsia" w:ascii="宋体" w:hAnsi="宋体" w:cs="宋体"/>
          <w:color w:val="000000"/>
          <w:sz w:val="24"/>
          <w:highlight w:val="none"/>
        </w:rPr>
        <w:t xml:space="preserve">以上），采购方可以与供应商续签合同，合同一年一签，续签不超过两次。保险期限为</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004"/>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、保险条款名称应以向</w:t>
      </w:r>
      <w:r>
        <w:rPr>
          <w:rFonts w:hint="eastAsia" w:ascii="宋体" w:hAnsi="宋体" w:cs="宋体"/>
          <w:color w:val="000000"/>
          <w:sz w:val="24"/>
          <w:highlight w:val="none"/>
          <w:lang w:val="en-US" w:eastAsia="zh-CN"/>
        </w:rPr>
        <w:t xml:space="preserve">国家金融监督管理总局</w:t>
      </w:r>
      <w:r>
        <w:rPr>
          <w:rFonts w:hint="eastAsia" w:ascii="宋体" w:hAnsi="宋体" w:cs="宋体"/>
          <w:color w:val="000000"/>
          <w:sz w:val="24"/>
          <w:highlight w:val="none"/>
        </w:rPr>
        <w:t xml:space="preserve">报备的条款名称为准。</w:t>
      </w:r>
      <w:r>
        <w:rPr>
          <w:rFonts w:hint="eastAsia" w:ascii="宋体" w:hAnsi="宋体" w:cs="宋体"/>
          <w:color w:val="000000"/>
          <w:sz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、实施要求：</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.1</w:t>
      </w:r>
      <w:r>
        <w:rPr>
          <w:rFonts w:hint="eastAsia" w:ascii="宋体" w:hAnsi="宋体" w:cs="宋体"/>
          <w:color w:val="000000"/>
          <w:sz w:val="24"/>
          <w:szCs w:val="24"/>
          <w:highlight w:val="none"/>
        </w:rPr>
        <w:t xml:space="preserve">投保</w:t>
      </w:r>
      <w:r>
        <w:rPr>
          <w:rFonts w:hint="eastAsia" w:ascii="宋体" w:hAnsi="宋体" w:cs="宋体"/>
          <w:color w:val="000000"/>
          <w:sz w:val="24"/>
          <w:szCs w:val="24"/>
          <w:highlight w:val="none"/>
          <w:lang w:eastAsia="zh-CN"/>
        </w:rPr>
        <w:t xml:space="preserve">综合险各</w:t>
      </w:r>
      <w:r>
        <w:rPr>
          <w:rFonts w:hint="eastAsia" w:ascii="宋体" w:hAnsi="宋体" w:cs="宋体"/>
          <w:color w:val="000000"/>
          <w:sz w:val="24"/>
          <w:szCs w:val="24"/>
          <w:highlight w:val="none"/>
        </w:rPr>
        <w:t xml:space="preserve">险种</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eastAsia="zh-CN"/>
        </w:rPr>
        <w:t xml:space="preserve">主要保障内容</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tbl>
      <w:tblPr>
        <w:tblW w:w="95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8052"/>
      </w:tblGrid>
      <w:tr>
        <w:trPr>
          <w:trHeight w:val="567"/>
        </w:trPr>
        <w:tc>
          <w:tcPr>
            <w:tcW w:w="1503" w:type="dxa"/>
            <w:vAlign w:val="center"/>
            <w:textDirection w:val="lrTb"/>
            <w:noWrap w:val="false"/>
          </w:tcPr>
          <w:p>
            <w:pPr>
              <w:pStyle w:val="1004"/>
              <w:spacing w:line="360" w:lineRule="auto"/>
              <w:tabs>
                <w:tab w:val="left" w:pos="2100" w:leader="none"/>
                <w:tab w:val="left" w:pos="8820" w:leader="none"/>
              </w:tabs>
              <w:rPr>
                <w:rFonts w:hint="eastAsia" w:ascii="宋体" w:hAnsi="宋体" w:cs="宋体"/>
                <w:b/>
                <w:color w:val="000000"/>
                <w:sz w:val="24"/>
                <w:highlight w:val="none"/>
              </w:rPr>
            </w:pPr>
            <w:r>
              <w:rPr>
                <w:rFonts w:hint="eastAsia" w:ascii="宋体" w:hAnsi="宋体" w:cs="宋体"/>
                <w:b/>
                <w:bCs/>
                <w:color w:val="000000"/>
                <w:sz w:val="24"/>
                <w:highlight w:val="none"/>
                <w:lang w:eastAsia="zh-CN"/>
              </w:rPr>
              <w:t xml:space="preserve">保障</w:t>
            </w:r>
            <w:r>
              <w:rPr>
                <w:rFonts w:hint="eastAsia" w:ascii="宋体" w:hAnsi="宋体" w:cs="宋体"/>
                <w:b/>
                <w:bCs/>
                <w:color w:val="000000"/>
                <w:sz w:val="24"/>
                <w:highlight w:val="none"/>
              </w:rPr>
              <w:t xml:space="preserve">范围</w:t>
            </w:r>
            <w:r>
              <w:rPr>
                <w:rFonts w:hint="eastAsia" w:ascii="宋体" w:hAnsi="宋体" w:cs="宋体"/>
                <w:b/>
                <w:color w:val="000000"/>
                <w:sz w:val="24"/>
                <w:highlight w:val="none"/>
              </w:rPr>
            </w:r>
            <w:r/>
          </w:p>
        </w:tc>
        <w:tc>
          <w:tcPr>
            <w:tcW w:w="8052" w:type="dxa"/>
            <w:vAlign w:val="center"/>
            <w:textDirection w:val="lrTb"/>
            <w:noWrap w:val="false"/>
          </w:tcPr>
          <w:p>
            <w:pPr>
              <w:pStyle w:val="1004"/>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第一部分：</w:t>
            </w:r>
            <w:r>
              <w:rPr>
                <w:rFonts w:hint="eastAsia" w:eastAsia="宋体"/>
                <w:color w:val="000000"/>
                <w:sz w:val="24"/>
                <w:szCs w:val="24"/>
                <w:highlight w:val="none"/>
              </w:rPr>
              <w:t xml:space="preserve">电梯第三者责任保障</w:t>
            </w:r>
            <w:r>
              <w:rPr>
                <w:rFonts w:hint="eastAsia" w:eastAsia="宋体"/>
                <w:color w:val="000000"/>
                <w:sz w:val="24"/>
                <w:szCs w:val="24"/>
                <w:highlight w:val="none"/>
                <w:lang w:eastAsia="zh-CN"/>
              </w:rPr>
              <w:t xml:space="preserve">（第三者责任险）</w:t>
            </w:r>
            <w:r>
              <w:rPr>
                <w:rFonts w:hint="eastAsia" w:ascii="宋体" w:hAnsi="宋体" w:cs="宋体"/>
                <w:color w:val="000000"/>
                <w:sz w:val="24"/>
                <w:highlight w:val="none"/>
              </w:rPr>
            </w:r>
            <w:r/>
          </w:p>
          <w:p>
            <w:pPr>
              <w:pStyle w:val="1004"/>
              <w:ind w:firstLine="480"/>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（1）人身伤亡或财产损失赔偿：因电梯发生意外事故，造成乘梯人员人身伤亡或财产损失，保险人按照保险合同约定负责赔偿。</w:t>
            </w:r>
            <w:r>
              <w:rPr>
                <w:rFonts w:hint="eastAsia" w:ascii="宋体" w:hAnsi="宋体" w:cs="宋体"/>
                <w:color w:val="000000"/>
                <w:sz w:val="24"/>
                <w:highlight w:val="none"/>
              </w:rPr>
            </w:r>
            <w:r/>
          </w:p>
          <w:p>
            <w:pPr>
              <w:pStyle w:val="1004"/>
              <w:ind w:firstLine="480"/>
              <w:spacing w:line="360" w:lineRule="auto"/>
              <w:tabs>
                <w:tab w:val="left" w:pos="9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（2）人员滞留赔偿：因电梯发生意外事故，虽未造成人身伤亡但导致乘梯人员在电梯内滞留超过约定时间，保险人按照保险合同约定赔偿标准给予赔偿。</w:t>
            </w:r>
            <w:r>
              <w:rPr>
                <w:rFonts w:hint="eastAsia" w:ascii="宋体" w:hAnsi="宋体" w:cs="宋体"/>
                <w:color w:val="000000"/>
                <w:sz w:val="24"/>
                <w:highlight w:val="none"/>
              </w:rPr>
            </w:r>
            <w:r/>
          </w:p>
          <w:p>
            <w:pPr>
              <w:pStyle w:val="1063"/>
              <w:tabs>
                <w:tab w:val="right" w:pos="8720" w:leader="dot"/>
              </w:tabs>
              <w:rPr>
                <w:rFonts w:hint="eastAsia" w:ascii="宋体" w:hAnsi="宋体" w:eastAsia="宋体" w:cs="Times New Roman"/>
                <w:lang w:eastAsia="zh-CN"/>
              </w:rPr>
            </w:pPr>
            <w:r>
              <w:rPr>
                <w:rFonts w:hint="eastAsia" w:ascii="宋体" w:hAnsi="宋体" w:eastAsia="宋体" w:cs="Times New Roman"/>
                <w:lang w:eastAsia="en-US"/>
              </w:rPr>
              <w:t xml:space="preserve">第二部分：电梯财产</w:t>
            </w:r>
            <w:r>
              <w:rPr>
                <w:rFonts w:hint="eastAsia" w:ascii="宋体" w:hAnsi="宋体" w:eastAsia="宋体" w:cs="Times New Roman"/>
                <w:lang w:eastAsia="zh-CN"/>
              </w:rPr>
              <w:t xml:space="preserve">费用损失</w:t>
            </w:r>
            <w:r>
              <w:rPr>
                <w:rFonts w:hint="eastAsia" w:cs="Times New Roman"/>
                <w:lang w:eastAsia="zh-CN"/>
              </w:rPr>
              <w:t xml:space="preserve">保障（财产费用损失险类）</w:t>
            </w:r>
            <w:r>
              <w:rPr>
                <w:rFonts w:hint="eastAsia" w:ascii="宋体" w:hAnsi="宋体" w:eastAsia="宋体" w:cs="Times New Roman"/>
                <w:lang w:eastAsia="zh-CN"/>
              </w:rPr>
            </w:r>
            <w:r/>
          </w:p>
          <w:p>
            <w:pPr>
              <w:pStyle w:val="1063"/>
              <w:ind w:firstLine="480"/>
              <w:tabs>
                <w:tab w:val="right" w:pos="8720" w:leader="dot"/>
              </w:tabs>
              <w:rPr>
                <w:rFonts w:hint="eastAsia" w:ascii="宋体" w:hAnsi="宋体" w:eastAsia="宋体" w:cs="Times New Roman"/>
                <w:highlight w:val="none"/>
                <w:lang w:val="en-US" w:eastAsia="zh-CN"/>
              </w:rPr>
            </w:pPr>
            <w:r>
              <w:rPr>
                <w:rFonts w:hint="eastAsia" w:ascii="宋体" w:hAnsi="宋体" w:eastAsia="宋体" w:cs="Times New Roman"/>
                <w:lang w:val="en-US" w:eastAsia="en-US"/>
              </w:rPr>
              <w:t xml:space="preserve">按照电梯管理的相关规定，保险人承担日常维护维修费用、以及电梯故障产生的一切费用，包括零配件费用和人工费、现场安装调试达到正常可使用状态产生的一切费用</w:t>
            </w:r>
            <w:r>
              <w:rPr>
                <w:rFonts w:hint="eastAsia" w:ascii="宋体" w:hAnsi="宋体" w:eastAsia="宋体" w:cs="Times New Roman"/>
                <w:lang w:val="en-US" w:eastAsia="zh-CN"/>
              </w:rPr>
              <w:t xml:space="preserve">。</w:t>
            </w:r>
            <w:r>
              <w:rPr>
                <w:rFonts w:hint="eastAsia" w:ascii="宋体" w:hAnsi="宋体" w:eastAsia="宋体" w:cs="Times New Roman"/>
                <w:highlight w:val="none"/>
                <w:lang w:val="en-US" w:eastAsia="zh-CN"/>
              </w:rPr>
              <w:t xml:space="preserve">每台电梯</w:t>
            </w:r>
            <w:r>
              <w:rPr>
                <w:rFonts w:hint="eastAsia" w:cs="Times New Roman"/>
                <w:highlight w:val="none"/>
                <w:lang w:val="en-US" w:eastAsia="zh-CN"/>
              </w:rPr>
              <w:t xml:space="preserve">最高</w:t>
            </w:r>
            <w:r>
              <w:rPr>
                <w:rFonts w:hint="eastAsia" w:ascii="宋体" w:hAnsi="宋体" w:eastAsia="宋体" w:cs="Times New Roman"/>
                <w:highlight w:val="none"/>
                <w:lang w:val="en-US" w:eastAsia="zh-CN"/>
              </w:rPr>
              <w:t xml:space="preserve">责任限额 20 万元。</w:t>
            </w:r>
            <w:r>
              <w:rPr>
                <w:rFonts w:hint="eastAsia" w:ascii="宋体" w:hAnsi="宋体" w:eastAsia="宋体" w:cs="Times New Roman"/>
                <w:highlight w:val="none"/>
                <w:lang w:val="en-US" w:eastAsia="zh-CN"/>
              </w:rPr>
            </w:r>
            <w:r/>
          </w:p>
          <w:p>
            <w:pPr>
              <w:pStyle w:val="1063"/>
              <w:tabs>
                <w:tab w:val="right" w:pos="8720" w:leader="dot"/>
              </w:tabs>
              <w:rPr>
                <w:rFonts w:hint="eastAsia" w:ascii="宋体" w:hAnsi="宋体" w:eastAsia="宋体" w:cs="Times New Roman"/>
                <w:lang w:val="en-US" w:eastAsia="zh-CN"/>
              </w:rPr>
            </w:pPr>
            <w:r>
              <w:rPr>
                <w:rFonts w:hint="eastAsia" w:ascii="宋体" w:hAnsi="宋体" w:eastAsia="宋体" w:cs="Times New Roman"/>
                <w:lang w:val="en-US" w:eastAsia="en-US"/>
              </w:rPr>
              <w:t xml:space="preserve">第三部分：</w:t>
            </w:r>
            <w:r>
              <w:rPr>
                <w:rFonts w:hint="eastAsia" w:ascii="宋体" w:hAnsi="宋体" w:eastAsia="宋体" w:cs="Times New Roman"/>
                <w:lang w:val="en-US" w:eastAsia="zh-CN"/>
              </w:rPr>
              <w:t xml:space="preserve">安全</w:t>
            </w:r>
            <w:r>
              <w:rPr>
                <w:rFonts w:hint="eastAsia" w:cs="Times New Roman"/>
                <w:lang w:val="en-US" w:eastAsia="zh-CN"/>
              </w:rPr>
              <w:t xml:space="preserve">检查类</w:t>
            </w:r>
            <w:r>
              <w:rPr>
                <w:rFonts w:hint="eastAsia" w:ascii="宋体" w:hAnsi="宋体" w:eastAsia="宋体" w:cs="Times New Roman"/>
                <w:lang w:val="en-US" w:eastAsia="en-US"/>
              </w:rPr>
              <w:t xml:space="preserve">服务</w:t>
            </w:r>
            <w:r>
              <w:rPr>
                <w:rFonts w:hint="eastAsia" w:ascii="宋体" w:hAnsi="宋体" w:eastAsia="宋体" w:cs="Times New Roman"/>
                <w:lang w:val="en-US" w:eastAsia="zh-CN"/>
              </w:rPr>
            </w:r>
            <w:r/>
          </w:p>
          <w:p>
            <w:pPr>
              <w:pStyle w:val="1029"/>
              <w:spacing w:line="360" w:lineRule="auto"/>
              <w:rPr>
                <w:rFonts w:hint="eastAsia"/>
              </w:rPr>
            </w:pPr>
            <w:r>
              <w:rPr>
                <w:rFonts w:hint="eastAsia" w:ascii="宋体" w:hAnsi="宋体" w:eastAsia="宋体" w:cs="Times New Roman"/>
                <w:caps/>
                <w:sz w:val="24"/>
                <w:szCs w:val="24"/>
                <w:lang w:val="en-US" w:eastAsia="zh-CN" w:bidi="ar-SA"/>
              </w:rPr>
              <w:t xml:space="preserve">    按本项目服务标准，承担投保电梯设备的安全检查类费用，从而落实各项安全规范要求，保障设备稳定运行，确保整体安全合规。</w:t>
            </w:r>
            <w:r>
              <w:rPr>
                <w:rFonts w:hint="eastAsia"/>
              </w:rPr>
            </w:r>
            <w:r/>
          </w:p>
        </w:tc>
      </w:tr>
      <w:tr>
        <w:trPr>
          <w:trHeight w:val="567"/>
        </w:trPr>
        <w:tc>
          <w:tcPr>
            <w:tcW w:w="1503" w:type="dxa"/>
            <w:vAlign w:val="center"/>
            <w:textDirection w:val="lrTb"/>
            <w:noWrap w:val="false"/>
          </w:tcPr>
          <w:p>
            <w:pPr>
              <w:pStyle w:val="1004"/>
              <w:spacing w:line="360" w:lineRule="auto"/>
              <w:tabs>
                <w:tab w:val="left" w:pos="2100" w:leader="none"/>
                <w:tab w:val="left" w:pos="8820" w:leader="none"/>
              </w:tabs>
              <w:rPr>
                <w:rFonts w:hint="eastAsia" w:ascii="宋体" w:hAnsi="宋体" w:cs="宋体"/>
                <w:b/>
                <w:color w:val="000000"/>
                <w:sz w:val="24"/>
                <w:highlight w:val="none"/>
              </w:rPr>
            </w:pPr>
            <w:r>
              <w:rPr>
                <w:rFonts w:hint="eastAsia" w:ascii="宋体" w:hAnsi="宋体" w:cs="宋体"/>
                <w:b/>
                <w:bCs/>
                <w:color w:val="000000"/>
                <w:sz w:val="24"/>
                <w:highlight w:val="none"/>
              </w:rPr>
              <w:t xml:space="preserve">赔偿限额</w:t>
            </w:r>
            <w:r>
              <w:rPr>
                <w:rFonts w:hint="eastAsia" w:ascii="宋体" w:hAnsi="宋体" w:cs="宋体"/>
                <w:b/>
                <w:color w:val="000000"/>
                <w:sz w:val="24"/>
                <w:highlight w:val="none"/>
              </w:rPr>
            </w:r>
            <w:r/>
          </w:p>
        </w:tc>
        <w:tc>
          <w:tcPr>
            <w:tcW w:w="8052" w:type="dxa"/>
            <w:vAlign w:val="center"/>
            <w:textDirection w:val="lrTb"/>
            <w:noWrap w:val="false"/>
          </w:tcPr>
          <w:p>
            <w:pPr>
              <w:pStyle w:val="1004"/>
              <w:spacing w:line="360" w:lineRule="auto"/>
              <w:tabs>
                <w:tab w:val="left" w:pos="960" w:leader="none"/>
              </w:tabs>
              <w:rPr>
                <w:rFonts w:hint="eastAsia"/>
                <w:sz w:val="24"/>
                <w:szCs w:val="24"/>
              </w:rPr>
            </w:pPr>
            <w:r>
              <w:rPr>
                <w:rFonts w:hint="eastAsia"/>
                <w:sz w:val="24"/>
                <w:szCs w:val="24"/>
              </w:rPr>
              <w:t xml:space="preserve">第一部分：第三者责任</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（1）电梯人员伤亡或财产损失补偿</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每梯每年累计赔偿限额</w:t>
            </w:r>
            <w:r>
              <w:rPr>
                <w:rFonts w:hint="eastAsia"/>
                <w:sz w:val="24"/>
                <w:szCs w:val="24"/>
                <w:lang w:val="en-US" w:eastAsia="zh-CN"/>
              </w:rPr>
              <w:t xml:space="preserve">500</w:t>
            </w:r>
            <w:r>
              <w:rPr>
                <w:rFonts w:hint="eastAsia"/>
                <w:sz w:val="24"/>
                <w:szCs w:val="24"/>
              </w:rPr>
              <w:t xml:space="preserve">万元</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每人身故及伤残赔偿限额80万元</w:t>
            </w:r>
            <w:r>
              <w:rPr>
                <w:rFonts w:hint="eastAsia"/>
                <w:sz w:val="24"/>
                <w:szCs w:val="24"/>
              </w:rPr>
            </w:r>
            <w:r/>
          </w:p>
          <w:p>
            <w:pPr>
              <w:pStyle w:val="1004"/>
              <w:ind w:firstLine="480"/>
              <w:spacing w:line="360" w:lineRule="auto"/>
              <w:tabs>
                <w:tab w:val="left" w:pos="960" w:leader="none"/>
              </w:tabs>
              <w:rPr>
                <w:rFonts w:hint="eastAsia"/>
                <w:sz w:val="24"/>
                <w:szCs w:val="24"/>
              </w:rPr>
            </w:pPr>
            <w:r>
              <w:rPr>
                <w:rFonts w:hint="eastAsia"/>
                <w:sz w:val="24"/>
                <w:szCs w:val="24"/>
              </w:rPr>
              <w:t xml:space="preserve">每人意外医疗费用赔偿限额8万元</w:t>
            </w:r>
            <w:r>
              <w:rPr>
                <w:rFonts w:hint="eastAsia"/>
                <w:sz w:val="24"/>
                <w:szCs w:val="24"/>
              </w:rPr>
            </w:r>
            <w:r/>
          </w:p>
          <w:p>
            <w:pPr>
              <w:pStyle w:val="1004"/>
              <w:ind w:firstLine="480"/>
              <w:spacing w:line="360" w:lineRule="auto"/>
              <w:tabs>
                <w:tab w:val="left" w:pos="960" w:leader="none"/>
              </w:tabs>
              <w:rPr>
                <w:rFonts w:hint="eastAsia"/>
                <w:sz w:val="24"/>
                <w:szCs w:val="24"/>
                <w:lang w:eastAsia="en-US"/>
              </w:rPr>
            </w:pPr>
            <w:r>
              <w:rPr>
                <w:rFonts w:hint="eastAsia"/>
                <w:sz w:val="24"/>
                <w:szCs w:val="24"/>
                <w:lang w:eastAsia="en-US"/>
              </w:rPr>
              <w:t xml:space="preserve">每人财产损失赔偿限额2万元</w:t>
            </w:r>
            <w:r>
              <w:rPr>
                <w:rFonts w:hint="eastAsia"/>
                <w:sz w:val="24"/>
                <w:szCs w:val="24"/>
                <w:lang w:eastAsia="en-US"/>
              </w:rPr>
            </w:r>
            <w:r/>
          </w:p>
          <w:p>
            <w:pPr>
              <w:pStyle w:val="1063"/>
              <w:ind w:firstLine="480"/>
              <w:tabs>
                <w:tab w:val="right" w:pos="8720" w:leader="dot"/>
              </w:tabs>
              <w:rPr>
                <w:rFonts w:hint="eastAsia"/>
                <w:sz w:val="24"/>
                <w:szCs w:val="24"/>
                <w:lang w:eastAsia="en-US"/>
              </w:rPr>
            </w:pPr>
            <w:r>
              <w:rPr>
                <w:rFonts w:hint="eastAsia"/>
                <w:sz w:val="24"/>
                <w:szCs w:val="24"/>
                <w:lang w:eastAsia="en-US"/>
              </w:rPr>
              <w:t xml:space="preserve">（2）人员滞留赔偿：</w:t>
            </w:r>
            <w:r>
              <w:rPr>
                <w:rFonts w:hint="eastAsia"/>
                <w:sz w:val="24"/>
                <w:szCs w:val="24"/>
                <w:lang w:eastAsia="en-US"/>
              </w:rPr>
            </w:r>
            <w:r/>
          </w:p>
          <w:p>
            <w:pPr>
              <w:pStyle w:val="1063"/>
              <w:ind w:firstLine="480"/>
              <w:tabs>
                <w:tab w:val="right" w:pos="8720" w:leader="dot"/>
              </w:tabs>
              <w:rPr>
                <w:rFonts w:hint="eastAsia"/>
                <w:b w:val="0"/>
                <w:bCs w:val="0"/>
                <w:sz w:val="24"/>
                <w:szCs w:val="24"/>
                <w:lang w:eastAsia="en-US"/>
              </w:rPr>
            </w:pPr>
            <w:r>
              <w:rPr>
                <w:rFonts w:hint="eastAsia"/>
                <w:b w:val="0"/>
                <w:bCs w:val="0"/>
                <w:sz w:val="24"/>
                <w:szCs w:val="24"/>
                <w:lang w:eastAsia="en-US"/>
              </w:rPr>
              <w:t xml:space="preserve">每梯滞留责任累计赔偿限额1000元</w:t>
            </w:r>
            <w:r>
              <w:rPr>
                <w:rFonts w:hint="eastAsia"/>
                <w:b w:val="0"/>
                <w:bCs w:val="0"/>
                <w:sz w:val="24"/>
                <w:szCs w:val="24"/>
                <w:lang w:eastAsia="en-US"/>
              </w:rPr>
            </w:r>
            <w:r/>
          </w:p>
          <w:p>
            <w:pPr>
              <w:pStyle w:val="1063"/>
              <w:ind w:firstLine="480"/>
              <w:tabs>
                <w:tab w:val="right" w:pos="8720" w:leader="dot"/>
              </w:tabs>
              <w:rPr>
                <w:rFonts w:hint="eastAsia"/>
                <w:b w:val="0"/>
                <w:bCs w:val="0"/>
                <w:sz w:val="24"/>
                <w:szCs w:val="24"/>
                <w:lang w:eastAsia="en-US"/>
              </w:rPr>
            </w:pPr>
            <w:r>
              <w:rPr>
                <w:rFonts w:hint="eastAsia"/>
                <w:b w:val="0"/>
                <w:bCs w:val="0"/>
                <w:sz w:val="24"/>
                <w:szCs w:val="24"/>
                <w:lang w:eastAsia="en-US"/>
              </w:rPr>
              <w:t xml:space="preserve">每人滞留责任赔偿限额200元</w:t>
            </w:r>
            <w:r>
              <w:rPr>
                <w:rFonts w:hint="eastAsia"/>
                <w:b w:val="0"/>
                <w:bCs w:val="0"/>
                <w:sz w:val="24"/>
                <w:szCs w:val="24"/>
                <w:lang w:eastAsia="en-US"/>
              </w:rPr>
            </w:r>
            <w:r/>
          </w:p>
          <w:p>
            <w:pPr>
              <w:pStyle w:val="1004"/>
              <w:ind w:firstLine="480"/>
              <w:spacing w:line="360" w:lineRule="auto"/>
              <w:tabs>
                <w:tab w:val="left" w:pos="960" w:leader="none"/>
              </w:tabs>
              <w:rPr>
                <w:rFonts w:hint="eastAsia"/>
                <w:sz w:val="24"/>
                <w:szCs w:val="24"/>
              </w:rPr>
            </w:pPr>
            <w:r>
              <w:rPr>
                <w:rFonts w:hint="eastAsia"/>
                <w:sz w:val="24"/>
                <w:szCs w:val="24"/>
              </w:rPr>
              <w:t xml:space="preserve">电梯因故障或事故，导致梯内人员滞留</w:t>
            </w:r>
            <w:r>
              <w:rPr>
                <w:rFonts w:hint="eastAsia"/>
                <w:sz w:val="24"/>
                <w:szCs w:val="24"/>
                <w:lang w:val="en-US" w:eastAsia="zh-CN"/>
              </w:rPr>
              <w:t xml:space="preserve">30</w:t>
            </w:r>
            <w:r>
              <w:rPr>
                <w:rFonts w:hint="eastAsia"/>
                <w:sz w:val="24"/>
                <w:szCs w:val="24"/>
              </w:rPr>
              <w:t xml:space="preserve">分钟及以上，视为滞留责任事故发生。</w:t>
            </w:r>
            <w:r>
              <w:rPr>
                <w:rFonts w:hint="eastAsia"/>
                <w:sz w:val="24"/>
                <w:szCs w:val="24"/>
              </w:rPr>
            </w:r>
            <w:r/>
          </w:p>
          <w:p>
            <w:pPr>
              <w:pStyle w:val="1004"/>
              <w:spacing w:line="360" w:lineRule="auto"/>
              <w:tabs>
                <w:tab w:val="left" w:pos="960" w:leader="none"/>
              </w:tabs>
              <w:rPr>
                <w:rFonts w:hint="eastAsia"/>
                <w:sz w:val="24"/>
                <w:szCs w:val="24"/>
              </w:rPr>
            </w:pPr>
            <w:r>
              <w:rPr>
                <w:rFonts w:hint="eastAsia"/>
                <w:sz w:val="24"/>
                <w:szCs w:val="24"/>
              </w:rPr>
              <w:t xml:space="preserve">第二部分：电梯</w:t>
            </w:r>
            <w:r>
              <w:rPr>
                <w:rFonts w:hint="eastAsia"/>
                <w:sz w:val="24"/>
                <w:szCs w:val="24"/>
                <w:lang w:eastAsia="zh-CN"/>
              </w:rPr>
              <w:t xml:space="preserve">维修</w:t>
            </w:r>
            <w:r>
              <w:rPr>
                <w:rFonts w:hint="eastAsia"/>
                <w:sz w:val="24"/>
                <w:szCs w:val="24"/>
              </w:rPr>
              <w:t xml:space="preserve">费用</w:t>
            </w:r>
            <w:r>
              <w:rPr>
                <w:rFonts w:hint="eastAsia"/>
                <w:sz w:val="24"/>
                <w:szCs w:val="24"/>
                <w:lang w:eastAsia="zh-CN"/>
              </w:rPr>
              <w:t xml:space="preserve">保障（</w:t>
            </w:r>
            <w:r>
              <w:rPr>
                <w:rFonts w:hint="eastAsia"/>
                <w:sz w:val="24"/>
                <w:szCs w:val="24"/>
              </w:rPr>
              <w:t xml:space="preserve">财产</w:t>
            </w:r>
            <w:r>
              <w:rPr>
                <w:rFonts w:hint="eastAsia"/>
                <w:sz w:val="24"/>
                <w:szCs w:val="24"/>
                <w:lang w:eastAsia="zh-CN"/>
              </w:rPr>
              <w:t xml:space="preserve">费用损失</w:t>
            </w:r>
            <w:r>
              <w:rPr>
                <w:rFonts w:hint="eastAsia"/>
                <w:sz w:val="24"/>
                <w:szCs w:val="24"/>
              </w:rPr>
              <w:t xml:space="preserve">责任</w:t>
            </w:r>
            <w:r>
              <w:rPr>
                <w:rFonts w:hint="eastAsia"/>
                <w:sz w:val="24"/>
                <w:szCs w:val="24"/>
                <w:lang w:eastAsia="zh-CN"/>
              </w:rPr>
              <w:t xml:space="preserve">）</w:t>
            </w:r>
            <w:r>
              <w:rPr>
                <w:rFonts w:hint="eastAsia"/>
                <w:sz w:val="24"/>
                <w:szCs w:val="24"/>
              </w:rPr>
            </w:r>
            <w:r/>
          </w:p>
          <w:p>
            <w:pPr>
              <w:pStyle w:val="1004"/>
              <w:ind w:right="0" w:firstLine="480"/>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每台电梯最高责任限额 20万元/年，其中维修责任限额8万元/台。</w:t>
            </w:r>
            <w:r>
              <w:rPr>
                <w:rFonts w:hint="eastAsia"/>
                <w:sz w:val="24"/>
                <w:szCs w:val="24"/>
                <w:lang w:val="en-US" w:eastAsia="zh-CN"/>
              </w:rPr>
            </w:r>
            <w:r/>
          </w:p>
          <w:p>
            <w:pPr>
              <w:pStyle w:val="1063"/>
              <w:tabs>
                <w:tab w:val="right" w:pos="8720" w:leader="dot"/>
              </w:tabs>
              <w:rPr>
                <w:rFonts w:hint="eastAsia"/>
              </w:rPr>
            </w:pPr>
            <w:r>
              <w:rPr>
                <w:rFonts w:hint="eastAsia" w:ascii="Times New Roman" w:hAnsi="Times New Roman" w:eastAsia="宋体" w:cs="Times New Roman"/>
                <w:caps w:val="0"/>
                <w:sz w:val="24"/>
                <w:szCs w:val="24"/>
                <w:lang w:val="en-US" w:eastAsia="zh-CN" w:bidi="ar-SA"/>
              </w:rPr>
              <w:t xml:space="preserve">第三部分：符合本项目要求前提下据实列支</w:t>
            </w:r>
            <w:r>
              <w:rPr>
                <w:rFonts w:hint="eastAsia"/>
              </w:rPr>
            </w:r>
            <w:r/>
          </w:p>
        </w:tc>
      </w:tr>
    </w:tbl>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（2）下列原因造成的损失不在保险责任范围内，但承保人应对其造成的故障或损坏按规定时间及时响应维修，确保正常使用。除不可抗力外、其相关损失及费用优先向第三方追偿。</w:t>
      </w:r>
      <w:r>
        <w:rPr>
          <w:rFonts w:hint="eastAsia" w:hAnsi="宋体" w:cs="宋体"/>
          <w:color w:val="000000"/>
          <w:sz w:val="24"/>
          <w:szCs w:val="24"/>
          <w:highlight w:val="none"/>
          <w:lang w:eastAsia="zh-CN"/>
        </w:rPr>
        <w:t xml:space="preserve">具体包括</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由于人为损坏造成的材料和费用；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因自然灾害、战争等不可抗力造成的所有材料与费用；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由于电梯机房、井道、底坑等区域非承保单位管理原因进水导致损坏、失效的电梯材料和费用；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将原电梯更新为其他电梯的设备和费用。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.2维保维修保险服务：</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（1）确定电梯维保服务方：</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电梯维保服务方应</w:t>
      </w:r>
      <w:r>
        <w:rPr>
          <w:rFonts w:hint="eastAsia" w:ascii="宋体" w:hAnsi="宋体" w:cs="Arial"/>
          <w:sz w:val="24"/>
          <w:szCs w:val="24"/>
          <w:highlight w:val="none"/>
        </w:rPr>
        <w:t xml:space="preserve">具有有效的《中华人民共和国特种设备生产许可证》，许可项目包含电梯安装（含修理），并具备与本项目电梯数量、品牌及服务要求相匹配的维护保养能力；优先选择信用评价等级较高、服务能力较强、近5年来未发生安全事故的维保单位</w:t>
      </w:r>
      <w:r>
        <w:rPr>
          <w:rFonts w:hint="eastAsia" w:hAnsi="宋体" w:cs="宋体"/>
          <w:sz w:val="24"/>
          <w:szCs w:val="24"/>
          <w:highlight w:val="none"/>
          <w:lang w:val="en-US" w:eastAsia="zh-CN"/>
        </w:rPr>
        <w:t xml:space="preserve">；中标方必须选择江苏省市场监督管理局最新评定的四星级及以上电梯维保单位；</w:t>
      </w:r>
      <w:r>
        <w:rPr>
          <w:rFonts w:hint="eastAsia" w:hAnsi="宋体" w:cs="宋体"/>
          <w:color w:val="000000"/>
          <w:sz w:val="24"/>
          <w:szCs w:val="24"/>
          <w:highlight w:val="none"/>
        </w:rPr>
        <w:t xml:space="preserve">合同履行期</w:t>
      </w:r>
      <w:r>
        <w:rPr>
          <w:rFonts w:hint="eastAsia" w:hAnsi="宋体" w:cs="宋体"/>
          <w:color w:val="000000"/>
          <w:sz w:val="24"/>
          <w:szCs w:val="24"/>
          <w:highlight w:val="none"/>
          <w:lang w:eastAsia="zh-CN"/>
        </w:rPr>
        <w:t xml:space="preserve">间</w:t>
      </w:r>
      <w:r>
        <w:rPr>
          <w:rFonts w:hint="eastAsia" w:hAnsi="宋体" w:cs="宋体"/>
          <w:color w:val="000000"/>
          <w:sz w:val="24"/>
          <w:szCs w:val="24"/>
          <w:highlight w:val="none"/>
        </w:rPr>
        <w:t xml:space="preserve">，各方均应接受和服从采购人管理，否则采购人有权按照合同文件及相关规定进行相应处罚。</w:t>
      </w:r>
      <w:r>
        <w:rPr>
          <w:rFonts w:hint="eastAsia" w:hAnsi="宋体" w:cs="宋体"/>
          <w:color w:val="000000"/>
          <w:sz w:val="24"/>
          <w:szCs w:val="24"/>
          <w:highlight w:val="none"/>
        </w:rPr>
      </w:r>
      <w:r/>
    </w:p>
    <w:p>
      <w:pPr>
        <w:pStyle w:val="1322"/>
        <w:ind w:firstLine="48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经投保人许可同意的电梯维保服务的维保公司，同采购人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成交供应商签订</w:t>
      </w:r>
      <w:r>
        <w:rPr>
          <w:rFonts w:hint="eastAsia" w:hAnsi="宋体" w:cs="宋体"/>
          <w:color w:val="000000"/>
          <w:sz w:val="24"/>
          <w:szCs w:val="24"/>
          <w:highlight w:val="none"/>
          <w:lang w:eastAsia="zh-CN"/>
        </w:rPr>
        <w:t xml:space="preserve">相关</w:t>
      </w:r>
      <w:r>
        <w:rPr>
          <w:rFonts w:hint="eastAsia" w:hAnsi="宋体" w:cs="宋体"/>
          <w:color w:val="000000"/>
          <w:sz w:val="24"/>
          <w:szCs w:val="24"/>
          <w:highlight w:val="none"/>
        </w:rPr>
        <w:t xml:space="preserve">协议后，成为电梯维保服务方（以下简称维保服务方），接受采购人及成交供应商的共同管理考核；由中标供应商按考核结果支付相关费用。</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维保服务方管理按照南通市有关规定执行。加装物联网监控设备的电梯维保人员在信息平台上传实时维保、管理情况，由采购人、成交供应商共同监督电梯维保。</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（2）维保服务团队：</w:t>
      </w:r>
      <w:r>
        <w:rPr>
          <w:rFonts w:hint="eastAsia" w:hAnsi="宋体" w:cs="宋体"/>
          <w:color w:val="000000"/>
          <w:sz w:val="24"/>
          <w:szCs w:val="24"/>
          <w:highlight w:val="none"/>
        </w:rPr>
      </w:r>
      <w:r/>
    </w:p>
    <w:p>
      <w:pPr>
        <w:pStyle w:val="1322"/>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维保服务团队不少于3人，按照各设备维保周期的要求进行维保服务。服务人员必须是维保服务方的正式在职员工，并持有《中华人民共和国特种设备作业人员证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322"/>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hAnsi="宋体" w:cs="宋体"/>
          <w:color w:val="000000"/>
          <w:sz w:val="24"/>
          <w:szCs w:val="24"/>
          <w:highlight w:val="none"/>
          <w:lang w:val="en-US" w:eastAsia="zh-CN"/>
        </w:rPr>
        <w:t xml:space="preserve">中标供应商原则上需对本项目</w:t>
      </w:r>
      <w:r>
        <w:rPr>
          <w:rFonts w:hint="eastAsia" w:ascii="宋体" w:hAnsi="宋体" w:eastAsia="宋体" w:cs="宋体"/>
          <w:color w:val="000000"/>
          <w:sz w:val="24"/>
          <w:szCs w:val="24"/>
          <w:highlight w:val="none"/>
          <w:lang w:val="en-US" w:eastAsia="zh-CN"/>
        </w:rPr>
        <w:t xml:space="preserve">派</w:t>
      </w:r>
      <w:r>
        <w:rPr>
          <w:rFonts w:hint="eastAsia" w:ascii="宋体" w:hAnsi="宋体" w:eastAsia="宋体" w:cs="宋体"/>
          <w:color w:val="000000"/>
          <w:sz w:val="24"/>
          <w:szCs w:val="24"/>
          <w:highlight w:val="none"/>
        </w:rPr>
        <w:t xml:space="preserve">特种设备安全总监1 名，持有特种设备安全管理人员 A 证，具备 5 年电梯安全管理经验，全面负责</w:t>
      </w:r>
      <w:r>
        <w:rPr>
          <w:rFonts w:hint="eastAsia" w:hAnsi="宋体" w:cs="宋体"/>
          <w:color w:val="000000"/>
          <w:sz w:val="24"/>
          <w:szCs w:val="24"/>
          <w:highlight w:val="none"/>
          <w:lang w:eastAsia="zh-CN"/>
        </w:rPr>
        <w:t xml:space="preserve">本项目</w:t>
      </w:r>
      <w:r>
        <w:rPr>
          <w:rFonts w:hint="eastAsia" w:ascii="宋体" w:hAnsi="宋体" w:eastAsia="宋体" w:cs="宋体"/>
          <w:color w:val="000000"/>
          <w:sz w:val="24"/>
          <w:szCs w:val="24"/>
          <w:highlight w:val="none"/>
        </w:rPr>
        <w:t xml:space="preserve">梯维保质量、安全管控及应急管理工作</w:t>
      </w:r>
      <w:r>
        <w:rPr>
          <w:rFonts w:hint="eastAsia" w:hAnsi="宋体" w:cs="宋体"/>
          <w:color w:val="000000"/>
          <w:sz w:val="24"/>
          <w:szCs w:val="24"/>
          <w:highlight w:val="none"/>
          <w:lang w:eastAsia="zh-CN"/>
        </w:rPr>
        <w:t xml:space="preserve">；同时另</w:t>
      </w:r>
      <w:r>
        <w:rPr>
          <w:rFonts w:hint="eastAsia" w:ascii="宋体" w:hAnsi="宋体" w:eastAsia="宋体" w:cs="宋体"/>
          <w:color w:val="000000"/>
          <w:sz w:val="24"/>
          <w:szCs w:val="24"/>
          <w:highlight w:val="none"/>
          <w:lang w:val="en-US" w:eastAsia="zh-CN"/>
        </w:rPr>
        <w:t xml:space="preserve">派特种设备安全员1 名，具体负责</w:t>
      </w:r>
      <w:r>
        <w:rPr>
          <w:rFonts w:hint="eastAsia"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en-US" w:eastAsia="zh-CN"/>
        </w:rPr>
        <w:t xml:space="preserve">电梯安全管理工作。</w:t>
      </w:r>
      <w:r>
        <w:rPr>
          <w:rFonts w:hint="eastAsia" w:hAnsi="宋体" w:cs="宋体"/>
          <w:color w:val="000000"/>
          <w:sz w:val="24"/>
          <w:szCs w:val="24"/>
          <w:highlight w:val="none"/>
          <w:lang w:val="en-US" w:eastAsia="zh-CN"/>
        </w:rPr>
        <w:t xml:space="preserve">（注：如与本地区特种设备监管要求相悖的，可不受本条所限）</w:t>
      </w:r>
      <w:r>
        <w:rPr>
          <w:rFonts w:hint="eastAsia" w:ascii="宋体" w:hAnsi="宋体" w:eastAsia="宋体" w:cs="宋体"/>
          <w:color w:val="000000"/>
          <w:sz w:val="24"/>
          <w:szCs w:val="24"/>
          <w:highlight w:val="none"/>
          <w:lang w:val="en-US" w:eastAsia="zh-CN"/>
        </w:rPr>
      </w:r>
      <w:r/>
    </w:p>
    <w:p>
      <w:pPr>
        <w:pStyle w:val="13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（3）制定维保服务内容：</w:t>
      </w:r>
      <w:r>
        <w:rPr>
          <w:rFonts w:hint="eastAsia" w:ascii="宋体" w:hAnsi="宋体" w:eastAsia="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成交供应商根据《特种设备安全监察条例》、《中华人民共和国保险法》、《电梯维护保养规则》TSG T5002—2017、《电梯制造与安装安全规范》（GB/T 7588.1-2020、GB/T 7588.2—2020）</w:t>
      </w:r>
      <w:r>
        <w:rPr>
          <w:rFonts w:hint="eastAsia" w:hAnsi="宋体" w:cs="宋体"/>
          <w:color w:val="000000"/>
          <w:sz w:val="24"/>
          <w:szCs w:val="24"/>
          <w:highlight w:val="none"/>
        </w:rPr>
        <w:t xml:space="preserve">的相关规定，制定维保服务方案，并安排维保服务方按照方案为区域内投保电梯提供日常维保服务，提供的服务及更换的零配件须满足国家现行的电梯产品的标准和规范要求。</w:t>
      </w:r>
      <w:r>
        <w:rPr>
          <w:rFonts w:hint="eastAsia" w:hAnsi="宋体" w:cs="宋体"/>
          <w:color w:val="000000"/>
          <w:sz w:val="24"/>
          <w:szCs w:val="24"/>
          <w:highlight w:val="none"/>
        </w:rPr>
      </w:r>
      <w:r/>
    </w:p>
    <w:p>
      <w:pPr>
        <w:pStyle w:val="13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w:t>
      </w:r>
      <w:r>
        <w:rPr>
          <w:rFonts w:hint="eastAsia" w:hAnsi="宋体" w:cs="宋体"/>
          <w:color w:val="000000"/>
          <w:sz w:val="24"/>
          <w:szCs w:val="24"/>
          <w:highlight w:val="none"/>
          <w:lang w:eastAsia="zh-CN"/>
        </w:rPr>
        <w:t xml:space="preserve">本项目</w:t>
      </w:r>
      <w:r>
        <w:rPr>
          <w:rFonts w:hint="eastAsia" w:hAnsi="宋体" w:cs="宋体"/>
          <w:color w:val="000000"/>
          <w:sz w:val="24"/>
          <w:szCs w:val="24"/>
          <w:highlight w:val="none"/>
        </w:rPr>
        <w:t xml:space="preserve">日常维护保养要求如下，同时应满足国家相关规范及行业主管部门要求：</w:t>
      </w:r>
      <w:r>
        <w:rPr>
          <w:rFonts w:hint="eastAsia" w:hAnsi="宋体" w:cs="宋体"/>
          <w:color w:val="000000"/>
          <w:sz w:val="24"/>
          <w:szCs w:val="24"/>
          <w:highlight w:val="none"/>
        </w:rPr>
      </w:r>
      <w:r/>
    </w:p>
    <w:tbl>
      <w:tblPr>
        <w:tblW w:w="8818" w:type="dxa"/>
        <w:tblInd w:w="-392" w:type="dxa"/>
        <w:tblLayout w:type="fixed"/>
        <w:tblCellMar>
          <w:left w:w="108" w:type="dxa"/>
          <w:top w:w="0" w:type="dxa"/>
          <w:right w:w="108" w:type="dxa"/>
          <w:bottom w:w="0" w:type="dxa"/>
        </w:tblCellMar>
        <w:tblLook w:val="04A0" w:firstRow="1" w:lastRow="0" w:firstColumn="1" w:lastColumn="0" w:noHBand="0" w:noVBand="1"/>
      </w:tblPr>
      <w:tblGrid>
        <w:gridCol w:w="738"/>
        <w:gridCol w:w="3402"/>
        <w:gridCol w:w="3686"/>
        <w:gridCol w:w="992"/>
      </w:tblGrid>
      <w:tr>
        <w:trPr>
          <w:trHeight w:val="7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保养项目</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保养要求</w:t>
            </w:r>
            <w:r>
              <w:rPr>
                <w:rFonts w:hint="eastAsia" w:ascii="宋体" w:hAnsi="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每次保养周期</w:t>
            </w:r>
            <w:r>
              <w:rPr>
                <w:rFonts w:hint="eastAsia" w:ascii="宋体" w:hAnsi="宋体" w:cs="宋体"/>
                <w:b/>
                <w:bCs/>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机房、滑轮间环境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干净、整洁，门窗完好，照明正常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手动紧急操作装置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齐全，放置在指定的位置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运行时无异常振动和异常声响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制动器各销轴部位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润滑，动作灵活</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制动器间隙</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打开时制动衬与制动轮无摩擦，间隙值符合制造单位要求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制动器作为轿厢意外移动保护装置停子系统时的自监测</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制动力人工方式检测符合使用维护说明书要求；制动力自监测系统有记录</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编码器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安装牢固，干净</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限速器各销轴部位</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润滑，转动灵活，电气开关正常有效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层门和轿门旁路装置</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紧急电动运行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干净整洁，防护栏安全可靠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轿顶检修开关、急停开关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功能正常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导靴上油杯</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无泄漏，油量适宜，吸油毛毡齐全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对重块及其压板</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对重块无松动，其压板紧固</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井道照明齐全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轿厢照明、风扇、应急照明</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轿厢检修开关、急停开关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轿内报警装置、对讲系统</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轿内显示、指令按钮、IC卡系统</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轿门防撞击保护装置（安全触板、光幕、光电）</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轿门门锁电气触点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清洁，触点接触良好，接线可靠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轿门运行</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开启和关闭工作正常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轿厢平层精度</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429"/>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层站召唤、层楼显示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齐全，正常有效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层门地坎</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层门自动关门装置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层门门锁自动复位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用钥匙打开手动开锁装置释放后，层门门锁能自动复位</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层门门锁电气触点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清洁，触点接触良好，接线可靠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层门锁紧元件啮合长度</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不小于7mm</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底坑环境</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干净，无积水、渗水，照明正常</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底坑急停开关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15天</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减速机润滑油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油量适宜，除蜗杆伸出端外均无渗漏</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制动衬</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位置脉冲发生器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7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选层器动静触点</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无烧蚀，清洁</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曳引轮槽及曳引钢丝绳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干净，无严重油腻，钢丝绳张力均匀，符合制造单位要求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限速器轮槽及限速器钢丝绳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干净，无严重油腻</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靴衬、滚轮</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干净，其磨损量不超过制造单位要求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验证轿门关闭的电气安全装置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轿门、层门系统中传动钢丝绳、链条、胶带</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清洁，其松紧力调整符合制造单位要求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层门门导靴</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磨损量不超过制造单位要求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消防开关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耗能缓冲器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柱塞无锈蚀，油量适宜，电气安全装置正常有效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限速器张紧轮装置和电气安全装置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电动机与减速机联轴器螺栓</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曳引轮、导向轮轴承部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无异常声，无振动，润滑良好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曳引轮槽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制动器上检测开关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正常有效，制动器动作可靠</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控制柜内各接线端子</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各线路紧固、整齐，线号齐全清晰</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50</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控制柜各仪表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显示正确</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井道、对重、轿顶各反绳轮轴承部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无异常声，无振动，润滑良好</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曳引绳、补偿绳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磨损量、断丝数不超过要求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53</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曳引绳绳头组合</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螺母无松动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54</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限速器钢丝绳</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磨损量、断丝数不超过制造单位要求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5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55</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层门、轿门门扇</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门扇各相关间隙符合标准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对重缓冲距</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补偿链（绳）与轿厢、对重接合处</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固定牢固，无松动</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24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上下极限开关</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工作正常有效</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减速机润滑油</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按照制造单位要求适时更换，保证油质符合要求</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控制柜接触器，继电器触点</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接触良好</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48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制动器铁芯（柱塞）</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进行清洁、润滑、检查，磨损量符合制造单位要求</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62</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制动器制动弹簧压缩量</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符合制造单位要求，保持足够的制动力</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导电回路绝缘性能测试</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符合标准</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限速器安全钳联动试验（每2年进行一次限速器动作速度校验）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上行超速保护装置动作试验</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工作正常</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66</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轿顶、轿厢架、轿门及其附件安装螺栓</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67</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轿厢和对重的导轨支架</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68</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轿厢和对重的导轨</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清洁，压板牢固</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69</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随行电缆</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无损伤</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70</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层门装置和地坎</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无影响正常使用的变形，各安装螺栓紧固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71</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轿厢称重装置</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准确有效</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72</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安全钳钳座</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73</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轿底各安装螺栓</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紧固</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74</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缓冲器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1004"/>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固定，无松动</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4"/>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12个月</w:t>
            </w:r>
            <w:r>
              <w:rPr>
                <w:rFonts w:hint="eastAsia" w:ascii="宋体" w:hAnsi="宋体" w:cs="宋体"/>
                <w:color w:val="000000"/>
                <w:sz w:val="24"/>
                <w:highlight w:val="none"/>
              </w:rPr>
            </w:r>
            <w:r/>
          </w:p>
        </w:tc>
      </w:tr>
    </w:tbl>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供应商的维保单位应根据电梯情况制定年度保养计划提交采购人。</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供应商的维保单位需配合采购人及保险公司对电梯涉及材料、工具、日常工作的检查。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维保单位须在每月25日前，向采购人提交次月维保计划，月维保计划包括：维保时间、维保项目、维保范围、参加人员名单。</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维保单位在维保作业时，必须按要求在一楼及地下室及相关区域做好保养专用警示牌，如有必要，需放置警示护栏及标识。</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维保单位保养人员在进入机房、轿顶或井道作业完毕后，必须锁好门栓。</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在合同履行期间，因维修、维保作业而与此相关的导致各类安全意外事故责任均由成交供应商及维保单位自行承担全部责任。</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（7）维保服务过程监督：</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供应商通过自有的人员和平台对电梯维保和维修服务过程进行监控，对于服务过程中发现的问题，提出整改要求，监督维保单位及时整改，并定期向采购方通报。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（8）安全宣传服务：</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险公司可根据需要制定电梯安全知识宣传折页、宣传海报，在装设电梯的场所进行投放、张贴。向公众宣传电梯安全使用知识，并定期开展防灾安全救援演练。并定期组织投保单位安全员进行电梯安全运行培训，减少电梯正常使用过程中发生意外事故的概率。</w:t>
      </w:r>
      <w:r>
        <w:rPr>
          <w:rFonts w:hint="eastAsia" w:ascii="宋体" w:hAnsi="宋体" w:cs="宋体"/>
          <w:color w:val="000000"/>
          <w:sz w:val="24"/>
          <w:highlight w:val="none"/>
        </w:rPr>
      </w:r>
      <w:r/>
    </w:p>
    <w:p>
      <w:pPr>
        <w:pStyle w:val="1004"/>
        <w:numPr>
          <w:ilvl w:val="0"/>
          <w:numId w:val="11"/>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制定服务结果评定标准。</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二、有关要求</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实施质量必须严格按照国家规范及江苏省、南通市相应地方规范、招标文件的技术规范的有关要求执行，如果在合同履行过程中有新的国家或行业（部）规范和标准出台的，则成交供应商应确保其合同产品达到并符合新的国家或行业（部）规范和标准，因此而增加的费用及风险由中标供应商自行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2、成交供应商在项目实施期间应无条件的接受采购人的监督管理，对采购人提出的质量问题应当在采购人指定的期限内整改，整改完毕后通知采购人检查验收，合格后书面报送采购人备案。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3、与本次采购项目有关的质量、安全问题均由成交供应商负责，相关的人员、财产责任风险均由成交供应商全部承担。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投产品如属于国家认证认可监督管理委员会现行《强制性产品认证目录描述与界定表》管理的强制性认证产品，成交供应商在提请采购人验收时须提供上述产品的对应证书，否则采购人有权不予验收，且成交供应商应承担由此而引起的一切法律责任和费用。</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6、派驻人员要求如下：</w:t>
      </w:r>
      <w:r>
        <w:rPr>
          <w:rFonts w:hint="eastAsia" w:ascii="宋体" w:hAnsi="宋体" w:cs="宋体"/>
          <w:color w:val="000000"/>
          <w:sz w:val="24"/>
          <w:highlight w:val="none"/>
        </w:rPr>
      </w:r>
      <w:r/>
    </w:p>
    <w:p>
      <w:pPr>
        <w:pStyle w:val="1004"/>
        <w:ind w:firstLine="360"/>
        <w:jc w:val="left"/>
        <w:spacing w:line="360" w:lineRule="auto"/>
        <w:widowControl/>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1）原则上，成交供应商应派至少1名技术人员对甲方的每台电梯按照第二条保养范围进行全面保养，工作时须穿着特定的服装或可显著识别的安全标识，能清楚地表明其电梯维保人员身份。</w:t>
      </w:r>
      <w:r>
        <w:rPr>
          <w:rFonts w:hint="eastAsia" w:ascii="宋体" w:hAnsi="宋体" w:cs="宋体"/>
          <w:color w:val="000000"/>
          <w:sz w:val="24"/>
          <w:highlight w:val="none"/>
          <w:lang w:bidi="en-US"/>
        </w:rPr>
      </w:r>
      <w:r/>
    </w:p>
    <w:p>
      <w:pPr>
        <w:pStyle w:val="1004"/>
        <w:ind w:firstLine="360"/>
        <w:jc w:val="left"/>
        <w:spacing w:line="360" w:lineRule="auto"/>
        <w:widowControl/>
        <w:rPr>
          <w:rFonts w:hint="eastAsia" w:ascii="宋体" w:hAnsi="宋体" w:cs="宋体"/>
          <w:color w:val="000000"/>
          <w:sz w:val="24"/>
          <w:highlight w:val="none"/>
          <w:lang w:bidi="en-US"/>
        </w:rPr>
      </w:pPr>
      <w:r>
        <w:rPr>
          <w:rFonts w:hint="eastAsia" w:ascii="宋体" w:hAnsi="宋体" w:cs="宋体"/>
          <w:color w:val="000000"/>
          <w:sz w:val="24"/>
          <w:highlight w:val="none"/>
          <w:lang w:bidi="en-US"/>
        </w:rPr>
        <w:t xml:space="preserve">2）成交供应商需安排具备维修本协议涉及电梯的技术能力的维保人员在</w:t>
      </w:r>
      <w:r>
        <w:rPr>
          <w:rFonts w:hint="eastAsia" w:ascii="宋体" w:hAnsi="宋体" w:cs="宋体"/>
          <w:color w:val="000000"/>
          <w:sz w:val="24"/>
          <w:highlight w:val="none"/>
        </w:rPr>
        <w:t xml:space="preserve">本协议涉及</w:t>
      </w:r>
      <w:r>
        <w:rPr>
          <w:rFonts w:hint="eastAsia" w:ascii="宋体" w:hAnsi="宋体" w:cs="宋体"/>
          <w:color w:val="000000"/>
          <w:sz w:val="24"/>
          <w:highlight w:val="none"/>
          <w:lang w:bidi="en-US"/>
        </w:rPr>
        <w:t xml:space="preserve">项目常驻，电梯发生故障时中标人需安排人员及时赶赴现场处理。</w:t>
      </w:r>
      <w:r>
        <w:rPr>
          <w:rFonts w:hint="eastAsia" w:ascii="宋体" w:hAnsi="宋体" w:cs="宋体"/>
          <w:color w:val="000000"/>
          <w:sz w:val="24"/>
          <w:highlight w:val="none"/>
          <w:lang w:bidi="en-US"/>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3）成交供应商</w:t>
      </w:r>
      <w:r>
        <w:rPr>
          <w:rFonts w:hint="eastAsia" w:ascii="宋体" w:hAnsi="宋体" w:cs="宋体"/>
          <w:color w:val="000000"/>
          <w:sz w:val="24"/>
          <w:highlight w:val="none"/>
        </w:rPr>
        <w:t xml:space="preserve">对合同范围内电梯提供24小时全天候的紧急故障处理，项目业主发现电梯出现故障时，应立即通知</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须在接到通知后30分钟内派员到达现场进行处理。维保人员到现场处理后发现无法判断或者处理不了的，故障发生2小时内升级到维保机构现场技术人员，故障发生6小时人保技术支持介入并持续跟进电梯故障，故障发生48小时若还是无法判断故障根源，升级上报至</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技术负责人与维保机构技术负责人，直至故障彻底解决。</w:t>
      </w:r>
      <w:r>
        <w:rPr>
          <w:rFonts w:hint="eastAsia" w:ascii="宋体" w:hAnsi="宋体" w:cs="宋体"/>
          <w:color w:val="000000"/>
          <w:sz w:val="24"/>
          <w:highlight w:val="none"/>
        </w:rPr>
      </w:r>
      <w:r/>
    </w:p>
    <w:p>
      <w:pPr>
        <w:pStyle w:val="1004"/>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7、工作人数安排、工作要求和工作质量标准：</w:t>
      </w:r>
      <w:r>
        <w:rPr>
          <w:rFonts w:hint="eastAsia" w:ascii="宋体" w:hAnsi="宋体" w:cs="宋体"/>
          <w:bCs/>
          <w:color w:val="000000"/>
          <w:sz w:val="24"/>
          <w:highlight w:val="none"/>
        </w:rPr>
      </w:r>
      <w:r/>
    </w:p>
    <w:p>
      <w:pPr>
        <w:pStyle w:val="1004"/>
        <w:ind w:firstLine="420"/>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bidi="en-US"/>
        </w:rPr>
        <w:t xml:space="preserve">1）成交供应商</w:t>
      </w:r>
      <w:r>
        <w:rPr>
          <w:rFonts w:hint="eastAsia" w:ascii="宋体" w:hAnsi="宋体" w:cs="宋体"/>
          <w:color w:val="000000"/>
          <w:sz w:val="24"/>
          <w:highlight w:val="none"/>
        </w:rPr>
        <w:t xml:space="preserve">保证自接到采购人书面通知进场之日起，需安排专业人员对所承接的电梯进行全面检查；采购人需安排专业工程师及原维保单位进行协助，形成《电梯维保三方交接记录表》，针对移交问题清单，由采购人协助原维保单位于</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个工作日内完成整改；后续出现移交清单以外的问题，均由</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承担；若</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在移交过程中未发现但后续出现的问题，均由</w:t>
      </w:r>
      <w:r>
        <w:rPr>
          <w:rFonts w:hint="eastAsia" w:ascii="宋体" w:hAnsi="宋体" w:cs="宋体"/>
          <w:color w:val="000000"/>
          <w:sz w:val="24"/>
          <w:highlight w:val="none"/>
          <w:lang w:eastAsia="zh-CN"/>
        </w:rPr>
        <w:t xml:space="preserve">成交人</w:t>
      </w:r>
      <w:r>
        <w:rPr>
          <w:rFonts w:hint="eastAsia" w:ascii="宋体" w:hAnsi="宋体" w:cs="宋体"/>
          <w:color w:val="000000"/>
          <w:sz w:val="24"/>
          <w:highlight w:val="none"/>
        </w:rPr>
        <w:t xml:space="preserve">全权承担整改费用及损失。</w:t>
      </w:r>
      <w:r>
        <w:rPr>
          <w:rFonts w:hint="eastAsia" w:ascii="宋体" w:hAnsi="宋体" w:cs="宋体"/>
          <w:bCs/>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2）</w:t>
      </w:r>
      <w:r>
        <w:rPr>
          <w:rFonts w:hint="eastAsia" w:ascii="宋体" w:hAnsi="宋体" w:cs="宋体"/>
          <w:color w:val="000000"/>
          <w:sz w:val="24"/>
          <w:highlight w:val="none"/>
        </w:rPr>
        <w:t xml:space="preserve">本合同约定保养期内，</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对所服务的项目派出至少</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名专业保养人员按本地有关电梯行业的保养规范，每月每台2 次(至少每15天一次)定期对本协议涉及电梯按保养计划进行保养，并固定至少派</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名专业电梯</w:t>
      </w:r>
      <w:r>
        <w:rPr>
          <w:rFonts w:hint="eastAsia" w:ascii="宋体" w:hAnsi="宋体" w:cs="宋体"/>
          <w:color w:val="000000"/>
          <w:sz w:val="24"/>
          <w:highlight w:val="none"/>
          <w:lang w:bidi="en-US"/>
        </w:rPr>
        <w:t xml:space="preserve">维保</w:t>
      </w:r>
      <w:r>
        <w:rPr>
          <w:rFonts w:hint="eastAsia" w:ascii="宋体" w:hAnsi="宋体" w:cs="宋体"/>
          <w:color w:val="000000"/>
          <w:sz w:val="24"/>
          <w:highlight w:val="none"/>
        </w:rPr>
        <w:t xml:space="preserve">人员常驻现场，确保本协议涉及电梯系统运行正常，逐台电梯做好保养记录，建档备查。</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en-US"/>
        </w:rPr>
        <w:t xml:space="preserve">3）成交供应商</w:t>
      </w:r>
      <w:r>
        <w:rPr>
          <w:rFonts w:hint="eastAsia" w:ascii="宋体" w:hAnsi="宋体" w:cs="宋体"/>
          <w:color w:val="000000"/>
          <w:sz w:val="24"/>
          <w:highlight w:val="none"/>
        </w:rPr>
        <w:t xml:space="preserve">应对采购人现场员工每季度组织最少一次电梯知识技能培训，并提供培训记录。</w:t>
      </w:r>
      <w:r>
        <w:rPr>
          <w:rFonts w:hint="eastAsia" w:ascii="宋体" w:hAnsi="宋体" w:cs="宋体"/>
          <w:color w:val="000000"/>
          <w:sz w:val="24"/>
          <w:highlight w:val="none"/>
        </w:rPr>
      </w:r>
      <w:r/>
    </w:p>
    <w:p>
      <w:pPr>
        <w:pStyle w:val="1004"/>
        <w:ind w:firstLine="480"/>
        <w:rPr>
          <w:rFonts w:hint="eastAsia" w:ascii="宋体" w:hAnsi="宋体" w:cs="宋体"/>
          <w:color w:val="000000"/>
          <w:sz w:val="24"/>
          <w:highlight w:val="none"/>
        </w:rPr>
      </w:pPr>
      <w:r>
        <w:rPr>
          <w:rFonts w:hint="eastAsia" w:ascii="宋体" w:hAnsi="宋体" w:cs="宋体"/>
          <w:color w:val="000000"/>
          <w:sz w:val="24"/>
          <w:highlight w:val="none"/>
          <w:lang w:bidi="en-US"/>
        </w:rPr>
        <w:t xml:space="preserve">4）</w:t>
      </w:r>
      <w:r>
        <w:rPr>
          <w:rFonts w:hint="eastAsia" w:ascii="宋体" w:hAnsi="宋体" w:cs="宋体"/>
          <w:color w:val="000000"/>
          <w:sz w:val="24"/>
          <w:highlight w:val="none"/>
        </w:rPr>
        <w:t xml:space="preserve">遇节假日</w:t>
      </w:r>
      <w:r>
        <w:rPr>
          <w:rFonts w:hint="eastAsia" w:ascii="宋体" w:hAnsi="宋体" w:cs="宋体"/>
          <w:color w:val="000000"/>
          <w:sz w:val="24"/>
          <w:highlight w:val="none"/>
          <w:lang w:bidi="en-US"/>
        </w:rPr>
        <w:t xml:space="preserve">成交供应商</w:t>
      </w:r>
      <w:r>
        <w:rPr>
          <w:rFonts w:hint="eastAsia" w:ascii="宋体" w:hAnsi="宋体" w:cs="宋体"/>
          <w:color w:val="000000"/>
          <w:sz w:val="24"/>
          <w:highlight w:val="none"/>
        </w:rPr>
        <w:t xml:space="preserve">需确保至少一名值班人员，并报采购人备案。</w:t>
      </w:r>
      <w:r>
        <w:rPr>
          <w:rFonts w:hint="eastAsia" w:ascii="宋体" w:hAnsi="宋体" w:cs="宋体"/>
          <w:color w:val="000000"/>
          <w:sz w:val="24"/>
          <w:highlight w:val="none"/>
        </w:rPr>
      </w:r>
      <w:r/>
    </w:p>
    <w:p>
      <w:pPr>
        <w:pStyle w:val="1063"/>
        <w:tabs>
          <w:tab w:val="right" w:pos="8720" w:leader="dot"/>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widowControl/>
        <w:rPr>
          <w:rFonts w:hint="eastAsia" w:ascii="宋体" w:hAnsi="宋体" w:cs="宋体"/>
          <w:b/>
          <w:bCs/>
          <w:color w:val="000000"/>
          <w:sz w:val="24"/>
          <w:szCs w:val="24"/>
          <w:highlight w:val="none"/>
        </w:rPr>
      </w:pPr>
      <w:r>
        <w:rPr>
          <w:rFonts w:hint="eastAsia"/>
          <w:b/>
          <w:bCs/>
          <w:color w:val="000000"/>
          <w:sz w:val="24"/>
          <w:szCs w:val="24"/>
          <w:highlight w:val="none"/>
        </w:rPr>
        <w:t xml:space="preserve">附件1：</w:t>
      </w:r>
      <w:r>
        <w:rPr>
          <w:rFonts w:hint="eastAsia" w:ascii="宋体" w:hAnsi="宋体" w:cs="宋体"/>
          <w:b/>
          <w:bCs/>
          <w:color w:val="000000"/>
          <w:sz w:val="24"/>
          <w:szCs w:val="24"/>
          <w:highlight w:val="none"/>
        </w:rPr>
        <w:t xml:space="preserve">电梯维保三方交接</w:t>
      </w:r>
      <w:r>
        <w:rPr>
          <w:rFonts w:ascii="宋体" w:hAnsi="宋体" w:cs="宋体"/>
          <w:b/>
          <w:bCs/>
          <w:color w:val="000000"/>
          <w:sz w:val="24"/>
          <w:szCs w:val="24"/>
          <w:highlight w:val="none"/>
        </w:rPr>
        <w:t xml:space="preserve">记录表</w:t>
      </w:r>
      <w:r>
        <w:rPr>
          <w:rFonts w:hint="eastAsia" w:ascii="宋体" w:hAnsi="宋体" w:cs="宋体"/>
          <w:b/>
          <w:bCs/>
          <w:color w:val="000000"/>
          <w:sz w:val="24"/>
          <w:szCs w:val="24"/>
          <w:highlight w:val="none"/>
        </w:rPr>
      </w:r>
      <w:r/>
    </w:p>
    <w:p>
      <w:pPr>
        <w:pStyle w:val="1004"/>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电梯维保三方交接</w:t>
      </w:r>
      <w:r>
        <w:rPr>
          <w:rFonts w:ascii="宋体" w:hAnsi="宋体" w:cs="宋体"/>
          <w:b/>
          <w:bCs/>
          <w:color w:val="000000"/>
          <w:sz w:val="24"/>
          <w:szCs w:val="24"/>
          <w:highlight w:val="none"/>
        </w:rPr>
        <w:t xml:space="preserve">记录表</w:t>
      </w:r>
      <w:r>
        <w:rPr>
          <w:rFonts w:hint="eastAsia" w:ascii="宋体" w:hAnsi="宋体" w:cs="宋体"/>
          <w:b/>
          <w:bCs/>
          <w:color w:val="000000"/>
          <w:sz w:val="24"/>
          <w:szCs w:val="24"/>
          <w:highlight w:val="none"/>
        </w:rPr>
      </w:r>
      <w:r/>
    </w:p>
    <w:tbl>
      <w:tblPr>
        <w:tblW w:w="951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2440"/>
        <w:gridCol w:w="1023"/>
        <w:gridCol w:w="2083"/>
        <w:gridCol w:w="1077"/>
        <w:gridCol w:w="312"/>
        <w:gridCol w:w="2576"/>
      </w:tblGrid>
      <w:tr>
        <w:trPr>
          <w:trHeight w:val="268"/>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项目名称</w:t>
            </w:r>
            <w:r>
              <w:rPr>
                <w:rFonts w:hint="eastAsia" w:ascii="宋体" w:hAnsi="宋体"/>
                <w:color w:val="000000"/>
                <w:highlight w:val="none"/>
              </w:rPr>
            </w:r>
            <w:r/>
          </w:p>
        </w:tc>
        <w:tc>
          <w:tcPr>
            <w:gridSpan w:val="2"/>
            <w:tcW w:w="310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2"/>
            <w:tcW w:w="1389"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交接时间</w:t>
            </w:r>
            <w:r>
              <w:rPr>
                <w:rFonts w:hint="eastAsia" w:ascii="宋体" w:hAnsi="宋体"/>
                <w:color w:val="000000"/>
                <w:highlight w:val="none"/>
              </w:rPr>
            </w:r>
            <w:r/>
          </w:p>
        </w:tc>
        <w:tc>
          <w:tcPr>
            <w:tcW w:w="257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原维保单位（移交方）</w:t>
            </w:r>
            <w:r>
              <w:rPr>
                <w:rFonts w:hint="eastAsia" w:ascii="宋体" w:hAnsi="宋体"/>
                <w:color w:val="000000"/>
                <w:highlight w:val="none"/>
              </w:rPr>
            </w:r>
            <w:r/>
          </w:p>
        </w:tc>
        <w:tc>
          <w:tcPr>
            <w:gridSpan w:val="5"/>
            <w:tcW w:w="7071"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现维保单位（接收方）</w:t>
            </w:r>
            <w:r>
              <w:rPr>
                <w:rFonts w:hint="eastAsia" w:ascii="宋体" w:hAnsi="宋体"/>
                <w:color w:val="000000"/>
                <w:highlight w:val="none"/>
              </w:rPr>
            </w:r>
            <w:r/>
          </w:p>
        </w:tc>
        <w:tc>
          <w:tcPr>
            <w:gridSpan w:val="5"/>
            <w:tcW w:w="7071"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tcW w:w="2440"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电梯品牌</w:t>
            </w:r>
            <w:r>
              <w:rPr>
                <w:rFonts w:hint="eastAsia" w:ascii="宋体" w:hAnsi="宋体"/>
                <w:color w:val="000000"/>
                <w:highlight w:val="none"/>
              </w:rPr>
            </w:r>
            <w:r/>
          </w:p>
        </w:tc>
        <w:tc>
          <w:tcPr>
            <w:gridSpan w:val="2"/>
            <w:tcW w:w="310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2"/>
            <w:tcW w:w="1389"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电梯数量</w:t>
            </w:r>
            <w:r>
              <w:rPr>
                <w:rFonts w:hint="eastAsia" w:ascii="宋体" w:hAnsi="宋体"/>
                <w:color w:val="000000"/>
                <w:highlight w:val="none"/>
              </w:rPr>
            </w:r>
            <w:r/>
          </w:p>
        </w:tc>
        <w:tc>
          <w:tcPr>
            <w:tcW w:w="257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查验问题清单</w:t>
            </w: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t xml:space="preserve">备注</w:t>
            </w: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9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20"/>
        </w:trPr>
        <w:tc>
          <w:tcPr>
            <w:gridSpan w:val="3"/>
            <w:tcW w:w="5546" w:type="dxa"/>
            <w:vAlign w:val="center"/>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r>
            <w:r/>
          </w:p>
        </w:tc>
        <w:tc>
          <w:tcPr>
            <w:gridSpan w:val="3"/>
            <w:tcW w:w="3965" w:type="dxa"/>
            <w:vAlign w:val="center"/>
            <w:textDirection w:val="lrTb"/>
            <w:noWrap w:val="false"/>
          </w:tcPr>
          <w:p>
            <w:pPr>
              <w:pStyle w:val="1004"/>
              <w:jc w:val="center"/>
              <w:spacing w:line="360" w:lineRule="auto"/>
              <w:rPr>
                <w:rFonts w:hint="eastAsia" w:ascii="宋体" w:hAnsi="宋体"/>
                <w:color w:val="000000"/>
                <w:highlight w:val="none"/>
              </w:rPr>
            </w:pPr>
            <w:r>
              <w:rPr>
                <w:rFonts w:hint="eastAsia" w:ascii="宋体" w:hAnsi="宋体"/>
                <w:color w:val="000000"/>
                <w:highlight w:val="none"/>
              </w:rPr>
            </w:r>
            <w:r/>
          </w:p>
        </w:tc>
      </w:tr>
      <w:tr>
        <w:trPr>
          <w:trHeight w:val="1929"/>
        </w:trPr>
        <w:tc>
          <w:tcPr>
            <w:gridSpan w:val="2"/>
            <w:tcW w:w="3463" w:type="dxa"/>
            <w:vAlign w:val="top"/>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t xml:space="preserve">移交单位(盖章):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tc>
        <w:tc>
          <w:tcPr>
            <w:gridSpan w:val="2"/>
            <w:tcW w:w="3160" w:type="dxa"/>
            <w:vAlign w:val="center"/>
            <w:textDirection w:val="lrTb"/>
            <w:noWrap w:val="false"/>
          </w:tcPr>
          <w:p>
            <w:pPr>
              <w:pStyle w:val="1004"/>
              <w:spacing w:line="360" w:lineRule="auto"/>
              <w:rPr>
                <w:rFonts w:hint="eastAsia" w:ascii="宋体" w:hAnsi="宋体"/>
                <w:color w:val="000000"/>
                <w:highlight w:val="none"/>
              </w:rPr>
            </w:pPr>
            <w:r>
              <w:rPr>
                <w:rFonts w:hint="eastAsia" w:ascii="宋体" w:hAnsi="宋体"/>
                <w:color w:val="000000"/>
                <w:highlight w:val="none"/>
              </w:rPr>
              <w:t xml:space="preserve">接收单位(盖章):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t xml:space="preserve">日期:</w:t>
            </w:r>
            <w:r>
              <w:rPr>
                <w:rFonts w:hint="eastAsia" w:ascii="宋体" w:hAnsi="宋体"/>
                <w:color w:val="000000"/>
                <w:highlight w:val="none"/>
              </w:rPr>
            </w:r>
            <w:r/>
          </w:p>
        </w:tc>
        <w:tc>
          <w:tcPr>
            <w:gridSpan w:val="2"/>
            <w:tcW w:w="2888" w:type="dxa"/>
            <w:vAlign w:val="center"/>
            <w:textDirection w:val="lrTb"/>
            <w:noWrap w:val="false"/>
          </w:tcPr>
          <w:p>
            <w:pPr>
              <w:pStyle w:val="1004"/>
              <w:spacing w:line="360" w:lineRule="auto"/>
              <w:rPr>
                <w:rFonts w:hint="eastAsia" w:ascii="宋体" w:hAnsi="宋体"/>
                <w:color w:val="000000"/>
                <w:highlight w:val="none"/>
              </w:rPr>
            </w:pPr>
            <w:r>
              <w:rPr>
                <w:rFonts w:ascii="宋体" w:hAnsi="宋体"/>
                <w:color w:val="000000"/>
                <w:highlight w:val="none"/>
              </w:rPr>
              <w:t xml:space="preserve">物业公司</w:t>
            </w:r>
            <w:r>
              <w:rPr>
                <w:rFonts w:hint="eastAsia" w:ascii="宋体" w:hAnsi="宋体"/>
                <w:color w:val="000000"/>
                <w:highlight w:val="none"/>
              </w:rPr>
              <w:t xml:space="preserve">（盖章）：</w:t>
            </w: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hint="eastAsia" w:ascii="宋体" w:hAnsi="宋体"/>
                <w:color w:val="000000"/>
                <w:highlight w:val="none"/>
              </w:rPr>
            </w:r>
            <w:r/>
          </w:p>
          <w:p>
            <w:pPr>
              <w:pStyle w:val="1004"/>
              <w:spacing w:line="360" w:lineRule="auto"/>
              <w:rPr>
                <w:rFonts w:hint="eastAsia" w:ascii="宋体" w:hAnsi="宋体"/>
                <w:color w:val="000000"/>
                <w:highlight w:val="none"/>
              </w:rPr>
            </w:pPr>
            <w:r>
              <w:rPr>
                <w:rFonts w:ascii="宋体" w:hAnsi="宋体"/>
                <w:color w:val="000000"/>
                <w:highlight w:val="none"/>
              </w:rPr>
              <w:t xml:space="preserve">日期</w:t>
            </w:r>
            <w:r>
              <w:rPr>
                <w:rFonts w:hint="eastAsia" w:ascii="宋体" w:hAnsi="宋体"/>
                <w:color w:val="000000"/>
                <w:highlight w:val="none"/>
              </w:rPr>
              <w:t xml:space="preserve">：</w:t>
            </w:r>
            <w:r>
              <w:rPr>
                <w:rFonts w:hint="eastAsia" w:ascii="宋体" w:hAnsi="宋体"/>
                <w:color w:val="000000"/>
                <w:highlight w:val="none"/>
              </w:rPr>
            </w:r>
            <w:r/>
          </w:p>
        </w:tc>
      </w:tr>
    </w:tbl>
    <w:p>
      <w:pPr>
        <w:pStyle w:val="1004"/>
        <w:spacing w:line="360" w:lineRule="auto"/>
        <w:rPr>
          <w:rFonts w:hint="eastAsia" w:ascii="宋体" w:hAnsi="宋体"/>
          <w:b/>
          <w:color w:val="000000"/>
          <w:highlight w:val="none"/>
        </w:rPr>
      </w:pPr>
      <w:r>
        <w:rPr>
          <w:rFonts w:hint="eastAsia" w:ascii="宋体" w:hAnsi="宋体"/>
          <w:b/>
          <w:color w:val="000000"/>
          <w:highlight w:val="none"/>
        </w:rPr>
      </w:r>
      <w:r/>
    </w:p>
    <w:p>
      <w:pPr>
        <w:pStyle w:val="1322"/>
        <w:rPr>
          <w:color w:val="000000"/>
          <w:highlight w:val="none"/>
        </w:rPr>
      </w:pPr>
      <w:r>
        <w:rPr>
          <w:color w:val="000000"/>
          <w:highlight w:val="none"/>
        </w:rPr>
      </w:r>
      <w:r/>
    </w:p>
    <w:p>
      <w:pPr>
        <w:pStyle w:val="1004"/>
        <w:spacing w:line="360" w:lineRule="auto"/>
        <w:rPr>
          <w:b/>
          <w:bCs/>
          <w:color w:val="000000"/>
          <w:sz w:val="18"/>
          <w:szCs w:val="18"/>
          <w:highlight w:val="none"/>
        </w:rPr>
      </w:pPr>
      <w:r>
        <w:rPr>
          <w:b/>
          <w:bCs/>
          <w:color w:val="000000"/>
          <w:sz w:val="18"/>
          <w:szCs w:val="18"/>
          <w:highlight w:val="none"/>
        </w:rPr>
      </w:r>
      <w:r/>
    </w:p>
    <w:p>
      <w:pPr>
        <w:pStyle w:val="1310"/>
        <w:rPr>
          <w:color w:val="000000"/>
          <w:highlight w:val="none"/>
        </w:rPr>
      </w:pPr>
      <w:r>
        <w:rPr>
          <w:color w:val="000000"/>
          <w:highlight w:val="none"/>
        </w:rPr>
      </w:r>
      <w:r/>
    </w:p>
    <w:p>
      <w:pPr>
        <w:pStyle w:val="1004"/>
        <w:spacing w:line="360" w:lineRule="auto"/>
        <w:rPr>
          <w:b/>
          <w:bCs/>
          <w:color w:val="000000"/>
          <w:sz w:val="24"/>
          <w:szCs w:val="24"/>
          <w:highlight w:val="none"/>
        </w:rPr>
      </w:pPr>
      <w:r>
        <w:rPr>
          <w:b/>
          <w:bCs/>
          <w:color w:val="000000"/>
          <w:sz w:val="24"/>
          <w:szCs w:val="24"/>
          <w:highlight w:val="none"/>
        </w:rPr>
      </w:r>
      <w:r/>
    </w:p>
    <w:p>
      <w:pPr>
        <w:pStyle w:val="1004"/>
        <w:spacing w:line="360" w:lineRule="auto"/>
        <w:rPr>
          <w:rFonts w:hint="eastAsia"/>
          <w:b/>
          <w:bCs/>
          <w:color w:val="000000"/>
          <w:sz w:val="24"/>
          <w:szCs w:val="24"/>
          <w:highlight w:val="none"/>
        </w:rPr>
      </w:pPr>
      <w:r>
        <w:rPr>
          <w:rFonts w:hint="eastAsia"/>
          <w:b/>
          <w:bCs/>
          <w:color w:val="000000"/>
          <w:sz w:val="24"/>
          <w:szCs w:val="24"/>
          <w:highlight w:val="none"/>
        </w:rPr>
      </w:r>
      <w:r/>
    </w:p>
    <w:p>
      <w:pPr>
        <w:pStyle w:val="1004"/>
        <w:spacing w:line="360" w:lineRule="auto"/>
        <w:rPr>
          <w:rFonts w:hint="eastAsia"/>
          <w:b/>
          <w:bCs/>
          <w:color w:val="000000"/>
          <w:sz w:val="24"/>
          <w:szCs w:val="24"/>
          <w:highlight w:val="none"/>
        </w:rPr>
      </w:pPr>
      <w:r>
        <w:rPr>
          <w:rFonts w:hint="eastAsia"/>
          <w:b/>
          <w:bCs/>
          <w:color w:val="000000"/>
          <w:sz w:val="24"/>
          <w:szCs w:val="24"/>
          <w:highlight w:val="none"/>
        </w:rPr>
      </w:r>
      <w:r/>
    </w:p>
    <w:p>
      <w:pPr>
        <w:pStyle w:val="1004"/>
        <w:spacing w:line="360" w:lineRule="auto"/>
        <w:rPr>
          <w:rFonts w:hint="eastAsia"/>
          <w:b/>
          <w:bCs/>
          <w:color w:val="000000"/>
          <w:sz w:val="24"/>
          <w:szCs w:val="24"/>
          <w:highlight w:val="none"/>
        </w:rPr>
      </w:pPr>
      <w:r>
        <w:rPr>
          <w:rFonts w:hint="eastAsia"/>
          <w:b/>
          <w:bCs/>
          <w:color w:val="000000"/>
          <w:sz w:val="24"/>
          <w:szCs w:val="24"/>
          <w:highlight w:val="none"/>
        </w:rPr>
      </w:r>
      <w:r/>
    </w:p>
    <w:p>
      <w:pPr>
        <w:pStyle w:val="1004"/>
        <w:spacing w:line="360" w:lineRule="auto"/>
        <w:rPr>
          <w:rFonts w:hint="eastAsia" w:ascii="宋体" w:hAnsi="宋体"/>
          <w:b/>
          <w:color w:val="000000"/>
          <w:sz w:val="24"/>
          <w:szCs w:val="24"/>
          <w:highlight w:val="none"/>
        </w:rPr>
      </w:pPr>
      <w:r>
        <w:rPr>
          <w:rFonts w:hint="eastAsia"/>
          <w:b/>
          <w:bCs/>
          <w:color w:val="000000"/>
          <w:sz w:val="24"/>
          <w:szCs w:val="24"/>
          <w:highlight w:val="none"/>
        </w:rPr>
        <w:t xml:space="preserve">附件2：</w:t>
      </w:r>
      <w:r>
        <w:rPr>
          <w:rFonts w:hint="eastAsia" w:ascii="宋体" w:hAnsi="宋体"/>
          <w:b/>
          <w:color w:val="000000"/>
          <w:sz w:val="24"/>
          <w:szCs w:val="24"/>
          <w:highlight w:val="none"/>
        </w:rPr>
        <w:t xml:space="preserve">电梯维保服务月度质量评价表</w:t>
      </w:r>
      <w:r>
        <w:rPr>
          <w:rFonts w:hint="eastAsia" w:ascii="宋体" w:hAnsi="宋体"/>
          <w:b/>
          <w:color w:val="000000"/>
          <w:sz w:val="24"/>
          <w:szCs w:val="24"/>
          <w:highlight w:val="none"/>
        </w:rPr>
      </w:r>
      <w:r/>
    </w:p>
    <w:p>
      <w:pPr>
        <w:pStyle w:val="1004"/>
        <w:spacing w:line="360" w:lineRule="auto"/>
        <w:rPr>
          <w:rFonts w:ascii="方正楷体简体" w:hAnsi="宋体" w:eastAsia="方正楷体简体"/>
          <w:b/>
          <w:color w:val="000000"/>
          <w:sz w:val="24"/>
          <w:szCs w:val="24"/>
          <w:highlight w:val="none"/>
        </w:rPr>
      </w:pPr>
      <w:r>
        <w:rPr>
          <w:rFonts w:hint="eastAsia"/>
          <w:b/>
          <w:bCs/>
          <w:color w:val="000000"/>
          <w:sz w:val="24"/>
          <w:szCs w:val="24"/>
          <w:highlight w:val="none"/>
        </w:rPr>
        <w:t xml:space="preserve">                       </w:t>
      </w:r>
      <w:r>
        <w:rPr>
          <w:rFonts w:hint="eastAsia" w:ascii="宋体" w:hAnsi="宋体"/>
          <w:b/>
          <w:color w:val="000000"/>
          <w:sz w:val="24"/>
          <w:szCs w:val="24"/>
          <w:highlight w:val="none"/>
        </w:rPr>
        <w:t xml:space="preserve">电梯维保服务月度质量评价表</w:t>
      </w:r>
      <w:r>
        <w:rPr>
          <w:rFonts w:ascii="方正楷体简体" w:hAnsi="宋体" w:eastAsia="方正楷体简体"/>
          <w:b/>
          <w:color w:val="000000"/>
          <w:sz w:val="24"/>
          <w:szCs w:val="24"/>
          <w:highlight w:val="none"/>
        </w:rPr>
      </w:r>
      <w:r/>
    </w:p>
    <w:tbl>
      <w:tblPr>
        <w:tblW w:w="95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74"/>
        <w:gridCol w:w="697"/>
        <w:gridCol w:w="5086"/>
        <w:gridCol w:w="717"/>
        <w:gridCol w:w="1033"/>
        <w:gridCol w:w="450"/>
        <w:gridCol w:w="393"/>
        <w:gridCol w:w="561"/>
      </w:tblGrid>
      <w:tr>
        <w:trPr>
          <w:cantSplit/>
          <w:trHeight w:val="397"/>
        </w:trPr>
        <w:tc>
          <w:tcPr>
            <w:gridSpan w:val="3"/>
            <w:tcBorders>
              <w:top w:val="none" w:color="000000" w:sz="4" w:space="0"/>
              <w:left w:val="none" w:color="000000" w:sz="4" w:space="0"/>
              <w:bottom w:val="none" w:color="000000" w:sz="4" w:space="0"/>
              <w:right w:val="none" w:color="000000" w:sz="4" w:space="0"/>
            </w:tcBorders>
            <w:tcW w:w="6357"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维保服务机构：</w:t>
            </w:r>
            <w:r>
              <w:rPr>
                <w:rFonts w:hint="eastAsia" w:ascii="宋体" w:hAnsi="宋体" w:cs="宋体"/>
                <w:color w:val="000000"/>
                <w:szCs w:val="21"/>
                <w:highlight w:val="none"/>
              </w:rPr>
            </w:r>
            <w:r/>
          </w:p>
        </w:tc>
        <w:tc>
          <w:tcPr>
            <w:gridSpan w:val="5"/>
            <w:tcBorders>
              <w:top w:val="none" w:color="000000" w:sz="4" w:space="0"/>
              <w:left w:val="none" w:color="000000" w:sz="4" w:space="0"/>
              <w:bottom w:val="none" w:color="000000" w:sz="4" w:space="0"/>
              <w:right w:val="none" w:color="000000" w:sz="4" w:space="0"/>
            </w:tcBorders>
            <w:tcW w:w="3154" w:type="dxa"/>
            <w:vAlign w:val="center"/>
            <w:textDirection w:val="lrTb"/>
            <w:noWrap w:val="false"/>
          </w:tcPr>
          <w:p>
            <w:pPr>
              <w:pStyle w:val="1004"/>
              <w:ind w:right="400" w:firstLine="147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年    月</w:t>
            </w:r>
            <w:r>
              <w:rPr>
                <w:rFonts w:hint="eastAsia" w:ascii="宋体" w:hAnsi="宋体" w:cs="宋体"/>
                <w:color w:val="000000"/>
                <w:szCs w:val="21"/>
                <w:highlight w:val="none"/>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78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评定内容</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扣分</w:t>
            </w:r>
            <w:r>
              <w:rPr>
                <w:rFonts w:hint="eastAsia" w:ascii="宋体" w:hAnsi="宋体" w:cs="宋体"/>
                <w:color w:val="000000"/>
                <w:szCs w:val="21"/>
                <w:highlight w:val="none"/>
              </w:rPr>
            </w:r>
            <w:r/>
          </w:p>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扣分值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得分值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合同要求</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进入小区的维修保养人员未遵守物业规章制度的。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维保人员操作证复印件未按合同要求交于物业存档。</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提供给物业的联系人电话未保持</w:t>
            </w:r>
            <w:r>
              <w:rPr>
                <w:rFonts w:ascii="宋体" w:hAnsi="宋体" w:cs="宋体"/>
                <w:color w:val="000000"/>
                <w:szCs w:val="21"/>
                <w:highlight w:val="none"/>
              </w:rPr>
              <w:t xml:space="preserve">24</w:t>
            </w:r>
            <w:r>
              <w:rPr>
                <w:rFonts w:hint="eastAsia" w:ascii="宋体" w:hAnsi="宋体" w:cs="宋体"/>
                <w:color w:val="000000"/>
                <w:szCs w:val="21"/>
                <w:highlight w:val="none"/>
              </w:rPr>
              <w:t xml:space="preserve">小时畅通</w:t>
            </w:r>
            <w:r>
              <w:rPr>
                <w:rFonts w:ascii="宋体" w:hAnsi="宋体" w:cs="宋体"/>
                <w:color w:val="000000"/>
                <w:szCs w:val="21"/>
                <w:highlight w:val="none"/>
              </w:rPr>
              <w:t xml:space="preserve">及未及时更新的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每月</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5日前未能提交下月工作计划，或提交计划不合格的。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未按工作计划完成计划保养内容，</w:t>
            </w:r>
            <w:r>
              <w:rPr>
                <w:rFonts w:ascii="宋体" w:hAnsi="宋体" w:cs="宋体"/>
                <w:color w:val="000000"/>
                <w:szCs w:val="21"/>
                <w:highlight w:val="none"/>
              </w:rPr>
              <w:t xml:space="preserve">且</w:t>
            </w:r>
            <w:r>
              <w:rPr>
                <w:rFonts w:hint="eastAsia" w:ascii="宋体" w:hAnsi="宋体" w:cs="宋体"/>
                <w:color w:val="000000"/>
                <w:szCs w:val="21"/>
                <w:highlight w:val="none"/>
              </w:rPr>
              <w:t xml:space="preserve">未提前书面</w:t>
            </w:r>
            <w:r>
              <w:rPr>
                <w:rFonts w:ascii="宋体" w:hAnsi="宋体" w:cs="宋体"/>
                <w:color w:val="000000"/>
                <w:szCs w:val="21"/>
                <w:highlight w:val="none"/>
              </w:rPr>
              <w:t xml:space="preserve">报备</w:t>
            </w:r>
            <w:r>
              <w:rPr>
                <w:rFonts w:hint="eastAsia" w:ascii="宋体" w:hAnsi="宋体" w:cs="宋体"/>
                <w:color w:val="000000"/>
                <w:szCs w:val="21"/>
                <w:highlight w:val="none"/>
              </w:rPr>
              <w:t xml:space="preserve">原因的。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合同期内因维保机构原因受到业主投诉(电话、APP、书面、前台)</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在维修保养过程中，有违反安全操作规程及存在安全隐患的。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保养人员数量与合同要求不符的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驻场人员数量与合同要求不符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每次维修保养工作完成后，未按规定填写及签署工作记录的。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w:t>
            </w:r>
            <w:r>
              <w:rPr>
                <w:rFonts w:ascii="宋体" w:hAnsi="宋体" w:cs="宋体"/>
                <w:color w:val="000000"/>
                <w:szCs w:val="21"/>
                <w:highlight w:val="none"/>
              </w:rPr>
              <w:t xml:space="preserve">按</w:t>
            </w:r>
            <w:r>
              <w:rPr>
                <w:rFonts w:hint="eastAsia" w:ascii="宋体" w:hAnsi="宋体" w:cs="宋体"/>
                <w:color w:val="000000"/>
                <w:szCs w:val="21"/>
                <w:highlight w:val="none"/>
              </w:rPr>
              <w:t xml:space="preserve">要求对物业员工进行电梯知识技能培训或无记录</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在维修保养过程中，发现问题及隐患</w:t>
            </w:r>
            <w:r>
              <w:rPr>
                <w:rFonts w:ascii="宋体" w:hAnsi="宋体" w:cs="宋体"/>
                <w:color w:val="000000"/>
                <w:szCs w:val="21"/>
                <w:highlight w:val="none"/>
              </w:rPr>
              <w:t xml:space="preserve">未</w:t>
            </w:r>
            <w:r>
              <w:rPr>
                <w:rFonts w:hint="eastAsia" w:ascii="宋体" w:hAnsi="宋体" w:cs="宋体"/>
                <w:color w:val="000000"/>
                <w:szCs w:val="21"/>
                <w:highlight w:val="none"/>
              </w:rPr>
              <w:t xml:space="preserve">及时处理的。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节假日维保机构需确保至少一名值班人员,未按合同要求备案的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因维保机构提供材料及配件质量问题产生的安全责任事故及损失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维保机构保养人员进入机房、轿顶或井道作业完毕后,未锁好门栓</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重要配件未按照合同要求</w:t>
            </w:r>
            <w:r>
              <w:rPr>
                <w:rFonts w:ascii="宋体" w:hAnsi="宋体" w:cs="宋体"/>
                <w:color w:val="000000"/>
                <w:szCs w:val="21"/>
                <w:highlight w:val="none"/>
              </w:rPr>
              <w:t xml:space="preserve">调配</w:t>
            </w:r>
            <w:r>
              <w:rPr>
                <w:rFonts w:hint="eastAsia" w:ascii="宋体" w:hAnsi="宋体" w:cs="宋体"/>
                <w:color w:val="000000"/>
                <w:szCs w:val="21"/>
                <w:highlight w:val="none"/>
              </w:rPr>
              <w:t xml:space="preserve">到货。</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维保机构未按合同要求办理电梯的安全年检手续，影响物业电梯正常使用及对物业造成负面影响的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506"/>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维保机构未配合完善电梯轿厢的标识，如电梯检验合格证、电梯安全使用守则、防夹手标识、电梯公司应急电话等。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482"/>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维保期间的损坏配件未及时免费更换。</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2分/次</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w:t>
            </w:r>
            <w:r>
              <w:rPr>
                <w:rFonts w:hint="eastAsia" w:ascii="宋体" w:hAnsi="宋体" w:cs="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电梯维修保养质量评定</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机房设备卫生不达标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五方对讲不通</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油杯缺油（油杯油量应在</w:t>
            </w:r>
            <w:r>
              <w:rPr>
                <w:rFonts w:ascii="宋体" w:hAnsi="宋体" w:cs="宋体"/>
                <w:color w:val="000000"/>
                <w:szCs w:val="21"/>
                <w:highlight w:val="none"/>
              </w:rPr>
              <w:t xml:space="preserve">1/3-2/3之间）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运行有明显异响</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机房运动部件防护罩未安装</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平层标识缺失，救援工具或标识脱落缺失</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轿顶环境卫生不达标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轿顶照明缺失或失效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平层精度大于</w:t>
            </w:r>
            <w:r>
              <w:rPr>
                <w:rFonts w:ascii="宋体" w:hAnsi="宋体" w:cs="宋体"/>
                <w:color w:val="000000"/>
                <w:szCs w:val="21"/>
                <w:highlight w:val="none"/>
              </w:rPr>
              <w:t xml:space="preserve">10mm</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井道照明一半以上不亮，或底坑照明不亮</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底坑环境卫生不达标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底坑补偿链（绳）离地小于</w:t>
            </w:r>
            <w:r>
              <w:rPr>
                <w:rFonts w:ascii="宋体" w:hAnsi="宋体" w:cs="宋体"/>
                <w:color w:val="000000"/>
                <w:szCs w:val="21"/>
                <w:highlight w:val="none"/>
              </w:rPr>
              <w:t xml:space="preserve">10公分，或两条明显高度不一致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张紧轮开关与撞杆较近，急停开关松动，未固定牢固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轿内按钮或面板松动，外呼板松动，未固定牢固</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pStyle w:val="1004"/>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轿厢风扇出风口砂石较多</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cantSplit/>
          <w:trHeight w:val="397"/>
        </w:trPr>
        <w:tc>
          <w:tcPr>
            <w:gridSpan w:val="3"/>
            <w:tcBorders>
              <w:top w:val="single" w:color="000000" w:sz="4" w:space="0"/>
              <w:left w:val="single" w:color="000000" w:sz="4" w:space="0"/>
              <w:bottom w:val="single" w:color="000000" w:sz="4" w:space="0"/>
              <w:right w:val="single" w:color="000000" w:sz="4" w:space="0"/>
            </w:tcBorders>
            <w:tcW w:w="635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合计</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ascii="宋体" w:hAnsi="宋体" w:cs="宋体"/>
                <w:color w:val="000000"/>
                <w:szCs w:val="21"/>
                <w:highlight w:val="none"/>
              </w:rPr>
              <w:t xml:space="preserve">100</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1004"/>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pStyle w:val="1004"/>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甲方确认：                         乙方确认：                       </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ascii="宋体" w:hAnsi="宋体"/>
          <w:color w:val="000000"/>
          <w:szCs w:val="21"/>
          <w:highlight w:val="none"/>
        </w:rPr>
        <w:t xml:space="preserve">日期</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日期： </w:t>
      </w:r>
      <w:r>
        <w:rPr>
          <w:rFonts w:ascii="宋体" w:hAnsi="宋体"/>
          <w:color w:val="000000"/>
          <w:szCs w:val="21"/>
          <w:highlight w:val="none"/>
        </w:rPr>
        <w:t xml:space="preserve">                  </w:t>
      </w:r>
      <w:r>
        <w:rPr>
          <w:rFonts w:hint="eastAsia" w:ascii="宋体" w:hAnsi="宋体"/>
          <w:color w:val="000000"/>
          <w:szCs w:val="21"/>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ascii="宋体" w:hAnsi="宋体"/>
          <w:color w:val="000000"/>
          <w:szCs w:val="21"/>
          <w:highlight w:val="none"/>
        </w:rPr>
        <w:t xml:space="preserve">注：评分达到90分（含90分）以上的不另扣该项目当月维修保养费，考核评分低于90分相应扣减该项目当月保养费的5%，低于85分相应扣减该项目当月保养费的10%，如此类推；连续二个月考核评分低于50分的甲方有权终止合同。</w:t>
      </w: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b/>
          <w:bCs/>
          <w:color w:val="000000"/>
          <w:sz w:val="24"/>
          <w:szCs w:val="24"/>
          <w:highlight w:val="none"/>
        </w:rPr>
      </w:pPr>
      <w:r>
        <w:rPr>
          <w:rFonts w:hint="eastAsia"/>
          <w:b/>
          <w:bCs/>
          <w:color w:val="000000"/>
          <w:sz w:val="24"/>
          <w:szCs w:val="24"/>
          <w:highlight w:val="none"/>
        </w:rPr>
      </w:r>
      <w:r/>
    </w:p>
    <w:p>
      <w:pPr>
        <w:pStyle w:val="1004"/>
        <w:jc w:val="left"/>
        <w:spacing w:line="360" w:lineRule="auto"/>
        <w:tabs>
          <w:tab w:val="left" w:pos="1980" w:leader="none"/>
        </w:tabs>
        <w:rPr>
          <w:rFonts w:hint="eastAsia" w:ascii="宋体" w:hAnsi="宋体"/>
          <w:b/>
          <w:color w:val="000000"/>
          <w:sz w:val="24"/>
          <w:szCs w:val="24"/>
          <w:highlight w:val="none"/>
        </w:rPr>
      </w:pPr>
      <w:r>
        <w:rPr>
          <w:rFonts w:hint="eastAsia"/>
          <w:b/>
          <w:bCs/>
          <w:color w:val="000000"/>
          <w:sz w:val="24"/>
          <w:szCs w:val="24"/>
          <w:highlight w:val="none"/>
        </w:rPr>
        <w:t xml:space="preserve">附件3：</w:t>
      </w:r>
      <w:r>
        <w:rPr>
          <w:rFonts w:hint="eastAsia" w:ascii="宋体" w:hAnsi="宋体"/>
          <w:b/>
          <w:color w:val="000000"/>
          <w:sz w:val="24"/>
          <w:szCs w:val="24"/>
          <w:highlight w:val="none"/>
        </w:rPr>
        <w:t xml:space="preserve">电梯设施设备维保工作考核表</w:t>
      </w:r>
      <w:r>
        <w:rPr>
          <w:rFonts w:hint="eastAsia" w:ascii="宋体" w:hAnsi="宋体"/>
          <w:b/>
          <w:color w:val="000000"/>
          <w:sz w:val="24"/>
          <w:szCs w:val="24"/>
          <w:highlight w:val="none"/>
        </w:rPr>
      </w:r>
      <w:r/>
    </w:p>
    <w:p>
      <w:pPr>
        <w:pStyle w:val="1004"/>
        <w:jc w:val="center"/>
        <w:spacing w:line="360" w:lineRule="auto"/>
        <w:tabs>
          <w:tab w:val="left" w:pos="1980" w:leader="none"/>
        </w:tabs>
        <w:rPr>
          <w:rFonts w:hint="eastAsia" w:ascii="宋体" w:hAnsi="宋体"/>
          <w:b/>
          <w:color w:val="000000"/>
          <w:sz w:val="24"/>
          <w:szCs w:val="24"/>
          <w:highlight w:val="none"/>
        </w:rPr>
      </w:pPr>
      <w:r>
        <w:rPr>
          <w:rFonts w:hint="eastAsia" w:ascii="宋体" w:hAnsi="宋体"/>
          <w:b/>
          <w:color w:val="000000"/>
          <w:sz w:val="24"/>
          <w:szCs w:val="24"/>
          <w:highlight w:val="none"/>
        </w:rPr>
        <w:t xml:space="preserve">电梯设施设备维保工作考核表</w:t>
      </w:r>
      <w:r>
        <w:rPr>
          <w:rFonts w:hint="eastAsia" w:ascii="宋体" w:hAnsi="宋体"/>
          <w:b/>
          <w:color w:val="000000"/>
          <w:sz w:val="24"/>
          <w:szCs w:val="24"/>
          <w:highlight w:val="none"/>
        </w:rPr>
      </w:r>
      <w:r/>
    </w:p>
    <w:p>
      <w:pPr>
        <w:pStyle w:val="1004"/>
        <w:ind w:right="-143"/>
        <w:spacing w:line="360" w:lineRule="auto"/>
        <w:tabs>
          <w:tab w:val="left" w:pos="0" w:leader="none"/>
        </w:tabs>
        <w:rPr>
          <w:rFonts w:ascii="华文新魏" w:eastAsia="华文新魏"/>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tab/>
      </w:r>
      <w:r>
        <w:rPr>
          <w:rFonts w:ascii="宋体" w:hAnsi="宋体"/>
          <w:color w:val="000000"/>
          <w:szCs w:val="21"/>
          <w:highlight w:val="none"/>
        </w:rPr>
        <w:t xml:space="preserve">                         </w:t>
      </w:r>
      <w:r>
        <w:rPr>
          <w:rFonts w:hint="eastAsia" w:ascii="宋体" w:hAnsi="宋体"/>
          <w:color w:val="000000"/>
          <w:szCs w:val="21"/>
          <w:highlight w:val="none"/>
        </w:rPr>
        <w:t xml:space="preserve">维保单位：              </w:t>
      </w:r>
      <w:r>
        <w:rPr>
          <w:rFonts w:ascii="宋体" w:hAnsi="宋体"/>
          <w:color w:val="000000"/>
          <w:szCs w:val="21"/>
          <w:highlight w:val="none"/>
        </w:rPr>
        <w:t xml:space="preserve">      年   月                   </w:t>
      </w:r>
      <w:r>
        <w:rPr>
          <w:rFonts w:ascii="华文新魏" w:eastAsia="华文新魏"/>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6346"/>
        <w:gridCol w:w="993"/>
        <w:gridCol w:w="679"/>
        <w:gridCol w:w="1067"/>
      </w:tblGrid>
      <w:tr>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634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考核具体内容</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本月实际发生情况</w:t>
            </w:r>
            <w:r>
              <w:rPr>
                <w:rFonts w:hint="eastAsia" w:ascii="宋体" w:hAnsi="宋体"/>
                <w:color w:val="000000"/>
                <w:szCs w:val="21"/>
                <w:highlight w:val="none"/>
              </w:rPr>
            </w:r>
            <w:r/>
          </w:p>
        </w:tc>
        <w:tc>
          <w:tcPr>
            <w:tcW w:w="679"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本月应扣罚的维保款项</w:t>
            </w:r>
            <w:r>
              <w:rPr>
                <w:rFonts w:hint="eastAsia" w:ascii="宋体" w:hAnsi="宋体"/>
                <w:color w:val="000000"/>
                <w:szCs w:val="21"/>
                <w:highlight w:val="none"/>
              </w:rPr>
            </w:r>
            <w:r/>
          </w:p>
        </w:tc>
        <w:tc>
          <w:tcPr>
            <w:tcW w:w="1067"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扣罚说明（简要描述）取证素材可另附页</w:t>
            </w:r>
            <w:r>
              <w:rPr>
                <w:rFonts w:hint="eastAsia" w:ascii="宋体" w:hAnsi="宋体"/>
                <w:color w:val="000000"/>
                <w:szCs w:val="21"/>
                <w:highlight w:val="none"/>
              </w:rPr>
            </w:r>
            <w:r/>
          </w:p>
        </w:tc>
      </w:tr>
      <w:tr>
        <w:trPr>
          <w:trHeight w:val="1731"/>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发生紧急情况（水浸、同一单元过半</w:t>
            </w:r>
            <w:r>
              <w:rPr>
                <w:rFonts w:ascii="宋体" w:hAnsi="宋体"/>
                <w:color w:val="000000"/>
                <w:szCs w:val="21"/>
                <w:highlight w:val="none"/>
              </w:rPr>
              <w:t xml:space="preserve">以上</w:t>
            </w:r>
            <w:r>
              <w:rPr>
                <w:rFonts w:hint="eastAsia" w:ascii="宋体" w:hAnsi="宋体"/>
                <w:color w:val="000000"/>
                <w:szCs w:val="21"/>
                <w:highlight w:val="none"/>
              </w:rPr>
              <w:t xml:space="preserve">电梯发生故障等，乙方不能按时到达或出现维修不及时（小修</w:t>
            </w:r>
            <w:r>
              <w:rPr>
                <w:rFonts w:ascii="宋体" w:hAnsi="宋体"/>
                <w:color w:val="000000"/>
                <w:szCs w:val="21"/>
                <w:highlight w:val="none"/>
              </w:rPr>
              <w:t xml:space="preserve">24小时内修理完毕）</w:t>
            </w:r>
            <w:r>
              <w:rPr>
                <w:rFonts w:hint="eastAsia" w:ascii="宋体" w:hAnsi="宋体"/>
                <w:color w:val="000000"/>
                <w:szCs w:val="21"/>
                <w:highlight w:val="none"/>
              </w:rPr>
              <w:t xml:space="preserve">的情况</w:t>
            </w:r>
            <w:r>
              <w:rPr>
                <w:rFonts w:ascii="宋体" w:hAnsi="宋体"/>
                <w:color w:val="000000"/>
                <w:szCs w:val="21"/>
                <w:highlight w:val="none"/>
              </w:rPr>
              <w:t xml:space="preserve">，</w:t>
            </w:r>
            <w:r>
              <w:rPr>
                <w:rFonts w:hint="eastAsia" w:ascii="宋体" w:hAnsi="宋体"/>
                <w:color w:val="000000"/>
                <w:szCs w:val="21"/>
                <w:highlight w:val="none"/>
              </w:rPr>
              <w:t xml:space="preserve">月度内第一次出现扣除乙方当月电梯保养费</w:t>
            </w:r>
            <w:r>
              <w:rPr>
                <w:rFonts w:ascii="宋体" w:hAnsi="宋体"/>
                <w:color w:val="000000"/>
                <w:szCs w:val="21"/>
                <w:highlight w:val="none"/>
              </w:rPr>
              <w:t xml:space="preserve">5%，第二次</w:t>
            </w:r>
            <w:r>
              <w:rPr>
                <w:rFonts w:hint="eastAsia" w:ascii="宋体" w:hAnsi="宋体"/>
                <w:color w:val="000000"/>
                <w:szCs w:val="21"/>
                <w:highlight w:val="none"/>
              </w:rPr>
              <w:t xml:space="preserve">出现</w:t>
            </w:r>
            <w:r>
              <w:rPr>
                <w:rFonts w:ascii="宋体" w:hAnsi="宋体"/>
                <w:color w:val="000000"/>
                <w:szCs w:val="21"/>
                <w:highlight w:val="none"/>
              </w:rPr>
              <w:t xml:space="preserve">扣除当月电梯保养费10%；第三次</w:t>
            </w:r>
            <w:r>
              <w:rPr>
                <w:rFonts w:hint="eastAsia" w:ascii="宋体" w:hAnsi="宋体"/>
                <w:color w:val="000000"/>
                <w:szCs w:val="21"/>
                <w:highlight w:val="none"/>
              </w:rPr>
              <w:t xml:space="preserve">出现丙</w:t>
            </w:r>
            <w:r>
              <w:rPr>
                <w:rFonts w:ascii="宋体" w:hAnsi="宋体"/>
                <w:color w:val="000000"/>
                <w:szCs w:val="21"/>
                <w:highlight w:val="none"/>
              </w:rPr>
              <w:t xml:space="preserve">方有权扣除乙方当月电梯保养费20%</w:t>
            </w:r>
            <w:r>
              <w:rPr>
                <w:rFonts w:hint="eastAsia" w:ascii="宋体" w:hAnsi="宋体"/>
                <w:color w:val="000000"/>
                <w:szCs w:val="21"/>
                <w:highlight w:val="none"/>
              </w:rPr>
              <w:t xml:space="preserve">的</w:t>
            </w:r>
            <w:r>
              <w:rPr>
                <w:rFonts w:ascii="宋体" w:hAnsi="宋体"/>
                <w:color w:val="000000"/>
                <w:szCs w:val="21"/>
                <w:highlight w:val="none"/>
              </w:rPr>
              <w:t xml:space="preserve">违约金</w:t>
            </w:r>
            <w:r>
              <w:rPr>
                <w:rFonts w:hint="eastAsia" w:ascii="宋体" w:hAnsi="宋体"/>
                <w:color w:val="000000"/>
                <w:szCs w:val="21"/>
                <w:highlight w:val="none"/>
              </w:rPr>
              <w:t xml:space="preserve">，</w:t>
            </w:r>
            <w:r>
              <w:rPr>
                <w:rFonts w:ascii="宋体" w:hAnsi="宋体"/>
                <w:color w:val="000000"/>
                <w:szCs w:val="21"/>
                <w:highlight w:val="none"/>
              </w:rPr>
              <w:t xml:space="preserve">并</w:t>
            </w:r>
            <w:r>
              <w:rPr>
                <w:rFonts w:hint="eastAsia" w:ascii="宋体" w:hAnsi="宋体"/>
                <w:color w:val="000000"/>
                <w:szCs w:val="21"/>
                <w:highlight w:val="none"/>
              </w:rPr>
              <w:t xml:space="preserve">有权单方面</w:t>
            </w:r>
            <w:r>
              <w:rPr>
                <w:rFonts w:ascii="宋体" w:hAnsi="宋体"/>
                <w:color w:val="000000"/>
                <w:szCs w:val="21"/>
                <w:highlight w:val="none"/>
              </w:rPr>
              <w:t xml:space="preserve">终止合同，并且不需要承担因终止合同而引发的相关责任</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990"/>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方可在紧急情况下另请他人维修（乙方接到通知不能及时赶到现场时），费用从乙方应得款项中扣除，所维修的质量经</w:t>
            </w:r>
            <w:r>
              <w:rPr>
                <w:rFonts w:hint="eastAsia" w:ascii="宋体" w:hAnsi="宋体" w:cs="宋体"/>
                <w:color w:val="000000"/>
                <w:szCs w:val="21"/>
                <w:highlight w:val="none"/>
              </w:rPr>
              <w:t xml:space="preserve">丙方验收</w:t>
            </w:r>
            <w:r>
              <w:rPr>
                <w:rFonts w:ascii="宋体" w:hAnsi="宋体" w:cs="宋体"/>
                <w:color w:val="000000"/>
                <w:szCs w:val="21"/>
                <w:highlight w:val="none"/>
              </w:rPr>
              <w:t xml:space="preserve">合格后由乙方负责，并以书面形式知会乙方，存档备查。</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247"/>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保养期内如属乙方保养不良需复检的检测费须由乙方承担；在保养期内，质量技术监督局对电梯进行检查期间，甲乙双方应派员协助检查工作，但乙方需提前一周通知甲方，所有未通知甲方私自质监的质检费用由乙方承担。</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556"/>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发现</w:t>
            </w:r>
            <w:r>
              <w:rPr>
                <w:rFonts w:hint="eastAsia" w:ascii="宋体" w:hAnsi="宋体"/>
                <w:color w:val="000000"/>
                <w:szCs w:val="21"/>
                <w:highlight w:val="none"/>
              </w:rPr>
              <w:t xml:space="preserve">乙方临时委派无维保资格证的</w:t>
            </w:r>
            <w:r>
              <w:rPr>
                <w:rFonts w:ascii="宋体" w:hAnsi="宋体"/>
                <w:color w:val="000000"/>
                <w:szCs w:val="21"/>
                <w:highlight w:val="none"/>
              </w:rPr>
              <w:t xml:space="preserve">人员保养电梯：扣</w:t>
            </w:r>
            <w:r>
              <w:rPr>
                <w:rFonts w:hint="eastAsia" w:ascii="宋体" w:hAnsi="宋体"/>
                <w:color w:val="000000"/>
                <w:szCs w:val="21"/>
                <w:highlight w:val="none"/>
              </w:rPr>
              <w:t xml:space="preserve">罚</w:t>
            </w:r>
            <w:r>
              <w:rPr>
                <w:rFonts w:ascii="宋体" w:hAnsi="宋体"/>
                <w:color w:val="000000"/>
                <w:szCs w:val="21"/>
                <w:highlight w:val="none"/>
              </w:rPr>
              <w:t xml:space="preserve">违约金200元/人/次；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08"/>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乙方保养、维修时，基站不设警示标识：扣</w:t>
            </w:r>
            <w:r>
              <w:rPr>
                <w:rFonts w:hint="eastAsia" w:ascii="宋体" w:hAnsi="宋体" w:cs="宋体"/>
                <w:color w:val="000000"/>
                <w:szCs w:val="21"/>
                <w:highlight w:val="none"/>
              </w:rPr>
              <w:t xml:space="preserve">罚</w:t>
            </w:r>
            <w:r>
              <w:rPr>
                <w:rFonts w:ascii="宋体" w:hAnsi="宋体" w:cs="宋体"/>
                <w:color w:val="000000"/>
                <w:szCs w:val="21"/>
                <w:highlight w:val="none"/>
              </w:rPr>
              <w:t xml:space="preserve">违约金200元/次，若因乙方安全预防措施不到位而导致的事故，均由乙方承担责任；</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506"/>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乙方接到报修没有在30分钟内到达现场：违约金为扣款200元/次；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475"/>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6346" w:type="dxa"/>
            <w:vAlign w:val="top"/>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乙方接到困人报修</w:t>
            </w:r>
            <w:r>
              <w:rPr>
                <w:rFonts w:hint="eastAsia" w:ascii="宋体" w:hAnsi="宋体" w:cs="宋体"/>
                <w:color w:val="000000"/>
                <w:szCs w:val="21"/>
                <w:highlight w:val="none"/>
              </w:rPr>
              <w:t xml:space="preserve">未</w:t>
            </w:r>
            <w:r>
              <w:rPr>
                <w:rFonts w:ascii="宋体" w:hAnsi="宋体" w:cs="宋体"/>
                <w:color w:val="000000"/>
                <w:szCs w:val="21"/>
                <w:highlight w:val="none"/>
              </w:rPr>
              <w:t xml:space="preserve">在</w:t>
            </w:r>
            <w:r>
              <w:rPr>
                <w:rFonts w:hint="eastAsia" w:ascii="宋体" w:hAnsi="宋体" w:cs="宋体"/>
                <w:color w:val="000000"/>
                <w:szCs w:val="21"/>
                <w:highlight w:val="none"/>
              </w:rPr>
              <w:t xml:space="preserve">20</w:t>
            </w:r>
            <w:r>
              <w:rPr>
                <w:rFonts w:ascii="宋体" w:hAnsi="宋体" w:cs="宋体"/>
                <w:color w:val="000000"/>
                <w:szCs w:val="21"/>
                <w:highlight w:val="none"/>
              </w:rPr>
              <w:t xml:space="preserve">分钟内到达现场</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扣</w:t>
            </w:r>
            <w:r>
              <w:rPr>
                <w:rFonts w:hint="eastAsia" w:ascii="宋体" w:hAnsi="宋体" w:cs="宋体"/>
                <w:color w:val="000000"/>
                <w:szCs w:val="21"/>
                <w:highlight w:val="none"/>
              </w:rPr>
              <w:t xml:space="preserve">罚</w:t>
            </w:r>
            <w:r>
              <w:rPr>
                <w:rFonts w:ascii="宋体" w:hAnsi="宋体" w:cs="宋体"/>
                <w:color w:val="000000"/>
                <w:szCs w:val="21"/>
                <w:highlight w:val="none"/>
              </w:rPr>
              <w:t xml:space="preserve">违约金300元/次</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77"/>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因乙方保养不善或技术能力不足，当月</w:t>
            </w:r>
            <w:r>
              <w:rPr>
                <w:rFonts w:hint="eastAsia" w:ascii="宋体" w:hAnsi="宋体"/>
                <w:color w:val="000000"/>
                <w:szCs w:val="21"/>
                <w:highlight w:val="none"/>
              </w:rPr>
              <w:t xml:space="preserve">同一台电梯连续</w:t>
            </w:r>
            <w:r>
              <w:rPr>
                <w:rFonts w:ascii="宋体" w:hAnsi="宋体"/>
                <w:color w:val="000000"/>
                <w:szCs w:val="21"/>
                <w:highlight w:val="none"/>
              </w:rPr>
              <w:t xml:space="preserve">发生故障</w:t>
            </w:r>
            <w:r>
              <w:rPr>
                <w:rFonts w:hint="eastAsia" w:ascii="宋体" w:hAnsi="宋体"/>
                <w:color w:val="000000"/>
                <w:szCs w:val="21"/>
                <w:highlight w:val="none"/>
              </w:rPr>
              <w:t xml:space="preserve">2</w:t>
            </w:r>
            <w:r>
              <w:rPr>
                <w:rFonts w:ascii="宋体" w:hAnsi="宋体"/>
                <w:color w:val="000000"/>
                <w:szCs w:val="21"/>
                <w:highlight w:val="none"/>
              </w:rPr>
              <w:t xml:space="preserve">次的：扣除违约金200元/次</w:t>
            </w:r>
            <w:r>
              <w:rPr>
                <w:rFonts w:hint="eastAsia" w:ascii="宋体" w:hAnsi="宋体"/>
                <w:color w:val="000000"/>
                <w:szCs w:val="21"/>
                <w:highlight w:val="none"/>
              </w:rPr>
              <w:t xml:space="preserve">；</w:t>
            </w:r>
            <w:r>
              <w:rPr>
                <w:rFonts w:ascii="宋体" w:hAnsi="宋体"/>
                <w:color w:val="000000"/>
                <w:szCs w:val="21"/>
                <w:highlight w:val="none"/>
              </w:rPr>
              <w:t xml:space="preserve">当月</w:t>
            </w:r>
            <w:r>
              <w:rPr>
                <w:rFonts w:hint="eastAsia" w:ascii="宋体" w:hAnsi="宋体"/>
                <w:color w:val="000000"/>
                <w:szCs w:val="21"/>
                <w:highlight w:val="none"/>
              </w:rPr>
              <w:t xml:space="preserve">同一台电梯连续</w:t>
            </w:r>
            <w:r>
              <w:rPr>
                <w:rFonts w:ascii="宋体" w:hAnsi="宋体"/>
                <w:color w:val="000000"/>
                <w:szCs w:val="21"/>
                <w:highlight w:val="none"/>
              </w:rPr>
              <w:t xml:space="preserve">发生故障3次及以上的：</w:t>
            </w:r>
            <w:r>
              <w:rPr>
                <w:rFonts w:hint="eastAsia" w:ascii="宋体" w:hAnsi="宋体"/>
                <w:color w:val="000000"/>
                <w:szCs w:val="21"/>
                <w:highlight w:val="none"/>
              </w:rPr>
              <w:t xml:space="preserve">扣除</w:t>
            </w:r>
            <w:r>
              <w:rPr>
                <w:rFonts w:ascii="宋体" w:hAnsi="宋体"/>
                <w:color w:val="000000"/>
                <w:szCs w:val="21"/>
                <w:highlight w:val="none"/>
              </w:rPr>
              <w:t xml:space="preserve">该台电梯当月维保费用总额</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3203"/>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W w:w="6346" w:type="dxa"/>
            <w:vAlign w:val="center"/>
            <w:textDirection w:val="lrTb"/>
            <w:noWrap w:val="false"/>
          </w:tcPr>
          <w:p>
            <w:pPr>
              <w:pStyle w:val="1004"/>
              <w:ind w:right="-84"/>
              <w:spacing w:line="360" w:lineRule="auto"/>
              <w:rPr>
                <w:rFonts w:hint="eastAsia" w:ascii="宋体" w:hAnsi="宋体"/>
                <w:color w:val="000000"/>
                <w:szCs w:val="21"/>
                <w:highlight w:val="none"/>
              </w:rPr>
            </w:pPr>
            <w:r>
              <w:rPr>
                <w:rFonts w:ascii="宋体" w:hAnsi="宋体"/>
                <w:color w:val="000000"/>
                <w:szCs w:val="21"/>
                <w:highlight w:val="none"/>
              </w:rPr>
              <mc:AlternateContent>
                <mc:Choice Requires="wpg">
                  <w:drawing>
                    <wp:inline xmlns:wp="http://schemas.openxmlformats.org/drawingml/2006/wordprocessingDrawing" distT="0" distB="0" distL="0" distR="0">
                      <wp:extent cx="3771824" cy="126491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771824" cy="1264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7.0pt;height:99.6pt;mso-wrap-distance-left:0.0pt;mso-wrap-distance-top:0.0pt;mso-wrap-distance-right:0.0pt;mso-wrap-distance-bottom:0.0pt;" stroked="f">
                      <v:path textboxrect="0,0,0,0"/>
                      <v:imagedata r:id="rId25" o:title=""/>
                    </v:shape>
                  </w:pict>
                </mc:Fallback>
              </mc:AlternateContent>
            </w:r>
            <w:r>
              <w:rPr>
                <w:rFonts w:hint="eastAsia" w:ascii="宋体" w:hAnsi="宋体"/>
                <w:color w:val="000000"/>
                <w:szCs w:val="21"/>
                <w:highlight w:val="none"/>
              </w:rPr>
            </w:r>
            <w:r/>
          </w:p>
          <w:p>
            <w:pPr>
              <w:pStyle w:val="1004"/>
              <w:ind w:right="-8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1、电梯总量＞30台的总体平均故障率＞</w:t>
            </w:r>
            <w:r>
              <w:rPr>
                <w:rFonts w:ascii="宋体" w:hAnsi="宋体"/>
                <w:color w:val="000000"/>
                <w:szCs w:val="21"/>
                <w:highlight w:val="none"/>
              </w:rPr>
              <w:t xml:space="preserve">15</w:t>
            </w:r>
            <w:r>
              <w:rPr>
                <w:rFonts w:hint="eastAsia" w:ascii="宋体" w:hAnsi="宋体"/>
                <w:color w:val="000000"/>
                <w:szCs w:val="21"/>
                <w:highlight w:val="none"/>
              </w:rPr>
              <w:t xml:space="preserve">%，电梯总量≤30台的故障次数累计＞</w:t>
            </w:r>
            <w:r>
              <w:rPr>
                <w:rFonts w:ascii="宋体" w:hAnsi="宋体"/>
                <w:color w:val="000000"/>
                <w:szCs w:val="21"/>
                <w:highlight w:val="none"/>
              </w:rPr>
              <w:t xml:space="preserve">6</w:t>
            </w:r>
            <w:r>
              <w:rPr>
                <w:rFonts w:hint="eastAsia" w:ascii="宋体" w:hAnsi="宋体"/>
                <w:color w:val="000000"/>
                <w:szCs w:val="21"/>
                <w:highlight w:val="none"/>
              </w:rPr>
              <w:t xml:space="preserve">次，丙方可根据实际情况约谈乙方，连续2个月无明显改善的，丙方有权更换电梯维保单位；</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、以上所述“电梯故障率”指因乙方维保不当、技术能力不足导致的电梯故障；</w:t>
            </w:r>
            <w:r>
              <w:rPr>
                <w:rFonts w:ascii="宋体" w:hAnsi="宋体"/>
                <w:color w:val="000000"/>
                <w:szCs w:val="21"/>
                <w:highlight w:val="none"/>
              </w:rPr>
              <w:t xml:space="preserve">例如</w:t>
            </w:r>
            <w:r>
              <w:rPr>
                <w:rFonts w:hint="eastAsia" w:ascii="宋体" w:hAnsi="宋体"/>
                <w:color w:val="000000"/>
                <w:szCs w:val="21"/>
                <w:highlight w:val="none"/>
              </w:rPr>
              <w:t xml:space="preserve">装修原因、电网电压波动、电梯浸水、恶劣天气、底坑渗漏水、井道渗漏水造成的电梯故障不纳入对乙方考核范畴；</w:t>
            </w: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3、总体平均故障率=当月电梯故障次数/电梯总台数。</w:t>
            </w:r>
            <w:r>
              <w:rPr>
                <w:rFonts w:hint="eastAsia" w:ascii="宋体" w:hAnsi="宋体"/>
                <w:color w:val="000000"/>
                <w:szCs w:val="21"/>
                <w:highlight w:val="none"/>
              </w:rPr>
            </w:r>
            <w:r/>
          </w:p>
        </w:tc>
        <w:tc>
          <w:tcPr>
            <w:tcW w:w="993"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本月电梯总体平均故障率</w:t>
            </w:r>
            <w:r>
              <w:rPr>
                <w:rFonts w:hint="eastAsia" w:ascii="宋体" w:hAnsi="宋体"/>
                <w:color w:val="000000"/>
                <w:szCs w:val="21"/>
                <w:highlight w:val="none"/>
              </w:rPr>
            </w:r>
            <w:r/>
          </w:p>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故障次数累计（</w:t>
            </w:r>
            <w:r>
              <w:rPr>
                <w:rFonts w:ascii="宋体" w:hAnsi="宋体"/>
                <w:color w:val="000000"/>
                <w:szCs w:val="21"/>
                <w:highlight w:val="none"/>
                <w:u w:val="singl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72"/>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乙方因机械、工具或技术、劳力等跟不上管理维保需要造成管理维保质量不合格的，第一个月甲方或丙方要求乙方限期整改；第二个月仍不合格的，由此造成的损失由乙方承担，乙方需向丙方支付合同总额</w:t>
            </w:r>
            <w:r>
              <w:rPr>
                <w:rFonts w:ascii="宋体" w:hAnsi="宋体" w:cs="宋体"/>
                <w:color w:val="000000"/>
                <w:szCs w:val="21"/>
                <w:highlight w:val="none"/>
              </w:rPr>
              <w:t xml:space="preserve">10%的违约金。</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796"/>
        </w:trPr>
        <w:tc>
          <w:tcPr>
            <w:tcW w:w="426" w:type="dxa"/>
            <w:vAlign w:val="center"/>
            <w:vMerge w:val="restart"/>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ascii="宋体" w:hAnsi="宋体" w:cs="宋体"/>
                <w:color w:val="000000"/>
                <w:szCs w:val="21"/>
                <w:highlight w:val="none"/>
              </w:rPr>
              <w:t xml:space="preserve">未经甲方同意，乙方不得擅自更换派驻在甲方工作的技术人员（员工离职除外）。否则，</w:t>
            </w:r>
            <w:r>
              <w:rPr>
                <w:rFonts w:hint="eastAsia" w:ascii="宋体" w:hAnsi="宋体" w:cs="宋体"/>
                <w:color w:val="000000"/>
                <w:szCs w:val="21"/>
                <w:highlight w:val="none"/>
              </w:rPr>
              <w:t xml:space="preserve">乙方向丙方支付合同总额</w:t>
            </w:r>
            <w:r>
              <w:rPr>
                <w:rFonts w:ascii="宋体" w:hAnsi="宋体" w:cs="宋体"/>
                <w:color w:val="000000"/>
                <w:szCs w:val="21"/>
                <w:highlight w:val="none"/>
              </w:rPr>
              <w:t xml:space="preserve">10%的违约金。</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163"/>
        </w:trPr>
        <w:tc>
          <w:tcPr>
            <w:tcW w:w="426" w:type="dxa"/>
            <w:vAlign w:val="center"/>
            <w:vMerge w:val="continue"/>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6346" w:type="dxa"/>
            <w:vAlign w:val="center"/>
            <w:textDirection w:val="lrTb"/>
            <w:noWrap w:val="false"/>
          </w:tcPr>
          <w:p>
            <w:pPr>
              <w:pStyle w:val="1004"/>
              <w:spacing w:line="360" w:lineRule="auto"/>
              <w:tabs>
                <w:tab w:val="left" w:pos="1980" w:leader="none"/>
              </w:tabs>
              <w:rPr>
                <w:rFonts w:hint="eastAsia" w:ascii="宋体" w:hAnsi="宋体" w:cs="宋体"/>
                <w:color w:val="000000"/>
                <w:szCs w:val="21"/>
                <w:highlight w:val="none"/>
              </w:rPr>
            </w:pPr>
            <w:r>
              <w:rPr>
                <w:rFonts w:ascii="宋体" w:hAnsi="宋体" w:cs="宋体"/>
                <w:color w:val="000000"/>
                <w:szCs w:val="21"/>
                <w:highlight w:val="none"/>
              </w:rPr>
              <w:t xml:space="preserve">合同期内，未</w:t>
            </w:r>
            <w:r>
              <w:rPr>
                <w:rFonts w:hint="eastAsia" w:ascii="宋体" w:hAnsi="宋体" w:cs="宋体"/>
                <w:color w:val="000000"/>
                <w:szCs w:val="21"/>
                <w:highlight w:val="none"/>
              </w:rPr>
              <w:t xml:space="preserve">经甲方、丙方同意，</w:t>
            </w:r>
            <w:r>
              <w:rPr>
                <w:rFonts w:ascii="宋体" w:hAnsi="宋体" w:cs="宋体"/>
                <w:color w:val="000000"/>
                <w:szCs w:val="21"/>
                <w:highlight w:val="none"/>
              </w:rPr>
              <w:t xml:space="preserve">乙方</w:t>
            </w:r>
            <w:r>
              <w:rPr>
                <w:rFonts w:hint="eastAsia" w:ascii="宋体" w:hAnsi="宋体" w:cs="宋体"/>
                <w:color w:val="000000"/>
                <w:szCs w:val="21"/>
                <w:highlight w:val="none"/>
              </w:rPr>
              <w:t xml:space="preserve">擅自更改</w:t>
            </w:r>
            <w:r>
              <w:rPr>
                <w:rFonts w:ascii="宋体" w:hAnsi="宋体" w:cs="宋体"/>
                <w:color w:val="000000"/>
                <w:szCs w:val="21"/>
                <w:highlight w:val="none"/>
              </w:rPr>
              <w:t xml:space="preserve">维保计划3次及以上的，</w:t>
            </w:r>
            <w:r>
              <w:rPr>
                <w:rFonts w:hint="eastAsia" w:ascii="宋体" w:hAnsi="宋体" w:cs="宋体"/>
                <w:color w:val="000000"/>
                <w:szCs w:val="21"/>
                <w:highlight w:val="none"/>
              </w:rPr>
              <w:t xml:space="preserve">丙方有权要求乙方</w:t>
            </w:r>
            <w:r>
              <w:rPr>
                <w:rFonts w:ascii="宋体" w:hAnsi="宋体" w:cs="宋体"/>
                <w:color w:val="000000"/>
                <w:szCs w:val="21"/>
                <w:highlight w:val="none"/>
              </w:rPr>
              <w:t xml:space="preserve">赔偿合同总金额20%的违约金，违约金不足以赔偿</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方损失的，</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方有权继续向乙方追偿给造成</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方的直接经济损失。</w:t>
            </w:r>
            <w:r>
              <w:rPr>
                <w:rFonts w:hint="eastAsia" w:ascii="宋体" w:hAnsi="宋体" w:cs="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次</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1433"/>
        </w:trPr>
        <w:tc>
          <w:tcPr>
            <w:tcW w:w="42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W w:w="6346"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s="宋体"/>
                <w:color w:val="000000"/>
                <w:szCs w:val="21"/>
                <w:highlight w:val="none"/>
              </w:rPr>
              <w:t xml:space="preserve">电梯设施设备维保工作考核表评分达到</w:t>
            </w:r>
            <w:r>
              <w:rPr>
                <w:rFonts w:ascii="宋体" w:hAnsi="宋体" w:cs="宋体"/>
                <w:color w:val="000000"/>
                <w:szCs w:val="21"/>
                <w:highlight w:val="none"/>
              </w:rPr>
              <w:t xml:space="preserve">90分（含90分）以上的</w:t>
            </w:r>
            <w:r>
              <w:rPr>
                <w:rFonts w:hint="eastAsia" w:ascii="宋体" w:hAnsi="宋体" w:cs="宋体"/>
                <w:color w:val="000000"/>
                <w:szCs w:val="21"/>
                <w:highlight w:val="none"/>
              </w:rPr>
              <w:t xml:space="preserve">不另扣该</w:t>
            </w:r>
            <w:r>
              <w:rPr>
                <w:rFonts w:ascii="宋体" w:hAnsi="宋体" w:cs="宋体"/>
                <w:color w:val="000000"/>
                <w:szCs w:val="21"/>
                <w:highlight w:val="none"/>
              </w:rPr>
              <w:t xml:space="preserve">项目</w:t>
            </w:r>
            <w:r>
              <w:rPr>
                <w:rFonts w:hint="eastAsia" w:ascii="宋体" w:hAnsi="宋体" w:cs="宋体"/>
                <w:color w:val="000000"/>
                <w:szCs w:val="21"/>
                <w:highlight w:val="none"/>
              </w:rPr>
              <w:t xml:space="preserve">当月维修保养费，考核评分低于</w:t>
            </w:r>
            <w:r>
              <w:rPr>
                <w:rFonts w:ascii="宋体" w:hAnsi="宋体" w:cs="宋体"/>
                <w:color w:val="000000"/>
                <w:szCs w:val="21"/>
                <w:highlight w:val="none"/>
              </w:rPr>
              <w:t xml:space="preserve">90分相应扣减</w:t>
            </w:r>
            <w:r>
              <w:rPr>
                <w:rFonts w:hint="eastAsia" w:ascii="宋体" w:hAnsi="宋体" w:cs="宋体"/>
                <w:color w:val="000000"/>
                <w:szCs w:val="21"/>
                <w:highlight w:val="none"/>
              </w:rPr>
              <w:t xml:space="preserve">该项目当月保养费的</w:t>
            </w:r>
            <w:r>
              <w:rPr>
                <w:rFonts w:ascii="宋体" w:hAnsi="宋体" w:cs="宋体"/>
                <w:color w:val="000000"/>
                <w:szCs w:val="21"/>
                <w:highlight w:val="none"/>
              </w:rPr>
              <w:t xml:space="preserve">5%，低于85分相应扣减</w:t>
            </w:r>
            <w:r>
              <w:rPr>
                <w:rFonts w:hint="eastAsia" w:ascii="宋体" w:hAnsi="宋体" w:cs="宋体"/>
                <w:color w:val="000000"/>
                <w:szCs w:val="21"/>
                <w:highlight w:val="none"/>
              </w:rPr>
              <w:t xml:space="preserve">该项目当月保养费的</w:t>
            </w:r>
            <w:r>
              <w:rPr>
                <w:rFonts w:ascii="宋体" w:hAnsi="宋体" w:cs="宋体"/>
                <w:color w:val="000000"/>
                <w:szCs w:val="21"/>
                <w:highlight w:val="none"/>
              </w:rPr>
              <w:t xml:space="preserve">10%，如此类推；连续</w:t>
            </w:r>
            <w:r>
              <w:rPr>
                <w:rFonts w:hint="eastAsia" w:ascii="宋体" w:hAnsi="宋体" w:cs="宋体"/>
                <w:color w:val="000000"/>
                <w:szCs w:val="21"/>
                <w:highlight w:val="none"/>
              </w:rPr>
              <w:t xml:space="preserve">两</w:t>
            </w:r>
            <w:r>
              <w:rPr>
                <w:rFonts w:ascii="宋体" w:hAnsi="宋体" w:cs="宋体"/>
                <w:color w:val="000000"/>
                <w:szCs w:val="21"/>
                <w:highlight w:val="none"/>
              </w:rPr>
              <w:t xml:space="preserve">个月考核评分低于50分的</w:t>
            </w:r>
            <w:r>
              <w:rPr>
                <w:rFonts w:hint="eastAsia" w:ascii="宋体" w:hAnsi="宋体" w:cs="宋体"/>
                <w:color w:val="000000"/>
                <w:szCs w:val="21"/>
                <w:highlight w:val="none"/>
              </w:rPr>
              <w:t xml:space="preserve">丙</w:t>
            </w:r>
            <w:r>
              <w:rPr>
                <w:rFonts w:ascii="宋体" w:hAnsi="宋体" w:cs="宋体"/>
                <w:color w:val="000000"/>
                <w:szCs w:val="21"/>
                <w:highlight w:val="none"/>
              </w:rPr>
              <w:t xml:space="preserve">方有权终止合同。</w:t>
            </w:r>
            <w:r>
              <w:rPr>
                <w:rFonts w:hint="eastAsia" w:ascii="宋体" w:hAnsi="宋体"/>
                <w:color w:val="000000"/>
                <w:szCs w:val="21"/>
                <w:highlight w:val="none"/>
              </w:rPr>
            </w:r>
            <w:r/>
          </w:p>
        </w:tc>
        <w:tc>
          <w:tcPr>
            <w:tcW w:w="993" w:type="dxa"/>
            <w:vAlign w:val="center"/>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ascii="宋体" w:hAnsi="宋体"/>
                <w:color w:val="000000"/>
                <w:szCs w:val="21"/>
                <w:highlight w:val="none"/>
              </w:rPr>
              <w:t xml:space="preserve">本月电梯评分</w:t>
            </w:r>
            <w:r>
              <w:rPr>
                <w:rFonts w:hint="eastAsia" w:ascii="宋体" w:hAnsi="宋体"/>
                <w:color w:val="000000"/>
                <w:szCs w:val="21"/>
                <w:highlight w:val="none"/>
              </w:rPr>
              <w:t xml:space="preserve">（   ）</w:t>
            </w:r>
            <w:r>
              <w:rPr>
                <w:rFonts w:ascii="宋体" w:hAnsi="宋体"/>
                <w:color w:val="000000"/>
                <w:szCs w:val="21"/>
                <w:highlight w:val="none"/>
              </w:rPr>
              <w:t xml:space="preserve">   分</w:t>
            </w:r>
            <w:r>
              <w:rPr>
                <w:rFonts w:hint="eastAsia" w:ascii="宋体" w:hAnsi="宋体"/>
                <w:color w:val="000000"/>
                <w:szCs w:val="21"/>
                <w:highlight w:val="none"/>
              </w:rPr>
            </w:r>
            <w:r/>
          </w:p>
        </w:tc>
        <w:tc>
          <w:tcPr>
            <w:tcW w:w="679"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c>
          <w:tcPr>
            <w:tcW w:w="1067" w:type="dxa"/>
            <w:vAlign w:val="center"/>
            <w:textDirection w:val="lrTb"/>
            <w:noWrap w:val="false"/>
          </w:tcPr>
          <w:p>
            <w:pPr>
              <w:pStyle w:val="1004"/>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r>
            <w:r/>
          </w:p>
        </w:tc>
      </w:tr>
      <w:tr>
        <w:trPr>
          <w:trHeight w:val="472"/>
        </w:trPr>
        <w:tc>
          <w:tcPr>
            <w:gridSpan w:val="5"/>
            <w:tcW w:w="9511" w:type="dxa"/>
            <w:vAlign w:val="bottom"/>
            <w:textDirection w:val="lrTb"/>
            <w:noWrap w:val="false"/>
          </w:tcPr>
          <w:p>
            <w:pPr>
              <w:pStyle w:val="1004"/>
              <w:jc w:val="center"/>
              <w:spacing w:line="360" w:lineRule="auto"/>
              <w:tabs>
                <w:tab w:val="left" w:pos="1980" w:leader="none"/>
              </w:tabs>
              <w:rPr>
                <w:rFonts w:hint="eastAsia" w:ascii="宋体" w:hAnsi="宋体"/>
                <w:color w:val="000000"/>
                <w:szCs w:val="21"/>
                <w:highlight w:val="none"/>
              </w:rPr>
            </w:pPr>
            <w:r>
              <w:rPr>
                <w:rFonts w:hint="eastAsia" w:ascii="宋体" w:hAnsi="宋体"/>
                <w:color w:val="000000"/>
                <w:szCs w:val="21"/>
                <w:highlight w:val="none"/>
              </w:rPr>
              <w:t xml:space="preserve">当月扣罚维保费总计：</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元（大写：                 </w:t>
            </w:r>
            <w:r>
              <w:rPr>
                <w:rFonts w:ascii="宋体" w:hAnsi="宋体"/>
                <w:color w:val="000000"/>
                <w:szCs w:val="21"/>
                <w:highlight w:val="none"/>
              </w:rPr>
              <w:t xml:space="preserve">）</w:t>
            </w:r>
            <w:r>
              <w:rPr>
                <w:rFonts w:hint="eastAsia" w:ascii="宋体" w:hAnsi="宋体"/>
                <w:color w:val="000000"/>
                <w:szCs w:val="21"/>
                <w:highlight w:val="none"/>
              </w:rPr>
            </w:r>
            <w:r/>
          </w:p>
        </w:tc>
      </w:tr>
    </w:tbl>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004"/>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甲方确认：                         乙方确认：                       </w:t>
      </w:r>
      <w:r>
        <w:rPr>
          <w:rFonts w:hint="eastAsia" w:ascii="宋体" w:hAnsi="宋体"/>
          <w:color w:val="000000"/>
          <w:szCs w:val="21"/>
          <w:highlight w:val="none"/>
        </w:rPr>
      </w:r>
      <w:r/>
    </w:p>
    <w:p>
      <w:pPr>
        <w:pStyle w:val="1004"/>
        <w:rPr>
          <w:color w:val="000000"/>
          <w:highlight w:val="none"/>
        </w:rPr>
      </w:pPr>
      <w:r>
        <w:rPr>
          <w:rFonts w:ascii="宋体" w:hAnsi="宋体"/>
          <w:color w:val="000000"/>
          <w:szCs w:val="21"/>
          <w:highlight w:val="none"/>
        </w:rPr>
        <w:t xml:space="preserve">日期</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日期： </w:t>
      </w:r>
      <w:r>
        <w:rPr>
          <w:rFonts w:ascii="宋体" w:hAnsi="宋体"/>
          <w:color w:val="000000"/>
          <w:szCs w:val="21"/>
          <w:highlight w:val="none"/>
        </w:rPr>
        <w:t xml:space="preserve">  </w:t>
      </w:r>
      <w:r>
        <w:rPr>
          <w:color w:val="000000"/>
          <w:highlight w:val="none"/>
        </w:rPr>
      </w:r>
      <w:r/>
    </w:p>
    <w:p>
      <w:pPr>
        <w:pStyle w:val="1323"/>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1004"/>
        <w:numPr>
          <w:ilvl w:val="0"/>
          <w:numId w:val="0"/>
        </w:numPr>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erReference w:type="default" r:id="rId20"/>
          <w:footerReference w:type="first" r:id="rId2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04"/>
        <w:numPr>
          <w:ilvl w:val="0"/>
          <w:numId w:val="0"/>
        </w:numPr>
        <w:ind w:firstLine="1760"/>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cs="宋体"/>
          <w:bCs/>
          <w:color w:val="000000"/>
          <w:sz w:val="44"/>
          <w:szCs w:val="21"/>
          <w:highlight w:val="none"/>
          <w:lang w:val="en-US" w:eastAsia="zh-CN"/>
        </w:rPr>
        <w:t xml:space="preserve">第五章 </w:t>
      </w: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0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身份证明书及法定代表人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件（格式见附件2）；</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授权委托书及委托代理人身份证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件（如有授权）（格式见附件3）； </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cs="宋体"/>
          <w:bCs/>
          <w:color w:val="000000"/>
          <w:sz w:val="24"/>
          <w:szCs w:val="24"/>
          <w:highlight w:val="none"/>
        </w:rPr>
        <w:t xml:space="preserve">保险业务许可证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供应商所在地社保机构出具的由企业为授权委托人缴纳的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）提供202</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年度由会计师事务所（或者审计机构）出具的财务报告；（总公司的财务报告，成立不满一年不需提供）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供应商信用承诺书；</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）分包意向协议书；</w:t>
      </w:r>
      <w:r>
        <w:rPr>
          <w:rFonts w:hint="eastAsia" w:ascii="宋体" w:hAnsi="宋体" w:eastAsia="宋体" w:cs="宋体"/>
          <w:color w:val="000000"/>
          <w:sz w:val="24"/>
          <w:szCs w:val="24"/>
          <w:highlight w:val="none"/>
          <w:lang w:val="en-US" w:eastAsia="zh-CN"/>
        </w:rPr>
      </w:r>
      <w:r/>
    </w:p>
    <w:p>
      <w:pPr>
        <w:pStyle w:val="1004"/>
        <w:ind w:firstLine="480"/>
        <w:spacing w:line="360" w:lineRule="auto"/>
        <w:rPr>
          <w:rFonts w:hint="eastAsia" w:ascii="宋体" w:hAnsi="宋体" w:eastAsia="宋体" w:cs="宋体"/>
          <w:b/>
          <w:color w:val="000000"/>
          <w:sz w:val="28"/>
          <w:szCs w:val="28"/>
          <w:highlight w:val="none"/>
          <w:lang w:val="zh-CN"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1"/>
          <w:highlight w:val="none"/>
          <w:lang w:eastAsia="zh-CN"/>
        </w:rPr>
        <w:t xml:space="preserve">中小</w:t>
      </w:r>
      <w:r>
        <w:rPr>
          <w:rFonts w:hint="eastAsia" w:ascii="宋体" w:hAnsi="宋体" w:cs="宋体"/>
          <w:color w:val="000000"/>
          <w:sz w:val="24"/>
          <w:szCs w:val="21"/>
          <w:highlight w:val="none"/>
        </w:rPr>
        <w:t xml:space="preserve">企业声明函</w:t>
      </w:r>
      <w:r>
        <w:rPr>
          <w:rFonts w:hint="eastAsia" w:ascii="宋体" w:hAnsi="宋体" w:cs="宋体"/>
          <w:color w:val="000000"/>
          <w:sz w:val="24"/>
          <w:szCs w:val="24"/>
          <w:highlight w:val="none"/>
          <w:lang w:val="zh-CN"/>
        </w:rPr>
        <w:t xml:space="preserve">；残疾人福利性单位声明函（如符合残疾人福利性单位的需提供</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监狱企业证明函（如符合监狱企业的需提供 ）</w:t>
      </w:r>
      <w:r>
        <w:rPr>
          <w:rFonts w:hint="eastAsia" w:ascii="宋体" w:hAnsi="宋体" w:cs="宋体"/>
          <w:color w:val="000000"/>
          <w:sz w:val="24"/>
          <w:szCs w:val="24"/>
          <w:highlight w:val="none"/>
          <w:lang w:eastAsia="zh-CN"/>
        </w:rPr>
        <w:t xml:space="preserve">。</w:t>
      </w:r>
      <w:r>
        <w:rPr>
          <w:rFonts w:hint="eastAsia" w:ascii="宋体" w:hAnsi="宋体" w:eastAsia="宋体" w:cs="宋体"/>
          <w:b/>
          <w:color w:val="000000"/>
          <w:sz w:val="28"/>
          <w:szCs w:val="28"/>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认为其他必要的材料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w:t>
      </w:r>
      <w:r>
        <w:rPr>
          <w:rFonts w:hint="eastAsia" w:ascii="宋体" w:hAnsi="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0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0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80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20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166" w:name="_Toc12009"/>
      <w:r/>
      <w:bookmarkEnd w:id="166"/>
      <w:r/>
      <w:bookmarkStart w:id="167" w:name="_Toc184635088"/>
      <w:r/>
      <w:bookmarkEnd w:id="167"/>
      <w:r/>
      <w:bookmarkStart w:id="168" w:name="_Toc474229428"/>
      <w:r/>
      <w:bookmarkEnd w:id="168"/>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80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4940" w:type="pct"/>
        <w:tblInd w:w="-216" w:type="dxa"/>
        <w:tblLayout w:type="fixed"/>
        <w:tblCellMar>
          <w:left w:w="108" w:type="dxa"/>
          <w:top w:w="0" w:type="dxa"/>
          <w:right w:w="108" w:type="dxa"/>
          <w:bottom w:w="0" w:type="dxa"/>
        </w:tblCellMar>
        <w:tblLook w:val="04A0" w:firstRow="1" w:lastRow="0" w:firstColumn="1" w:lastColumn="0" w:noHBand="0" w:noVBand="1"/>
      </w:tblPr>
      <w:tblGrid>
        <w:gridCol w:w="810"/>
        <w:gridCol w:w="1387"/>
        <w:gridCol w:w="6862"/>
      </w:tblGrid>
      <w:tr>
        <w:trPr>
          <w:trHeight w:val="34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序号</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评分内容</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评审标准</w:t>
            </w:r>
            <w:r>
              <w:rPr>
                <w:rFonts w:hint="eastAsia" w:ascii="宋体" w:hAnsi="宋体" w:cs="宋体"/>
                <w:color w:val="000000"/>
                <w:highlight w:val="none"/>
                <w:lang w:val="zh-CN"/>
              </w:rPr>
            </w:r>
            <w:r/>
          </w:p>
        </w:tc>
      </w:tr>
      <w:tr>
        <w:trPr>
          <w:trHeight w:val="1154"/>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1</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核心偿付能力充足率（10分）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核心偿付能力充足率高于</w:t>
            </w:r>
            <w:r>
              <w:rPr>
                <w:rFonts w:hint="eastAsia" w:ascii="宋体" w:hAnsi="宋体" w:cs="宋体"/>
                <w:color w:val="000000"/>
                <w:highlight w:val="none"/>
                <w:lang w:val="en-US" w:eastAsia="zh-CN"/>
              </w:rPr>
              <w:t xml:space="preserve">21</w:t>
            </w:r>
            <w:r>
              <w:rPr>
                <w:rFonts w:hint="eastAsia" w:ascii="宋体" w:hAnsi="宋体" w:cs="宋体"/>
                <w:color w:val="000000"/>
                <w:highlight w:val="none"/>
              </w:rPr>
              <w:t xml:space="preserve">0%(含)的得10分,200%(含)—2</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0%得7分，1</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0%(含)—200%得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分，低于1</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0%不得分。</w:t>
            </w:r>
            <w:r>
              <w:rPr>
                <w:rFonts w:hint="eastAsia" w:ascii="宋体" w:hAnsi="宋体" w:cs="宋体"/>
                <w:b w:val="0"/>
                <w:bCs w:val="0"/>
                <w:color w:val="000000"/>
                <w:highlight w:val="none"/>
              </w:rPr>
              <w:t xml:space="preserve">（注：</w:t>
            </w:r>
            <w:r>
              <w:rPr>
                <w:rFonts w:hint="eastAsia" w:ascii="宋体" w:hAnsi="宋体" w:cs="宋体"/>
                <w:b w:val="0"/>
                <w:bCs w:val="0"/>
                <w:color w:val="000000"/>
                <w:highlight w:val="none"/>
                <w:lang w:val="zh-CN"/>
              </w:rPr>
              <w:t xml:space="preserve">以中国保险行业协会202</w:t>
            </w:r>
            <w:r>
              <w:rPr>
                <w:rFonts w:hint="eastAsia" w:ascii="宋体" w:hAnsi="宋体" w:cs="宋体"/>
                <w:b w:val="0"/>
                <w:bCs w:val="0"/>
                <w:color w:val="000000"/>
                <w:highlight w:val="none"/>
                <w:lang w:val="en-US" w:eastAsia="zh-CN"/>
              </w:rPr>
              <w:t xml:space="preserve">6</w:t>
            </w:r>
            <w:r>
              <w:rPr>
                <w:rFonts w:hint="eastAsia" w:ascii="宋体" w:hAnsi="宋体" w:cs="宋体"/>
                <w:b w:val="0"/>
                <w:bCs w:val="0"/>
                <w:color w:val="000000"/>
                <w:highlight w:val="none"/>
                <w:lang w:val="zh-CN"/>
              </w:rPr>
              <w:t xml:space="preserve">年第一季度保险公司年度信息披露报告为准。）</w:t>
            </w:r>
            <w:r>
              <w:rPr>
                <w:rFonts w:hint="eastAsia" w:ascii="宋体" w:hAnsi="宋体" w:cs="宋体"/>
                <w:color w:val="000000"/>
                <w:highlight w:val="none"/>
                <w:lang w:val="zh-CN"/>
              </w:rPr>
            </w:r>
            <w:r/>
          </w:p>
        </w:tc>
      </w:tr>
      <w:tr>
        <w:trPr>
          <w:trHeight w:val="7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2</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04"/>
              <w:rPr>
                <w:rFonts w:hint="eastAsia" w:ascii="宋体" w:hAnsi="宋体" w:cs="宋体"/>
                <w:color w:val="000000"/>
                <w:highlight w:val="none"/>
                <w:lang w:val="zh-CN"/>
              </w:rPr>
            </w:pPr>
            <w:r>
              <w:rPr>
                <w:rFonts w:hint="eastAsia" w:ascii="宋体" w:hAnsi="宋体" w:cs="宋体"/>
                <w:color w:val="000000"/>
                <w:highlight w:val="none"/>
              </w:rPr>
              <w:t xml:space="preserve">项目承办经验（10分）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rPr>
                <w:rFonts w:hint="eastAsia" w:ascii="宋体" w:hAnsi="宋体" w:cs="宋体"/>
                <w:color w:val="000000"/>
                <w:highlight w:val="none"/>
              </w:rPr>
            </w:pPr>
            <w:r>
              <w:rPr>
                <w:rFonts w:hint="eastAsia" w:ascii="宋体" w:hAnsi="宋体" w:cs="宋体"/>
                <w:color w:val="000000"/>
                <w:highlight w:val="none"/>
              </w:rPr>
              <w:t xml:space="preserve">202</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年</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月1日以来（以签订合同日期为准），有电梯综合保险业绩的，有一个得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分，最多得10分。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lang w:val="zh-CN"/>
              </w:rPr>
            </w:pPr>
            <w:r>
              <w:rPr>
                <w:rFonts w:hint="eastAsia" w:ascii="宋体" w:hAnsi="宋体" w:cs="宋体"/>
                <w:b w:val="0"/>
                <w:bCs w:val="0"/>
                <w:color w:val="000000"/>
                <w:highlight w:val="none"/>
              </w:rPr>
              <w:t xml:space="preserve">（注：电梯综合保险指</w:t>
            </w:r>
            <w:r>
              <w:rPr>
                <w:rFonts w:hint="eastAsia" w:ascii="宋体" w:hAnsi="宋体" w:cs="宋体"/>
                <w:b w:val="0"/>
                <w:bCs w:val="0"/>
                <w:color w:val="000000"/>
                <w:highlight w:val="none"/>
                <w:lang w:eastAsia="zh-CN"/>
              </w:rPr>
              <w:t xml:space="preserve">完整</w:t>
            </w:r>
            <w:r>
              <w:rPr>
                <w:rFonts w:hint="eastAsia" w:ascii="宋体" w:hAnsi="宋体" w:cs="宋体"/>
                <w:b w:val="0"/>
                <w:bCs w:val="0"/>
                <w:color w:val="000000"/>
                <w:highlight w:val="none"/>
              </w:rPr>
              <w:t xml:space="preserve">包含电梯维保</w:t>
            </w:r>
            <w:r>
              <w:rPr>
                <w:rFonts w:hint="eastAsia" w:ascii="宋体" w:hAnsi="宋体" w:cs="宋体"/>
                <w:b w:val="0"/>
                <w:bCs w:val="0"/>
                <w:color w:val="000000"/>
                <w:highlight w:val="none"/>
                <w:lang w:eastAsia="zh-CN"/>
              </w:rPr>
              <w:t xml:space="preserve">、检验检测等安全检查以及电梯维修等保障内容的保险，需</w:t>
            </w:r>
            <w:r>
              <w:rPr>
                <w:rFonts w:hint="eastAsia" w:ascii="宋体" w:hAnsi="宋体" w:cs="宋体"/>
                <w:b w:val="0"/>
                <w:bCs w:val="0"/>
                <w:color w:val="000000"/>
                <w:highlight w:val="none"/>
              </w:rPr>
              <w:t xml:space="preserve">提供</w:t>
            </w:r>
            <w:r>
              <w:rPr>
                <w:rFonts w:hint="eastAsia" w:ascii="宋体" w:hAnsi="宋体" w:cs="宋体"/>
                <w:b w:val="0"/>
                <w:bCs w:val="0"/>
                <w:color w:val="000000"/>
                <w:highlight w:val="none"/>
                <w:lang w:eastAsia="zh-CN"/>
              </w:rPr>
              <w:t xml:space="preserve">项目</w:t>
            </w:r>
            <w:r>
              <w:rPr>
                <w:rFonts w:hint="eastAsia" w:ascii="宋体" w:hAnsi="宋体" w:cs="宋体"/>
                <w:b w:val="0"/>
                <w:bCs w:val="0"/>
                <w:color w:val="000000"/>
                <w:highlight w:val="none"/>
                <w:lang w:val="en-US" w:eastAsia="zh-CN"/>
              </w:rPr>
              <w:t xml:space="preserve">保险</w:t>
            </w:r>
            <w:r>
              <w:rPr>
                <w:rFonts w:hint="eastAsia" w:ascii="宋体" w:hAnsi="宋体" w:cs="宋体"/>
                <w:b w:val="0"/>
                <w:bCs w:val="0"/>
                <w:color w:val="000000"/>
                <w:highlight w:val="none"/>
              </w:rPr>
              <w:t xml:space="preserve">合同原件</w:t>
            </w:r>
            <w:r>
              <w:rPr>
                <w:rFonts w:hint="eastAsia" w:ascii="宋体" w:hAnsi="宋体" w:cs="宋体"/>
                <w:b w:val="0"/>
                <w:bCs w:val="0"/>
                <w:color w:val="000000"/>
                <w:highlight w:val="none"/>
                <w:lang w:eastAsia="zh-CN"/>
              </w:rPr>
              <w:t xml:space="preserve">之扫描</w:t>
            </w:r>
            <w:r>
              <w:rPr>
                <w:rFonts w:hint="eastAsia" w:ascii="宋体" w:hAnsi="宋体" w:cs="宋体"/>
                <w:b w:val="0"/>
                <w:bCs w:val="0"/>
                <w:color w:val="000000"/>
                <w:highlight w:val="none"/>
              </w:rPr>
              <w:t xml:space="preserve">件）</w:t>
            </w:r>
            <w:r>
              <w:rPr>
                <w:rFonts w:hint="eastAsia" w:ascii="宋体" w:hAnsi="宋体" w:cs="宋体"/>
                <w:color w:val="000000"/>
                <w:highlight w:val="none"/>
                <w:lang w:val="zh-CN"/>
              </w:rPr>
            </w:r>
            <w:r/>
          </w:p>
        </w:tc>
      </w:tr>
      <w:tr>
        <w:trPr>
          <w:trHeight w:val="124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项目服务团队（</w:t>
            </w:r>
            <w:r>
              <w:rPr>
                <w:rFonts w:hint="eastAsia" w:ascii="宋体" w:hAnsi="宋体" w:cs="宋体"/>
                <w:color w:val="000000"/>
                <w:highlight w:val="none"/>
                <w:lang w:val="en-US" w:eastAsia="zh-CN"/>
              </w:rPr>
              <w:t xml:space="preserve">15</w:t>
            </w:r>
            <w:r>
              <w:rPr>
                <w:rFonts w:hint="eastAsia" w:ascii="宋体" w:hAnsi="宋体" w:cs="宋体"/>
                <w:color w:val="000000"/>
                <w:highlight w:val="none"/>
              </w:rPr>
              <w:t xml:space="preserve">分）</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bCs/>
                <w:color w:val="000000"/>
                <w:highlight w:val="none"/>
              </w:rPr>
            </w:pPr>
            <w:r>
              <w:rPr>
                <w:rFonts w:hint="eastAsia" w:ascii="宋体" w:hAnsi="宋体" w:cs="宋体"/>
                <w:bCs/>
                <w:color w:val="000000"/>
                <w:highlight w:val="none"/>
              </w:rPr>
              <w:t xml:space="preserve">提供成交后服务商拟提供的本项目专业服务团队，根据拟投入本项目的服务团队资质、经验进行综合评价，团队资质齐全、经验丰富、能完全满足项目需求的得</w:t>
            </w:r>
            <w:r>
              <w:rPr>
                <w:rFonts w:hint="eastAsia" w:ascii="宋体" w:hAnsi="宋体" w:cs="宋体"/>
                <w:bCs/>
                <w:color w:val="000000"/>
                <w:highlight w:val="none"/>
                <w:lang w:val="en-US" w:eastAsia="zh-CN"/>
              </w:rPr>
              <w:t xml:space="preserve">15</w:t>
            </w:r>
            <w:r>
              <w:rPr>
                <w:rFonts w:hint="eastAsia" w:ascii="宋体" w:hAnsi="宋体" w:cs="宋体"/>
                <w:bCs/>
                <w:color w:val="000000"/>
                <w:highlight w:val="none"/>
              </w:rPr>
              <w:t xml:space="preserve">分，团队资质较齐全、经验较丰富得</w:t>
            </w:r>
            <w:r>
              <w:rPr>
                <w:rFonts w:hint="eastAsia" w:ascii="宋体" w:hAnsi="宋体" w:cs="宋体"/>
                <w:bCs/>
                <w:color w:val="000000"/>
                <w:highlight w:val="none"/>
                <w:lang w:val="en-US" w:eastAsia="zh-CN"/>
              </w:rPr>
              <w:t xml:space="preserve">10</w:t>
            </w:r>
            <w:r>
              <w:rPr>
                <w:rFonts w:hint="eastAsia" w:ascii="宋体" w:hAnsi="宋体" w:cs="宋体"/>
                <w:bCs/>
                <w:color w:val="000000"/>
                <w:highlight w:val="none"/>
              </w:rPr>
              <w:t xml:space="preserve">分，团队资质不全、经验相对不足得</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分，未设置专业服务团队不得分。</w:t>
            </w:r>
            <w:r>
              <w:rPr>
                <w:rFonts w:hint="eastAsia" w:ascii="宋体" w:hAnsi="宋体" w:cs="宋体"/>
                <w:bCs/>
                <w:color w:val="000000"/>
                <w:highlight w:val="none"/>
              </w:rPr>
            </w:r>
            <w:r/>
          </w:p>
        </w:tc>
      </w:tr>
      <w:tr>
        <w:trPr>
          <w:trHeight w:val="1420"/>
        </w:trPr>
        <w:tc>
          <w:tcPr>
            <w:tcBorders>
              <w:top w:val="single" w:color="000000" w:sz="4" w:space="0"/>
              <w:left w:val="single" w:color="000000" w:sz="4" w:space="0"/>
              <w:bottom w:val="none" w:color="000000" w:sz="4" w:space="0"/>
              <w:right w:val="single" w:color="000000" w:sz="4" w:space="0"/>
            </w:tcBorders>
            <w:tcW w:w="447" w:type="dxa"/>
            <w:vAlign w:val="center"/>
            <w:vMerge w:val="restart"/>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Borders>
              <w:top w:val="single" w:color="000000" w:sz="4" w:space="0"/>
              <w:left w:val="single" w:color="000000" w:sz="4" w:space="0"/>
              <w:bottom w:val="none" w:color="000000" w:sz="4" w:space="0"/>
              <w:right w:val="single" w:color="000000" w:sz="4" w:space="0"/>
            </w:tcBorders>
            <w:tcW w:w="765" w:type="dxa"/>
            <w:vAlign w:val="center"/>
            <w:vMerge w:val="restart"/>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服务方案（40分）</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jc w:val="left"/>
              <w:rPr>
                <w:rFonts w:hint="eastAsia" w:ascii="宋体" w:hAnsi="宋体" w:cs="宋体"/>
                <w:color w:val="000000"/>
                <w:highlight w:val="none"/>
              </w:rPr>
            </w:pPr>
            <w:r>
              <w:rPr>
                <w:rFonts w:hint="eastAsia" w:ascii="宋体" w:hAnsi="宋体" w:cs="宋体"/>
                <w:color w:val="000000"/>
                <w:highlight w:val="none"/>
              </w:rPr>
              <w:t xml:space="preserve">1.提供针对该项目的维保服务内容：（10分）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①维保服务内容齐全、实施性强，满足项目需求的得10分；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②维保服务内容较齐全、可实施性较强、部分满足项目需求的得7分；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③维保服务内容有缺漏项，缺乏可行性的得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rPr>
                <w:rFonts w:hint="eastAsia" w:ascii="宋体" w:hAnsi="宋体" w:cs="宋体"/>
                <w:b/>
                <w:bCs/>
                <w:color w:val="000000"/>
                <w:highlight w:val="none"/>
              </w:rPr>
            </w:pPr>
            <w:r>
              <w:rPr>
                <w:rFonts w:hint="eastAsia" w:ascii="宋体" w:hAnsi="宋体" w:cs="宋体"/>
                <w:color w:val="000000"/>
                <w:highlight w:val="none"/>
              </w:rPr>
              <w:t xml:space="preserve">未提供不予得分。</w:t>
            </w:r>
            <w:r>
              <w:rPr>
                <w:rFonts w:hint="eastAsia" w:ascii="宋体" w:hAnsi="宋体" w:cs="宋体"/>
                <w:b/>
                <w:bCs/>
                <w:color w:val="000000"/>
                <w:highlight w:val="none"/>
              </w:rPr>
            </w:r>
            <w:r/>
          </w:p>
        </w:tc>
      </w:tr>
      <w:tr>
        <w:trPr>
          <w:trHeight w:val="1937"/>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2.供应商提出针对本项目理赔服务方案进行综合打分：（10分）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①建立理赔绿色通道，设立项目理赔专线联系方式得10分；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②未设立理赔绿色通道，设立项目理赔专线联系方式得7分；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③未建立理赔绿色通道，未设立项目理赔专线联系方式，仅提供总公司热线电话的得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widowControl/>
              <w:rPr>
                <w:rFonts w:hint="eastAsia" w:ascii="宋体" w:hAnsi="宋体" w:cs="宋体"/>
                <w:b/>
                <w:bCs/>
                <w:color w:val="000000"/>
                <w:highlight w:val="none"/>
              </w:rPr>
            </w:pPr>
            <w:r>
              <w:rPr>
                <w:rFonts w:hint="eastAsia" w:ascii="宋体" w:hAnsi="宋体" w:cs="宋体"/>
                <w:color w:val="000000"/>
                <w:highlight w:val="none"/>
              </w:rPr>
              <w:t xml:space="preserve">未提供不予得分。</w:t>
            </w:r>
            <w:r>
              <w:rPr>
                <w:rFonts w:hint="eastAsia" w:ascii="宋体" w:hAnsi="宋体" w:cs="宋体"/>
                <w:b/>
                <w:bCs/>
                <w:color w:val="000000"/>
                <w:highlight w:val="none"/>
              </w:rPr>
            </w:r>
            <w:r/>
          </w:p>
        </w:tc>
      </w:tr>
      <w:tr>
        <w:trPr>
          <w:trHeight w:val="424"/>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3.供应商提出针对本项目</w:t>
            </w:r>
            <w:bookmarkStart w:id="169" w:name="_Toc860462195"/>
            <w:r>
              <w:rPr>
                <w:rFonts w:hint="eastAsia" w:ascii="宋体" w:hAnsi="宋体" w:cs="宋体"/>
                <w:color w:val="000000"/>
                <w:highlight w:val="none"/>
              </w:rPr>
              <w:t xml:space="preserve">维修服务内容</w:t>
            </w:r>
            <w:bookmarkEnd w:id="169"/>
            <w:r>
              <w:rPr>
                <w:rFonts w:hint="eastAsia" w:ascii="宋体" w:hAnsi="宋体" w:cs="宋体"/>
                <w:color w:val="000000"/>
                <w:highlight w:val="none"/>
              </w:rPr>
              <w:t xml:space="preserve">（包含但不限于一般故障、复杂故障、零配件管理等），根据具体性、可行性进行综合打分：（10分）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①维修服务内容齐全、实施性强，满足项目需求的得10分；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②维修服务内容较齐全、可实施性较强、部分满足项目需求的得7分；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③维修服务内容有缺漏项，缺乏可行性得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jc w:val="left"/>
              <w:rPr>
                <w:rFonts w:hint="eastAsia" w:ascii="宋体" w:hAnsi="宋体" w:cs="宋体"/>
                <w:color w:val="000000"/>
                <w:highlight w:val="none"/>
              </w:rPr>
            </w:pPr>
            <w:r>
              <w:rPr>
                <w:rFonts w:hint="eastAsia" w:ascii="宋体" w:hAnsi="宋体" w:cs="宋体"/>
                <w:color w:val="000000"/>
                <w:highlight w:val="none"/>
              </w:rPr>
              <w:t xml:space="preserve">未提供不予得分。</w:t>
            </w:r>
            <w:r>
              <w:rPr>
                <w:rFonts w:hint="eastAsia" w:ascii="宋体" w:hAnsi="宋体" w:cs="宋体"/>
                <w:color w:val="000000"/>
                <w:highlight w:val="none"/>
              </w:rPr>
            </w:r>
            <w:r/>
          </w:p>
        </w:tc>
      </w:tr>
      <w:tr>
        <w:trPr>
          <w:trHeight w:val="1420"/>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1004"/>
              <w:jc w:val="center"/>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4.供应商提出针对本项目的保障措施（包含但不限于维保服务标准、维保专业队伍及日常管理、维保机构监督和退出机制等），根据具体性、可行性进行综合打分：（10分）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①保障措施内容齐全、实施性强、满足项目需求的得10分；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②保障措施内容较齐全、可实施性较强、部分满足项目需求的得7分；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③保障措施内容有缺漏项，缺乏可行性得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未提供不予得分。</w:t>
            </w:r>
            <w:r>
              <w:rPr>
                <w:rFonts w:hint="eastAsia" w:ascii="宋体" w:hAnsi="宋体" w:cs="宋体"/>
                <w:color w:val="000000"/>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pStyle w:val="1004"/>
              <w:jc w:val="center"/>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5</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1004"/>
              <w:tabs>
                <w:tab w:val="left" w:pos="3585" w:leader="none"/>
              </w:tabs>
              <w:rPr>
                <w:rFonts w:hint="eastAsia" w:ascii="宋体" w:hAnsi="宋体" w:cs="宋体"/>
                <w:color w:val="000000"/>
                <w:highlight w:val="none"/>
                <w:lang w:val="zh-CN"/>
              </w:rPr>
            </w:pPr>
            <w:r>
              <w:rPr>
                <w:rFonts w:hint="eastAsia" w:ascii="宋体" w:hAnsi="宋体" w:cs="宋体"/>
                <w:color w:val="000000"/>
                <w:highlight w:val="none"/>
              </w:rPr>
              <w:t xml:space="preserve">增值服务承诺（</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lang w:val="zh-CN"/>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pStyle w:val="1004"/>
              <w:tabs>
                <w:tab w:val="left" w:pos="3585" w:leader="none"/>
              </w:tabs>
              <w:rPr>
                <w:rFonts w:hint="eastAsia" w:ascii="宋体" w:hAnsi="宋体" w:cs="宋体"/>
                <w:color w:val="000000"/>
                <w:highlight w:val="none"/>
              </w:rPr>
            </w:pPr>
            <w:r>
              <w:rPr>
                <w:rFonts w:hint="eastAsia" w:ascii="宋体" w:hAnsi="宋体" w:cs="宋体"/>
                <w:color w:val="000000"/>
                <w:highlight w:val="none"/>
              </w:rPr>
              <w:t xml:space="preserve">提供供应商具有优势的相关增值服务承诺，包括但不限于以下内容：电梯档案存储，日常保养服务跟踪，电梯配件更换，物联网，电梯运行统计分析等。需提供相关资料，每有一项得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分，本项最高得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分。不提供不得分。</w:t>
            </w:r>
            <w:r>
              <w:rPr>
                <w:rFonts w:hint="eastAsia" w:ascii="宋体" w:hAnsi="宋体" w:cs="宋体"/>
                <w:color w:val="000000"/>
                <w:highlight w:val="none"/>
              </w:rPr>
            </w:r>
            <w:r/>
          </w:p>
        </w:tc>
      </w:tr>
    </w:tbl>
    <w:p>
      <w:pPr>
        <w:pStyle w:val="100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0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5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20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0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0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0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0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0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0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2.本项目不执行价格评审优惠措施。</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3.本项目预留部分采购项目预算专门面向中小微企业采购，且要求获得采购合同的供应商将采购项目中的一定比例分包给一家或者多家中小微企业的，投标文件中须提供《中小企业声明函》或《残疾人福利性单位声明函》或由省级以上监狱管理局、戒毒管理局（含新疆生产建设兵团）出具的属于监狱企业的证明文件，同时还须提供《分包意向协议》。 </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小型企业、微型企业的，提供《中小企业声明函》（第六章 投标文件格式）；符合《关于促进残疾人就业政府采购政策的通知》（财库〔2017〕141号）规定的条件并提供《残疾人福利性单位声明函》（第六章 投标文件格式）的残疾人福利性单位视同小型、微型企业；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37.4 享受扶持政策获得政府采购合同的，小微企业不得将合同分包给大中型企业，中型企业不得将合同分包给大型企业。</w:t>
      </w:r>
      <w:r>
        <w:rPr>
          <w:rFonts w:hint="eastAsia" w:ascii="宋体" w:hAnsi="宋体" w:eastAsia="宋体" w:cs="宋体"/>
          <w:b w:val="0"/>
          <w:bCs w:val="0"/>
          <w:color w:val="000000"/>
          <w:sz w:val="24"/>
          <w:highlight w:val="none"/>
          <w:u w:val="none"/>
          <w:lang w:val="en-US" w:eastAsia="zh-CN"/>
        </w:rPr>
      </w:r>
      <w:r/>
    </w:p>
    <w:p>
      <w:pPr>
        <w:pStyle w:val="100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0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0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0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0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0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0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0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叁</w:t>
      </w:r>
      <w:r>
        <w:rPr>
          <w:rFonts w:hint="eastAsia" w:ascii="宋体" w:hAnsi="宋体" w:eastAsia="宋体" w:cs="宋体"/>
          <w:b/>
          <w:bCs/>
          <w:color w:val="000000"/>
          <w:sz w:val="24"/>
          <w:highlight w:val="none"/>
          <w:u w:val="none"/>
          <w:lang w:val="zh-CN"/>
        </w:rPr>
        <w:t xml:space="preserve">份纸质版响应文件至代理机构处。</w:t>
      </w:r>
      <w:r>
        <w:rPr>
          <w:rFonts w:hint="eastAsia" w:ascii="宋体" w:hAnsi="宋体" w:eastAsia="宋体" w:cs="宋体"/>
          <w:b/>
          <w:bCs/>
          <w:color w:val="000000"/>
          <w:sz w:val="24"/>
          <w:highlight w:val="none"/>
          <w:u w:val="none"/>
          <w:lang w:val="zh-CN"/>
        </w:rPr>
      </w:r>
      <w:r/>
    </w:p>
    <w:p>
      <w:pPr>
        <w:pStyle w:val="1065"/>
        <w:rPr>
          <w:rFonts w:hint="eastAsia"/>
          <w:color w:val="000000"/>
          <w:highlight w:val="none"/>
        </w:rPr>
      </w:pPr>
      <w:r/>
      <w:bookmarkEnd w:id="163"/>
      <w:r/>
      <w:bookmarkEnd w:id="164"/>
      <w:r/>
      <w:bookmarkEnd w:id="165"/>
      <w:r>
        <w:rPr>
          <w:rFonts w:hint="eastAsia"/>
          <w:color w:val="000000"/>
          <w:highlight w:val="none"/>
        </w:rPr>
      </w:r>
      <w:r/>
    </w:p>
    <w:p>
      <w:pPr>
        <w:pStyle w:val="100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0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04"/>
        <w:jc w:val="center"/>
        <w:rPr>
          <w:rFonts w:hint="eastAsia" w:ascii="宋体" w:hAnsi="宋体"/>
          <w:b/>
          <w:color w:val="000000"/>
          <w:sz w:val="72"/>
          <w:szCs w:val="21"/>
          <w:highlight w:val="none"/>
        </w:rPr>
      </w:pPr>
      <w:r/>
      <w:bookmarkStart w:id="170" w:name="_Hlt26671244"/>
      <w:r/>
      <w:bookmarkEnd w:id="170"/>
      <w:r/>
      <w:bookmarkStart w:id="171" w:name="_Hlt26955039"/>
      <w:r/>
      <w:bookmarkEnd w:id="171"/>
      <w:r/>
      <w:bookmarkStart w:id="172" w:name="_Toc49090576"/>
      <w:r/>
      <w:bookmarkStart w:id="173" w:name="_Toc26554094"/>
      <w:r/>
      <w:bookmarkStart w:id="174" w:name="_Toc120614282"/>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0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0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0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0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21"/>
        <w:rPr>
          <w:rFonts w:hint="eastAsia"/>
          <w:color w:val="000000"/>
          <w:highlight w:val="none"/>
        </w:rPr>
      </w:pPr>
      <w:r>
        <w:rPr>
          <w:rFonts w:hint="eastAsia"/>
          <w:color w:val="000000"/>
          <w:highlight w:val="none"/>
        </w:rPr>
      </w:r>
      <w:r/>
    </w:p>
    <w:p>
      <w:pPr>
        <w:pStyle w:val="100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bCs/>
          <w:color w:val="000000"/>
          <w:sz w:val="32"/>
          <w:szCs w:val="32"/>
          <w:highlight w:val="none"/>
        </w:rPr>
      </w:r>
      <w:r/>
    </w:p>
    <w:p>
      <w:pPr>
        <w:pStyle w:val="1004"/>
        <w:jc w:val="center"/>
        <w:spacing w:line="440" w:lineRule="exact"/>
        <w:rPr>
          <w:rFonts w:hint="eastAsia" w:ascii="宋体" w:hAnsi="宋体"/>
          <w:b/>
          <w:bCs/>
          <w:color w:val="000000"/>
          <w:sz w:val="32"/>
          <w:szCs w:val="32"/>
          <w:highlight w:val="none"/>
        </w:rPr>
      </w:pPr>
      <w:r/>
      <w:bookmarkEnd w:id="161"/>
      <w:r/>
      <w:bookmarkEnd w:id="162"/>
      <w:r/>
      <w:bookmarkEnd w:id="172"/>
      <w:r/>
      <w:bookmarkEnd w:id="173"/>
      <w:r/>
      <w:bookmarkEnd w:id="174"/>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00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cs="宋体"/>
          <w:bCs/>
          <w:color w:val="000000"/>
          <w:sz w:val="24"/>
          <w:szCs w:val="24"/>
          <w:highlight w:val="none"/>
        </w:rPr>
        <w:t xml:space="preserve">1.磋商报价表</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color w:val="000000"/>
          <w:sz w:val="24"/>
          <w:highlight w:val="none"/>
          <w:lang w:val="zh-CN" w:eastAsia="zh-CN"/>
        </w:rPr>
      </w:r>
      <w:r/>
    </w:p>
    <w:p>
      <w:pPr>
        <w:pStyle w:val="1004"/>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en-US" w:eastAsia="zh-CN"/>
        </w:rPr>
        <w:t xml:space="preserve">1.供应商符合《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身份证明书及法定代表人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件（格式见附件2）；</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en-US" w:eastAsia="zh-CN"/>
        </w:rPr>
        <w:t xml:space="preserve">授权委托书及委托代理人身份证</w:t>
      </w:r>
      <w:r>
        <w:rPr>
          <w:rFonts w:hint="eastAsia" w:ascii="宋体" w:hAnsi="宋体" w:cs="宋体"/>
          <w:color w:val="000000"/>
          <w:sz w:val="24"/>
          <w:highlight w:val="none"/>
          <w:lang w:val="en-US" w:eastAsia="zh-CN"/>
        </w:rPr>
        <w:t xml:space="preserve">扫描</w:t>
      </w:r>
      <w:r>
        <w:rPr>
          <w:rFonts w:hint="eastAsia" w:ascii="宋体" w:hAnsi="宋体" w:eastAsia="宋体" w:cs="宋体"/>
          <w:color w:val="000000"/>
          <w:sz w:val="24"/>
          <w:highlight w:val="none"/>
          <w:lang w:val="en-US" w:eastAsia="zh-CN"/>
        </w:rPr>
        <w:t xml:space="preserve">件（如有授权）（格式见附件3）； </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cs="宋体"/>
          <w:bCs/>
          <w:color w:val="000000"/>
          <w:sz w:val="24"/>
          <w:szCs w:val="24"/>
          <w:highlight w:val="none"/>
        </w:rPr>
        <w:t xml:space="preserve">保险业务许可证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供应商所在地社保机构出具的由企业为授权委托人缴纳的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0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7.提供202</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年度由会计师事务所（或者审计机构）出具的财务报告；（总公司的财务报告，成立不满一年不需提供）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8.供应商</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0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10.参加政府采购活动前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t xml:space="preserve">供应商信用承诺书；</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分包意向协议书；</w:t>
      </w:r>
      <w:r>
        <w:rPr>
          <w:rFonts w:hint="eastAsia" w:ascii="宋体" w:hAnsi="宋体" w:eastAsia="宋体" w:cs="宋体"/>
          <w:color w:val="000000"/>
          <w:sz w:val="24"/>
          <w:szCs w:val="24"/>
          <w:highlight w:val="none"/>
          <w:lang w:val="en-US" w:eastAsia="zh-CN"/>
        </w:rPr>
      </w:r>
      <w:r/>
    </w:p>
    <w:p>
      <w:pPr>
        <w:pStyle w:val="10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1"/>
          <w:highlight w:val="none"/>
          <w:lang w:eastAsia="zh-CN"/>
        </w:rPr>
        <w:t xml:space="preserve">中小</w:t>
      </w:r>
      <w:r>
        <w:rPr>
          <w:rFonts w:hint="eastAsia" w:ascii="宋体" w:hAnsi="宋体" w:cs="宋体"/>
          <w:color w:val="000000"/>
          <w:sz w:val="24"/>
          <w:szCs w:val="21"/>
          <w:highlight w:val="none"/>
        </w:rPr>
        <w:t xml:space="preserve">企业声明函</w:t>
      </w:r>
      <w:r>
        <w:rPr>
          <w:rFonts w:hint="eastAsia" w:ascii="宋体" w:hAnsi="宋体" w:cs="宋体"/>
          <w:color w:val="000000"/>
          <w:sz w:val="24"/>
          <w:szCs w:val="24"/>
          <w:highlight w:val="none"/>
          <w:lang w:val="zh-CN"/>
        </w:rPr>
        <w:t xml:space="preserve">；残疾人福利性单位声明函（如符合残疾人福利性单位的需提供</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监狱企业证明函（如符合监狱企业的需提供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认为其他必要的材料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4"/>
        <w:numPr>
          <w:ilvl w:val="0"/>
          <w:numId w:val="12"/>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04"/>
        <w:numPr>
          <w:ilvl w:val="0"/>
          <w:numId w:val="0"/>
        </w:num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zh-CN" w:eastAsia="zh-CN"/>
        </w:rPr>
        <w:t xml:space="preserve">报价符合性审查（如有）；</w:t>
      </w:r>
      <w:r>
        <w:rPr>
          <w:rFonts w:hint="eastAsia" w:ascii="宋体" w:hAnsi="宋体" w:eastAsia="宋体" w:cs="宋体"/>
          <w:b w:val="0"/>
          <w:bCs/>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磋商响应函；</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明细报价一览表；</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4.技术要求响应及偏离表</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004"/>
        <w:ind w:left="0"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5.商务要求响应及偏离表</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04"/>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0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0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06"/>
        <w:jc w:val="center"/>
        <w:keepLines w:val="0"/>
        <w:keepNext w:val="0"/>
        <w:widowControl/>
        <w:rPr>
          <w:color w:val="000000"/>
          <w:highlight w:val="none"/>
        </w:rPr>
        <w:suppressLineNumbers w:val="0"/>
      </w:pPr>
      <w:r>
        <w:rPr>
          <w:rStyle w:val="1056"/>
          <w:color w:val="000000"/>
          <w:highlight w:val="none"/>
        </w:rPr>
        <w:t xml:space="preserve">磋商报价表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51"/>
              <w:keepLines w:val="0"/>
              <w:keepNext w:val="0"/>
              <w:widowControl/>
              <w:rPr>
                <w:color w:val="000000"/>
                <w:highlight w:val="none"/>
              </w:rPr>
              <w:suppressLineNumbers w:val="0"/>
            </w:pPr>
            <w:r>
              <w:rPr>
                <w:rFonts w:hint="eastAsia"/>
                <w:color w:val="000000"/>
                <w:highlight w:val="none"/>
                <w:lang w:eastAsia="zh-CN"/>
              </w:rPr>
              <w:t xml:space="preserve">单价</w:t>
            </w:r>
            <w:r>
              <w:rPr>
                <w:color w:val="000000"/>
                <w:highlight w:val="none"/>
              </w:rPr>
              <w:t xml:space="preserve">（小写）</w:t>
            </w:r>
            <w:r>
              <w:rPr>
                <w:color w:val="000000"/>
                <w:highlight w:val="none"/>
              </w:rPr>
            </w:r>
            <w:r/>
          </w:p>
        </w:tc>
      </w:tr>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51"/>
              <w:keepLines w:val="0"/>
              <w:keepNext w:val="0"/>
              <w:widowControl/>
              <w:rPr>
                <w:rFonts w:eastAsia="宋体"/>
                <w:color w:val="000000"/>
                <w:highlight w:val="none"/>
                <w:lang w:val="en-US" w:eastAsia="zh-CN"/>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rFonts w:hint="eastAsia"/>
                <w:color w:val="000000"/>
                <w:highlight w:val="none"/>
                <w:lang w:val="en-US" w:eastAsia="zh-CN"/>
              </w:rPr>
              <w:t xml:space="preserve">/台/年</w:t>
            </w:r>
            <w:r>
              <w:rPr>
                <w:rFonts w:eastAsia="宋体"/>
                <w:color w:val="000000"/>
                <w:highlight w:val="none"/>
                <w:lang w:val="en-US" w:eastAsia="zh-CN"/>
              </w:rPr>
            </w:r>
            <w:r/>
          </w:p>
        </w:tc>
      </w:tr>
      <w:tr>
        <w:trPr>
          <w:tblCellSpacing w:w="15" w:type="dxa"/>
        </w:trPr>
        <w:tc>
          <w:tcPr>
            <w:tcW w:w="3330" w:type="dxa"/>
            <w:vAlign w:val="center"/>
            <w:textDirection w:val="lrTb"/>
            <w:noWrap w:val="false"/>
          </w:tcPr>
          <w:p>
            <w:pPr>
              <w:pStyle w:val="1051"/>
              <w:keepLines w:val="0"/>
              <w:keepNext w:val="0"/>
              <w:widowControl/>
              <w:rPr>
                <w:color w:val="000000"/>
                <w:highlight w:val="none"/>
              </w:rPr>
              <w:suppressLineNumbers w:val="0"/>
            </w:pPr>
            <w:r>
              <w:rPr>
                <w:rFonts w:hint="eastAsia"/>
                <w:color w:val="000000"/>
                <w:highlight w:val="none"/>
                <w:lang w:eastAsia="zh-CN"/>
              </w:rPr>
              <w:t xml:space="preserve">单价</w:t>
            </w:r>
            <w:r>
              <w:rPr>
                <w:color w:val="000000"/>
                <w:highlight w:val="none"/>
              </w:rPr>
              <w:t xml:space="preserve">（大写）：</w:t>
            </w:r>
            <w:r>
              <w:rPr>
                <w:color w:val="000000"/>
                <w:highlight w:val="none"/>
              </w:rPr>
            </w:r>
            <w:r/>
          </w:p>
        </w:tc>
        <w:tc>
          <w:tcPr>
            <w:gridSpan w:val="2"/>
            <w:tcW w:w="8340" w:type="dxa"/>
            <w:vAlign w:val="center"/>
            <w:textDirection w:val="lrTb"/>
            <w:noWrap w:val="false"/>
          </w:tcPr>
          <w:p>
            <w:pPr>
              <w:pStyle w:val="105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5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5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0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04"/>
        <w:spacing w:line="560" w:lineRule="exact"/>
        <w:rPr>
          <w:rFonts w:ascii="宋体" w:hAnsi="宋体"/>
          <w:color w:val="000000"/>
          <w:sz w:val="24"/>
          <w:szCs w:val="21"/>
          <w:highlight w:val="none"/>
          <w:lang w:val="en-US" w:eastAsia="zh-CN"/>
        </w:rPr>
      </w:pPr>
      <w:r>
        <w:rPr>
          <w:rFonts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0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olor w:val="000000"/>
          <w:sz w:val="24"/>
          <w:szCs w:val="21"/>
          <w:highlight w:val="none"/>
          <w:lang w:val="en-US" w:eastAsia="zh-CN"/>
        </w:rPr>
      </w:r>
      <w:r/>
    </w:p>
    <w:p>
      <w:pPr>
        <w:pStyle w:val="100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0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0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0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0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0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0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0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0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b/>
          <w:bCs/>
          <w:color w:val="000000"/>
          <w:sz w:val="24"/>
          <w:highlight w:val="none"/>
        </w:rPr>
        <w:t xml:space="preserve">身份证明</w:t>
      </w:r>
      <w:r>
        <w:rPr>
          <w:rFonts w:hint="eastAsia" w:ascii="宋体" w:hAnsi="宋体" w:cs="宋体"/>
          <w:b/>
          <w:bCs/>
          <w:color w:val="000000"/>
          <w:sz w:val="24"/>
          <w:highlight w:val="none"/>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1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b/>
          <w:color w:val="000000"/>
          <w:sz w:val="24"/>
          <w:highlight w:val="none"/>
        </w:rPr>
        <w:t xml:space="preserve">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10"/>
        <w:rPr>
          <w:rFonts w:hint="eastAsia"/>
          <w:color w:val="000000"/>
          <w:highlight w:val="none"/>
          <w:lang w:val="zh-CN"/>
        </w:rPr>
      </w:pPr>
      <w:r>
        <w:rPr>
          <w:rFonts w:hint="eastAsia"/>
          <w:color w:val="000000"/>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0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0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0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0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0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w:t>
      </w:r>
      <w:r>
        <w:rPr>
          <w:rFonts w:hint="eastAsia" w:ascii="宋体" w:hAnsi="宋体" w:cs="宋体"/>
          <w:color w:val="000000"/>
          <w:sz w:val="24"/>
          <w:highlight w:val="none"/>
          <w:lang w:val="en-US" w:eastAsia="zh-CN"/>
        </w:rPr>
        <w:t xml:space="preserve">（或单位负责人）</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0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1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0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0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0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0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0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0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0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0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0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0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6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6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04"/>
        <w:rPr>
          <w:rFonts w:hint="eastAsia"/>
          <w:color w:val="000000"/>
          <w:highlight w:val="none"/>
          <w:lang w:eastAsia="zh-CN"/>
        </w:rPr>
      </w:pPr>
      <w:r>
        <w:rPr>
          <w:rFonts w:hint="eastAsia"/>
          <w:color w:val="000000"/>
          <w:highlight w:val="none"/>
          <w:lang w:eastAsia="zh-CN"/>
        </w:rPr>
      </w:r>
      <w:r/>
    </w:p>
    <w:p>
      <w:pPr>
        <w:pStyle w:val="100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0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0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0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0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0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0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0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color w:val="000000"/>
          <w:sz w:val="24"/>
          <w:szCs w:val="21"/>
          <w:highlight w:val="none"/>
          <w:lang w:eastAsia="zh-CN"/>
        </w:rPr>
      </w:r>
      <w:r/>
    </w:p>
    <w:p>
      <w:pPr>
        <w:pStyle w:val="100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0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0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0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0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0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0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w:t>
      </w:r>
      <w:r>
        <w:rPr>
          <w:rFonts w:hint="eastAsia" w:ascii="宋体" w:hAnsi="宋体" w:cs="宋体"/>
          <w:color w:val="000000"/>
          <w:sz w:val="24"/>
          <w:highlight w:val="none"/>
          <w:lang w:val="en-US" w:eastAsia="zh-CN"/>
        </w:rPr>
        <w:t xml:space="preserve">（或单位负责人）</w:t>
      </w:r>
      <w:r>
        <w:rPr>
          <w:rFonts w:hint="eastAsia" w:ascii="宋体" w:hAnsi="宋体" w:eastAsia="宋体" w:cs="宋体"/>
          <w:color w:val="000000"/>
          <w:sz w:val="24"/>
          <w:highlight w:val="none"/>
          <w:lang w:val="zh-CN" w:bidi="ar"/>
        </w:rPr>
        <w:t xml:space="preserve">（签字或盖章）：</w:t>
      </w:r>
      <w:r>
        <w:rPr>
          <w:rFonts w:hint="eastAsia" w:ascii="宋体" w:hAnsi="宋体" w:eastAsia="宋体" w:cs="宋体"/>
          <w:color w:val="000000"/>
          <w:sz w:val="24"/>
          <w:highlight w:val="none"/>
          <w:u w:val="single"/>
          <w:lang w:val="zh-CN"/>
        </w:rPr>
      </w:r>
      <w:r/>
    </w:p>
    <w:p>
      <w:pPr>
        <w:pStyle w:val="100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8</w:t>
      </w:r>
      <w:r>
        <w:rPr>
          <w:rFonts w:hint="eastAsia" w:ascii="宋体" w:hAnsi="宋体" w:eastAsia="宋体" w:cs="Times New Roman"/>
          <w:bCs/>
          <w:color w:val="000000"/>
          <w:sz w:val="24"/>
          <w:szCs w:val="21"/>
          <w:highlight w:val="none"/>
          <w:lang w:eastAsia="zh-CN"/>
        </w:rPr>
      </w:r>
      <w:r/>
    </w:p>
    <w:p>
      <w:pPr>
        <w:pStyle w:val="1004"/>
        <w:jc w:val="center"/>
        <w:spacing w:line="264" w:lineRule="auto"/>
        <w:rPr>
          <w:color w:val="000000"/>
          <w:sz w:val="29"/>
          <w:highlight w:val="none"/>
        </w:rPr>
      </w:pPr>
      <w:r>
        <w:rPr>
          <w:rFonts w:hint="eastAsia" w:ascii="宋体" w:hAnsi="宋体" w:eastAsia="宋体"/>
          <w:b/>
          <w:color w:val="000000"/>
          <w:sz w:val="29"/>
          <w:highlight w:val="none"/>
        </w:rPr>
        <w:t xml:space="preserve">分包意向协议书</w:t>
      </w:r>
      <w:r>
        <w:rPr>
          <w:color w:val="000000"/>
          <w:sz w:val="29"/>
          <w:highlight w:val="none"/>
        </w:rPr>
      </w:r>
      <w:r/>
    </w:p>
    <w:p>
      <w:pPr>
        <w:pStyle w:val="1004"/>
        <w:rPr>
          <w:rFonts w:ascii="宋体" w:hAnsi="宋体" w:eastAsia="宋体"/>
          <w:color w:val="000000"/>
          <w:highlight w:val="none"/>
        </w:rPr>
      </w:pPr>
      <w:r>
        <w:rPr>
          <w:rFonts w:ascii="宋体" w:hAnsi="宋体" w:eastAsia="宋体"/>
          <w:color w:val="000000"/>
          <w:highlight w:val="none"/>
        </w:rPr>
      </w:r>
      <w:r/>
    </w:p>
    <w:p>
      <w:pPr>
        <w:pStyle w:val="1004"/>
        <w:ind w:firstLine="1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立约方</w:t>
      </w:r>
      <w:r>
        <w:rPr>
          <w:rFonts w:hint="eastAsia" w:ascii="宋体" w:hAnsi="宋体"/>
          <w:color w:val="000000"/>
          <w:sz w:val="24"/>
          <w:szCs w:val="24"/>
          <w:highlight w:val="none"/>
          <w:u w:val="single"/>
        </w:rPr>
        <w:t xml:space="preserve">：（甲公司全称）</w:t>
      </w:r>
      <w:r>
        <w:rPr>
          <w:rFonts w:ascii="宋体" w:hAnsi="宋体"/>
          <w:color w:val="000000"/>
          <w:sz w:val="24"/>
          <w:szCs w:val="24"/>
          <w:highlight w:val="none"/>
        </w:rPr>
      </w:r>
      <w:r/>
    </w:p>
    <w:p>
      <w:pPr>
        <w:pStyle w:val="1004"/>
        <w:ind w:firstLine="1118"/>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（乙公司全称）</w:t>
      </w:r>
      <w:r>
        <w:rPr>
          <w:rFonts w:ascii="宋体" w:hAnsi="宋体"/>
          <w:color w:val="000000"/>
          <w:sz w:val="24"/>
          <w:szCs w:val="24"/>
          <w:highlight w:val="none"/>
        </w:rPr>
      </w:r>
      <w:r/>
    </w:p>
    <w:p>
      <w:pPr>
        <w:pStyle w:val="1004"/>
        <w:ind w:firstLine="110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（······公司全称）</w:t>
      </w:r>
      <w:r>
        <w:rPr>
          <w:rFonts w:ascii="宋体" w:hAnsi="宋体"/>
          <w:color w:val="000000"/>
          <w:sz w:val="24"/>
          <w:szCs w:val="24"/>
          <w:highlight w:val="none"/>
        </w:rPr>
      </w:r>
      <w:r/>
    </w:p>
    <w:p>
      <w:pPr>
        <w:pStyle w:val="1004"/>
        <w:ind w:left="60" w:right="1220" w:firstLine="54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（甲公司全称）、（乙公司全称）、（······公司全称）</w:t>
      </w:r>
      <w:r>
        <w:rPr>
          <w:rFonts w:hint="eastAsia" w:ascii="宋体" w:hAnsi="宋体"/>
          <w:color w:val="000000"/>
          <w:sz w:val="24"/>
          <w:szCs w:val="24"/>
          <w:highlight w:val="none"/>
        </w:rPr>
        <w:t xml:space="preserve">自愿达成分包意向，参加</w:t>
      </w:r>
      <w:r>
        <w:rPr>
          <w:rFonts w:hint="eastAsia" w:ascii="宋体" w:hAnsi="宋体"/>
          <w:color w:val="000000"/>
          <w:sz w:val="24"/>
          <w:szCs w:val="24"/>
          <w:highlight w:val="none"/>
          <w:u w:val="single"/>
        </w:rPr>
        <w:t xml:space="preserve">（采购项目名称）（采购项目编号）</w:t>
      </w:r>
      <w:r>
        <w:rPr>
          <w:rFonts w:hint="eastAsia" w:ascii="宋体" w:hAnsi="宋体"/>
          <w:color w:val="000000"/>
          <w:sz w:val="24"/>
          <w:szCs w:val="24"/>
          <w:highlight w:val="none"/>
        </w:rPr>
        <w:t xml:space="preserve">的响应活动。经各方充分协商一致，就项目的响应和合同实施阶段的有关事务协商一致订立意向如下：</w:t>
      </w:r>
      <w:r>
        <w:rPr>
          <w:rFonts w:ascii="宋体" w:hAnsi="宋体"/>
          <w:color w:val="000000"/>
          <w:sz w:val="24"/>
          <w:szCs w:val="24"/>
          <w:highlight w:val="none"/>
        </w:rPr>
      </w:r>
      <w:r/>
    </w:p>
    <w:p>
      <w:pPr>
        <w:pStyle w:val="1004"/>
        <w:ind w:firstLine="5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一、分包意向各方关系</w:t>
      </w:r>
      <w:r>
        <w:rPr>
          <w:rFonts w:ascii="宋体" w:hAnsi="宋体"/>
          <w:b/>
          <w:color w:val="000000"/>
          <w:sz w:val="24"/>
          <w:szCs w:val="24"/>
          <w:highlight w:val="none"/>
        </w:rPr>
      </w:r>
      <w:r/>
    </w:p>
    <w:p>
      <w:pPr>
        <w:pStyle w:val="1004"/>
        <w:ind w:left="60" w:right="1140" w:firstLine="48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（甲公司全称）为投标方、（乙公司全称）、（······公司全称）</w:t>
      </w:r>
      <w:r>
        <w:rPr>
          <w:rFonts w:hint="eastAsia" w:ascii="宋体" w:hAnsi="宋体"/>
          <w:color w:val="000000"/>
          <w:sz w:val="24"/>
          <w:szCs w:val="24"/>
          <w:highlight w:val="none"/>
        </w:rPr>
        <w:t xml:space="preserve">为分包意向供应商，</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以投标供应商的身份参加本项目的响应。若中标，</w:t>
      </w:r>
      <w:r>
        <w:rPr>
          <w:rFonts w:hint="eastAsia" w:ascii="宋体" w:hAnsi="宋体"/>
          <w:color w:val="000000"/>
          <w:sz w:val="24"/>
          <w:szCs w:val="24"/>
          <w:highlight w:val="none"/>
          <w:u w:val="single"/>
        </w:rPr>
        <w:t xml:space="preserve">（甲公司全称）与采购人</w:t>
      </w:r>
      <w:r>
        <w:rPr>
          <w:rFonts w:hint="eastAsia" w:ascii="宋体" w:hAnsi="宋体"/>
          <w:color w:val="000000"/>
          <w:sz w:val="24"/>
          <w:szCs w:val="24"/>
          <w:highlight w:val="none"/>
        </w:rPr>
        <w:t xml:space="preserve">签订政府采购合同。承接分包意向的各供应商与</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签订分包合同。</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就采购项目和分包项目向采购人负责，分包供应商就分包项目承担责任。</w:t>
      </w:r>
      <w:r>
        <w:rPr>
          <w:rFonts w:ascii="宋体" w:hAnsi="宋体"/>
          <w:color w:val="000000"/>
          <w:sz w:val="24"/>
          <w:szCs w:val="24"/>
          <w:highlight w:val="none"/>
        </w:rPr>
      </w:r>
      <w:r/>
    </w:p>
    <w:p>
      <w:pPr>
        <w:pStyle w:val="1004"/>
        <w:ind w:firstLine="5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二、有关事项约定如下：</w:t>
      </w:r>
      <w:r>
        <w:rPr>
          <w:rFonts w:ascii="宋体" w:hAnsi="宋体"/>
          <w:b/>
          <w:color w:val="000000"/>
          <w:sz w:val="24"/>
          <w:szCs w:val="24"/>
          <w:highlight w:val="none"/>
        </w:rPr>
      </w:r>
      <w:r/>
    </w:p>
    <w:p>
      <w:pPr>
        <w:pStyle w:val="1004"/>
        <w:ind w:left="60" w:right="1080" w:firstLine="460"/>
        <w:spacing w:before="83" w:line="360" w:lineRule="auto"/>
        <w:rPr>
          <w:rFonts w:ascii="宋体" w:hAnsi="宋体"/>
          <w:color w:val="000000"/>
          <w:sz w:val="24"/>
          <w:szCs w:val="24"/>
          <w:highlight w:val="none"/>
        </w:rPr>
      </w:pPr>
      <w:r>
        <w:rPr>
          <w:rFonts w:hint="eastAsia" w:ascii="宋体" w:hAnsi="宋体"/>
          <w:color w:val="000000"/>
          <w:sz w:val="24"/>
          <w:szCs w:val="24"/>
          <w:highlight w:val="none"/>
        </w:rPr>
        <w:t xml:space="preserve">1．如中标，分包供应商分别与</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签订合同书，并就中标项目分包部分承担法律责任；</w:t>
      </w:r>
      <w:r>
        <w:rPr>
          <w:rFonts w:ascii="宋体" w:hAnsi="宋体"/>
          <w:color w:val="000000"/>
          <w:sz w:val="24"/>
          <w:szCs w:val="24"/>
          <w:highlight w:val="none"/>
        </w:rPr>
      </w:r>
      <w:r/>
    </w:p>
    <w:p>
      <w:pPr>
        <w:pStyle w:val="1004"/>
        <w:ind w:left="80" w:right="1160" w:firstLine="440"/>
        <w:spacing w:before="24" w:line="360" w:lineRule="auto"/>
        <w:rPr>
          <w:rFonts w:ascii="宋体" w:hAnsi="宋体"/>
          <w:color w:val="000000"/>
          <w:sz w:val="24"/>
          <w:szCs w:val="24"/>
          <w:highlight w:val="none"/>
        </w:rPr>
      </w:pPr>
      <w:r>
        <w:rPr>
          <w:rFonts w:hint="eastAsia" w:ascii="宋体" w:hAnsi="宋体"/>
          <w:color w:val="000000"/>
          <w:sz w:val="24"/>
          <w:szCs w:val="24"/>
          <w:highlight w:val="none"/>
        </w:rPr>
        <w:t xml:space="preserve">2．分包意向供应商1</w:t>
      </w:r>
      <w:r>
        <w:rPr>
          <w:rFonts w:hint="eastAsia" w:ascii="宋体" w:hAnsi="宋体"/>
          <w:color w:val="000000"/>
          <w:sz w:val="24"/>
          <w:szCs w:val="24"/>
          <w:highlight w:val="none"/>
          <w:u w:val="single"/>
        </w:rPr>
        <w:t xml:space="preserve">（公司全称）为（请填写：大型、中型、小型、微型）企业</w:t>
      </w:r>
      <w:r>
        <w:rPr>
          <w:rFonts w:hint="eastAsia" w:ascii="宋体" w:hAnsi="宋体"/>
          <w:color w:val="000000"/>
          <w:sz w:val="24"/>
          <w:szCs w:val="24"/>
          <w:highlight w:val="none"/>
        </w:rPr>
        <w:t xml:space="preserve">，将承担适宜分包部分</w:t>
      </w:r>
      <w:r>
        <w:rPr>
          <w:rFonts w:hint="eastAsia" w:ascii="宋体" w:hAnsi="宋体"/>
          <w:color w:val="000000"/>
          <w:sz w:val="24"/>
          <w:szCs w:val="24"/>
          <w:highlight w:val="none"/>
          <w:u w:val="single"/>
        </w:rPr>
        <w:t xml:space="preserve">（具体分包内容）</w:t>
      </w:r>
      <w:r>
        <w:rPr>
          <w:rFonts w:hint="eastAsia" w:ascii="宋体" w:hAnsi="宋体"/>
          <w:color w:val="000000"/>
          <w:sz w:val="24"/>
          <w:szCs w:val="24"/>
          <w:highlight w:val="none"/>
        </w:rPr>
        <w:t xml:space="preserve">占合同总金额＿％的工作内容。</w:t>
      </w:r>
      <w:r>
        <w:rPr>
          <w:rFonts w:ascii="宋体" w:hAnsi="宋体"/>
          <w:color w:val="000000"/>
          <w:sz w:val="24"/>
          <w:szCs w:val="24"/>
          <w:highlight w:val="none"/>
        </w:rPr>
      </w:r>
      <w:r/>
    </w:p>
    <w:p>
      <w:pPr>
        <w:pStyle w:val="1004"/>
        <w:ind w:left="60" w:right="1120" w:firstLine="480"/>
        <w:spacing w:before="24" w:line="360" w:lineRule="auto"/>
        <w:rPr>
          <w:rFonts w:ascii="宋体" w:hAnsi="宋体"/>
          <w:color w:val="000000"/>
          <w:sz w:val="24"/>
          <w:szCs w:val="24"/>
          <w:highlight w:val="none"/>
        </w:rPr>
      </w:pPr>
      <w:r>
        <w:rPr>
          <w:rFonts w:hint="eastAsia" w:ascii="宋体" w:hAnsi="宋体"/>
          <w:color w:val="000000"/>
          <w:sz w:val="24"/>
          <w:szCs w:val="24"/>
          <w:highlight w:val="none"/>
        </w:rPr>
        <w:t xml:space="preserve">3．分包意向供应商2</w:t>
      </w:r>
      <w:r>
        <w:rPr>
          <w:rFonts w:hint="eastAsia" w:ascii="宋体" w:hAnsi="宋体"/>
          <w:color w:val="000000"/>
          <w:sz w:val="24"/>
          <w:szCs w:val="24"/>
          <w:highlight w:val="none"/>
          <w:u w:val="single"/>
        </w:rPr>
        <w:t xml:space="preserve">（公司全称）为（请填写：大型、中型、小型、微型）企业</w:t>
      </w:r>
      <w:r>
        <w:rPr>
          <w:rFonts w:hint="eastAsia" w:ascii="宋体" w:hAnsi="宋体"/>
          <w:color w:val="000000"/>
          <w:sz w:val="24"/>
          <w:szCs w:val="24"/>
          <w:highlight w:val="none"/>
        </w:rPr>
        <w:t xml:space="preserve">，将承担适宜分包部分</w:t>
      </w:r>
      <w:r>
        <w:rPr>
          <w:rFonts w:hint="eastAsia" w:ascii="宋体" w:hAnsi="宋体"/>
          <w:color w:val="000000"/>
          <w:sz w:val="24"/>
          <w:szCs w:val="24"/>
          <w:highlight w:val="none"/>
          <w:u w:val="single"/>
        </w:rPr>
        <w:t xml:space="preserve">（具体分包内容）占</w:t>
      </w:r>
      <w:r>
        <w:rPr>
          <w:rFonts w:hint="eastAsia" w:ascii="宋体" w:hAnsi="宋体"/>
          <w:color w:val="000000"/>
          <w:sz w:val="24"/>
          <w:szCs w:val="24"/>
          <w:highlight w:val="none"/>
        </w:rPr>
        <w:t xml:space="preserve">合同总金额</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％的工作内容。</w:t>
      </w:r>
      <w:r>
        <w:rPr>
          <w:rFonts w:ascii="宋体" w:hAnsi="宋体"/>
          <w:color w:val="000000"/>
          <w:sz w:val="24"/>
          <w:szCs w:val="24"/>
          <w:highlight w:val="none"/>
        </w:rPr>
      </w:r>
      <w:r/>
    </w:p>
    <w:p>
      <w:pPr>
        <w:pStyle w:val="1004"/>
        <w:ind w:firstLine="5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04"/>
        <w:ind w:firstLine="500"/>
        <w:spacing w:before="34"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三、接受分包的企业与分包企业之间的关系：</w:t>
      </w:r>
      <w:r>
        <w:rPr>
          <w:rFonts w:ascii="宋体" w:hAnsi="宋体"/>
          <w:b/>
          <w:color w:val="000000"/>
          <w:sz w:val="24"/>
          <w:szCs w:val="24"/>
          <w:highlight w:val="none"/>
        </w:rPr>
      </w:r>
      <w:r/>
    </w:p>
    <w:p>
      <w:pPr>
        <w:pStyle w:val="1004"/>
        <w:ind w:left="40" w:right="1040" w:firstLine="480"/>
        <w:spacing w:before="4" w:line="360" w:lineRule="auto"/>
        <w:rPr>
          <w:rFonts w:ascii="宋体" w:hAnsi="宋体"/>
          <w:color w:val="000000"/>
          <w:sz w:val="24"/>
          <w:szCs w:val="24"/>
          <w:highlight w:val="none"/>
        </w:rPr>
      </w:pPr>
      <w:r>
        <w:rPr>
          <w:rFonts w:hint="eastAsia" w:ascii="宋体" w:hAnsi="宋体"/>
          <w:color w:val="000000"/>
          <w:sz w:val="24"/>
          <w:szCs w:val="24"/>
          <w:highlight w:val="none"/>
        </w:rPr>
        <w:t xml:space="preserve">1．分包意向供应商1</w:t>
      </w:r>
      <w:r>
        <w:rPr>
          <w:rFonts w:hint="eastAsia" w:ascii="宋体" w:hAnsi="宋体"/>
          <w:color w:val="000000"/>
          <w:sz w:val="24"/>
          <w:szCs w:val="24"/>
          <w:highlight w:val="none"/>
          <w:u w:val="single"/>
        </w:rPr>
        <w:t xml:space="preserve">（公司全称）</w:t>
      </w:r>
      <w:r>
        <w:rPr>
          <w:rFonts w:hint="eastAsia" w:ascii="宋体" w:hAnsi="宋体"/>
          <w:color w:val="000000"/>
          <w:sz w:val="24"/>
          <w:szCs w:val="24"/>
          <w:highlight w:val="none"/>
        </w:rPr>
        <w:t xml:space="preserve">与分包企业之间</w:t>
      </w:r>
      <w:r>
        <w:rPr>
          <w:rFonts w:hint="eastAsia" w:ascii="宋体" w:hAnsi="宋体"/>
          <w:color w:val="000000"/>
          <w:sz w:val="24"/>
          <w:szCs w:val="24"/>
          <w:highlight w:val="none"/>
          <w:u w:val="single"/>
        </w:rPr>
        <w:t xml:space="preserve">（请填写：是否存在）</w:t>
      </w:r>
      <w:r>
        <w:rPr>
          <w:rFonts w:hint="eastAsia" w:ascii="宋体" w:hAnsi="宋体"/>
          <w:color w:val="000000"/>
          <w:sz w:val="24"/>
          <w:szCs w:val="24"/>
          <w:highlight w:val="none"/>
        </w:rPr>
        <w:t xml:space="preserve">直接控股、管理关系的情形。</w:t>
      </w:r>
      <w:r>
        <w:rPr>
          <w:rFonts w:ascii="宋体" w:hAnsi="宋体"/>
          <w:color w:val="000000"/>
          <w:sz w:val="24"/>
          <w:szCs w:val="24"/>
          <w:highlight w:val="none"/>
        </w:rPr>
      </w:r>
      <w:r/>
    </w:p>
    <w:p>
      <w:pPr>
        <w:pStyle w:val="1004"/>
        <w:ind w:left="40" w:right="1000" w:firstLine="460"/>
        <w:spacing w:before="44" w:line="360" w:lineRule="auto"/>
        <w:rPr>
          <w:rFonts w:ascii="宋体" w:hAnsi="宋体"/>
          <w:color w:val="000000"/>
          <w:sz w:val="24"/>
          <w:szCs w:val="24"/>
          <w:highlight w:val="none"/>
        </w:rPr>
      </w:pPr>
      <w:r>
        <w:rPr>
          <w:rFonts w:hint="eastAsia" w:ascii="宋体" w:hAnsi="宋体"/>
          <w:color w:val="000000"/>
          <w:sz w:val="24"/>
          <w:szCs w:val="24"/>
          <w:highlight w:val="none"/>
        </w:rPr>
        <w:t xml:space="preserve">2．分包意向供应商2</w:t>
      </w:r>
      <w:r>
        <w:rPr>
          <w:rFonts w:hint="eastAsia" w:ascii="宋体" w:hAnsi="宋体"/>
          <w:color w:val="000000"/>
          <w:sz w:val="24"/>
          <w:szCs w:val="24"/>
          <w:highlight w:val="none"/>
          <w:u w:val="single"/>
        </w:rPr>
        <w:t xml:space="preserve">（公司全称）</w:t>
      </w:r>
      <w:r>
        <w:rPr>
          <w:rFonts w:hint="eastAsia" w:ascii="宋体" w:hAnsi="宋体"/>
          <w:color w:val="000000"/>
          <w:sz w:val="24"/>
          <w:szCs w:val="24"/>
          <w:highlight w:val="none"/>
        </w:rPr>
        <w:t xml:space="preserve">与分包企业之间</w:t>
      </w:r>
      <w:r>
        <w:rPr>
          <w:rFonts w:hint="eastAsia" w:ascii="宋体" w:hAnsi="宋体"/>
          <w:color w:val="000000"/>
          <w:sz w:val="24"/>
          <w:szCs w:val="24"/>
          <w:highlight w:val="none"/>
          <w:u w:val="single"/>
        </w:rPr>
        <w:t xml:space="preserve">（请填写：是否存在）</w:t>
      </w:r>
      <w:r>
        <w:rPr>
          <w:rFonts w:hint="eastAsia" w:ascii="宋体" w:hAnsi="宋体"/>
          <w:color w:val="000000"/>
          <w:sz w:val="24"/>
          <w:szCs w:val="24"/>
          <w:highlight w:val="none"/>
        </w:rPr>
        <w:t xml:space="preserve">直接控股、管理关系的情形。</w:t>
      </w:r>
      <w:r>
        <w:rPr>
          <w:rFonts w:ascii="宋体" w:hAnsi="宋体"/>
          <w:color w:val="000000"/>
          <w:sz w:val="24"/>
          <w:szCs w:val="24"/>
          <w:highlight w:val="none"/>
        </w:rPr>
      </w:r>
      <w:r/>
    </w:p>
    <w:p>
      <w:pPr>
        <w:pStyle w:val="1004"/>
        <w:ind w:firstLine="5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04"/>
        <w:ind w:left="20" w:right="880" w:firstLine="480"/>
        <w:spacing w:before="93"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四、如因违约过失责任而导致采购人经济损失或被索赔时，</w:t>
      </w:r>
      <w:r>
        <w:rPr>
          <w:rFonts w:hint="eastAsia" w:ascii="宋体" w:hAnsi="宋体"/>
          <w:color w:val="000000"/>
          <w:sz w:val="24"/>
          <w:szCs w:val="24"/>
          <w:highlight w:val="none"/>
          <w:u w:val="single"/>
        </w:rPr>
        <w:t xml:space="preserve">（甲公司全称）</w:t>
      </w:r>
      <w:r>
        <w:rPr>
          <w:rFonts w:hint="eastAsia" w:ascii="宋体" w:hAnsi="宋体"/>
          <w:color w:val="000000"/>
          <w:sz w:val="24"/>
          <w:szCs w:val="24"/>
          <w:highlight w:val="none"/>
        </w:rPr>
        <w:t xml:space="preserve">同意无条件优先清偿采购人的一切债务和经济赔偿。</w:t>
      </w:r>
      <w:r>
        <w:rPr>
          <w:rFonts w:ascii="宋体" w:hAnsi="宋体"/>
          <w:color w:val="000000"/>
          <w:sz w:val="24"/>
          <w:szCs w:val="24"/>
          <w:highlight w:val="none"/>
        </w:rPr>
      </w:r>
      <w:r/>
    </w:p>
    <w:p>
      <w:pPr>
        <w:pStyle w:val="1004"/>
        <w:ind w:firstLine="500"/>
        <w:spacing w:before="22"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五、如中标，分包意向供应商不得以任何理由提出终止本意向协议。</w:t>
      </w:r>
      <w:r>
        <w:rPr>
          <w:rFonts w:ascii="宋体" w:hAnsi="宋体"/>
          <w:color w:val="000000"/>
          <w:sz w:val="24"/>
          <w:szCs w:val="24"/>
          <w:highlight w:val="none"/>
        </w:rPr>
      </w:r>
      <w:r/>
    </w:p>
    <w:p>
      <w:pPr>
        <w:pStyle w:val="1004"/>
        <w:ind w:left="60" w:right="820" w:firstLine="460"/>
        <w:spacing w:before="64"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六、本意向书在自签署之日起生效，有效期内有效，如获中标资格，有效期延续至合同履行完毕之日。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甲公司全称：（盖章）</w:t>
      </w: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6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乙公司全称：（盖章）</w:t>
      </w: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6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······公司全称（盖章）</w:t>
      </w:r>
      <w:r>
        <w:rPr>
          <w:rFonts w:ascii="宋体" w:hAnsi="宋体"/>
          <w:color w:val="000000"/>
          <w:sz w:val="24"/>
          <w:szCs w:val="24"/>
          <w:highlight w:val="none"/>
        </w:rPr>
      </w:r>
      <w:r/>
    </w:p>
    <w:p>
      <w:pPr>
        <w:pStyle w:val="1004"/>
        <w:ind w:firstLine="480"/>
        <w:spacing w:before="14"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法定代表人：（签字或盖章）</w:t>
      </w:r>
      <w:r>
        <w:rPr>
          <w:rFonts w:ascii="宋体" w:hAnsi="宋体"/>
          <w:color w:val="000000"/>
          <w:sz w:val="24"/>
          <w:szCs w:val="24"/>
          <w:highlight w:val="none"/>
        </w:rPr>
      </w:r>
      <w:r/>
    </w:p>
    <w:p>
      <w:pPr>
        <w:pStyle w:val="1004"/>
        <w:ind w:firstLine="1920"/>
        <w:spacing w:before="12" w:line="360" w:lineRule="auto"/>
        <w:rPr>
          <w:rFonts w:ascii="宋体" w:hAnsi="宋体"/>
          <w:color w:val="000000"/>
          <w:sz w:val="24"/>
          <w:szCs w:val="24"/>
          <w:highlight w:val="none"/>
        </w:rPr>
      </w:pPr>
      <w:r>
        <w:rPr>
          <w:rFonts w:hint="eastAsia" w:ascii="宋体" w:hAnsi="宋体"/>
          <w:color w:val="000000"/>
          <w:sz w:val="24"/>
          <w:szCs w:val="24"/>
          <w:highlight w:val="none"/>
        </w:rPr>
        <w:t xml:space="preserve">年 月 日</w:t>
      </w: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04"/>
        <w:ind w:firstLine="2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ascii="宋体" w:hAnsi="宋体"/>
          <w:b/>
          <w:color w:val="000000"/>
          <w:sz w:val="24"/>
          <w:szCs w:val="24"/>
          <w:highlight w:val="none"/>
        </w:rPr>
      </w:r>
      <w:r/>
    </w:p>
    <w:p>
      <w:pPr>
        <w:pStyle w:val="1004"/>
        <w:ind w:firstLine="494"/>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1.各方成员应在本意向书上共同盖章确认。</w:t>
      </w:r>
      <w:r>
        <w:rPr>
          <w:rFonts w:ascii="宋体" w:hAnsi="宋体"/>
          <w:b/>
          <w:color w:val="000000"/>
          <w:sz w:val="24"/>
          <w:szCs w:val="24"/>
          <w:highlight w:val="none"/>
        </w:rPr>
      </w:r>
      <w:r/>
    </w:p>
    <w:p>
      <w:pPr>
        <w:pStyle w:val="1004"/>
        <w:ind w:firstLine="494"/>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2.本意向书内容将作为签订合同的附件之一。</w:t>
      </w:r>
      <w:r>
        <w:rPr>
          <w:rFonts w:ascii="宋体" w:hAnsi="宋体"/>
          <w:b/>
          <w:color w:val="000000"/>
          <w:sz w:val="24"/>
          <w:szCs w:val="24"/>
          <w:highlight w:val="none"/>
        </w:rPr>
      </w:r>
      <w:r/>
    </w:p>
    <w:p>
      <w:pPr>
        <w:pStyle w:val="1004"/>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3.按照第一章 投标邀请 资格条件：（二）落实政府采购政策需满足的资格要求，提供对应的《中小企业声明函》等证明材料。</w:t>
      </w:r>
      <w:r>
        <w:rPr>
          <w:rFonts w:ascii="宋体" w:hAnsi="宋体"/>
          <w:b/>
          <w:color w:val="000000"/>
          <w:sz w:val="24"/>
          <w:szCs w:val="24"/>
          <w:highlight w:val="none"/>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0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9</w:t>
      </w:r>
      <w:r>
        <w:rPr>
          <w:rFonts w:ascii="宋体" w:hAnsi="宋体" w:eastAsia="宋体" w:cs="Times New Roman"/>
          <w:bCs/>
          <w:color w:val="000000"/>
          <w:sz w:val="24"/>
          <w:szCs w:val="21"/>
          <w:highlight w:val="none"/>
          <w:lang w:val="en-US" w:eastAsia="zh-CN"/>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0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0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0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0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10</w:t>
      </w:r>
      <w:r>
        <w:rPr>
          <w:color w:val="000000"/>
          <w:highlight w:val="none"/>
          <w:lang w:val="en-US"/>
        </w:rPr>
      </w:r>
      <w:r/>
    </w:p>
    <w:p>
      <w:pPr>
        <w:pStyle w:val="100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0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0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0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0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0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0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0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2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2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0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0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0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0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0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0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0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0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jc w:val="both"/>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0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12</w:t>
      </w:r>
      <w:r>
        <w:rPr>
          <w:rFonts w:ascii="宋体" w:hAnsi="宋体" w:eastAsia="宋体" w:cs="宋体"/>
          <w:color w:val="000000"/>
          <w:sz w:val="24"/>
          <w:szCs w:val="22"/>
          <w:highlight w:val="none"/>
          <w:lang w:val="en-US" w:eastAsia="zh-CN" w:bidi="ar-SA"/>
        </w:rPr>
      </w:r>
      <w:r/>
    </w:p>
    <w:p>
      <w:pPr>
        <w:pStyle w:val="1004"/>
        <w:jc w:val="center"/>
        <w:keepLines/>
        <w:keepNext/>
        <w:spacing w:before="260" w:after="260" w:line="416" w:lineRule="auto"/>
        <w:rPr>
          <w:rFonts w:hint="eastAsia" w:ascii="宋体" w:hAnsi="宋体" w:eastAsia="宋体" w:cs="宋体"/>
          <w:b/>
          <w:color w:val="000000"/>
          <w:sz w:val="32"/>
          <w:szCs w:val="28"/>
          <w:highlight w:val="none"/>
          <w:lang w:bidi="ar"/>
        </w:rPr>
        <w:outlineLvl w:val="1"/>
      </w:pPr>
      <w:r>
        <w:rPr>
          <w:rFonts w:hint="eastAsia" w:ascii="宋体" w:hAnsi="宋体" w:eastAsia="宋体" w:cs="宋体"/>
          <w:b/>
          <w:color w:val="000000"/>
          <w:sz w:val="32"/>
          <w:szCs w:val="28"/>
          <w:highlight w:val="none"/>
          <w:lang w:bidi="ar"/>
        </w:rPr>
        <w:t xml:space="preserve">磋商响应函</w:t>
      </w:r>
      <w:r>
        <w:rPr>
          <w:rFonts w:hint="eastAsia" w:ascii="宋体" w:hAnsi="宋体" w:eastAsia="宋体" w:cs="宋体"/>
          <w:b/>
          <w:color w:val="000000"/>
          <w:sz w:val="32"/>
          <w:szCs w:val="28"/>
          <w:highlight w:val="none"/>
          <w:lang w:bidi="ar"/>
        </w:rPr>
      </w:r>
      <w:r/>
    </w:p>
    <w:p>
      <w:pPr>
        <w:pStyle w:val="100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0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0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0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both"/>
        <w:spacing w:after="200" w:line="360" w:lineRule="exact"/>
        <w:widowControl/>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13</w:t>
      </w:r>
      <w:r>
        <w:rPr>
          <w:rFonts w:hint="eastAsia" w:ascii="宋体" w:hAnsi="宋体" w:eastAsia="宋体" w:cs="Times New Roman"/>
          <w:bCs/>
          <w:color w:val="000000"/>
          <w:sz w:val="24"/>
          <w:szCs w:val="21"/>
          <w:highlight w:val="none"/>
          <w:lang w:val="en-US" w:eastAsia="zh-CN"/>
        </w:rPr>
      </w:r>
      <w:r/>
    </w:p>
    <w:p>
      <w:pPr>
        <w:pStyle w:val="1324"/>
        <w:ind w:firstLine="0"/>
        <w:jc w:val="center"/>
        <w:rPr>
          <w:rFonts w:hint="eastAsia" w:ascii="宋体" w:hAnsi="宋体"/>
          <w:b/>
          <w:color w:val="000000"/>
          <w:sz w:val="30"/>
          <w:szCs w:val="30"/>
          <w:highlight w:val="none"/>
          <w:lang w:val="en-US"/>
        </w:rPr>
      </w:pPr>
      <w:r>
        <w:rPr>
          <w:rFonts w:hint="eastAsia" w:ascii="宋体" w:hAnsi="宋体"/>
          <w:b/>
          <w:color w:val="000000"/>
          <w:sz w:val="30"/>
          <w:szCs w:val="30"/>
          <w:highlight w:val="none"/>
        </w:rPr>
        <w:t xml:space="preserve">明细报价一览表</w:t>
      </w:r>
      <w:r>
        <w:rPr>
          <w:rFonts w:hint="eastAsia" w:ascii="宋体" w:hAnsi="宋体"/>
          <w:b/>
          <w:color w:val="000000"/>
          <w:sz w:val="30"/>
          <w:szCs w:val="30"/>
          <w:highlight w:val="none"/>
          <w:lang w:val="en-US"/>
        </w:rPr>
      </w:r>
      <w:r/>
    </w:p>
    <w:tbl>
      <w:tblPr>
        <w:tblW w:w="931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4249"/>
        <w:gridCol w:w="1430"/>
        <w:gridCol w:w="1990"/>
      </w:tblGrid>
      <w:tr>
        <w:trPr>
          <w:trHeight w:val="1154"/>
        </w:trPr>
        <w:tc>
          <w:tcPr>
            <w:tcW w:w="1646"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服务项目</w:t>
            </w:r>
            <w:r>
              <w:rPr>
                <w:rFonts w:hint="eastAsia" w:ascii="宋体" w:hAnsi="宋体" w:cs="宋体"/>
                <w:color w:val="000000"/>
                <w:sz w:val="24"/>
                <w:szCs w:val="24"/>
                <w:highlight w:val="none"/>
              </w:rPr>
            </w:r>
            <w:r/>
          </w:p>
        </w:tc>
        <w:tc>
          <w:tcPr>
            <w:tcW w:w="4249"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服务说明</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数量(台）</w:t>
            </w:r>
            <w:r>
              <w:rPr>
                <w:rFonts w:hint="eastAsia" w:ascii="宋体" w:hAnsi="宋体" w:cs="宋体"/>
                <w:color w:val="000000"/>
                <w:sz w:val="24"/>
                <w:szCs w:val="24"/>
                <w:highlight w:val="none"/>
              </w:rPr>
            </w:r>
            <w:r/>
          </w:p>
        </w:tc>
        <w:tc>
          <w:tcPr>
            <w:tcW w:w="1990" w:type="dxa"/>
            <w:vAlign w:val="center"/>
            <w:textDirection w:val="lrTb"/>
            <w:noWrap/>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综合单价报价（元/台/年）</w:t>
            </w:r>
            <w:r>
              <w:rPr>
                <w:rFonts w:hint="eastAsia" w:ascii="宋体" w:hAnsi="宋体" w:cs="宋体"/>
                <w:color w:val="000000"/>
                <w:sz w:val="24"/>
                <w:szCs w:val="24"/>
                <w:highlight w:val="none"/>
              </w:rPr>
            </w:r>
            <w:r/>
          </w:p>
        </w:tc>
      </w:tr>
      <w:tr>
        <w:trPr>
          <w:trHeight w:val="1228" w:hRule="exact"/>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w:t>
            </w:r>
            <w:r>
              <w:rPr>
                <w:rFonts w:hint="eastAsia" w:ascii="宋体" w:hAnsi="宋体" w:cs="宋体"/>
                <w:color w:val="000000"/>
                <w:sz w:val="24"/>
                <w:highlight w:val="none"/>
                <w:lang w:eastAsia="zh-CN"/>
              </w:rPr>
              <w:t xml:space="preserve">安全检查类</w:t>
            </w:r>
            <w:r>
              <w:rPr>
                <w:rFonts w:hint="eastAsia" w:ascii="宋体" w:hAnsi="宋体" w:cs="宋体"/>
                <w:color w:val="000000"/>
                <w:sz w:val="24"/>
                <w:highlight w:val="none"/>
              </w:rPr>
              <w:t xml:space="preserve">费用</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rPr>
              <w:t xml:space="preserve">被保险电梯在日常使用过程中产生的日常</w:t>
            </w:r>
            <w:r>
              <w:rPr>
                <w:rFonts w:hint="eastAsia" w:ascii="宋体" w:hAnsi="宋体" w:cs="宋体"/>
                <w:color w:val="000000"/>
                <w:sz w:val="24"/>
                <w:szCs w:val="24"/>
                <w:highlight w:val="none"/>
                <w:lang w:eastAsia="zh-CN"/>
              </w:rPr>
              <w:t xml:space="preserve">安全检查</w:t>
            </w:r>
            <w:r>
              <w:rPr>
                <w:rFonts w:hint="eastAsia" w:ascii="宋体" w:hAnsi="宋体" w:cs="宋体"/>
                <w:color w:val="000000"/>
                <w:sz w:val="24"/>
                <w:szCs w:val="24"/>
                <w:highlight w:val="none"/>
              </w:rPr>
              <w:t xml:space="preserve">费用</w:t>
            </w:r>
            <w:r>
              <w:rPr>
                <w:rFonts w:hint="eastAsia" w:ascii="宋体" w:hAnsi="宋体" w:cs="宋体"/>
                <w:color w:val="000000"/>
                <w:sz w:val="24"/>
                <w:szCs w:val="24"/>
                <w:highlight w:val="none"/>
                <w:lang w:eastAsia="zh-CN"/>
              </w:rPr>
              <w:t xml:space="preserve">（维保、检验检测）</w:t>
            </w:r>
            <w:r>
              <w:rPr>
                <w:rFonts w:hint="eastAsia" w:ascii="宋体" w:hAnsi="宋体"/>
                <w:color w:val="000000"/>
                <w:szCs w:val="20"/>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4821"/>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highlight w:val="none"/>
              </w:rPr>
              <w:t xml:space="preserve">电梯维修费用损失</w:t>
            </w:r>
            <w:r>
              <w:rPr>
                <w:rFonts w:hint="eastAsia" w:ascii="宋体" w:hAnsi="宋体" w:cs="宋体"/>
                <w:color w:val="000000"/>
                <w:sz w:val="24"/>
                <w:highlight w:val="none"/>
                <w:lang w:eastAsia="zh-CN"/>
              </w:rPr>
              <w:t xml:space="preserve">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1340"/>
        </w:trPr>
        <w:tc>
          <w:tcPr>
            <w:tcW w:w="1646" w:type="dxa"/>
            <w:vAlign w:val="center"/>
            <w:textDirection w:val="lrTb"/>
            <w:noWrap/>
          </w:tcPr>
          <w:p>
            <w:pPr>
              <w:pStyle w:val="1004"/>
              <w:jc w:val="left"/>
              <w:spacing w:line="360" w:lineRule="auto"/>
              <w:widowControl/>
              <w:rPr>
                <w:rFonts w:hint="eastAsia" w:ascii="宋体" w:hAnsi="宋体"/>
                <w:color w:val="000000"/>
                <w:szCs w:val="20"/>
                <w:highlight w:val="none"/>
              </w:rPr>
            </w:pPr>
            <w:r>
              <w:rPr>
                <w:rFonts w:hint="eastAsia" w:ascii="宋体" w:hAnsi="宋体" w:cs="宋体"/>
                <w:color w:val="000000"/>
                <w:sz w:val="24"/>
                <w:szCs w:val="24"/>
                <w:highlight w:val="none"/>
                <w:lang w:eastAsia="zh-CN"/>
              </w:rPr>
              <w:t xml:space="preserve">电梯第三者责任保障</w:t>
            </w:r>
            <w:r>
              <w:rPr>
                <w:rFonts w:hint="eastAsia" w:ascii="宋体" w:hAnsi="宋体"/>
                <w:color w:val="000000"/>
                <w:szCs w:val="20"/>
                <w:highlight w:val="none"/>
              </w:rPr>
            </w:r>
            <w:r/>
          </w:p>
        </w:tc>
        <w:tc>
          <w:tcPr>
            <w:tcW w:w="4249" w:type="dxa"/>
            <w:vAlign w:val="center"/>
            <w:textDirection w:val="lrTb"/>
            <w:noWrap w:val="false"/>
          </w:tcPr>
          <w:p>
            <w:pPr>
              <w:pStyle w:val="1004"/>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lang w:eastAsia="zh-CN"/>
              </w:rPr>
              <w:t xml:space="preserve">对乘梯人员的财产损失或人身伤害、滞留提供补偿</w:t>
            </w:r>
            <w:r>
              <w:rPr>
                <w:rFonts w:hint="eastAsia" w:ascii="宋体" w:hAnsi="宋体" w:cs="宋体"/>
                <w:color w:val="000000"/>
                <w:sz w:val="24"/>
                <w:szCs w:val="24"/>
                <w:highlight w:val="none"/>
              </w:rPr>
            </w:r>
            <w:r/>
          </w:p>
        </w:tc>
        <w:tc>
          <w:tcPr>
            <w:tcW w:w="1430" w:type="dxa"/>
            <w:vAlign w:val="center"/>
            <w:textDirection w:val="lrTb"/>
            <w:noWrap/>
          </w:tcPr>
          <w:p>
            <w:pPr>
              <w:pStyle w:val="1004"/>
              <w:jc w:val="center"/>
              <w:spacing w:line="360" w:lineRule="auto"/>
              <w:widowControl/>
              <w:rPr>
                <w:rFonts w:ascii="宋体" w:hAnsi="宋体" w:eastAsia="宋体"/>
                <w:color w:val="000000"/>
                <w:szCs w:val="20"/>
                <w:highlight w:val="none"/>
                <w:lang w:val="en-US" w:eastAsia="zh-CN"/>
              </w:rPr>
            </w:pPr>
            <w:r>
              <w:rPr>
                <w:rFonts w:hint="eastAsia" w:ascii="宋体" w:hAnsi="宋体" w:cs="宋体"/>
                <w:color w:val="000000"/>
                <w:sz w:val="24"/>
                <w:highlight w:val="none"/>
                <w:lang w:val="en-US" w:eastAsia="zh-CN"/>
              </w:rPr>
              <w:t xml:space="preserve">474</w:t>
            </w:r>
            <w:r>
              <w:rPr>
                <w:rFonts w:ascii="宋体" w:hAnsi="宋体" w:eastAsia="宋体"/>
                <w:color w:val="000000"/>
                <w:szCs w:val="20"/>
                <w:highlight w:val="none"/>
                <w:lang w:val="en-US" w:eastAsia="zh-CN"/>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r>
        <w:trPr>
          <w:trHeight w:val="592"/>
        </w:trPr>
        <w:tc>
          <w:tcPr>
            <w:gridSpan w:val="3"/>
            <w:tcW w:w="7325" w:type="dxa"/>
            <w:vAlign w:val="center"/>
            <w:textDirection w:val="lrTb"/>
            <w:noWrap/>
          </w:tcPr>
          <w:p>
            <w:pPr>
              <w:pStyle w:val="1004"/>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综合保险费合计人民币（含税）：</w:t>
            </w:r>
            <w:r>
              <w:rPr>
                <w:rFonts w:hint="eastAsia" w:ascii="宋体" w:hAnsi="宋体" w:cs="宋体"/>
                <w:color w:val="000000"/>
                <w:sz w:val="24"/>
                <w:szCs w:val="24"/>
                <w:highlight w:val="none"/>
              </w:rPr>
            </w:r>
            <w:r/>
          </w:p>
        </w:tc>
        <w:tc>
          <w:tcPr>
            <w:tcW w:w="1990" w:type="dxa"/>
            <w:vAlign w:val="center"/>
            <w:textDirection w:val="lrTb"/>
            <w:noWrap/>
          </w:tcPr>
          <w:p>
            <w:pPr>
              <w:pStyle w:val="1004"/>
              <w:jc w:val="center"/>
              <w:widowControl/>
              <w:rPr>
                <w:rFonts w:hint="eastAsia" w:ascii="宋体" w:hAnsi="宋体"/>
                <w:color w:val="000000"/>
                <w:szCs w:val="20"/>
                <w:highlight w:val="none"/>
              </w:rPr>
            </w:pPr>
            <w:r>
              <w:rPr>
                <w:rFonts w:hint="eastAsia" w:ascii="宋体" w:hAnsi="宋体"/>
                <w:color w:val="000000"/>
                <w:szCs w:val="20"/>
                <w:highlight w:val="none"/>
              </w:rPr>
            </w:r>
            <w:r/>
          </w:p>
        </w:tc>
      </w:tr>
    </w:tbl>
    <w:p>
      <w:pPr>
        <w:pStyle w:val="1004"/>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4"/>
        <w:jc w:val="right"/>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法定代表人（或主要负责人）签字或盖章：</w:t>
      </w:r>
      <w:r>
        <w:rPr>
          <w:rFonts w:hint="eastAsia" w:ascii="宋体" w:hAnsi="宋体" w:cs="宋体"/>
          <w:color w:val="000000"/>
          <w:sz w:val="24"/>
          <w:highlight w:val="none"/>
        </w:rPr>
      </w:r>
      <w:r/>
    </w:p>
    <w:p>
      <w:pPr>
        <w:pStyle w:val="1004"/>
        <w:ind w:left="420" w:firstLine="4320"/>
        <w:spacing w:line="360" w:lineRule="auto"/>
        <w:tabs>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单位公章：</w:t>
      </w:r>
      <w:r>
        <w:rPr>
          <w:rFonts w:hint="eastAsia" w:ascii="宋体" w:hAnsi="宋体" w:cs="宋体"/>
          <w:color w:val="000000"/>
          <w:sz w:val="24"/>
          <w:highlight w:val="none"/>
        </w:rPr>
      </w:r>
      <w:r/>
    </w:p>
    <w:p>
      <w:pPr>
        <w:pStyle w:val="1004"/>
        <w:ind w:left="420" w:firstLine="4320"/>
        <w:spacing w:line="360" w:lineRule="auto"/>
        <w:tabs>
          <w:tab w:val="left" w:pos="945" w:leader="none"/>
        </w:tabs>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日期：</w:t>
      </w:r>
      <w:r>
        <w:rPr>
          <w:rFonts w:hint="eastAsia" w:ascii="宋体" w:hAnsi="宋体" w:cs="宋体"/>
          <w:color w:val="000000"/>
          <w:sz w:val="24"/>
          <w:highlight w:val="none"/>
          <w:lang w:val="zh-CN"/>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r>
      <w:r/>
    </w:p>
    <w:p>
      <w:pPr>
        <w:pStyle w:val="100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eastAsia="宋体" w:cs="Times New Roman"/>
          <w:bCs/>
          <w:color w:val="000000"/>
          <w:sz w:val="24"/>
          <w:szCs w:val="21"/>
          <w:highlight w:val="none"/>
          <w:lang w:val="en-US" w:eastAsia="zh-CN"/>
        </w:rPr>
        <w:t xml:space="preserve">14</w:t>
      </w:r>
      <w:r>
        <w:rPr>
          <w:rFonts w:ascii="宋体" w:hAnsi="宋体" w:eastAsia="宋体" w:cs="Times New Roman"/>
          <w:bCs/>
          <w:color w:val="000000"/>
          <w:sz w:val="24"/>
          <w:szCs w:val="21"/>
          <w:highlight w:val="none"/>
          <w:lang w:val="en-US"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技术要求响应及偏离表</w:t>
      </w:r>
      <w:r>
        <w:rPr>
          <w:rFonts w:hint="eastAsia" w:ascii="宋体" w:hAnsi="宋体"/>
          <w:b/>
          <w:color w:val="000000"/>
          <w:sz w:val="30"/>
          <w:szCs w:val="30"/>
          <w:highlight w:val="none"/>
        </w:rPr>
      </w:r>
      <w:r/>
    </w:p>
    <w:p>
      <w:pPr>
        <w:pStyle w:val="1004"/>
        <w:contextualSpacing/>
        <w:jc w:val="center"/>
        <w:spacing w:line="300" w:lineRule="auto"/>
        <w:rPr>
          <w:rFonts w:hint="eastAsia" w:ascii="宋体" w:hAnsi="宋体" w:cs="宋体"/>
          <w:b/>
          <w:color w:val="000000"/>
          <w:sz w:val="24"/>
          <w:highlight w:val="none"/>
        </w:rPr>
      </w:pPr>
      <w:r>
        <w:rPr>
          <w:rFonts w:hint="eastAsia" w:ascii="宋体" w:hAnsi="宋体" w:cs="宋体"/>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采购文件要求</w:t>
            </w:r>
            <w:r>
              <w:rPr>
                <w:rFonts w:hint="eastAsia" w:ascii="宋体" w:hAnsi="宋体"/>
                <w:color w:val="000000"/>
                <w:sz w:val="24"/>
                <w:szCs w:val="24"/>
                <w:highlight w:val="none"/>
              </w:rPr>
            </w:r>
            <w:r/>
          </w:p>
        </w:tc>
        <w:tc>
          <w:tcPr>
            <w:tcW w:w="2852"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4"/>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004"/>
        <w:keepLines/>
        <w:keepNext/>
        <w:spacing w:before="260" w:after="260" w:line="416" w:lineRule="auto"/>
        <w:rPr>
          <w:rFonts w:hint="eastAsia" w:ascii="宋体" w:hAnsi="宋体" w:eastAsia="幼圆" w:cs="Arial"/>
          <w:b/>
          <w:color w:val="000000"/>
          <w:sz w:val="24"/>
          <w:szCs w:val="44"/>
          <w:highlight w:val="none"/>
        </w:rPr>
        <w:outlineLvl w:val="1"/>
      </w:pPr>
      <w:r>
        <w:rPr>
          <w:rFonts w:hint="eastAsia" w:ascii="宋体" w:hAnsi="宋体" w:eastAsia="幼圆" w:cs="Arial"/>
          <w:b/>
          <w:color w:val="000000"/>
          <w:sz w:val="24"/>
          <w:szCs w:val="44"/>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04"/>
        <w:jc w:val="left"/>
        <w:widowControl/>
        <w:rPr>
          <w:rFonts w:hint="eastAsia" w:ascii="宋体" w:hAnsi="宋体"/>
          <w:bCs/>
          <w:color w:val="000000"/>
          <w:sz w:val="24"/>
          <w:szCs w:val="21"/>
          <w:highlight w:val="none"/>
        </w:rPr>
      </w:pPr>
      <w:r>
        <w:rPr>
          <w:rFonts w:hint="eastAsia" w:ascii="宋体" w:hAnsi="宋体"/>
          <w:bCs/>
          <w:color w:val="000000"/>
          <w:sz w:val="24"/>
          <w:szCs w:val="21"/>
          <w:highlight w:val="none"/>
        </w:rPr>
        <w:br w:type="page" w:clear="all"/>
      </w:r>
      <w:r>
        <w:rPr>
          <w:rFonts w:hint="eastAsia" w:ascii="宋体" w:hAnsi="宋体"/>
          <w:bCs/>
          <w:color w:val="000000"/>
          <w:sz w:val="24"/>
          <w:szCs w:val="21"/>
          <w:highlight w:val="none"/>
        </w:rPr>
      </w:r>
      <w:r/>
    </w:p>
    <w:p>
      <w:pPr>
        <w:pStyle w:val="1004"/>
        <w:contextualSpacing/>
        <w:spacing w:line="4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附件1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p>
      <w:pPr>
        <w:pStyle w:val="1004"/>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商务要求响应及偏离表</w:t>
      </w:r>
      <w:r>
        <w:rPr>
          <w:rFonts w:hint="eastAsia" w:ascii="宋体" w:hAnsi="宋体"/>
          <w:b/>
          <w:color w:val="000000"/>
          <w:sz w:val="30"/>
          <w:szCs w:val="3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4"/>
              <w:jc w:val="center"/>
              <w:rPr>
                <w:rFonts w:hint="eastAsia" w:ascii="宋体" w:hAnsi="宋体"/>
                <w:color w:val="000000"/>
                <w:sz w:val="24"/>
                <w:szCs w:val="24"/>
                <w:highlight w:val="none"/>
              </w:rPr>
            </w:pPr>
            <w:r/>
            <w:bookmarkStart w:id="175" w:name="_Hlt26671343"/>
            <w:r/>
            <w:bookmarkEnd w:id="175"/>
            <w:r/>
            <w:bookmarkStart w:id="176" w:name="_Hlt26580838"/>
            <w:r/>
            <w:bookmarkEnd w:id="176"/>
            <w:r/>
            <w:bookmarkStart w:id="177" w:name="_Hlt26955064"/>
            <w:r/>
            <w:bookmarkEnd w:id="177"/>
            <w:r/>
            <w:bookmarkStart w:id="178" w:name="_Hlt26671372"/>
            <w:r/>
            <w:bookmarkEnd w:id="178"/>
            <w:r/>
            <w:bookmarkStart w:id="179" w:name="_Hlt26782999"/>
            <w:r/>
            <w:bookmarkEnd w:id="179"/>
            <w:r/>
            <w:bookmarkStart w:id="180" w:name="_Hlt26609391"/>
            <w:r/>
            <w:bookmarkEnd w:id="180"/>
            <w:r/>
            <w:bookmarkStart w:id="181" w:name="_Hlt26955056"/>
            <w:r/>
            <w:bookmarkEnd w:id="181"/>
            <w:r/>
            <w:bookmarkStart w:id="182" w:name="_Hlt24879081"/>
            <w:r/>
            <w:bookmarkEnd w:id="182"/>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采购文件要求</w:t>
            </w:r>
            <w:r>
              <w:rPr>
                <w:rFonts w:hint="eastAsia" w:ascii="宋体" w:hAnsi="宋体"/>
                <w:color w:val="000000"/>
                <w:sz w:val="24"/>
                <w:szCs w:val="24"/>
                <w:highlight w:val="none"/>
              </w:rPr>
            </w:r>
            <w:r/>
          </w:p>
        </w:tc>
        <w:tc>
          <w:tcPr>
            <w:tcW w:w="2852"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004"/>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00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4"/>
        <w:rPr>
          <w:rFonts w:hint="eastAsia" w:ascii="黑体" w:hAnsi="黑体" w:eastAsia="黑体"/>
          <w:b/>
          <w:color w:val="000000"/>
          <w:sz w:val="32"/>
          <w:szCs w:val="32"/>
          <w:highlight w:val="none"/>
        </w:rPr>
      </w:pPr>
      <w:r>
        <w:rPr>
          <w:rFonts w:hint="eastAsia" w:ascii="宋体" w:hAnsi="宋体"/>
          <w:color w:val="000000"/>
          <w:sz w:val="24"/>
          <w:szCs w:val="24"/>
          <w:highlight w:val="none"/>
        </w:rPr>
        <w:t xml:space="preserve">注： 行数不够，可自行添加。</w:t>
      </w:r>
      <w:r>
        <w:rPr>
          <w:rFonts w:hint="eastAsia" w:ascii="黑体" w:hAnsi="黑体" w:eastAsia="黑体"/>
          <w:b/>
          <w:color w:val="000000"/>
          <w:sz w:val="32"/>
          <w:szCs w:val="32"/>
          <w:highlight w:val="none"/>
        </w:rPr>
      </w:r>
      <w:r/>
    </w:p>
    <w:p>
      <w:pPr>
        <w:pStyle w:val="1004"/>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004"/>
        <w:rPr>
          <w:color w:val="000000"/>
          <w:szCs w:val="21"/>
          <w:highlight w:val="none"/>
        </w:rPr>
      </w:pPr>
      <w:r>
        <w:rPr>
          <w:color w:val="000000"/>
          <w:szCs w:val="21"/>
          <w:highlight w:val="none"/>
        </w:rPr>
      </w:r>
      <w:r/>
    </w:p>
    <w:p>
      <w:pPr>
        <w:pStyle w:val="1004"/>
        <w:rPr>
          <w:color w:val="000000"/>
          <w:szCs w:val="21"/>
          <w:highlight w:val="none"/>
        </w:rPr>
      </w:pPr>
      <w:r>
        <w:rPr>
          <w:color w:val="000000"/>
          <w:szCs w:val="21"/>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ascii="仿宋_GB2312" w:hAnsi="Arial"/>
          <w:color w:val="000000"/>
          <w:sz w:val="30"/>
          <w:szCs w:val="21"/>
          <w:highlight w:val="none"/>
        </w:rPr>
        <w:br w:type="page" w:clear="all"/>
      </w:r>
      <w:r>
        <w:rPr>
          <w:rFonts w:hint="eastAsia" w:ascii="宋体" w:hAnsi="宋体" w:eastAsia="宋体" w:cs="宋体"/>
          <w:b w:val="0"/>
          <w:bCs w:val="0"/>
          <w:color w:val="000000"/>
          <w:sz w:val="24"/>
          <w:szCs w:val="24"/>
          <w:highlight w:val="none"/>
          <w:lang w:val="en-US" w:eastAsia="zh-CN"/>
        </w:rPr>
        <w:t xml:space="preserve">附件</w:t>
      </w:r>
      <w:r>
        <w:rPr>
          <w:rFonts w:hint="eastAsia" w:ascii="宋体" w:hAnsi="宋体" w:eastAsia="宋体" w:cs="宋体"/>
          <w:b w:val="0"/>
          <w:bCs w:val="0"/>
          <w:color w:val="000000"/>
          <w:sz w:val="24"/>
          <w:szCs w:val="24"/>
          <w:highlight w:val="none"/>
          <w:lang w:val="en-US" w:eastAsia="zh-CN"/>
        </w:rPr>
      </w:r>
      <w:r/>
    </w:p>
    <w:p>
      <w:pPr>
        <w:pStyle w:val="1004"/>
        <w:ind w:firstLine="3855"/>
        <w:jc w:val="both"/>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0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0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0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0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0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0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0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0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0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0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2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2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b/>
          <w:color w:val="000000"/>
          <w:sz w:val="32"/>
          <w:szCs w:val="32"/>
          <w:highlight w:val="none"/>
        </w:rPr>
      </w:r>
      <w:r/>
    </w:p>
    <w:p>
      <w:pPr>
        <w:pStyle w:val="1004"/>
        <w:ind w:firstLine="1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00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rPr>
          <w:rFonts w:hint="eastAsia" w:ascii="宋体" w:hAnsi="宋体" w:eastAsia="宋体" w:cs="宋体"/>
          <w:color w:val="000000"/>
          <w:sz w:val="28"/>
          <w:szCs w:val="28"/>
          <w:highlight w:val="none"/>
        </w:rPr>
      </w:r>
      <w:r/>
    </w:p>
    <w:p>
      <w:pPr>
        <w:pStyle w:val="100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8"/>
          <w:szCs w:val="28"/>
          <w:highlight w:val="none"/>
        </w:rPr>
      </w:r>
      <w:r/>
    </w:p>
    <w:p>
      <w:pPr>
        <w:pStyle w:val="100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100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04"/>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highlight w:val="none"/>
        </w:rPr>
      </w:r>
      <w:r/>
    </w:p>
    <w:p>
      <w:pPr>
        <w:pStyle w:val="1004"/>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highlight w:val="none"/>
        </w:rPr>
      </w:r>
      <w:r/>
    </w:p>
    <w:p>
      <w:pPr>
        <w:pStyle w:val="1004"/>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highlight w:val="none"/>
        </w:rPr>
      </w:r>
      <w:r/>
    </w:p>
    <w:tbl>
      <w:tblPr>
        <w:tblStyle w:val="126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04"/>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04"/>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04"/>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04"/>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highlight w:val="none"/>
              </w:rPr>
            </w:r>
            <w:r/>
          </w:p>
        </w:tc>
        <w:tc>
          <w:tcPr>
            <w:tcMar>
              <w:left w:w="0" w:type="dxa"/>
              <w:top w:w="0" w:type="dxa"/>
              <w:right w:w="0" w:type="dxa"/>
              <w:bottom w:w="0" w:type="dxa"/>
            </w:tcMar>
            <w:tcW w:w="1762"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04"/>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highlight w:val="none"/>
              </w:rPr>
            </w:r>
            <w:r/>
          </w:p>
        </w:tc>
        <w:tc>
          <w:tcPr>
            <w:tcMar>
              <w:left w:w="0" w:type="dxa"/>
              <w:top w:w="0" w:type="dxa"/>
              <w:right w:w="0" w:type="dxa"/>
              <w:bottom w:w="0" w:type="dxa"/>
            </w:tcMar>
            <w:tcW w:w="2090"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04"/>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04"/>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rPr>
                <w:rFonts w:hint="eastAsia"/>
                <w:highlight w:val="none"/>
                <w:lang w:val="en-US" w:eastAsia="zh-CN"/>
              </w:rPr>
            </w:r>
            <w:r/>
          </w:p>
          <w:p>
            <w:pPr>
              <w:pStyle w:val="106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rPr>
                <w:highlight w:val="none"/>
                <w:lang w:val="en-US" w:eastAsia="zh-CN"/>
              </w:rPr>
            </w:r>
            <w:r/>
          </w:p>
        </w:tc>
      </w:tr>
    </w:tbl>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Calibri Light">
    <w:panose1 w:val="020F0302020204030204"/>
  </w:font>
  <w:font w:name="Helvetica">
    <w:panose1 w:val="020B06040202020202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rPr>
        <w:rStyle w:val="1270"/>
      </w:rPr>
      <w:framePr w:wrap="around" w:vAnchor="text" w:hAnchor="margin" w:xAlign="center" w:y="1"/>
    </w:pPr>
    <w:r>
      <w:fldChar w:fldCharType="begin"/>
    </w:r>
    <w:r>
      <w:rPr>
        <w:rStyle w:val="1270"/>
      </w:rPr>
      <w:instrText xml:space="preserve">PAGE  </w:instrText>
    </w:r>
    <w:r>
      <w:fldChar w:fldCharType="separate"/>
    </w:r>
    <w:r>
      <w:rPr>
        <w:rStyle w:val="1270"/>
      </w:rPr>
      <w:t xml:space="preserve">1</w:t>
    </w:r>
    <w:r>
      <w:fldChar w:fldCharType="end"/>
    </w:r>
    <w:r>
      <w:rPr>
        <w:rStyle w:val="1270"/>
      </w:rPr>
    </w:r>
    <w:r/>
  </w:p>
  <w:p>
    <w:pPr>
      <w:pStyle w:val="12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0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10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pPr>
                      <w:pStyle w:val="100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pPr>
                            <w:pStyle w:val="100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pPr>
                      <w:pStyle w:val="1004"/>
                    </w:pPr>
                    <w:r/>
                    <w:r/>
                  </w:p>
                </w:txbxContent>
              </v:textbox>
            </v:shape>
          </w:pict>
        </mc:Fallback>
      </mc:AlternateContent>
    </w:r>
    <w:r>
      <w:rPr>
        <w:b/>
        <w:i/>
        <w:sz w:val="20"/>
      </w:rPr>
      <w:t xml:space="preserve"> </w:t>
    </w:r>
    <w:r>
      <w:rPr>
        <w:rFonts w:hint="eastAsia"/>
        <w:b/>
        <w:i/>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0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pPr>
                      <w:pStyle w:val="10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0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3">
    <w:multiLevelType w:val="hybridMultilevel"/>
    <w:lvl w:ilvl="0">
      <w:start w:val="1"/>
      <w:numFmt w:val="upperLetter"/>
      <w:pStyle w:val="1276"/>
      <w:isLgl w:val="false"/>
      <w:suff w:val="tab"/>
      <w:lvlText w:val="附录%1."/>
      <w:lvlJc w:val="left"/>
      <w:pPr>
        <w:pStyle w:val="1004"/>
        <w:ind w:left="907" w:hanging="907"/>
        <w:tabs>
          <w:tab w:val="num" w:pos="907" w:leader="none"/>
        </w:tabs>
      </w:pPr>
      <w:rPr>
        <w:rFonts w:hint="eastAsia"/>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004"/>
        <w:ind w:left="0" w:firstLine="0"/>
      </w:pPr>
      <w:rPr>
        <w:rFonts w:hint="eastAsia"/>
      </w:rPr>
    </w:lvl>
    <w:lvl w:ilvl="1">
      <w:start w:val="1"/>
      <w:numFmt w:val="decimal"/>
      <w:isLgl w:val="false"/>
      <w:suff w:val="nothing"/>
      <w:lvlText w:val="%2、"/>
      <w:lvlJc w:val="left"/>
      <w:pPr>
        <w:pStyle w:val="1004"/>
        <w:ind w:left="0" w:firstLine="0"/>
      </w:pPr>
      <w:rPr>
        <w:rFonts w:hint="eastAsia"/>
      </w:rPr>
    </w:lvl>
    <w:lvl w:ilvl="2">
      <w:start w:val="1"/>
      <w:numFmt w:val="decimal"/>
      <w:isLgl w:val="false"/>
      <w:suff w:val="nothing"/>
      <w:lvlText w:val="%2.%3 "/>
      <w:lvlJc w:val="left"/>
      <w:pPr>
        <w:pStyle w:val="1004"/>
        <w:ind w:left="0" w:firstLine="0"/>
      </w:pPr>
      <w:rPr>
        <w:rFonts w:hint="eastAsia"/>
      </w:rPr>
    </w:lvl>
    <w:lvl w:ilvl="3">
      <w:start w:val="1"/>
      <w:numFmt w:val="decimal"/>
      <w:isLgl w:val="false"/>
      <w:suff w:val="nothing"/>
      <w:lvlText w:val="%2.%3.%4 "/>
      <w:lvlJc w:val="left"/>
      <w:pPr>
        <w:pStyle w:val="1004"/>
        <w:ind w:left="0" w:firstLine="0"/>
      </w:pPr>
      <w:rPr>
        <w:rFonts w:hint="eastAsia"/>
      </w:rPr>
    </w:lvl>
    <w:lvl w:ilvl="4">
      <w:start w:val="1"/>
      <w:numFmt w:val="decimal"/>
      <w:isLgl w:val="false"/>
      <w:suff w:val="nothing"/>
      <w:lvlText w:val="%2.%3.%4.%5 "/>
      <w:lvlJc w:val="left"/>
      <w:pPr>
        <w:pStyle w:val="1004"/>
        <w:ind w:left="0" w:firstLine="0"/>
      </w:pPr>
      <w:rPr>
        <w:rFonts w:hint="eastAsia"/>
      </w:rPr>
    </w:lvl>
    <w:lvl w:ilvl="5">
      <w:start w:val="1"/>
      <w:numFmt w:val="decimal"/>
      <w:pStyle w:val="1211"/>
      <w:isLgl w:val="false"/>
      <w:suff w:val="nothing"/>
      <w:lvlText w:val=""/>
      <w:lvlJc w:val="left"/>
      <w:pPr>
        <w:pStyle w:val="1004"/>
        <w:ind w:left="0" w:firstLine="0"/>
      </w:pPr>
      <w:rPr>
        <w:rFonts w:hint="eastAsia"/>
      </w:rPr>
    </w:lvl>
    <w:lvl w:ilvl="6">
      <w:start w:val="1"/>
      <w:numFmt w:val="decimal"/>
      <w:pStyle w:val="1213"/>
      <w:isLgl w:val="false"/>
      <w:suff w:val="nothing"/>
      <w:lvlText w:val=""/>
      <w:lvlJc w:val="left"/>
      <w:pPr>
        <w:pStyle w:val="1004"/>
        <w:ind w:left="0" w:firstLine="0"/>
      </w:pPr>
      <w:rPr>
        <w:rFonts w:hint="eastAsia"/>
      </w:rPr>
    </w:lvl>
    <w:lvl w:ilvl="7">
      <w:start w:val="1"/>
      <w:numFmt w:val="decimal"/>
      <w:pStyle w:val="1215"/>
      <w:isLgl w:val="false"/>
      <w:suff w:val="nothing"/>
      <w:lvlText w:val=""/>
      <w:lvlJc w:val="left"/>
      <w:pPr>
        <w:pStyle w:val="1004"/>
        <w:ind w:left="0" w:firstLine="0"/>
      </w:pPr>
      <w:rPr>
        <w:rFonts w:hint="eastAsia"/>
      </w:rPr>
    </w:lvl>
    <w:lvl w:ilvl="8">
      <w:start w:val="1"/>
      <w:numFmt w:val="decimal"/>
      <w:pStyle w:val="1217"/>
      <w:isLgl w:val="false"/>
      <w:suff w:val="nothing"/>
      <w:lvlText w:val=""/>
      <w:lvlJc w:val="left"/>
      <w:pPr>
        <w:pStyle w:val="1004"/>
        <w:ind w:left="0" w:firstLine="0"/>
      </w:pPr>
      <w:rPr>
        <w:rFonts w:hint="eastAsia"/>
      </w:rPr>
    </w:lvl>
  </w:abstractNum>
  <w:abstractNum w:abstractNumId="5">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4"/>
        <w:ind w:left="0" w:firstLine="400"/>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7">
    <w:multiLevelType w:val="hybridMultilevel"/>
    <w:lvl w:ilvl="0">
      <w:start w:val="2"/>
      <w:numFmt w:val="decimal"/>
      <w:isLgl w:val="false"/>
      <w:suff w:val="tab"/>
      <w:lvlText w:val="%1."/>
      <w:lvlJc w:val="left"/>
      <w:pPr>
        <w:pStyle w:val="100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93"/>
      <w:isLgl w:val="false"/>
      <w:suff w:val="tab"/>
      <w:lvlText w:val="%1."/>
      <w:lvlJc w:val="left"/>
      <w:pPr>
        <w:pStyle w:val="1004"/>
        <w:ind w:left="709" w:hanging="709"/>
        <w:tabs>
          <w:tab w:val="num" w:pos="709" w:leader="none"/>
        </w:tabs>
      </w:pPr>
      <w:rPr>
        <w:rFonts w:hint="eastAsia"/>
      </w:rPr>
    </w:lvl>
    <w:lvl w:ilvl="1">
      <w:start w:val="1"/>
      <w:numFmt w:val="decimal"/>
      <w:isLgl w:val="false"/>
      <w:suff w:val="tab"/>
      <w:lvlText w:val="%1.%2"/>
      <w:lvlJc w:val="left"/>
      <w:pPr>
        <w:pStyle w:val="1004"/>
        <w:ind w:left="709" w:hanging="709"/>
        <w:tabs>
          <w:tab w:val="num" w:pos="709" w:leader="none"/>
        </w:tabs>
      </w:pPr>
      <w:rPr>
        <w:rFonts w:hint="eastAsia"/>
      </w:rPr>
    </w:lvl>
    <w:lvl w:ilvl="2">
      <w:start w:val="1"/>
      <w:numFmt w:val="decimal"/>
      <w:isLgl w:val="false"/>
      <w:suff w:val="tab"/>
      <w:lvlText w:val="%1.%2.%3."/>
      <w:lvlJc w:val="left"/>
      <w:pPr>
        <w:pStyle w:val="1004"/>
        <w:ind w:left="425" w:hanging="425"/>
        <w:tabs>
          <w:tab w:val="num" w:pos="425" w:leader="none"/>
        </w:tabs>
      </w:pPr>
      <w:rPr>
        <w:rFonts w:hint="eastAsia"/>
      </w:rPr>
    </w:lvl>
    <w:lvl w:ilvl="3">
      <w:start w:val="1"/>
      <w:numFmt w:val="decimal"/>
      <w:isLgl w:val="false"/>
      <w:suff w:val="tab"/>
      <w:lvlText w:val="%1.%2.%3.%4."/>
      <w:lvlJc w:val="left"/>
      <w:pPr>
        <w:pStyle w:val="1004"/>
        <w:ind w:left="851" w:hanging="851"/>
        <w:tabs>
          <w:tab w:val="num" w:pos="851" w:leader="none"/>
        </w:tabs>
      </w:pPr>
      <w:rPr>
        <w:rFonts w:hint="eastAsia"/>
      </w:rPr>
    </w:lvl>
    <w:lvl w:ilvl="4">
      <w:start w:val="1"/>
      <w:numFmt w:val="decimal"/>
      <w:isLgl w:val="false"/>
      <w:suff w:val="tab"/>
      <w:lvlText w:val="%1.%2.%3.%4.%5."/>
      <w:lvlJc w:val="left"/>
      <w:pPr>
        <w:pStyle w:val="1004"/>
        <w:ind w:left="992" w:hanging="992"/>
        <w:tabs>
          <w:tab w:val="num" w:pos="992" w:leader="none"/>
        </w:tabs>
      </w:pPr>
      <w:rPr>
        <w:rFonts w:hint="eastAsia"/>
      </w:rPr>
    </w:lvl>
    <w:lvl w:ilvl="5">
      <w:start w:val="1"/>
      <w:numFmt w:val="decimal"/>
      <w:isLgl w:val="false"/>
      <w:suff w:val="tab"/>
      <w:lvlText w:val="%1.%2.%3.%4.%5.%6."/>
      <w:lvlJc w:val="left"/>
      <w:pPr>
        <w:pStyle w:val="1004"/>
        <w:ind w:left="1134" w:hanging="1134"/>
        <w:tabs>
          <w:tab w:val="num" w:pos="1134" w:leader="none"/>
        </w:tabs>
      </w:pPr>
      <w:rPr>
        <w:rFonts w:hint="eastAsia"/>
      </w:rPr>
    </w:lvl>
    <w:lvl w:ilvl="6">
      <w:start w:val="1"/>
      <w:numFmt w:val="decimal"/>
      <w:isLgl w:val="false"/>
      <w:suff w:val="tab"/>
      <w:lvlText w:val="%1.%2.%3.%4.%5.%6.%7."/>
      <w:lvlJc w:val="left"/>
      <w:pPr>
        <w:pStyle w:val="1004"/>
        <w:ind w:left="1276" w:hanging="1276"/>
        <w:tabs>
          <w:tab w:val="num" w:pos="1276" w:leader="none"/>
        </w:tabs>
      </w:pPr>
      <w:rPr>
        <w:rFonts w:hint="eastAsia"/>
      </w:rPr>
    </w:lvl>
    <w:lvl w:ilvl="7">
      <w:start w:val="1"/>
      <w:numFmt w:val="decimal"/>
      <w:isLgl w:val="false"/>
      <w:suff w:val="tab"/>
      <w:lvlText w:val="%1.%2.%3.%4.%5.%6.%7.%8."/>
      <w:lvlJc w:val="left"/>
      <w:pPr>
        <w:pStyle w:val="1004"/>
        <w:ind w:left="1418" w:hanging="1418"/>
        <w:tabs>
          <w:tab w:val="num" w:pos="1418" w:leader="none"/>
        </w:tabs>
      </w:pPr>
      <w:rPr>
        <w:rFonts w:hint="eastAsia"/>
      </w:rPr>
    </w:lvl>
    <w:lvl w:ilvl="8">
      <w:start w:val="1"/>
      <w:numFmt w:val="decimal"/>
      <w:isLgl w:val="false"/>
      <w:suff w:val="tab"/>
      <w:lvlText w:val="%1.%2.%3.%4.%5.%6.%7.%8.%9."/>
      <w:lvlJc w:val="left"/>
      <w:pPr>
        <w:pStyle w:val="1004"/>
        <w:ind w:left="1559" w:hanging="1559"/>
        <w:tabs>
          <w:tab w:val="num" w:pos="1559" w:leader="none"/>
        </w:tabs>
      </w:pPr>
      <w:rPr>
        <w:rFonts w:hint="eastAsia"/>
      </w:rPr>
    </w:lvl>
  </w:abstractNum>
  <w:abstractNum w:abstractNumId="9">
    <w:multiLevelType w:val="hybridMultilevel"/>
    <w:lvl w:ilvl="0">
      <w:start w:val="9"/>
      <w:numFmt w:val="decimal"/>
      <w:isLgl w:val="false"/>
      <w:suff w:val="nothing"/>
      <w:lvlText w:val="（%1）"/>
      <w:lvlJc w:val="left"/>
      <w:pPr>
        <w:pStyle w:val="1004"/>
      </w:p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abstractNum w:abstractNumId="10">
    <w:multiLevelType w:val="hybridMultilevel"/>
    <w:lvl w:ilvl="0">
      <w:start w:val="5"/>
      <w:numFmt w:val="decimal"/>
      <w:isLgl w:val="false"/>
      <w:suff w:val="nothing"/>
      <w:lvlText w:val="%1、"/>
      <w:lvlJc w:val="left"/>
      <w:pPr>
        <w:pStyle w:val="10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pStyle w:val="1004"/>
        <w:ind w:left="1470"/>
      </w:pPr>
      <w:rPr>
        <w:rFonts w:hint="eastAsia"/>
      </w:rPr>
    </w:lvl>
    <w:lvl w:ilvl="1">
      <w:start w:val="1"/>
      <w:numFmt w:val="bullet"/>
      <w:isLgl w:val="false"/>
      <w:suff w:val="tab"/>
      <w:lvlText w:val="o"/>
      <w:lvlJc w:val="left"/>
      <w:pPr>
        <w:pStyle w:val="1004"/>
        <w:ind w:left="1440" w:hanging="360"/>
      </w:pPr>
      <w:rPr>
        <w:rFonts w:ascii="Courier New" w:hAnsi="Courier New" w:eastAsia="Courier New" w:cs="Courier New"/>
      </w:rPr>
    </w:lvl>
    <w:lvl w:ilvl="2">
      <w:start w:val="1"/>
      <w:numFmt w:val="bullet"/>
      <w:isLgl w:val="false"/>
      <w:suff w:val="tab"/>
      <w:lvlText w:val="§"/>
      <w:lvlJc w:val="left"/>
      <w:pPr>
        <w:pStyle w:val="1004"/>
        <w:ind w:left="2160" w:hanging="360"/>
      </w:pPr>
      <w:rPr>
        <w:rFonts w:ascii="Wingdings" w:hAnsi="Wingdings" w:eastAsia="Wingdings" w:cs="Wingdings"/>
      </w:rPr>
    </w:lvl>
    <w:lvl w:ilvl="3">
      <w:start w:val="1"/>
      <w:numFmt w:val="bullet"/>
      <w:isLgl w:val="false"/>
      <w:suff w:val="tab"/>
      <w:lvlText w:val="·"/>
      <w:lvlJc w:val="left"/>
      <w:pPr>
        <w:pStyle w:val="1004"/>
        <w:ind w:left="2880" w:hanging="360"/>
      </w:pPr>
      <w:rPr>
        <w:rFonts w:ascii="Symbol" w:hAnsi="Symbol" w:eastAsia="Symbol" w:cs="Symbol"/>
      </w:rPr>
    </w:lvl>
    <w:lvl w:ilvl="4">
      <w:start w:val="1"/>
      <w:numFmt w:val="bullet"/>
      <w:isLgl w:val="false"/>
      <w:suff w:val="tab"/>
      <w:lvlText w:val="o"/>
      <w:lvlJc w:val="left"/>
      <w:pPr>
        <w:pStyle w:val="1004"/>
        <w:ind w:left="3600" w:hanging="360"/>
      </w:pPr>
      <w:rPr>
        <w:rFonts w:ascii="Courier New" w:hAnsi="Courier New" w:eastAsia="Courier New" w:cs="Courier New"/>
      </w:rPr>
    </w:lvl>
    <w:lvl w:ilvl="5">
      <w:start w:val="1"/>
      <w:numFmt w:val="bullet"/>
      <w:isLgl w:val="false"/>
      <w:suff w:val="tab"/>
      <w:lvlText w:val="§"/>
      <w:lvlJc w:val="left"/>
      <w:pPr>
        <w:pStyle w:val="1004"/>
        <w:ind w:left="4320" w:hanging="360"/>
      </w:pPr>
      <w:rPr>
        <w:rFonts w:ascii="Wingdings" w:hAnsi="Wingdings" w:eastAsia="Wingdings" w:cs="Wingdings"/>
      </w:rPr>
    </w:lvl>
    <w:lvl w:ilvl="6">
      <w:start w:val="1"/>
      <w:numFmt w:val="bullet"/>
      <w:isLgl w:val="false"/>
      <w:suff w:val="tab"/>
      <w:lvlText w:val="·"/>
      <w:lvlJc w:val="left"/>
      <w:pPr>
        <w:pStyle w:val="1004"/>
        <w:ind w:left="5040" w:hanging="360"/>
      </w:pPr>
      <w:rPr>
        <w:rFonts w:ascii="Symbol" w:hAnsi="Symbol" w:eastAsia="Symbol" w:cs="Symbol"/>
      </w:rPr>
    </w:lvl>
    <w:lvl w:ilvl="7">
      <w:start w:val="1"/>
      <w:numFmt w:val="bullet"/>
      <w:isLgl w:val="false"/>
      <w:suff w:val="tab"/>
      <w:lvlText w:val="o"/>
      <w:lvlJc w:val="left"/>
      <w:pPr>
        <w:pStyle w:val="1004"/>
        <w:ind w:left="5760" w:hanging="360"/>
      </w:pPr>
      <w:rPr>
        <w:rFonts w:ascii="Courier New" w:hAnsi="Courier New" w:eastAsia="Courier New" w:cs="Courier New"/>
      </w:rPr>
    </w:lvl>
    <w:lvl w:ilvl="8">
      <w:start w:val="1"/>
      <w:numFmt w:val="bullet"/>
      <w:isLgl w:val="false"/>
      <w:suff w:val="tab"/>
      <w:lvlText w:val="§"/>
      <w:lvlJc w:val="left"/>
      <w:pPr>
        <w:pStyle w:val="1004"/>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7"/>
  </w:num>
  <w:num w:numId="6">
    <w:abstractNumId w:val="11"/>
  </w:num>
  <w:num w:numId="7">
    <w:abstractNumId w:val="5"/>
  </w:num>
  <w:num w:numId="8">
    <w:abstractNumId w:val="1"/>
  </w:num>
  <w:num w:numId="9">
    <w:abstractNumId w:val="6"/>
  </w:num>
  <w:num w:numId="10">
    <w:abstractNumId w:val="10"/>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name w:val="Heading 1"/>
    <w:basedOn w:val="1004"/>
    <w:next w:val="1004"/>
    <w:link w:val="1016"/>
    <w:uiPriority w:val="9"/>
    <w:qFormat/>
    <w:pPr>
      <w:keepLines/>
      <w:keepNext/>
      <w:spacing w:before="480" w:after="200"/>
      <w:outlineLvl w:val="0"/>
    </w:pPr>
    <w:rPr>
      <w:rFonts w:ascii="Arial" w:hAnsi="Arial" w:eastAsia="Arial" w:cs="Arial"/>
      <w:sz w:val="40"/>
      <w:szCs w:val="40"/>
    </w:rPr>
  </w:style>
  <w:style w:type="paragraph" w:styleId="975">
    <w:name w:val="Heading 2"/>
    <w:basedOn w:val="1004"/>
    <w:next w:val="1004"/>
    <w:link w:val="1017"/>
    <w:uiPriority w:val="9"/>
    <w:unhideWhenUsed/>
    <w:qFormat/>
    <w:pPr>
      <w:keepLines/>
      <w:keepNext/>
      <w:spacing w:before="360" w:after="200"/>
      <w:outlineLvl w:val="1"/>
    </w:pPr>
    <w:rPr>
      <w:rFonts w:ascii="Arial" w:hAnsi="Arial" w:eastAsia="Arial" w:cs="Arial"/>
      <w:sz w:val="34"/>
    </w:rPr>
  </w:style>
  <w:style w:type="paragraph" w:styleId="976">
    <w:name w:val="Heading 3"/>
    <w:basedOn w:val="1004"/>
    <w:next w:val="1004"/>
    <w:link w:val="1018"/>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1004"/>
    <w:next w:val="1004"/>
    <w:link w:val="1019"/>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1004"/>
    <w:next w:val="1004"/>
    <w:link w:val="1021"/>
    <w:uiPriority w:val="9"/>
    <w:unhideWhenUsed/>
    <w:qFormat/>
    <w:pPr>
      <w:keepLines/>
      <w:keepNext/>
      <w:spacing w:before="320" w:after="200"/>
      <w:outlineLvl w:val="4"/>
    </w:pPr>
    <w:rPr>
      <w:rFonts w:ascii="Arial" w:hAnsi="Arial" w:eastAsia="Arial" w:cs="Arial"/>
      <w:b/>
      <w:bCs/>
      <w:sz w:val="24"/>
      <w:szCs w:val="24"/>
    </w:rPr>
  </w:style>
  <w:style w:type="paragraph" w:styleId="979">
    <w:name w:val="Heading 6"/>
    <w:basedOn w:val="1004"/>
    <w:next w:val="1004"/>
    <w:link w:val="1022"/>
    <w:uiPriority w:val="9"/>
    <w:unhideWhenUsed/>
    <w:qFormat/>
    <w:pPr>
      <w:keepLines/>
      <w:keepNext/>
      <w:spacing w:before="320" w:after="200"/>
      <w:outlineLvl w:val="5"/>
    </w:pPr>
    <w:rPr>
      <w:rFonts w:ascii="Arial" w:hAnsi="Arial" w:eastAsia="Arial" w:cs="Arial"/>
      <w:b/>
      <w:bCs/>
      <w:sz w:val="22"/>
      <w:szCs w:val="22"/>
    </w:rPr>
  </w:style>
  <w:style w:type="paragraph" w:styleId="980">
    <w:name w:val="Heading 7"/>
    <w:basedOn w:val="1004"/>
    <w:next w:val="1004"/>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81">
    <w:name w:val="Heading 8"/>
    <w:basedOn w:val="1004"/>
    <w:next w:val="1004"/>
    <w:link w:val="1024"/>
    <w:uiPriority w:val="9"/>
    <w:unhideWhenUsed/>
    <w:qFormat/>
    <w:pPr>
      <w:keepLines/>
      <w:keepNext/>
      <w:spacing w:before="320" w:after="200"/>
      <w:outlineLvl w:val="7"/>
    </w:pPr>
    <w:rPr>
      <w:rFonts w:ascii="Arial" w:hAnsi="Arial" w:eastAsia="Arial" w:cs="Arial"/>
      <w:i/>
      <w:iCs/>
      <w:sz w:val="22"/>
      <w:szCs w:val="22"/>
    </w:rPr>
  </w:style>
  <w:style w:type="paragraph" w:styleId="982">
    <w:name w:val="Heading 9"/>
    <w:basedOn w:val="1004"/>
    <w:next w:val="1004"/>
    <w:link w:val="1025"/>
    <w:uiPriority w:val="9"/>
    <w:unhideWhenUsed/>
    <w:qFormat/>
    <w:pPr>
      <w:keepLines/>
      <w:keepNext/>
      <w:spacing w:before="320" w:after="200"/>
      <w:outlineLvl w:val="8"/>
    </w:pPr>
    <w:rPr>
      <w:rFonts w:ascii="Arial" w:hAnsi="Arial" w:eastAsia="Arial" w:cs="Arial"/>
      <w:i/>
      <w:iCs/>
      <w:sz w:val="21"/>
      <w:szCs w:val="21"/>
    </w:rPr>
  </w:style>
  <w:style w:type="paragraph" w:styleId="983">
    <w:name w:val="Title"/>
    <w:basedOn w:val="1004"/>
    <w:next w:val="1004"/>
    <w:link w:val="1053"/>
    <w:uiPriority w:val="10"/>
    <w:qFormat/>
    <w:pPr>
      <w:contextualSpacing/>
      <w:spacing w:before="300" w:after="200"/>
    </w:pPr>
    <w:rPr>
      <w:sz w:val="48"/>
      <w:szCs w:val="48"/>
    </w:rPr>
  </w:style>
  <w:style w:type="paragraph" w:styleId="984">
    <w:name w:val="Subtitle"/>
    <w:basedOn w:val="1004"/>
    <w:next w:val="1004"/>
    <w:link w:val="1044"/>
    <w:uiPriority w:val="11"/>
    <w:qFormat/>
    <w:pPr>
      <w:spacing w:before="200" w:after="200"/>
    </w:pPr>
    <w:rPr>
      <w:sz w:val="24"/>
      <w:szCs w:val="24"/>
    </w:rPr>
  </w:style>
  <w:style w:type="paragraph" w:styleId="985">
    <w:name w:val="Header"/>
    <w:basedOn w:val="1004"/>
    <w:link w:val="1040"/>
    <w:uiPriority w:val="99"/>
    <w:unhideWhenUsed/>
    <w:pPr>
      <w:spacing w:after="0" w:line="240" w:lineRule="auto"/>
      <w:tabs>
        <w:tab w:val="center" w:pos="7143" w:leader="none"/>
        <w:tab w:val="right" w:pos="14287" w:leader="none"/>
      </w:tabs>
    </w:pPr>
  </w:style>
  <w:style w:type="paragraph" w:styleId="986">
    <w:name w:val="Footer"/>
    <w:basedOn w:val="1004"/>
    <w:link w:val="1062"/>
    <w:uiPriority w:val="99"/>
    <w:unhideWhenUsed/>
    <w:pPr>
      <w:spacing w:after="0" w:line="240" w:lineRule="auto"/>
      <w:tabs>
        <w:tab w:val="center" w:pos="7143" w:leader="none"/>
        <w:tab w:val="right" w:pos="14287" w:leader="none"/>
      </w:tabs>
    </w:pPr>
  </w:style>
  <w:style w:type="paragraph" w:styleId="987">
    <w:name w:val="Caption"/>
    <w:basedOn w:val="1004"/>
    <w:next w:val="1004"/>
    <w:uiPriority w:val="35"/>
    <w:semiHidden/>
    <w:unhideWhenUsed/>
    <w:qFormat/>
    <w:pPr>
      <w:spacing w:line="276" w:lineRule="auto"/>
    </w:pPr>
    <w:rPr>
      <w:b/>
      <w:bCs/>
      <w:color w:val="4f81bd" w:themeColor="accent1"/>
      <w:sz w:val="18"/>
      <w:szCs w:val="18"/>
    </w:rPr>
  </w:style>
  <w:style w:type="table" w:styleId="9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9">
    <w:name w:val="Hyperlink"/>
    <w:uiPriority w:val="99"/>
    <w:unhideWhenUsed/>
    <w:rPr>
      <w:color w:val="0000ff" w:themeColor="hyperlink"/>
      <w:u w:val="single"/>
    </w:rPr>
  </w:style>
  <w:style w:type="paragraph" w:styleId="990">
    <w:name w:val="footnote text"/>
    <w:basedOn w:val="1004"/>
    <w:link w:val="1046"/>
    <w:uiPriority w:val="99"/>
    <w:semiHidden/>
    <w:unhideWhenUsed/>
    <w:pPr>
      <w:spacing w:after="40" w:line="240" w:lineRule="auto"/>
    </w:pPr>
    <w:rPr>
      <w:sz w:val="18"/>
    </w:rPr>
  </w:style>
  <w:style w:type="character" w:styleId="991">
    <w:name w:val="footnote reference"/>
    <w:uiPriority w:val="99"/>
    <w:unhideWhenUsed/>
    <w:rPr>
      <w:vertAlign w:val="superscript"/>
    </w:rPr>
  </w:style>
  <w:style w:type="paragraph" w:styleId="992">
    <w:name w:val="endnote text"/>
    <w:basedOn w:val="1004"/>
    <w:link w:val="1036"/>
    <w:uiPriority w:val="99"/>
    <w:semiHidden/>
    <w:unhideWhenUsed/>
    <w:pPr>
      <w:spacing w:after="0" w:line="240" w:lineRule="auto"/>
    </w:pPr>
    <w:rPr>
      <w:sz w:val="20"/>
    </w:rPr>
  </w:style>
  <w:style w:type="character" w:styleId="993">
    <w:name w:val="endnote reference"/>
    <w:uiPriority w:val="99"/>
    <w:semiHidden/>
    <w:unhideWhenUsed/>
    <w:rPr>
      <w:vertAlign w:val="superscript"/>
    </w:rPr>
  </w:style>
  <w:style w:type="paragraph" w:styleId="994">
    <w:name w:val="toc 1"/>
    <w:basedOn w:val="1004"/>
    <w:next w:val="1004"/>
    <w:uiPriority w:val="39"/>
    <w:unhideWhenUsed/>
    <w:pPr>
      <w:ind w:left="0" w:right="0" w:firstLine="0"/>
      <w:spacing w:after="57"/>
    </w:pPr>
  </w:style>
  <w:style w:type="paragraph" w:styleId="995">
    <w:name w:val="toc 2"/>
    <w:basedOn w:val="1004"/>
    <w:next w:val="1004"/>
    <w:uiPriority w:val="39"/>
    <w:unhideWhenUsed/>
    <w:pPr>
      <w:ind w:left="283" w:right="0" w:firstLine="0"/>
      <w:spacing w:after="57"/>
    </w:pPr>
  </w:style>
  <w:style w:type="paragraph" w:styleId="996">
    <w:name w:val="toc 3"/>
    <w:basedOn w:val="1004"/>
    <w:next w:val="1004"/>
    <w:uiPriority w:val="39"/>
    <w:unhideWhenUsed/>
    <w:pPr>
      <w:ind w:left="567" w:right="0" w:firstLine="0"/>
      <w:spacing w:after="57"/>
    </w:pPr>
  </w:style>
  <w:style w:type="paragraph" w:styleId="997">
    <w:name w:val="toc 4"/>
    <w:basedOn w:val="1004"/>
    <w:next w:val="1004"/>
    <w:uiPriority w:val="39"/>
    <w:unhideWhenUsed/>
    <w:pPr>
      <w:ind w:left="850" w:right="0" w:firstLine="0"/>
      <w:spacing w:after="57"/>
    </w:pPr>
  </w:style>
  <w:style w:type="paragraph" w:styleId="998">
    <w:name w:val="toc 5"/>
    <w:basedOn w:val="1004"/>
    <w:next w:val="1004"/>
    <w:uiPriority w:val="39"/>
    <w:unhideWhenUsed/>
    <w:pPr>
      <w:ind w:left="1134" w:right="0" w:firstLine="0"/>
      <w:spacing w:after="57"/>
    </w:pPr>
  </w:style>
  <w:style w:type="paragraph" w:styleId="999">
    <w:name w:val="toc 6"/>
    <w:basedOn w:val="1004"/>
    <w:next w:val="1004"/>
    <w:uiPriority w:val="39"/>
    <w:unhideWhenUsed/>
    <w:pPr>
      <w:ind w:left="1417" w:right="0" w:firstLine="0"/>
      <w:spacing w:after="57"/>
    </w:pPr>
  </w:style>
  <w:style w:type="paragraph" w:styleId="1000">
    <w:name w:val="toc 7"/>
    <w:basedOn w:val="1004"/>
    <w:next w:val="1004"/>
    <w:uiPriority w:val="39"/>
    <w:unhideWhenUsed/>
    <w:pPr>
      <w:ind w:left="1701" w:right="0" w:firstLine="0"/>
      <w:spacing w:after="57"/>
    </w:pPr>
  </w:style>
  <w:style w:type="paragraph" w:styleId="1001">
    <w:name w:val="toc 8"/>
    <w:basedOn w:val="1004"/>
    <w:next w:val="1004"/>
    <w:uiPriority w:val="39"/>
    <w:unhideWhenUsed/>
    <w:pPr>
      <w:ind w:left="1984" w:right="0" w:firstLine="0"/>
      <w:spacing w:after="57"/>
    </w:pPr>
  </w:style>
  <w:style w:type="paragraph" w:styleId="1002">
    <w:name w:val="toc 9"/>
    <w:basedOn w:val="1004"/>
    <w:next w:val="1004"/>
    <w:uiPriority w:val="39"/>
    <w:unhideWhenUsed/>
    <w:pPr>
      <w:ind w:left="2268" w:right="0" w:firstLine="0"/>
      <w:spacing w:after="57"/>
    </w:pPr>
  </w:style>
  <w:style w:type="paragraph" w:styleId="1003">
    <w:name w:val="table of figures"/>
    <w:basedOn w:val="1004"/>
    <w:next w:val="1004"/>
    <w:uiPriority w:val="99"/>
    <w:unhideWhenUsed/>
    <w:pPr>
      <w:spacing w:after="0" w:afterAutospacing="0"/>
    </w:pPr>
  </w:style>
  <w:style w:type="paragraph" w:styleId="1004" w:default="1">
    <w:name w:val="Normal"/>
    <w:next w:val="1004"/>
    <w:link w:val="1004"/>
    <w:qFormat/>
    <w:pPr>
      <w:jc w:val="both"/>
      <w:widowControl w:val="off"/>
    </w:pPr>
    <w:rPr>
      <w:rFonts w:ascii="Times New Roman" w:hAnsi="Times New Roman" w:eastAsia="宋体" w:cs="Times New Roman"/>
      <w:sz w:val="21"/>
      <w:szCs w:val="22"/>
      <w:lang w:val="en-US" w:eastAsia="zh-CN" w:bidi="ar-SA"/>
    </w:rPr>
  </w:style>
  <w:style w:type="paragraph" w:styleId="1005">
    <w:name w:val="标题 1"/>
    <w:basedOn w:val="1004"/>
    <w:next w:val="1004"/>
    <w:link w:val="1016"/>
    <w:uiPriority w:val="9"/>
    <w:qFormat/>
    <w:pPr>
      <w:keepLines/>
      <w:keepNext/>
      <w:spacing w:before="480" w:after="200"/>
      <w:outlineLvl w:val="0"/>
    </w:pPr>
    <w:rPr>
      <w:rFonts w:ascii="Arial" w:hAnsi="Arial" w:eastAsia="Arial" w:cs="Arial"/>
      <w:sz w:val="40"/>
      <w:szCs w:val="40"/>
    </w:rPr>
  </w:style>
  <w:style w:type="paragraph" w:styleId="1006">
    <w:name w:val="标题 2"/>
    <w:basedOn w:val="1004"/>
    <w:next w:val="1004"/>
    <w:link w:val="1017"/>
    <w:uiPriority w:val="9"/>
    <w:unhideWhenUsed/>
    <w:qFormat/>
    <w:pPr>
      <w:keepLines/>
      <w:keepNext/>
      <w:spacing w:before="360" w:after="200"/>
      <w:outlineLvl w:val="1"/>
    </w:pPr>
    <w:rPr>
      <w:rFonts w:ascii="Arial" w:hAnsi="Arial" w:eastAsia="Arial" w:cs="Arial"/>
      <w:sz w:val="34"/>
    </w:rPr>
  </w:style>
  <w:style w:type="paragraph" w:styleId="1007">
    <w:name w:val="标题 3"/>
    <w:basedOn w:val="1004"/>
    <w:next w:val="1004"/>
    <w:link w:val="1018"/>
    <w:uiPriority w:val="9"/>
    <w:unhideWhenUsed/>
    <w:qFormat/>
    <w:pPr>
      <w:keepLines/>
      <w:keepNext/>
      <w:spacing w:before="320" w:after="200"/>
      <w:outlineLvl w:val="2"/>
    </w:pPr>
    <w:rPr>
      <w:rFonts w:ascii="Arial" w:hAnsi="Arial" w:eastAsia="Arial" w:cs="Arial"/>
      <w:sz w:val="30"/>
      <w:szCs w:val="30"/>
    </w:rPr>
  </w:style>
  <w:style w:type="paragraph" w:styleId="1008">
    <w:name w:val="标题 4"/>
    <w:basedOn w:val="1004"/>
    <w:next w:val="1020"/>
    <w:link w:val="1019"/>
    <w:uiPriority w:val="9"/>
    <w:unhideWhenUsed/>
    <w:qFormat/>
    <w:pPr>
      <w:keepLines/>
      <w:keepNext/>
      <w:spacing w:before="320" w:after="200"/>
      <w:outlineLvl w:val="3"/>
    </w:pPr>
    <w:rPr>
      <w:rFonts w:ascii="Arial" w:hAnsi="Arial" w:eastAsia="Arial" w:cs="Arial"/>
      <w:b/>
      <w:bCs/>
      <w:sz w:val="26"/>
      <w:szCs w:val="26"/>
    </w:rPr>
  </w:style>
  <w:style w:type="paragraph" w:styleId="1009">
    <w:name w:val="标题 5"/>
    <w:basedOn w:val="1004"/>
    <w:next w:val="1004"/>
    <w:link w:val="1021"/>
    <w:uiPriority w:val="9"/>
    <w:unhideWhenUsed/>
    <w:qFormat/>
    <w:pPr>
      <w:keepLines/>
      <w:keepNext/>
      <w:spacing w:before="320" w:after="200"/>
      <w:outlineLvl w:val="4"/>
    </w:pPr>
    <w:rPr>
      <w:rFonts w:ascii="Arial" w:hAnsi="Arial" w:eastAsia="Arial" w:cs="Arial"/>
      <w:b/>
      <w:bCs/>
      <w:sz w:val="24"/>
      <w:szCs w:val="24"/>
    </w:rPr>
  </w:style>
  <w:style w:type="paragraph" w:styleId="1010">
    <w:name w:val="标题 6"/>
    <w:basedOn w:val="1004"/>
    <w:next w:val="1004"/>
    <w:link w:val="1022"/>
    <w:uiPriority w:val="9"/>
    <w:unhideWhenUsed/>
    <w:qFormat/>
    <w:pPr>
      <w:keepLines/>
      <w:keepNext/>
      <w:spacing w:before="320" w:after="200"/>
      <w:outlineLvl w:val="5"/>
    </w:pPr>
    <w:rPr>
      <w:rFonts w:ascii="Arial" w:hAnsi="Arial" w:eastAsia="Arial" w:cs="Arial"/>
      <w:b/>
      <w:bCs/>
      <w:sz w:val="22"/>
      <w:szCs w:val="22"/>
    </w:rPr>
  </w:style>
  <w:style w:type="paragraph" w:styleId="1011">
    <w:name w:val="标题 7"/>
    <w:basedOn w:val="1004"/>
    <w:next w:val="1004"/>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1012">
    <w:name w:val="标题 8"/>
    <w:basedOn w:val="1004"/>
    <w:next w:val="1004"/>
    <w:link w:val="1024"/>
    <w:uiPriority w:val="9"/>
    <w:unhideWhenUsed/>
    <w:qFormat/>
    <w:pPr>
      <w:keepLines/>
      <w:keepNext/>
      <w:spacing w:before="320" w:after="200"/>
      <w:outlineLvl w:val="7"/>
    </w:pPr>
    <w:rPr>
      <w:rFonts w:ascii="Arial" w:hAnsi="Arial" w:eastAsia="Arial" w:cs="Arial"/>
      <w:i/>
      <w:iCs/>
      <w:sz w:val="22"/>
      <w:szCs w:val="22"/>
    </w:rPr>
  </w:style>
  <w:style w:type="paragraph" w:styleId="1013">
    <w:name w:val="标题 9"/>
    <w:basedOn w:val="1004"/>
    <w:next w:val="1004"/>
    <w:link w:val="1025"/>
    <w:uiPriority w:val="9"/>
    <w:unhideWhenUsed/>
    <w:qFormat/>
    <w:pPr>
      <w:keepLines/>
      <w:keepNext/>
      <w:spacing w:before="320" w:after="200"/>
      <w:outlineLvl w:val="8"/>
    </w:pPr>
    <w:rPr>
      <w:rFonts w:ascii="Arial" w:hAnsi="Arial" w:eastAsia="Arial" w:cs="Arial"/>
      <w:i/>
      <w:iCs/>
      <w:sz w:val="21"/>
      <w:szCs w:val="21"/>
    </w:rPr>
  </w:style>
  <w:style w:type="character" w:styleId="1014">
    <w:name w:val="默认段落字体"/>
    <w:next w:val="1014"/>
    <w:link w:val="1004"/>
    <w:uiPriority w:val="1"/>
    <w:unhideWhenUsed/>
    <w:qFormat/>
  </w:style>
  <w:style w:type="table" w:styleId="1015">
    <w:name w:val="普通表格"/>
    <w:next w:val="1015"/>
    <w:link w:val="1004"/>
    <w:uiPriority w:val="99"/>
    <w:unhideWhenUsed/>
    <w:qFormat/>
    <w:tblPr/>
  </w:style>
  <w:style w:type="character" w:styleId="1016">
    <w:name w:val="Heading 1 Char"/>
    <w:next w:val="1016"/>
    <w:link w:val="1005"/>
    <w:uiPriority w:val="9"/>
    <w:qFormat/>
    <w:rPr>
      <w:rFonts w:ascii="Arial" w:hAnsi="Arial" w:eastAsia="Arial" w:cs="Arial"/>
      <w:sz w:val="40"/>
      <w:szCs w:val="40"/>
    </w:rPr>
  </w:style>
  <w:style w:type="character" w:styleId="1017">
    <w:name w:val="Heading 2 Char"/>
    <w:next w:val="1017"/>
    <w:link w:val="1006"/>
    <w:uiPriority w:val="9"/>
    <w:qFormat/>
    <w:rPr>
      <w:rFonts w:ascii="Arial" w:hAnsi="Arial" w:eastAsia="Arial" w:cs="Arial"/>
      <w:sz w:val="34"/>
    </w:rPr>
  </w:style>
  <w:style w:type="character" w:styleId="1018">
    <w:name w:val="Heading 3 Char"/>
    <w:next w:val="1018"/>
    <w:link w:val="1007"/>
    <w:uiPriority w:val="9"/>
    <w:qFormat/>
    <w:rPr>
      <w:rFonts w:ascii="Arial" w:hAnsi="Arial" w:eastAsia="Arial" w:cs="Arial"/>
      <w:sz w:val="30"/>
      <w:szCs w:val="30"/>
    </w:rPr>
  </w:style>
  <w:style w:type="character" w:styleId="1019">
    <w:name w:val="Heading 4 Char"/>
    <w:next w:val="1019"/>
    <w:link w:val="1008"/>
    <w:uiPriority w:val="9"/>
    <w:qFormat/>
    <w:rPr>
      <w:rFonts w:ascii="Arial" w:hAnsi="Arial" w:eastAsia="Arial" w:cs="Arial"/>
      <w:b/>
      <w:bCs/>
      <w:sz w:val="26"/>
      <w:szCs w:val="26"/>
    </w:rPr>
  </w:style>
  <w:style w:type="paragraph" w:styleId="1020">
    <w:name w:val="正文缩进"/>
    <w:basedOn w:val="1004"/>
    <w:next w:val="1020"/>
    <w:link w:val="1004"/>
    <w:qFormat/>
    <w:pPr>
      <w:ind w:firstLine="420"/>
    </w:pPr>
  </w:style>
  <w:style w:type="character" w:styleId="1021">
    <w:name w:val="Heading 5 Char"/>
    <w:next w:val="1021"/>
    <w:link w:val="1009"/>
    <w:uiPriority w:val="9"/>
    <w:qFormat/>
    <w:rPr>
      <w:rFonts w:ascii="Arial" w:hAnsi="Arial" w:eastAsia="Arial" w:cs="Arial"/>
      <w:b/>
      <w:bCs/>
      <w:sz w:val="24"/>
      <w:szCs w:val="24"/>
    </w:rPr>
  </w:style>
  <w:style w:type="character" w:styleId="1022">
    <w:name w:val="Heading 6 Char"/>
    <w:next w:val="1022"/>
    <w:link w:val="1010"/>
    <w:uiPriority w:val="9"/>
    <w:qFormat/>
    <w:rPr>
      <w:rFonts w:ascii="Arial" w:hAnsi="Arial" w:eastAsia="Arial" w:cs="Arial"/>
      <w:b/>
      <w:bCs/>
      <w:sz w:val="22"/>
      <w:szCs w:val="22"/>
    </w:rPr>
  </w:style>
  <w:style w:type="character" w:styleId="1023">
    <w:name w:val="Heading 7 Char"/>
    <w:next w:val="1023"/>
    <w:link w:val="1011"/>
    <w:uiPriority w:val="9"/>
    <w:qFormat/>
    <w:rPr>
      <w:rFonts w:ascii="Arial" w:hAnsi="Arial" w:eastAsia="Arial" w:cs="Arial"/>
      <w:b/>
      <w:bCs/>
      <w:i/>
      <w:iCs/>
      <w:sz w:val="22"/>
      <w:szCs w:val="22"/>
    </w:rPr>
  </w:style>
  <w:style w:type="character" w:styleId="1024">
    <w:name w:val="Heading 8 Char"/>
    <w:next w:val="1024"/>
    <w:link w:val="1012"/>
    <w:uiPriority w:val="9"/>
    <w:qFormat/>
    <w:rPr>
      <w:rFonts w:ascii="Arial" w:hAnsi="Arial" w:eastAsia="Arial" w:cs="Arial"/>
      <w:i/>
      <w:iCs/>
      <w:sz w:val="22"/>
      <w:szCs w:val="22"/>
    </w:rPr>
  </w:style>
  <w:style w:type="character" w:styleId="1025">
    <w:name w:val="Heading 9 Char"/>
    <w:next w:val="1025"/>
    <w:link w:val="1013"/>
    <w:uiPriority w:val="9"/>
    <w:qFormat/>
    <w:rPr>
      <w:rFonts w:ascii="Arial" w:hAnsi="Arial" w:eastAsia="Arial" w:cs="Arial"/>
      <w:i/>
      <w:iCs/>
      <w:sz w:val="21"/>
      <w:szCs w:val="21"/>
    </w:rPr>
  </w:style>
  <w:style w:type="paragraph" w:styleId="1026">
    <w:name w:val="目录 7"/>
    <w:basedOn w:val="1004"/>
    <w:next w:val="1004"/>
    <w:link w:val="1004"/>
    <w:uiPriority w:val="39"/>
    <w:unhideWhenUsed/>
    <w:qFormat/>
    <w:pPr>
      <w:ind w:left="1701" w:right="0" w:firstLine="0"/>
      <w:spacing w:after="57"/>
    </w:pPr>
  </w:style>
  <w:style w:type="paragraph" w:styleId="1027">
    <w:name w:val="题注"/>
    <w:basedOn w:val="1004"/>
    <w:next w:val="1004"/>
    <w:link w:val="1004"/>
    <w:uiPriority w:val="35"/>
    <w:unhideWhenUsed/>
    <w:qFormat/>
    <w:pPr>
      <w:spacing w:line="276" w:lineRule="auto"/>
    </w:pPr>
    <w:rPr>
      <w:b/>
      <w:bCs/>
      <w:color w:val="4f81bd"/>
      <w:sz w:val="18"/>
      <w:szCs w:val="18"/>
    </w:rPr>
  </w:style>
  <w:style w:type="paragraph" w:styleId="1028">
    <w:name w:val="索引 5"/>
    <w:basedOn w:val="1004"/>
    <w:next w:val="1004"/>
    <w:link w:val="1004"/>
    <w:uiPriority w:val="99"/>
    <w:unhideWhenUsed/>
    <w:qFormat/>
    <w:pPr>
      <w:ind w:left="1050" w:hanging="210"/>
      <w:jc w:val="left"/>
    </w:pPr>
    <w:rPr>
      <w:sz w:val="18"/>
      <w:szCs w:val="24"/>
      <w:lang w:eastAsia="zh-TW"/>
    </w:rPr>
  </w:style>
  <w:style w:type="paragraph" w:styleId="1029">
    <w:name w:val="正文文本"/>
    <w:basedOn w:val="1004"/>
    <w:next w:val="1029"/>
    <w:link w:val="1004"/>
    <w:qFormat/>
    <w:rPr>
      <w:rFonts w:ascii="楷体_GB2312" w:hAnsi="Arial" w:eastAsia="楷体_GB2312" w:cs="Times New Roman"/>
      <w:sz w:val="28"/>
      <w:szCs w:val="28"/>
    </w:rPr>
  </w:style>
  <w:style w:type="paragraph" w:styleId="1030">
    <w:name w:val="正文文本缩进"/>
    <w:basedOn w:val="1004"/>
    <w:next w:val="1031"/>
    <w:link w:val="1004"/>
    <w:unhideWhenUsed/>
    <w:qFormat/>
    <w:pPr>
      <w:ind w:left="420"/>
      <w:spacing w:after="120"/>
    </w:pPr>
  </w:style>
  <w:style w:type="paragraph" w:styleId="1031">
    <w:name w:val="寄信人地址"/>
    <w:basedOn w:val="1004"/>
    <w:next w:val="1031"/>
    <w:link w:val="1004"/>
    <w:uiPriority w:val="99"/>
    <w:qFormat/>
    <w:rPr>
      <w:rFonts w:ascii="Arial" w:hAnsi="Arial" w:cs="Arial"/>
    </w:rPr>
  </w:style>
  <w:style w:type="paragraph" w:styleId="1032">
    <w:name w:val="目录 5"/>
    <w:basedOn w:val="1004"/>
    <w:next w:val="1004"/>
    <w:link w:val="1004"/>
    <w:uiPriority w:val="39"/>
    <w:unhideWhenUsed/>
    <w:qFormat/>
    <w:pPr>
      <w:ind w:left="1134" w:right="0" w:firstLine="0"/>
      <w:spacing w:after="57"/>
    </w:pPr>
  </w:style>
  <w:style w:type="paragraph" w:styleId="1033">
    <w:name w:val="目录 3"/>
    <w:basedOn w:val="1004"/>
    <w:next w:val="1004"/>
    <w:link w:val="1004"/>
    <w:uiPriority w:val="39"/>
    <w:unhideWhenUsed/>
    <w:qFormat/>
    <w:pPr>
      <w:ind w:left="567" w:right="0" w:firstLine="0"/>
      <w:spacing w:after="57"/>
    </w:pPr>
  </w:style>
  <w:style w:type="paragraph" w:styleId="1034">
    <w:name w:val="目录 8"/>
    <w:basedOn w:val="1004"/>
    <w:next w:val="1004"/>
    <w:link w:val="1004"/>
    <w:uiPriority w:val="39"/>
    <w:unhideWhenUsed/>
    <w:qFormat/>
    <w:pPr>
      <w:ind w:left="1984" w:right="0" w:firstLine="0"/>
      <w:spacing w:after="57"/>
    </w:pPr>
  </w:style>
  <w:style w:type="paragraph" w:styleId="1035">
    <w:name w:val="尾注文本"/>
    <w:basedOn w:val="1004"/>
    <w:next w:val="1035"/>
    <w:link w:val="1036"/>
    <w:uiPriority w:val="99"/>
    <w:unhideWhenUsed/>
    <w:qFormat/>
    <w:pPr>
      <w:spacing w:after="0" w:line="240" w:lineRule="auto"/>
    </w:pPr>
    <w:rPr>
      <w:sz w:val="20"/>
    </w:rPr>
  </w:style>
  <w:style w:type="character" w:styleId="1036">
    <w:name w:val="Endnote Text Char"/>
    <w:next w:val="1036"/>
    <w:link w:val="1035"/>
    <w:uiPriority w:val="99"/>
    <w:qFormat/>
    <w:rPr>
      <w:sz w:val="20"/>
    </w:rPr>
  </w:style>
  <w:style w:type="paragraph" w:styleId="1037">
    <w:name w:val="页脚"/>
    <w:basedOn w:val="1004"/>
    <w:next w:val="1037"/>
    <w:link w:val="1038"/>
    <w:uiPriority w:val="99"/>
    <w:unhideWhenUsed/>
    <w:qFormat/>
    <w:pPr>
      <w:spacing w:after="0" w:line="240" w:lineRule="auto"/>
      <w:tabs>
        <w:tab w:val="center" w:pos="7143" w:leader="none"/>
        <w:tab w:val="right" w:pos="14287" w:leader="none"/>
      </w:tabs>
    </w:pPr>
  </w:style>
  <w:style w:type="character" w:styleId="1038">
    <w:name w:val="Footer Char"/>
    <w:next w:val="1038"/>
    <w:link w:val="1037"/>
    <w:uiPriority w:val="99"/>
    <w:qFormat/>
  </w:style>
  <w:style w:type="paragraph" w:styleId="1039">
    <w:name w:val="页眉"/>
    <w:basedOn w:val="1004"/>
    <w:next w:val="1039"/>
    <w:link w:val="1040"/>
    <w:uiPriority w:val="99"/>
    <w:unhideWhenUsed/>
    <w:qFormat/>
    <w:pPr>
      <w:spacing w:after="0" w:line="240" w:lineRule="auto"/>
      <w:tabs>
        <w:tab w:val="center" w:pos="7143" w:leader="none"/>
        <w:tab w:val="right" w:pos="14287" w:leader="none"/>
      </w:tabs>
    </w:pPr>
  </w:style>
  <w:style w:type="character" w:styleId="1040">
    <w:name w:val="Header Char"/>
    <w:next w:val="1040"/>
    <w:link w:val="1039"/>
    <w:uiPriority w:val="99"/>
    <w:qFormat/>
  </w:style>
  <w:style w:type="paragraph" w:styleId="1041">
    <w:name w:val="目录 1"/>
    <w:basedOn w:val="1004"/>
    <w:next w:val="1004"/>
    <w:link w:val="1004"/>
    <w:uiPriority w:val="39"/>
    <w:unhideWhenUsed/>
    <w:qFormat/>
    <w:pPr>
      <w:ind w:left="0" w:right="0" w:firstLine="0"/>
      <w:spacing w:after="57"/>
    </w:pPr>
  </w:style>
  <w:style w:type="paragraph" w:styleId="1042">
    <w:name w:val="目录 4"/>
    <w:basedOn w:val="1004"/>
    <w:next w:val="1004"/>
    <w:link w:val="1004"/>
    <w:uiPriority w:val="39"/>
    <w:unhideWhenUsed/>
    <w:qFormat/>
    <w:pPr>
      <w:ind w:left="850" w:right="0" w:firstLine="0"/>
      <w:spacing w:after="57"/>
    </w:pPr>
  </w:style>
  <w:style w:type="paragraph" w:styleId="1043">
    <w:name w:val="副标题"/>
    <w:basedOn w:val="1004"/>
    <w:next w:val="1004"/>
    <w:link w:val="1044"/>
    <w:uiPriority w:val="11"/>
    <w:qFormat/>
    <w:pPr>
      <w:spacing w:before="200" w:after="200"/>
    </w:pPr>
    <w:rPr>
      <w:sz w:val="24"/>
      <w:szCs w:val="24"/>
    </w:rPr>
  </w:style>
  <w:style w:type="character" w:styleId="1044">
    <w:name w:val="Subtitle Char"/>
    <w:next w:val="1044"/>
    <w:link w:val="1043"/>
    <w:uiPriority w:val="11"/>
    <w:qFormat/>
    <w:rPr>
      <w:sz w:val="24"/>
      <w:szCs w:val="24"/>
    </w:rPr>
  </w:style>
  <w:style w:type="paragraph" w:styleId="1045">
    <w:name w:val="脚注文本"/>
    <w:basedOn w:val="1004"/>
    <w:next w:val="1045"/>
    <w:link w:val="1046"/>
    <w:uiPriority w:val="99"/>
    <w:unhideWhenUsed/>
    <w:qFormat/>
    <w:pPr>
      <w:spacing w:after="40" w:line="240" w:lineRule="auto"/>
    </w:pPr>
    <w:rPr>
      <w:sz w:val="18"/>
    </w:rPr>
  </w:style>
  <w:style w:type="character" w:styleId="1046">
    <w:name w:val="Footnote Text Char"/>
    <w:next w:val="1046"/>
    <w:link w:val="1045"/>
    <w:uiPriority w:val="99"/>
    <w:qFormat/>
    <w:rPr>
      <w:sz w:val="18"/>
    </w:rPr>
  </w:style>
  <w:style w:type="paragraph" w:styleId="1047">
    <w:name w:val="目录 6"/>
    <w:basedOn w:val="1004"/>
    <w:next w:val="1004"/>
    <w:link w:val="1004"/>
    <w:uiPriority w:val="39"/>
    <w:unhideWhenUsed/>
    <w:qFormat/>
    <w:pPr>
      <w:ind w:left="1417" w:right="0" w:firstLine="0"/>
      <w:spacing w:after="57"/>
    </w:pPr>
  </w:style>
  <w:style w:type="paragraph" w:styleId="1048">
    <w:name w:val="图表目录"/>
    <w:basedOn w:val="1004"/>
    <w:next w:val="1004"/>
    <w:link w:val="1004"/>
    <w:uiPriority w:val="99"/>
    <w:unhideWhenUsed/>
    <w:qFormat/>
    <w:pPr>
      <w:spacing w:after="0" w:afterAutospacing="0"/>
    </w:pPr>
  </w:style>
  <w:style w:type="paragraph" w:styleId="1049">
    <w:name w:val="目录 2"/>
    <w:basedOn w:val="1004"/>
    <w:next w:val="1004"/>
    <w:link w:val="1004"/>
    <w:uiPriority w:val="39"/>
    <w:unhideWhenUsed/>
    <w:qFormat/>
    <w:pPr>
      <w:ind w:left="283" w:right="0" w:firstLine="0"/>
      <w:spacing w:after="57"/>
    </w:pPr>
  </w:style>
  <w:style w:type="paragraph" w:styleId="1050">
    <w:name w:val="目录 9"/>
    <w:basedOn w:val="1004"/>
    <w:next w:val="1004"/>
    <w:link w:val="1004"/>
    <w:uiPriority w:val="39"/>
    <w:unhideWhenUsed/>
    <w:qFormat/>
    <w:pPr>
      <w:ind w:left="2268" w:right="0" w:firstLine="0"/>
      <w:spacing w:after="57"/>
    </w:pPr>
  </w:style>
  <w:style w:type="paragraph" w:styleId="1051">
    <w:name w:val="普通(网站)"/>
    <w:basedOn w:val="1004"/>
    <w:next w:val="1051"/>
    <w:link w:val="1004"/>
    <w:uiPriority w:val="99"/>
    <w:unhideWhenUsed/>
    <w:qFormat/>
    <w:pPr>
      <w:ind w:left="0" w:right="0"/>
      <w:jc w:val="left"/>
      <w:spacing w:before="100" w:beforeAutospacing="1" w:after="100" w:afterAutospacing="1"/>
    </w:pPr>
    <w:rPr>
      <w:sz w:val="24"/>
      <w:lang w:val="en-US" w:eastAsia="zh-CN" w:bidi="ar"/>
    </w:rPr>
  </w:style>
  <w:style w:type="paragraph" w:styleId="1052">
    <w:name w:val="标题"/>
    <w:basedOn w:val="1004"/>
    <w:next w:val="1004"/>
    <w:link w:val="1053"/>
    <w:uiPriority w:val="10"/>
    <w:qFormat/>
    <w:pPr>
      <w:contextualSpacing/>
      <w:spacing w:before="300" w:after="200"/>
    </w:pPr>
    <w:rPr>
      <w:sz w:val="48"/>
      <w:szCs w:val="48"/>
    </w:rPr>
  </w:style>
  <w:style w:type="character" w:styleId="1053">
    <w:name w:val="Title Char"/>
    <w:next w:val="1053"/>
    <w:link w:val="1052"/>
    <w:uiPriority w:val="10"/>
    <w:qFormat/>
    <w:rPr>
      <w:sz w:val="48"/>
      <w:szCs w:val="48"/>
    </w:rPr>
  </w:style>
  <w:style w:type="paragraph" w:styleId="1054">
    <w:name w:val="正文首行缩进 2"/>
    <w:basedOn w:val="1030"/>
    <w:next w:val="1054"/>
    <w:link w:val="1004"/>
    <w:qFormat/>
    <w:pPr>
      <w:ind w:left="0" w:firstLine="420"/>
      <w:spacing w:after="0" w:line="360" w:lineRule="auto"/>
    </w:pPr>
    <w:rPr>
      <w:rFonts w:ascii="宋体" w:hAnsi="宋体" w:eastAsia="宋体" w:cs="Times New Roman"/>
      <w:szCs w:val="20"/>
    </w:rPr>
  </w:style>
  <w:style w:type="table" w:styleId="1055">
    <w:name w:val="网格型"/>
    <w:next w:val="1055"/>
    <w:link w:val="1004"/>
    <w:uiPriority w:val="59"/>
    <w:qFormat/>
    <w:pPr>
      <w:spacing w:after="0" w:line="240" w:lineRule="auto"/>
    </w:pPr>
    <w:tblPr/>
  </w:style>
  <w:style w:type="character" w:styleId="1056">
    <w:name w:val="要点"/>
    <w:basedOn w:val="1014"/>
    <w:next w:val="1056"/>
    <w:link w:val="1004"/>
    <w:uiPriority w:val="22"/>
    <w:qFormat/>
    <w:rPr>
      <w:b/>
    </w:rPr>
  </w:style>
  <w:style w:type="character" w:styleId="1057">
    <w:name w:val="尾注引用"/>
    <w:next w:val="1057"/>
    <w:link w:val="1004"/>
    <w:uiPriority w:val="99"/>
    <w:unhideWhenUsed/>
    <w:qFormat/>
    <w:rPr>
      <w:vertAlign w:val="superscript"/>
    </w:rPr>
  </w:style>
  <w:style w:type="character" w:styleId="1058">
    <w:name w:val="已访问的超链接"/>
    <w:basedOn w:val="1014"/>
    <w:next w:val="1058"/>
    <w:link w:val="1004"/>
    <w:uiPriority w:val="99"/>
    <w:unhideWhenUsed/>
    <w:qFormat/>
    <w:rPr>
      <w:color w:val="333333"/>
      <w:u w:val="none"/>
    </w:rPr>
  </w:style>
  <w:style w:type="character" w:styleId="1059">
    <w:name w:val="超链接"/>
    <w:next w:val="1059"/>
    <w:link w:val="1004"/>
    <w:uiPriority w:val="99"/>
    <w:unhideWhenUsed/>
    <w:qFormat/>
    <w:rPr>
      <w:color w:val="0000ff"/>
      <w:u w:val="single"/>
    </w:rPr>
  </w:style>
  <w:style w:type="character" w:styleId="1060">
    <w:name w:val="批注引用"/>
    <w:next w:val="1060"/>
    <w:link w:val="1004"/>
    <w:qFormat/>
    <w:rPr>
      <w:sz w:val="21"/>
      <w:szCs w:val="21"/>
    </w:rPr>
  </w:style>
  <w:style w:type="character" w:styleId="1061">
    <w:name w:val="脚注引用"/>
    <w:next w:val="1061"/>
    <w:link w:val="1004"/>
    <w:uiPriority w:val="99"/>
    <w:unhideWhenUsed/>
    <w:qFormat/>
    <w:rPr>
      <w:vertAlign w:val="superscript"/>
    </w:rPr>
  </w:style>
  <w:style w:type="character" w:styleId="1062">
    <w:name w:val="Caption Char"/>
    <w:next w:val="1062"/>
    <w:link w:val="1037"/>
    <w:uiPriority w:val="99"/>
    <w:qFormat/>
  </w:style>
  <w:style w:type="paragraph" w:styleId="1063">
    <w:name w:val="目录 11"/>
    <w:basedOn w:val="1004"/>
    <w:next w:val="1004"/>
    <w:link w:val="1004"/>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64">
    <w:name w:val="NormalCharacter1"/>
    <w:next w:val="1064"/>
    <w:link w:val="1004"/>
    <w:semiHidden/>
    <w:qFormat/>
    <w:rPr>
      <w:rFonts w:ascii="Times New Roman" w:hAnsi="Times New Roman" w:eastAsia="宋体" w:cs="Times New Roman"/>
      <w:sz w:val="21"/>
      <w:szCs w:val="24"/>
      <w:lang w:val="en-US" w:eastAsia="zh-CN" w:bidi="ar-SA"/>
    </w:rPr>
  </w:style>
  <w:style w:type="paragraph" w:styleId="1065">
    <w:name w:val="标题 211"/>
    <w:basedOn w:val="1004"/>
    <w:next w:val="1004"/>
    <w:link w:val="1004"/>
    <w:uiPriority w:val="99"/>
    <w:qFormat/>
    <w:pPr>
      <w:jc w:val="left"/>
      <w:keepLines/>
      <w:keepNext/>
      <w:outlineLvl w:val="1"/>
    </w:pPr>
    <w:rPr>
      <w:rFonts w:ascii="宋体" w:hAnsi="宋体" w:eastAsia="楷体_GB2312" w:cs="宋体"/>
      <w:b/>
      <w:bCs/>
      <w:sz w:val="26"/>
      <w:szCs w:val="26"/>
    </w:rPr>
  </w:style>
  <w:style w:type="paragraph" w:styleId="1066">
    <w:name w:val="信息标题1"/>
    <w:basedOn w:val="1004"/>
    <w:next w:val="1066"/>
    <w:link w:val="100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67">
    <w:name w:val="标题 21"/>
    <w:basedOn w:val="1004"/>
    <w:next w:val="1004"/>
    <w:link w:val="1068"/>
    <w:qFormat/>
    <w:pPr>
      <w:jc w:val="center"/>
      <w:keepLines/>
      <w:keepNext/>
      <w:spacing w:before="260" w:after="260" w:line="416" w:lineRule="auto"/>
      <w:outlineLvl w:val="1"/>
    </w:pPr>
    <w:rPr>
      <w:rFonts w:ascii="Arial" w:hAnsi="Arial" w:eastAsia="幼圆" w:cs="Arial"/>
      <w:b/>
      <w:bCs/>
      <w:sz w:val="44"/>
      <w:szCs w:val="44"/>
    </w:rPr>
  </w:style>
  <w:style w:type="character" w:styleId="1068">
    <w:name w:val="标题 2 Char"/>
    <w:next w:val="1068"/>
    <w:link w:val="1067"/>
    <w:qFormat/>
    <w:rPr>
      <w:rFonts w:ascii="Arial" w:hAnsi="Arial" w:eastAsia="幼圆" w:cs="Arial"/>
      <w:b/>
      <w:bCs/>
      <w:sz w:val="44"/>
      <w:szCs w:val="44"/>
    </w:rPr>
  </w:style>
  <w:style w:type="paragraph" w:styleId="1069">
    <w:name w:val="List Paragraph"/>
    <w:basedOn w:val="1004"/>
    <w:next w:val="1069"/>
    <w:link w:val="1004"/>
    <w:uiPriority w:val="34"/>
    <w:qFormat/>
    <w:pPr>
      <w:contextualSpacing/>
      <w:ind w:left="720"/>
    </w:pPr>
  </w:style>
  <w:style w:type="paragraph" w:styleId="1070">
    <w:name w:val="No Spacing"/>
    <w:next w:val="1070"/>
    <w:link w:val="1004"/>
    <w:uiPriority w:val="1"/>
    <w:qFormat/>
    <w:pPr>
      <w:spacing w:before="0" w:after="0" w:line="240" w:lineRule="auto"/>
    </w:pPr>
    <w:rPr>
      <w:rFonts w:ascii="Times New Roman" w:hAnsi="Times New Roman" w:eastAsia="宋体" w:cs="Times New Roman"/>
    </w:rPr>
  </w:style>
  <w:style w:type="paragraph" w:styleId="1071">
    <w:name w:val="Quote"/>
    <w:basedOn w:val="1004"/>
    <w:next w:val="1004"/>
    <w:link w:val="1072"/>
    <w:uiPriority w:val="29"/>
    <w:qFormat/>
    <w:pPr>
      <w:ind w:left="720" w:right="720"/>
    </w:pPr>
    <w:rPr>
      <w:i/>
    </w:rPr>
  </w:style>
  <w:style w:type="character" w:styleId="1072">
    <w:name w:val="Quote Char"/>
    <w:next w:val="1072"/>
    <w:link w:val="1071"/>
    <w:uiPriority w:val="29"/>
    <w:qFormat/>
    <w:rPr>
      <w:i/>
    </w:rPr>
  </w:style>
  <w:style w:type="paragraph" w:styleId="1073">
    <w:name w:val="Intense Quote"/>
    <w:basedOn w:val="1004"/>
    <w:next w:val="1004"/>
    <w:link w:val="10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name w:val="Intense Quote Char"/>
    <w:next w:val="1074"/>
    <w:link w:val="1073"/>
    <w:uiPriority w:val="30"/>
    <w:qFormat/>
    <w:rPr>
      <w:i/>
    </w:rPr>
  </w:style>
  <w:style w:type="table" w:styleId="1075">
    <w:name w:val="Table Grid Light"/>
    <w:next w:val="1075"/>
    <w:link w:val="1004"/>
    <w:uiPriority w:val="59"/>
    <w:qFormat/>
    <w:pPr>
      <w:spacing w:after="0" w:line="240" w:lineRule="auto"/>
    </w:pPr>
    <w:tblPr/>
  </w:style>
  <w:style w:type="table" w:styleId="1076">
    <w:name w:val="Plain Table 1"/>
    <w:next w:val="1076"/>
    <w:link w:val="1004"/>
    <w:uiPriority w:val="59"/>
    <w:qFormat/>
    <w:pPr>
      <w:spacing w:after="0" w:line="240" w:lineRule="auto"/>
    </w:pPr>
    <w:tblPr/>
  </w:style>
  <w:style w:type="table" w:styleId="1077">
    <w:name w:val="Plain Table 2"/>
    <w:next w:val="1077"/>
    <w:link w:val="1004"/>
    <w:uiPriority w:val="59"/>
    <w:qFormat/>
    <w:pPr>
      <w:spacing w:after="0" w:line="240" w:lineRule="auto"/>
    </w:pPr>
    <w:tblPr/>
  </w:style>
  <w:style w:type="table" w:styleId="1078">
    <w:name w:val="Plain Table 3"/>
    <w:next w:val="1078"/>
    <w:link w:val="1004"/>
    <w:uiPriority w:val="99"/>
    <w:qFormat/>
    <w:pPr>
      <w:spacing w:after="0" w:line="240" w:lineRule="auto"/>
    </w:pPr>
    <w:tblPr/>
  </w:style>
  <w:style w:type="table" w:styleId="1079">
    <w:name w:val="Plain Table 4"/>
    <w:next w:val="1079"/>
    <w:link w:val="1004"/>
    <w:uiPriority w:val="99"/>
    <w:qFormat/>
    <w:pPr>
      <w:spacing w:after="0" w:line="240" w:lineRule="auto"/>
    </w:pPr>
    <w:tblPr/>
  </w:style>
  <w:style w:type="table" w:styleId="1080">
    <w:name w:val="Plain Table 5"/>
    <w:next w:val="1080"/>
    <w:link w:val="1004"/>
    <w:uiPriority w:val="99"/>
    <w:qFormat/>
    <w:pPr>
      <w:spacing w:after="0" w:line="240" w:lineRule="auto"/>
    </w:pPr>
    <w:tblPr/>
  </w:style>
  <w:style w:type="table" w:styleId="1081">
    <w:name w:val="Grid Table 1 Light"/>
    <w:next w:val="1081"/>
    <w:link w:val="1004"/>
    <w:uiPriority w:val="99"/>
    <w:qFormat/>
    <w:pPr>
      <w:spacing w:after="0" w:line="240" w:lineRule="auto"/>
    </w:pPr>
    <w:tblPr/>
  </w:style>
  <w:style w:type="table" w:styleId="1082">
    <w:name w:val="Grid Table 1 Light - Accent 1"/>
    <w:next w:val="1082"/>
    <w:link w:val="1004"/>
    <w:uiPriority w:val="99"/>
    <w:qFormat/>
    <w:pPr>
      <w:spacing w:after="0" w:line="240" w:lineRule="auto"/>
    </w:pPr>
    <w:tblPr/>
  </w:style>
  <w:style w:type="table" w:styleId="1083">
    <w:name w:val="Grid Table 1 Light - Accent 2"/>
    <w:next w:val="1083"/>
    <w:link w:val="1004"/>
    <w:uiPriority w:val="99"/>
    <w:qFormat/>
    <w:pPr>
      <w:spacing w:after="0" w:line="240" w:lineRule="auto"/>
    </w:pPr>
    <w:tblPr/>
  </w:style>
  <w:style w:type="table" w:styleId="1084">
    <w:name w:val="Grid Table 1 Light - Accent 3"/>
    <w:next w:val="1084"/>
    <w:link w:val="1004"/>
    <w:uiPriority w:val="99"/>
    <w:qFormat/>
    <w:pPr>
      <w:spacing w:after="0" w:line="240" w:lineRule="auto"/>
    </w:pPr>
    <w:tblPr/>
  </w:style>
  <w:style w:type="table" w:styleId="1085">
    <w:name w:val="Grid Table 1 Light - Accent 4"/>
    <w:next w:val="1085"/>
    <w:link w:val="1004"/>
    <w:uiPriority w:val="99"/>
    <w:qFormat/>
    <w:pPr>
      <w:spacing w:after="0" w:line="240" w:lineRule="auto"/>
    </w:pPr>
    <w:tblPr/>
  </w:style>
  <w:style w:type="table" w:styleId="1086">
    <w:name w:val="Grid Table 1 Light - Accent 5"/>
    <w:next w:val="1086"/>
    <w:link w:val="1004"/>
    <w:uiPriority w:val="99"/>
    <w:qFormat/>
    <w:pPr>
      <w:spacing w:after="0" w:line="240" w:lineRule="auto"/>
    </w:pPr>
    <w:tblPr/>
  </w:style>
  <w:style w:type="table" w:styleId="1087">
    <w:name w:val="Grid Table 1 Light - Accent 6"/>
    <w:next w:val="1087"/>
    <w:link w:val="1004"/>
    <w:uiPriority w:val="99"/>
    <w:qFormat/>
    <w:pPr>
      <w:spacing w:after="0" w:line="240" w:lineRule="auto"/>
    </w:pPr>
    <w:tblPr/>
  </w:style>
  <w:style w:type="table" w:styleId="1088">
    <w:name w:val="Grid Table 2"/>
    <w:next w:val="1088"/>
    <w:link w:val="1004"/>
    <w:uiPriority w:val="99"/>
    <w:qFormat/>
    <w:pPr>
      <w:spacing w:after="0" w:line="240" w:lineRule="auto"/>
    </w:pPr>
    <w:tblPr/>
  </w:style>
  <w:style w:type="table" w:styleId="1089">
    <w:name w:val="Grid Table 2 - Accent 1"/>
    <w:next w:val="1089"/>
    <w:link w:val="1004"/>
    <w:uiPriority w:val="99"/>
    <w:qFormat/>
    <w:pPr>
      <w:spacing w:after="0" w:line="240" w:lineRule="auto"/>
    </w:pPr>
    <w:tblPr/>
  </w:style>
  <w:style w:type="table" w:styleId="1090">
    <w:name w:val="Grid Table 2 - Accent 2"/>
    <w:next w:val="1090"/>
    <w:link w:val="1004"/>
    <w:uiPriority w:val="99"/>
    <w:qFormat/>
    <w:pPr>
      <w:spacing w:after="0" w:line="240" w:lineRule="auto"/>
    </w:pPr>
    <w:tblPr/>
  </w:style>
  <w:style w:type="table" w:styleId="1091">
    <w:name w:val="Grid Table 2 - Accent 3"/>
    <w:next w:val="1091"/>
    <w:link w:val="1004"/>
    <w:uiPriority w:val="99"/>
    <w:qFormat/>
    <w:pPr>
      <w:spacing w:after="0" w:line="240" w:lineRule="auto"/>
    </w:pPr>
    <w:tblPr/>
  </w:style>
  <w:style w:type="table" w:styleId="1092">
    <w:name w:val="Grid Table 2 - Accent 4"/>
    <w:next w:val="1092"/>
    <w:link w:val="1004"/>
    <w:uiPriority w:val="99"/>
    <w:qFormat/>
    <w:pPr>
      <w:spacing w:after="0" w:line="240" w:lineRule="auto"/>
    </w:pPr>
    <w:tblPr/>
  </w:style>
  <w:style w:type="table" w:styleId="1093">
    <w:name w:val="Grid Table 2 - Accent 5"/>
    <w:next w:val="1093"/>
    <w:link w:val="1004"/>
    <w:uiPriority w:val="99"/>
    <w:qFormat/>
    <w:pPr>
      <w:spacing w:after="0" w:line="240" w:lineRule="auto"/>
    </w:pPr>
    <w:tblPr/>
  </w:style>
  <w:style w:type="table" w:styleId="1094">
    <w:name w:val="Grid Table 2 - Accent 6"/>
    <w:next w:val="1094"/>
    <w:link w:val="1004"/>
    <w:uiPriority w:val="99"/>
    <w:qFormat/>
    <w:pPr>
      <w:spacing w:after="0" w:line="240" w:lineRule="auto"/>
    </w:pPr>
    <w:tblPr/>
  </w:style>
  <w:style w:type="table" w:styleId="1095">
    <w:name w:val="Grid Table 3"/>
    <w:next w:val="1095"/>
    <w:link w:val="1004"/>
    <w:uiPriority w:val="99"/>
    <w:qFormat/>
    <w:pPr>
      <w:spacing w:after="0" w:line="240" w:lineRule="auto"/>
    </w:pPr>
    <w:tblPr/>
  </w:style>
  <w:style w:type="table" w:styleId="1096">
    <w:name w:val="Grid Table 3 - Accent 1"/>
    <w:next w:val="1096"/>
    <w:link w:val="1004"/>
    <w:uiPriority w:val="99"/>
    <w:qFormat/>
    <w:pPr>
      <w:spacing w:after="0" w:line="240" w:lineRule="auto"/>
    </w:pPr>
    <w:tblPr/>
  </w:style>
  <w:style w:type="table" w:styleId="1097">
    <w:name w:val="Grid Table 3 - Accent 2"/>
    <w:next w:val="1097"/>
    <w:link w:val="1004"/>
    <w:uiPriority w:val="99"/>
    <w:qFormat/>
    <w:pPr>
      <w:spacing w:after="0" w:line="240" w:lineRule="auto"/>
    </w:pPr>
    <w:tblPr/>
  </w:style>
  <w:style w:type="table" w:styleId="1098">
    <w:name w:val="Grid Table 3 - Accent 3"/>
    <w:next w:val="1098"/>
    <w:link w:val="1004"/>
    <w:uiPriority w:val="99"/>
    <w:qFormat/>
    <w:pPr>
      <w:spacing w:after="0" w:line="240" w:lineRule="auto"/>
    </w:pPr>
    <w:tblPr/>
  </w:style>
  <w:style w:type="table" w:styleId="1099">
    <w:name w:val="Grid Table 3 - Accent 4"/>
    <w:next w:val="1099"/>
    <w:link w:val="1004"/>
    <w:uiPriority w:val="99"/>
    <w:qFormat/>
    <w:pPr>
      <w:spacing w:after="0" w:line="240" w:lineRule="auto"/>
    </w:pPr>
    <w:tblPr/>
  </w:style>
  <w:style w:type="table" w:styleId="1100">
    <w:name w:val="Grid Table 3 - Accent 5"/>
    <w:next w:val="1100"/>
    <w:link w:val="1004"/>
    <w:uiPriority w:val="99"/>
    <w:qFormat/>
    <w:pPr>
      <w:spacing w:after="0" w:line="240" w:lineRule="auto"/>
    </w:pPr>
    <w:tblPr/>
  </w:style>
  <w:style w:type="table" w:styleId="1101">
    <w:name w:val="Grid Table 3 - Accent 6"/>
    <w:next w:val="1101"/>
    <w:link w:val="1004"/>
    <w:uiPriority w:val="99"/>
    <w:qFormat/>
    <w:pPr>
      <w:spacing w:after="0" w:line="240" w:lineRule="auto"/>
    </w:pPr>
    <w:tblPr/>
  </w:style>
  <w:style w:type="table" w:styleId="1102">
    <w:name w:val="Grid Table 4"/>
    <w:next w:val="1102"/>
    <w:link w:val="1004"/>
    <w:uiPriority w:val="59"/>
    <w:qFormat/>
    <w:pPr>
      <w:spacing w:after="0" w:line="240" w:lineRule="auto"/>
    </w:pPr>
    <w:tblPr/>
  </w:style>
  <w:style w:type="table" w:styleId="1103">
    <w:name w:val="Grid Table 4 - Accent 1"/>
    <w:next w:val="1103"/>
    <w:link w:val="1004"/>
    <w:uiPriority w:val="59"/>
    <w:qFormat/>
    <w:pPr>
      <w:spacing w:after="0" w:line="240" w:lineRule="auto"/>
    </w:pPr>
    <w:tblPr/>
  </w:style>
  <w:style w:type="table" w:styleId="1104">
    <w:name w:val="Grid Table 4 - Accent 2"/>
    <w:next w:val="1104"/>
    <w:link w:val="1004"/>
    <w:uiPriority w:val="59"/>
    <w:qFormat/>
    <w:pPr>
      <w:spacing w:after="0" w:line="240" w:lineRule="auto"/>
    </w:pPr>
    <w:tblPr/>
  </w:style>
  <w:style w:type="table" w:styleId="1105">
    <w:name w:val="Grid Table 4 - Accent 3"/>
    <w:next w:val="1105"/>
    <w:link w:val="1004"/>
    <w:uiPriority w:val="59"/>
    <w:qFormat/>
    <w:pPr>
      <w:spacing w:after="0" w:line="240" w:lineRule="auto"/>
    </w:pPr>
    <w:tblPr/>
  </w:style>
  <w:style w:type="table" w:styleId="1106">
    <w:name w:val="Grid Table 4 - Accent 4"/>
    <w:next w:val="1106"/>
    <w:link w:val="1004"/>
    <w:uiPriority w:val="59"/>
    <w:qFormat/>
    <w:pPr>
      <w:spacing w:after="0" w:line="240" w:lineRule="auto"/>
    </w:pPr>
    <w:tblPr/>
  </w:style>
  <w:style w:type="table" w:styleId="1107">
    <w:name w:val="Grid Table 4 - Accent 5"/>
    <w:next w:val="1107"/>
    <w:link w:val="1004"/>
    <w:uiPriority w:val="59"/>
    <w:qFormat/>
    <w:pPr>
      <w:spacing w:after="0" w:line="240" w:lineRule="auto"/>
    </w:pPr>
    <w:tblPr/>
  </w:style>
  <w:style w:type="table" w:styleId="1108">
    <w:name w:val="Grid Table 4 - Accent 6"/>
    <w:next w:val="1108"/>
    <w:link w:val="1004"/>
    <w:uiPriority w:val="59"/>
    <w:qFormat/>
    <w:pPr>
      <w:spacing w:after="0" w:line="240" w:lineRule="auto"/>
    </w:pPr>
    <w:tblPr/>
  </w:style>
  <w:style w:type="table" w:styleId="1109">
    <w:name w:val="Grid Table 5 Dark"/>
    <w:next w:val="1109"/>
    <w:link w:val="1004"/>
    <w:uiPriority w:val="99"/>
    <w:qFormat/>
    <w:pPr>
      <w:spacing w:after="0" w:line="240" w:lineRule="auto"/>
    </w:pPr>
    <w:tblPr/>
  </w:style>
  <w:style w:type="table" w:styleId="1110">
    <w:name w:val="Grid Table 5 Dark- Accent 1"/>
    <w:next w:val="1110"/>
    <w:link w:val="1004"/>
    <w:uiPriority w:val="99"/>
    <w:qFormat/>
    <w:pPr>
      <w:spacing w:after="0" w:line="240" w:lineRule="auto"/>
    </w:pPr>
    <w:tblPr/>
  </w:style>
  <w:style w:type="table" w:styleId="1111">
    <w:name w:val="Grid Table 5 Dark - Accent 2"/>
    <w:next w:val="1111"/>
    <w:link w:val="1004"/>
    <w:uiPriority w:val="99"/>
    <w:qFormat/>
    <w:pPr>
      <w:spacing w:after="0" w:line="240" w:lineRule="auto"/>
    </w:pPr>
    <w:tblPr/>
  </w:style>
  <w:style w:type="table" w:styleId="1112">
    <w:name w:val="Grid Table 5 Dark - Accent 3"/>
    <w:next w:val="1112"/>
    <w:link w:val="1004"/>
    <w:uiPriority w:val="99"/>
    <w:qFormat/>
    <w:pPr>
      <w:spacing w:after="0" w:line="240" w:lineRule="auto"/>
    </w:pPr>
    <w:tblPr/>
  </w:style>
  <w:style w:type="table" w:styleId="1113">
    <w:name w:val="Grid Table 5 Dark- Accent 4"/>
    <w:next w:val="1113"/>
    <w:link w:val="1004"/>
    <w:uiPriority w:val="99"/>
    <w:qFormat/>
    <w:pPr>
      <w:spacing w:after="0" w:line="240" w:lineRule="auto"/>
    </w:pPr>
    <w:tblPr/>
  </w:style>
  <w:style w:type="table" w:styleId="1114">
    <w:name w:val="Grid Table 5 Dark - Accent 5"/>
    <w:next w:val="1114"/>
    <w:link w:val="1004"/>
    <w:uiPriority w:val="99"/>
    <w:qFormat/>
    <w:pPr>
      <w:spacing w:after="0" w:line="240" w:lineRule="auto"/>
    </w:pPr>
    <w:tblPr/>
  </w:style>
  <w:style w:type="table" w:styleId="1115">
    <w:name w:val="Grid Table 5 Dark - Accent 6"/>
    <w:next w:val="1115"/>
    <w:link w:val="1004"/>
    <w:uiPriority w:val="99"/>
    <w:qFormat/>
    <w:pPr>
      <w:spacing w:after="0" w:line="240" w:lineRule="auto"/>
    </w:pPr>
    <w:tblPr/>
  </w:style>
  <w:style w:type="table" w:styleId="1116">
    <w:name w:val="Grid Table 6 Colorful"/>
    <w:next w:val="1116"/>
    <w:link w:val="1004"/>
    <w:uiPriority w:val="99"/>
    <w:qFormat/>
    <w:pPr>
      <w:spacing w:after="0" w:line="240" w:lineRule="auto"/>
    </w:pPr>
    <w:tblPr/>
  </w:style>
  <w:style w:type="table" w:styleId="1117">
    <w:name w:val="Grid Table 6 Colorful - Accent 1"/>
    <w:next w:val="1117"/>
    <w:link w:val="1004"/>
    <w:uiPriority w:val="99"/>
    <w:qFormat/>
    <w:pPr>
      <w:spacing w:after="0" w:line="240" w:lineRule="auto"/>
    </w:pPr>
    <w:tblPr/>
  </w:style>
  <w:style w:type="table" w:styleId="1118">
    <w:name w:val="Grid Table 6 Colorful - Accent 2"/>
    <w:next w:val="1118"/>
    <w:link w:val="1004"/>
    <w:uiPriority w:val="99"/>
    <w:qFormat/>
    <w:pPr>
      <w:spacing w:after="0" w:line="240" w:lineRule="auto"/>
    </w:pPr>
    <w:tblPr/>
  </w:style>
  <w:style w:type="table" w:styleId="1119">
    <w:name w:val="Grid Table 6 Colorful - Accent 3"/>
    <w:next w:val="1119"/>
    <w:link w:val="1004"/>
    <w:uiPriority w:val="99"/>
    <w:qFormat/>
    <w:pPr>
      <w:spacing w:after="0" w:line="240" w:lineRule="auto"/>
    </w:pPr>
    <w:tblPr/>
  </w:style>
  <w:style w:type="table" w:styleId="1120">
    <w:name w:val="Grid Table 6 Colorful - Accent 4"/>
    <w:next w:val="1120"/>
    <w:link w:val="1004"/>
    <w:uiPriority w:val="99"/>
    <w:qFormat/>
    <w:pPr>
      <w:spacing w:after="0" w:line="240" w:lineRule="auto"/>
    </w:pPr>
    <w:tblPr/>
  </w:style>
  <w:style w:type="table" w:styleId="1121">
    <w:name w:val="Grid Table 6 Colorful - Accent 5"/>
    <w:next w:val="1121"/>
    <w:link w:val="1004"/>
    <w:uiPriority w:val="99"/>
    <w:qFormat/>
    <w:pPr>
      <w:spacing w:after="0" w:line="240" w:lineRule="auto"/>
    </w:pPr>
    <w:tblPr/>
  </w:style>
  <w:style w:type="table" w:styleId="1122">
    <w:name w:val="Grid Table 6 Colorful - Accent 6"/>
    <w:next w:val="1122"/>
    <w:link w:val="1004"/>
    <w:uiPriority w:val="99"/>
    <w:qFormat/>
    <w:pPr>
      <w:spacing w:after="0" w:line="240" w:lineRule="auto"/>
    </w:pPr>
    <w:tblPr/>
  </w:style>
  <w:style w:type="table" w:styleId="1123">
    <w:name w:val="Grid Table 7 Colorful"/>
    <w:next w:val="1123"/>
    <w:link w:val="1004"/>
    <w:uiPriority w:val="99"/>
    <w:qFormat/>
    <w:pPr>
      <w:spacing w:after="0" w:line="240" w:lineRule="auto"/>
    </w:pPr>
    <w:tblPr/>
  </w:style>
  <w:style w:type="table" w:styleId="1124">
    <w:name w:val="Grid Table 7 Colorful - Accent 1"/>
    <w:next w:val="1124"/>
    <w:link w:val="1004"/>
    <w:uiPriority w:val="99"/>
    <w:qFormat/>
    <w:pPr>
      <w:spacing w:after="0" w:line="240" w:lineRule="auto"/>
    </w:pPr>
    <w:tblPr/>
  </w:style>
  <w:style w:type="table" w:styleId="1125">
    <w:name w:val="Grid Table 7 Colorful - Accent 2"/>
    <w:next w:val="1125"/>
    <w:link w:val="1004"/>
    <w:uiPriority w:val="99"/>
    <w:qFormat/>
    <w:pPr>
      <w:spacing w:after="0" w:line="240" w:lineRule="auto"/>
    </w:pPr>
    <w:tblPr/>
  </w:style>
  <w:style w:type="table" w:styleId="1126">
    <w:name w:val="Grid Table 7 Colorful - Accent 3"/>
    <w:next w:val="1126"/>
    <w:link w:val="1004"/>
    <w:uiPriority w:val="99"/>
    <w:qFormat/>
    <w:pPr>
      <w:spacing w:after="0" w:line="240" w:lineRule="auto"/>
    </w:pPr>
    <w:tblPr/>
  </w:style>
  <w:style w:type="table" w:styleId="1127">
    <w:name w:val="Grid Table 7 Colorful - Accent 4"/>
    <w:next w:val="1127"/>
    <w:link w:val="1004"/>
    <w:uiPriority w:val="99"/>
    <w:qFormat/>
    <w:pPr>
      <w:spacing w:after="0" w:line="240" w:lineRule="auto"/>
    </w:pPr>
    <w:tblPr/>
  </w:style>
  <w:style w:type="table" w:styleId="1128">
    <w:name w:val="Grid Table 7 Colorful - Accent 5"/>
    <w:next w:val="1128"/>
    <w:link w:val="1004"/>
    <w:uiPriority w:val="99"/>
    <w:qFormat/>
    <w:pPr>
      <w:spacing w:after="0" w:line="240" w:lineRule="auto"/>
    </w:pPr>
    <w:tblPr/>
  </w:style>
  <w:style w:type="table" w:styleId="1129">
    <w:name w:val="Grid Table 7 Colorful - Accent 6"/>
    <w:next w:val="1129"/>
    <w:link w:val="1004"/>
    <w:uiPriority w:val="99"/>
    <w:qFormat/>
    <w:pPr>
      <w:spacing w:after="0" w:line="240" w:lineRule="auto"/>
    </w:pPr>
    <w:tblPr/>
  </w:style>
  <w:style w:type="table" w:styleId="1130">
    <w:name w:val="List Table 1 Light"/>
    <w:next w:val="1130"/>
    <w:link w:val="1004"/>
    <w:uiPriority w:val="99"/>
    <w:qFormat/>
    <w:pPr>
      <w:spacing w:after="0" w:line="240" w:lineRule="auto"/>
    </w:pPr>
    <w:tblPr/>
  </w:style>
  <w:style w:type="table" w:styleId="1131">
    <w:name w:val="List Table 1 Light - Accent 1"/>
    <w:next w:val="1131"/>
    <w:link w:val="1004"/>
    <w:uiPriority w:val="99"/>
    <w:qFormat/>
    <w:pPr>
      <w:spacing w:after="0" w:line="240" w:lineRule="auto"/>
    </w:pPr>
    <w:tblPr/>
  </w:style>
  <w:style w:type="table" w:styleId="1132">
    <w:name w:val="List Table 1 Light - Accent 2"/>
    <w:next w:val="1132"/>
    <w:link w:val="1004"/>
    <w:uiPriority w:val="99"/>
    <w:qFormat/>
    <w:pPr>
      <w:spacing w:after="0" w:line="240" w:lineRule="auto"/>
    </w:pPr>
    <w:tblPr/>
  </w:style>
  <w:style w:type="table" w:styleId="1133">
    <w:name w:val="List Table 1 Light - Accent 3"/>
    <w:next w:val="1133"/>
    <w:link w:val="1004"/>
    <w:uiPriority w:val="99"/>
    <w:qFormat/>
    <w:pPr>
      <w:spacing w:after="0" w:line="240" w:lineRule="auto"/>
    </w:pPr>
    <w:tblPr/>
  </w:style>
  <w:style w:type="table" w:styleId="1134">
    <w:name w:val="List Table 1 Light - Accent 4"/>
    <w:next w:val="1134"/>
    <w:link w:val="1004"/>
    <w:uiPriority w:val="99"/>
    <w:qFormat/>
    <w:pPr>
      <w:spacing w:after="0" w:line="240" w:lineRule="auto"/>
    </w:pPr>
    <w:tblPr/>
  </w:style>
  <w:style w:type="table" w:styleId="1135">
    <w:name w:val="List Table 1 Light - Accent 5"/>
    <w:next w:val="1135"/>
    <w:link w:val="1004"/>
    <w:uiPriority w:val="99"/>
    <w:qFormat/>
    <w:pPr>
      <w:spacing w:after="0" w:line="240" w:lineRule="auto"/>
    </w:pPr>
    <w:tblPr/>
  </w:style>
  <w:style w:type="table" w:styleId="1136">
    <w:name w:val="List Table 1 Light - Accent 6"/>
    <w:next w:val="1136"/>
    <w:link w:val="1004"/>
    <w:uiPriority w:val="99"/>
    <w:qFormat/>
    <w:pPr>
      <w:spacing w:after="0" w:line="240" w:lineRule="auto"/>
    </w:pPr>
    <w:tblPr/>
  </w:style>
  <w:style w:type="table" w:styleId="1137">
    <w:name w:val="List Table 2"/>
    <w:next w:val="1137"/>
    <w:link w:val="1004"/>
    <w:uiPriority w:val="99"/>
    <w:qFormat/>
    <w:pPr>
      <w:spacing w:after="0" w:line="240" w:lineRule="auto"/>
    </w:pPr>
    <w:tblPr/>
  </w:style>
  <w:style w:type="table" w:styleId="1138">
    <w:name w:val="List Table 2 - Accent 1"/>
    <w:next w:val="1138"/>
    <w:link w:val="1004"/>
    <w:uiPriority w:val="99"/>
    <w:qFormat/>
    <w:pPr>
      <w:spacing w:after="0" w:line="240" w:lineRule="auto"/>
    </w:pPr>
    <w:tblPr/>
  </w:style>
  <w:style w:type="table" w:styleId="1139">
    <w:name w:val="List Table 2 - Accent 2"/>
    <w:next w:val="1139"/>
    <w:link w:val="1004"/>
    <w:uiPriority w:val="99"/>
    <w:qFormat/>
    <w:pPr>
      <w:spacing w:after="0" w:line="240" w:lineRule="auto"/>
    </w:pPr>
    <w:tblPr/>
  </w:style>
  <w:style w:type="table" w:styleId="1140">
    <w:name w:val="List Table 2 - Accent 3"/>
    <w:next w:val="1140"/>
    <w:link w:val="1004"/>
    <w:uiPriority w:val="99"/>
    <w:qFormat/>
    <w:pPr>
      <w:spacing w:after="0" w:line="240" w:lineRule="auto"/>
    </w:pPr>
    <w:tblPr/>
  </w:style>
  <w:style w:type="table" w:styleId="1141">
    <w:name w:val="List Table 2 - Accent 4"/>
    <w:next w:val="1141"/>
    <w:link w:val="1004"/>
    <w:uiPriority w:val="99"/>
    <w:qFormat/>
    <w:pPr>
      <w:spacing w:after="0" w:line="240" w:lineRule="auto"/>
    </w:pPr>
    <w:tblPr/>
  </w:style>
  <w:style w:type="table" w:styleId="1142">
    <w:name w:val="List Table 2 - Accent 5"/>
    <w:next w:val="1142"/>
    <w:link w:val="1004"/>
    <w:uiPriority w:val="99"/>
    <w:qFormat/>
    <w:pPr>
      <w:spacing w:after="0" w:line="240" w:lineRule="auto"/>
    </w:pPr>
    <w:tblPr/>
  </w:style>
  <w:style w:type="table" w:styleId="1143">
    <w:name w:val="List Table 2 - Accent 6"/>
    <w:next w:val="1143"/>
    <w:link w:val="1004"/>
    <w:uiPriority w:val="99"/>
    <w:qFormat/>
    <w:pPr>
      <w:spacing w:after="0" w:line="240" w:lineRule="auto"/>
    </w:pPr>
    <w:tblPr/>
  </w:style>
  <w:style w:type="table" w:styleId="1144">
    <w:name w:val="List Table 3"/>
    <w:next w:val="1144"/>
    <w:link w:val="1004"/>
    <w:uiPriority w:val="99"/>
    <w:qFormat/>
    <w:pPr>
      <w:spacing w:after="0" w:line="240" w:lineRule="auto"/>
    </w:pPr>
    <w:tblPr/>
  </w:style>
  <w:style w:type="table" w:styleId="1145">
    <w:name w:val="List Table 3 - Accent 1"/>
    <w:next w:val="1145"/>
    <w:link w:val="1004"/>
    <w:uiPriority w:val="99"/>
    <w:qFormat/>
    <w:pPr>
      <w:spacing w:after="0" w:line="240" w:lineRule="auto"/>
    </w:pPr>
    <w:tblPr/>
  </w:style>
  <w:style w:type="table" w:styleId="1146">
    <w:name w:val="List Table 3 - Accent 2"/>
    <w:next w:val="1146"/>
    <w:link w:val="1004"/>
    <w:uiPriority w:val="99"/>
    <w:qFormat/>
    <w:pPr>
      <w:spacing w:after="0" w:line="240" w:lineRule="auto"/>
    </w:pPr>
    <w:tblPr/>
  </w:style>
  <w:style w:type="table" w:styleId="1147">
    <w:name w:val="List Table 3 - Accent 3"/>
    <w:next w:val="1147"/>
    <w:link w:val="1004"/>
    <w:uiPriority w:val="99"/>
    <w:qFormat/>
    <w:pPr>
      <w:spacing w:after="0" w:line="240" w:lineRule="auto"/>
    </w:pPr>
    <w:tblPr/>
  </w:style>
  <w:style w:type="table" w:styleId="1148">
    <w:name w:val="List Table 3 - Accent 4"/>
    <w:next w:val="1148"/>
    <w:link w:val="1004"/>
    <w:uiPriority w:val="99"/>
    <w:qFormat/>
    <w:pPr>
      <w:spacing w:after="0" w:line="240" w:lineRule="auto"/>
    </w:pPr>
    <w:tblPr/>
  </w:style>
  <w:style w:type="table" w:styleId="1149">
    <w:name w:val="List Table 3 - Accent 5"/>
    <w:next w:val="1149"/>
    <w:link w:val="1004"/>
    <w:uiPriority w:val="99"/>
    <w:qFormat/>
    <w:pPr>
      <w:spacing w:after="0" w:line="240" w:lineRule="auto"/>
    </w:pPr>
    <w:tblPr/>
  </w:style>
  <w:style w:type="table" w:styleId="1150">
    <w:name w:val="List Table 3 - Accent 6"/>
    <w:next w:val="1150"/>
    <w:link w:val="1004"/>
    <w:uiPriority w:val="99"/>
    <w:qFormat/>
    <w:pPr>
      <w:spacing w:after="0" w:line="240" w:lineRule="auto"/>
    </w:pPr>
    <w:tblPr/>
  </w:style>
  <w:style w:type="table" w:styleId="1151">
    <w:name w:val="List Table 4"/>
    <w:next w:val="1151"/>
    <w:link w:val="1004"/>
    <w:uiPriority w:val="99"/>
    <w:qFormat/>
    <w:pPr>
      <w:spacing w:after="0" w:line="240" w:lineRule="auto"/>
    </w:pPr>
    <w:tblPr/>
  </w:style>
  <w:style w:type="table" w:styleId="1152">
    <w:name w:val="List Table 4 - Accent 1"/>
    <w:next w:val="1152"/>
    <w:link w:val="1004"/>
    <w:uiPriority w:val="99"/>
    <w:qFormat/>
    <w:pPr>
      <w:spacing w:after="0" w:line="240" w:lineRule="auto"/>
    </w:pPr>
    <w:tblPr/>
  </w:style>
  <w:style w:type="table" w:styleId="1153">
    <w:name w:val="List Table 4 - Accent 2"/>
    <w:next w:val="1153"/>
    <w:link w:val="1004"/>
    <w:uiPriority w:val="99"/>
    <w:qFormat/>
    <w:pPr>
      <w:spacing w:after="0" w:line="240" w:lineRule="auto"/>
    </w:pPr>
    <w:tblPr/>
  </w:style>
  <w:style w:type="table" w:styleId="1154">
    <w:name w:val="List Table 4 - Accent 3"/>
    <w:next w:val="1154"/>
    <w:link w:val="1004"/>
    <w:uiPriority w:val="99"/>
    <w:qFormat/>
    <w:pPr>
      <w:spacing w:after="0" w:line="240" w:lineRule="auto"/>
    </w:pPr>
    <w:tblPr/>
  </w:style>
  <w:style w:type="table" w:styleId="1155">
    <w:name w:val="List Table 4 - Accent 4"/>
    <w:next w:val="1155"/>
    <w:link w:val="1004"/>
    <w:uiPriority w:val="99"/>
    <w:qFormat/>
    <w:pPr>
      <w:spacing w:after="0" w:line="240" w:lineRule="auto"/>
    </w:pPr>
    <w:tblPr/>
  </w:style>
  <w:style w:type="table" w:styleId="1156">
    <w:name w:val="List Table 4 - Accent 5"/>
    <w:next w:val="1156"/>
    <w:link w:val="1004"/>
    <w:uiPriority w:val="99"/>
    <w:qFormat/>
    <w:pPr>
      <w:spacing w:after="0" w:line="240" w:lineRule="auto"/>
    </w:pPr>
    <w:tblPr/>
  </w:style>
  <w:style w:type="table" w:styleId="1157">
    <w:name w:val="List Table 4 - Accent 6"/>
    <w:next w:val="1157"/>
    <w:link w:val="1004"/>
    <w:uiPriority w:val="99"/>
    <w:qFormat/>
    <w:pPr>
      <w:spacing w:after="0" w:line="240" w:lineRule="auto"/>
    </w:pPr>
    <w:tblPr/>
  </w:style>
  <w:style w:type="table" w:styleId="1158">
    <w:name w:val="List Table 5 Dark"/>
    <w:next w:val="1158"/>
    <w:link w:val="1004"/>
    <w:uiPriority w:val="99"/>
    <w:qFormat/>
    <w:pPr>
      <w:spacing w:after="0" w:line="240" w:lineRule="auto"/>
    </w:pPr>
    <w:tblPr/>
  </w:style>
  <w:style w:type="table" w:styleId="1159">
    <w:name w:val="List Table 5 Dark - Accent 1"/>
    <w:next w:val="1159"/>
    <w:link w:val="1004"/>
    <w:uiPriority w:val="99"/>
    <w:qFormat/>
    <w:pPr>
      <w:spacing w:after="0" w:line="240" w:lineRule="auto"/>
    </w:pPr>
    <w:tblPr/>
  </w:style>
  <w:style w:type="table" w:styleId="1160">
    <w:name w:val="List Table 5 Dark - Accent 2"/>
    <w:next w:val="1160"/>
    <w:link w:val="1004"/>
    <w:uiPriority w:val="99"/>
    <w:qFormat/>
    <w:pPr>
      <w:spacing w:after="0" w:line="240" w:lineRule="auto"/>
    </w:pPr>
    <w:tblPr/>
  </w:style>
  <w:style w:type="table" w:styleId="1161">
    <w:name w:val="List Table 5 Dark - Accent 3"/>
    <w:next w:val="1161"/>
    <w:link w:val="1004"/>
    <w:uiPriority w:val="99"/>
    <w:qFormat/>
    <w:pPr>
      <w:spacing w:after="0" w:line="240" w:lineRule="auto"/>
    </w:pPr>
    <w:tblPr/>
  </w:style>
  <w:style w:type="table" w:styleId="1162">
    <w:name w:val="List Table 5 Dark - Accent 4"/>
    <w:next w:val="1162"/>
    <w:link w:val="1004"/>
    <w:uiPriority w:val="99"/>
    <w:qFormat/>
    <w:pPr>
      <w:spacing w:after="0" w:line="240" w:lineRule="auto"/>
    </w:pPr>
    <w:tblPr/>
  </w:style>
  <w:style w:type="table" w:styleId="1163">
    <w:name w:val="List Table 5 Dark - Accent 5"/>
    <w:next w:val="1163"/>
    <w:link w:val="1004"/>
    <w:uiPriority w:val="99"/>
    <w:qFormat/>
    <w:pPr>
      <w:spacing w:after="0" w:line="240" w:lineRule="auto"/>
    </w:pPr>
    <w:tblPr/>
  </w:style>
  <w:style w:type="table" w:styleId="1164">
    <w:name w:val="List Table 5 Dark - Accent 6"/>
    <w:next w:val="1164"/>
    <w:link w:val="1004"/>
    <w:uiPriority w:val="99"/>
    <w:qFormat/>
    <w:pPr>
      <w:spacing w:after="0" w:line="240" w:lineRule="auto"/>
    </w:pPr>
    <w:tblPr/>
  </w:style>
  <w:style w:type="table" w:styleId="1165">
    <w:name w:val="List Table 6 Colorful"/>
    <w:next w:val="1165"/>
    <w:link w:val="1004"/>
    <w:uiPriority w:val="99"/>
    <w:qFormat/>
    <w:pPr>
      <w:spacing w:after="0" w:line="240" w:lineRule="auto"/>
    </w:pPr>
    <w:tblPr/>
  </w:style>
  <w:style w:type="table" w:styleId="1166">
    <w:name w:val="List Table 6 Colorful - Accent 1"/>
    <w:next w:val="1166"/>
    <w:link w:val="1004"/>
    <w:uiPriority w:val="99"/>
    <w:qFormat/>
    <w:pPr>
      <w:spacing w:after="0" w:line="240" w:lineRule="auto"/>
    </w:pPr>
    <w:tblPr/>
  </w:style>
  <w:style w:type="table" w:styleId="1167">
    <w:name w:val="List Table 6 Colorful - Accent 2"/>
    <w:next w:val="1167"/>
    <w:link w:val="1004"/>
    <w:uiPriority w:val="99"/>
    <w:qFormat/>
    <w:pPr>
      <w:spacing w:after="0" w:line="240" w:lineRule="auto"/>
    </w:pPr>
    <w:tblPr/>
  </w:style>
  <w:style w:type="table" w:styleId="1168">
    <w:name w:val="List Table 6 Colorful - Accent 3"/>
    <w:next w:val="1168"/>
    <w:link w:val="1004"/>
    <w:uiPriority w:val="99"/>
    <w:qFormat/>
    <w:pPr>
      <w:spacing w:after="0" w:line="240" w:lineRule="auto"/>
    </w:pPr>
    <w:tblPr/>
  </w:style>
  <w:style w:type="table" w:styleId="1169">
    <w:name w:val="List Table 6 Colorful - Accent 4"/>
    <w:next w:val="1169"/>
    <w:link w:val="1004"/>
    <w:uiPriority w:val="99"/>
    <w:qFormat/>
    <w:pPr>
      <w:spacing w:after="0" w:line="240" w:lineRule="auto"/>
    </w:pPr>
    <w:tblPr/>
  </w:style>
  <w:style w:type="table" w:styleId="1170">
    <w:name w:val="List Table 6 Colorful - Accent 5"/>
    <w:next w:val="1170"/>
    <w:link w:val="1004"/>
    <w:uiPriority w:val="99"/>
    <w:qFormat/>
    <w:pPr>
      <w:spacing w:after="0" w:line="240" w:lineRule="auto"/>
    </w:pPr>
    <w:tblPr/>
  </w:style>
  <w:style w:type="table" w:styleId="1171">
    <w:name w:val="List Table 6 Colorful - Accent 6"/>
    <w:next w:val="1171"/>
    <w:link w:val="1004"/>
    <w:uiPriority w:val="99"/>
    <w:qFormat/>
    <w:pPr>
      <w:spacing w:after="0" w:line="240" w:lineRule="auto"/>
    </w:pPr>
    <w:tblPr/>
  </w:style>
  <w:style w:type="table" w:styleId="1172">
    <w:name w:val="List Table 7 Colorful"/>
    <w:next w:val="1172"/>
    <w:link w:val="1004"/>
    <w:uiPriority w:val="99"/>
    <w:qFormat/>
    <w:pPr>
      <w:spacing w:after="0" w:line="240" w:lineRule="auto"/>
    </w:pPr>
    <w:tblPr/>
  </w:style>
  <w:style w:type="table" w:styleId="1173">
    <w:name w:val="List Table 7 Colorful - Accent 1"/>
    <w:next w:val="1173"/>
    <w:link w:val="1004"/>
    <w:uiPriority w:val="99"/>
    <w:qFormat/>
    <w:pPr>
      <w:spacing w:after="0" w:line="240" w:lineRule="auto"/>
    </w:pPr>
    <w:tblPr/>
  </w:style>
  <w:style w:type="table" w:styleId="1174">
    <w:name w:val="List Table 7 Colorful - Accent 2"/>
    <w:next w:val="1174"/>
    <w:link w:val="1004"/>
    <w:uiPriority w:val="99"/>
    <w:qFormat/>
    <w:pPr>
      <w:spacing w:after="0" w:line="240" w:lineRule="auto"/>
    </w:pPr>
    <w:tblPr/>
  </w:style>
  <w:style w:type="table" w:styleId="1175">
    <w:name w:val="List Table 7 Colorful - Accent 3"/>
    <w:next w:val="1175"/>
    <w:link w:val="1004"/>
    <w:uiPriority w:val="99"/>
    <w:qFormat/>
    <w:pPr>
      <w:spacing w:after="0" w:line="240" w:lineRule="auto"/>
    </w:pPr>
    <w:tblPr/>
  </w:style>
  <w:style w:type="table" w:styleId="1176">
    <w:name w:val="List Table 7 Colorful - Accent 4"/>
    <w:next w:val="1176"/>
    <w:link w:val="1004"/>
    <w:uiPriority w:val="99"/>
    <w:qFormat/>
    <w:pPr>
      <w:spacing w:after="0" w:line="240" w:lineRule="auto"/>
    </w:pPr>
    <w:tblPr/>
  </w:style>
  <w:style w:type="table" w:styleId="1177">
    <w:name w:val="List Table 7 Colorful - Accent 5"/>
    <w:next w:val="1177"/>
    <w:link w:val="1004"/>
    <w:uiPriority w:val="99"/>
    <w:qFormat/>
    <w:pPr>
      <w:spacing w:after="0" w:line="240" w:lineRule="auto"/>
    </w:pPr>
    <w:tblPr/>
  </w:style>
  <w:style w:type="table" w:styleId="1178">
    <w:name w:val="List Table 7 Colorful - Accent 6"/>
    <w:next w:val="1178"/>
    <w:link w:val="1004"/>
    <w:uiPriority w:val="99"/>
    <w:qFormat/>
    <w:pPr>
      <w:spacing w:after="0" w:line="240" w:lineRule="auto"/>
    </w:pPr>
    <w:tblPr/>
  </w:style>
  <w:style w:type="table" w:styleId="1179">
    <w:name w:val="Lined - Accent"/>
    <w:next w:val="1179"/>
    <w:link w:val="1004"/>
    <w:uiPriority w:val="99"/>
    <w:qFormat/>
    <w:pPr>
      <w:spacing w:after="0" w:line="240" w:lineRule="auto"/>
    </w:pPr>
    <w:rPr>
      <w:color w:val="404040"/>
    </w:rPr>
    <w:tblPr/>
  </w:style>
  <w:style w:type="table" w:styleId="1180">
    <w:name w:val="Lined - Accent 1"/>
    <w:next w:val="1180"/>
    <w:link w:val="1004"/>
    <w:uiPriority w:val="99"/>
    <w:qFormat/>
    <w:pPr>
      <w:spacing w:after="0" w:line="240" w:lineRule="auto"/>
    </w:pPr>
    <w:rPr>
      <w:color w:val="404040"/>
    </w:rPr>
    <w:tblPr/>
  </w:style>
  <w:style w:type="table" w:styleId="1181">
    <w:name w:val="Lined - Accent 2"/>
    <w:next w:val="1181"/>
    <w:link w:val="1004"/>
    <w:uiPriority w:val="99"/>
    <w:qFormat/>
    <w:pPr>
      <w:spacing w:after="0" w:line="240" w:lineRule="auto"/>
    </w:pPr>
    <w:rPr>
      <w:color w:val="404040"/>
    </w:rPr>
    <w:tblPr/>
  </w:style>
  <w:style w:type="table" w:styleId="1182">
    <w:name w:val="Lined - Accent 3"/>
    <w:next w:val="1182"/>
    <w:link w:val="1004"/>
    <w:uiPriority w:val="99"/>
    <w:qFormat/>
    <w:pPr>
      <w:spacing w:after="0" w:line="240" w:lineRule="auto"/>
    </w:pPr>
    <w:rPr>
      <w:color w:val="404040"/>
    </w:rPr>
    <w:tblPr/>
  </w:style>
  <w:style w:type="table" w:styleId="1183">
    <w:name w:val="Lined - Accent 4"/>
    <w:next w:val="1183"/>
    <w:link w:val="1004"/>
    <w:uiPriority w:val="99"/>
    <w:qFormat/>
    <w:pPr>
      <w:spacing w:after="0" w:line="240" w:lineRule="auto"/>
    </w:pPr>
    <w:rPr>
      <w:color w:val="404040"/>
    </w:rPr>
    <w:tblPr/>
  </w:style>
  <w:style w:type="table" w:styleId="1184">
    <w:name w:val="Lined - Accent 5"/>
    <w:next w:val="1184"/>
    <w:link w:val="1004"/>
    <w:uiPriority w:val="99"/>
    <w:qFormat/>
    <w:pPr>
      <w:spacing w:after="0" w:line="240" w:lineRule="auto"/>
    </w:pPr>
    <w:rPr>
      <w:color w:val="404040"/>
    </w:rPr>
    <w:tblPr/>
  </w:style>
  <w:style w:type="table" w:styleId="1185">
    <w:name w:val="Lined - Accent 6"/>
    <w:next w:val="1185"/>
    <w:link w:val="1004"/>
    <w:uiPriority w:val="99"/>
    <w:qFormat/>
    <w:pPr>
      <w:spacing w:after="0" w:line="240" w:lineRule="auto"/>
    </w:pPr>
    <w:rPr>
      <w:color w:val="404040"/>
    </w:rPr>
    <w:tblPr/>
  </w:style>
  <w:style w:type="table" w:styleId="1186">
    <w:name w:val="Bordered &amp; Lined - Accent"/>
    <w:next w:val="1186"/>
    <w:link w:val="1004"/>
    <w:uiPriority w:val="99"/>
    <w:qFormat/>
    <w:pPr>
      <w:spacing w:after="0" w:line="240" w:lineRule="auto"/>
    </w:pPr>
    <w:rPr>
      <w:color w:val="404040"/>
    </w:rPr>
    <w:tblPr/>
  </w:style>
  <w:style w:type="table" w:styleId="1187">
    <w:name w:val="Bordered &amp; Lined - Accent 1"/>
    <w:next w:val="1187"/>
    <w:link w:val="1004"/>
    <w:uiPriority w:val="99"/>
    <w:qFormat/>
    <w:pPr>
      <w:spacing w:after="0" w:line="240" w:lineRule="auto"/>
    </w:pPr>
    <w:rPr>
      <w:color w:val="404040"/>
    </w:rPr>
    <w:tblPr/>
  </w:style>
  <w:style w:type="table" w:styleId="1188">
    <w:name w:val="Bordered &amp; Lined - Accent 2"/>
    <w:next w:val="1188"/>
    <w:link w:val="1004"/>
    <w:uiPriority w:val="99"/>
    <w:qFormat/>
    <w:pPr>
      <w:spacing w:after="0" w:line="240" w:lineRule="auto"/>
    </w:pPr>
    <w:rPr>
      <w:color w:val="404040"/>
    </w:rPr>
    <w:tblPr/>
  </w:style>
  <w:style w:type="table" w:styleId="1189">
    <w:name w:val="Bordered &amp; Lined - Accent 3"/>
    <w:next w:val="1189"/>
    <w:link w:val="1004"/>
    <w:uiPriority w:val="99"/>
    <w:qFormat/>
    <w:pPr>
      <w:spacing w:after="0" w:line="240" w:lineRule="auto"/>
    </w:pPr>
    <w:rPr>
      <w:color w:val="404040"/>
    </w:rPr>
    <w:tblPr/>
  </w:style>
  <w:style w:type="table" w:styleId="1190">
    <w:name w:val="Bordered &amp; Lined - Accent 4"/>
    <w:next w:val="1190"/>
    <w:link w:val="1004"/>
    <w:uiPriority w:val="99"/>
    <w:qFormat/>
    <w:pPr>
      <w:spacing w:after="0" w:line="240" w:lineRule="auto"/>
    </w:pPr>
    <w:rPr>
      <w:color w:val="404040"/>
    </w:rPr>
    <w:tblPr/>
  </w:style>
  <w:style w:type="table" w:styleId="1191">
    <w:name w:val="Bordered &amp; Lined - Accent 5"/>
    <w:next w:val="1191"/>
    <w:link w:val="1004"/>
    <w:uiPriority w:val="99"/>
    <w:qFormat/>
    <w:pPr>
      <w:spacing w:after="0" w:line="240" w:lineRule="auto"/>
    </w:pPr>
    <w:rPr>
      <w:color w:val="404040"/>
    </w:rPr>
    <w:tblPr/>
  </w:style>
  <w:style w:type="table" w:styleId="1192">
    <w:name w:val="Bordered &amp; Lined - Accent 6"/>
    <w:next w:val="1192"/>
    <w:link w:val="1004"/>
    <w:uiPriority w:val="99"/>
    <w:qFormat/>
    <w:pPr>
      <w:spacing w:after="0" w:line="240" w:lineRule="auto"/>
    </w:pPr>
    <w:rPr>
      <w:color w:val="404040"/>
    </w:rPr>
    <w:tblPr/>
  </w:style>
  <w:style w:type="table" w:styleId="1193">
    <w:name w:val="Bordered"/>
    <w:next w:val="1193"/>
    <w:link w:val="1004"/>
    <w:uiPriority w:val="99"/>
    <w:qFormat/>
    <w:pPr>
      <w:spacing w:after="0" w:line="240" w:lineRule="auto"/>
    </w:pPr>
    <w:tblPr/>
  </w:style>
  <w:style w:type="table" w:styleId="1194">
    <w:name w:val="Bordered - Accent 1"/>
    <w:next w:val="1194"/>
    <w:link w:val="1004"/>
    <w:uiPriority w:val="99"/>
    <w:qFormat/>
    <w:pPr>
      <w:spacing w:after="0" w:line="240" w:lineRule="auto"/>
    </w:pPr>
    <w:tblPr/>
  </w:style>
  <w:style w:type="table" w:styleId="1195">
    <w:name w:val="Bordered - Accent 2"/>
    <w:next w:val="1195"/>
    <w:link w:val="1004"/>
    <w:uiPriority w:val="99"/>
    <w:qFormat/>
    <w:pPr>
      <w:spacing w:after="0" w:line="240" w:lineRule="auto"/>
    </w:pPr>
    <w:tblPr/>
  </w:style>
  <w:style w:type="table" w:styleId="1196">
    <w:name w:val="Bordered - Accent 3"/>
    <w:next w:val="1196"/>
    <w:link w:val="1004"/>
    <w:uiPriority w:val="99"/>
    <w:qFormat/>
    <w:pPr>
      <w:spacing w:after="0" w:line="240" w:lineRule="auto"/>
    </w:pPr>
    <w:tblPr/>
  </w:style>
  <w:style w:type="table" w:styleId="1197">
    <w:name w:val="Bordered - Accent 4"/>
    <w:next w:val="1197"/>
    <w:link w:val="1004"/>
    <w:uiPriority w:val="99"/>
    <w:qFormat/>
    <w:pPr>
      <w:spacing w:after="0" w:line="240" w:lineRule="auto"/>
    </w:pPr>
    <w:tblPr/>
  </w:style>
  <w:style w:type="table" w:styleId="1198">
    <w:name w:val="Bordered - Accent 5"/>
    <w:next w:val="1198"/>
    <w:link w:val="1004"/>
    <w:uiPriority w:val="99"/>
    <w:qFormat/>
    <w:pPr>
      <w:spacing w:after="0" w:line="240" w:lineRule="auto"/>
    </w:pPr>
    <w:tblPr/>
  </w:style>
  <w:style w:type="table" w:styleId="1199">
    <w:name w:val="Bordered - Accent 6"/>
    <w:next w:val="1199"/>
    <w:link w:val="1004"/>
    <w:uiPriority w:val="99"/>
    <w:qFormat/>
    <w:pPr>
      <w:spacing w:after="0" w:line="240" w:lineRule="auto"/>
    </w:pPr>
    <w:tblPr/>
  </w:style>
  <w:style w:type="paragraph" w:styleId="1200">
    <w:name w:val="TOC Heading"/>
    <w:next w:val="1200"/>
    <w:link w:val="1004"/>
    <w:uiPriority w:val="39"/>
    <w:unhideWhenUsed/>
    <w:qFormat/>
    <w:rPr>
      <w:rFonts w:ascii="Times New Roman" w:hAnsi="Times New Roman" w:eastAsia="宋体" w:cs="Times New Roman"/>
    </w:rPr>
  </w:style>
  <w:style w:type="paragraph" w:styleId="1201">
    <w:name w:val="标题 11"/>
    <w:basedOn w:val="1004"/>
    <w:next w:val="1004"/>
    <w:link w:val="1202"/>
    <w:qFormat/>
    <w:pPr>
      <w:jc w:val="center"/>
      <w:keepNext/>
      <w:outlineLvl w:val="0"/>
    </w:pPr>
    <w:rPr>
      <w:rFonts w:ascii="楷体_GB2312" w:hAnsi="Times New Roman" w:eastAsia="楷体_GB2312" w:cs="Times New Roman"/>
      <w:sz w:val="28"/>
      <w:szCs w:val="28"/>
    </w:rPr>
  </w:style>
  <w:style w:type="character" w:styleId="1202">
    <w:name w:val="标题 1 Char"/>
    <w:next w:val="1202"/>
    <w:link w:val="1201"/>
    <w:qFormat/>
    <w:rPr>
      <w:rFonts w:ascii="楷体_GB2312" w:hAnsi="Times New Roman" w:eastAsia="楷体_GB2312" w:cs="Times New Roman"/>
      <w:sz w:val="28"/>
      <w:szCs w:val="28"/>
    </w:rPr>
  </w:style>
  <w:style w:type="paragraph" w:styleId="1203">
    <w:name w:val="正文缩进1"/>
    <w:basedOn w:val="1004"/>
    <w:next w:val="1203"/>
    <w:link w:val="1204"/>
    <w:qFormat/>
    <w:pPr>
      <w:ind w:firstLine="420"/>
    </w:pPr>
    <w:rPr>
      <w:szCs w:val="21"/>
    </w:rPr>
  </w:style>
  <w:style w:type="character" w:styleId="1204">
    <w:name w:val="正文缩进 Char"/>
    <w:next w:val="1204"/>
    <w:link w:val="1203"/>
    <w:qFormat/>
    <w:rPr>
      <w:szCs w:val="21"/>
    </w:rPr>
  </w:style>
  <w:style w:type="paragraph" w:styleId="1205">
    <w:name w:val="标题 31"/>
    <w:basedOn w:val="1004"/>
    <w:next w:val="1004"/>
    <w:link w:val="120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06">
    <w:name w:val="标题 3 Char"/>
    <w:next w:val="1206"/>
    <w:link w:val="1205"/>
    <w:qFormat/>
    <w:rPr>
      <w:rFonts w:ascii="Times New Roman" w:hAnsi="Times New Roman" w:eastAsia="宋体" w:cs="Times New Roman"/>
      <w:b/>
      <w:bCs/>
      <w:sz w:val="32"/>
      <w:szCs w:val="32"/>
    </w:rPr>
  </w:style>
  <w:style w:type="paragraph" w:styleId="1207">
    <w:name w:val="标题 41"/>
    <w:basedOn w:val="1004"/>
    <w:next w:val="1004"/>
    <w:link w:val="1208"/>
    <w:qFormat/>
    <w:pPr>
      <w:keepLines/>
      <w:keepNext/>
      <w:spacing w:before="280" w:after="290" w:line="376" w:lineRule="auto"/>
      <w:outlineLvl w:val="3"/>
    </w:pPr>
    <w:rPr>
      <w:rFonts w:ascii="Arial" w:hAnsi="Arial" w:eastAsia="黑体" w:cs="Arial"/>
      <w:b/>
      <w:bCs/>
      <w:sz w:val="28"/>
      <w:szCs w:val="28"/>
    </w:rPr>
  </w:style>
  <w:style w:type="character" w:styleId="1208">
    <w:name w:val="标题 4 Char"/>
    <w:next w:val="1208"/>
    <w:link w:val="1207"/>
    <w:qFormat/>
    <w:rPr>
      <w:rFonts w:ascii="Arial" w:hAnsi="Arial" w:eastAsia="黑体" w:cs="Arial"/>
      <w:b/>
      <w:bCs/>
      <w:sz w:val="28"/>
      <w:szCs w:val="28"/>
    </w:rPr>
  </w:style>
  <w:style w:type="paragraph" w:styleId="1209">
    <w:name w:val="标题 51"/>
    <w:basedOn w:val="1004"/>
    <w:next w:val="1203"/>
    <w:link w:val="1210"/>
    <w:qFormat/>
    <w:pPr>
      <w:keepNext/>
      <w:outlineLvl w:val="4"/>
    </w:pPr>
    <w:rPr>
      <w:rFonts w:ascii="宋体" w:hAnsi="Times New Roman" w:eastAsia="宋体" w:cs="Times New Roman"/>
      <w:color w:val="000000"/>
      <w:sz w:val="28"/>
      <w:szCs w:val="28"/>
    </w:rPr>
  </w:style>
  <w:style w:type="character" w:styleId="1210">
    <w:name w:val="标题 5 Char"/>
    <w:next w:val="1210"/>
    <w:link w:val="1209"/>
    <w:qFormat/>
    <w:rPr>
      <w:rFonts w:ascii="宋体" w:hAnsi="Times New Roman" w:eastAsia="宋体" w:cs="Times New Roman"/>
      <w:color w:val="000000"/>
      <w:sz w:val="28"/>
      <w:szCs w:val="28"/>
    </w:rPr>
  </w:style>
  <w:style w:type="paragraph" w:styleId="1211">
    <w:name w:val="标题 61"/>
    <w:basedOn w:val="1004"/>
    <w:next w:val="1004"/>
    <w:link w:val="12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12">
    <w:name w:val="标题 6 Char"/>
    <w:next w:val="1212"/>
    <w:link w:val="1211"/>
    <w:qFormat/>
    <w:rPr>
      <w:rFonts w:ascii="Arial" w:hAnsi="Arial" w:eastAsia="黑体" w:cs="Times New Roman"/>
      <w:b/>
      <w:bCs/>
      <w:sz w:val="24"/>
      <w:szCs w:val="24"/>
    </w:rPr>
  </w:style>
  <w:style w:type="paragraph" w:styleId="1213">
    <w:name w:val="标题 71"/>
    <w:basedOn w:val="1004"/>
    <w:next w:val="1004"/>
    <w:link w:val="121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14">
    <w:name w:val="标题 7 Char"/>
    <w:next w:val="1214"/>
    <w:link w:val="1213"/>
    <w:qFormat/>
    <w:rPr>
      <w:rFonts w:ascii="Times New Roman" w:hAnsi="Times New Roman" w:eastAsia="宋体" w:cs="Times New Roman"/>
      <w:b/>
      <w:bCs/>
      <w:sz w:val="24"/>
      <w:szCs w:val="24"/>
    </w:rPr>
  </w:style>
  <w:style w:type="paragraph" w:styleId="1215">
    <w:name w:val="标题 81"/>
    <w:basedOn w:val="1004"/>
    <w:next w:val="1004"/>
    <w:link w:val="121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16">
    <w:name w:val="标题 8 Char"/>
    <w:next w:val="1216"/>
    <w:link w:val="1215"/>
    <w:qFormat/>
    <w:rPr>
      <w:rFonts w:ascii="Arial" w:hAnsi="Arial" w:eastAsia="黑体" w:cs="Times New Roman"/>
      <w:sz w:val="24"/>
      <w:szCs w:val="24"/>
    </w:rPr>
  </w:style>
  <w:style w:type="paragraph" w:styleId="1217">
    <w:name w:val="标题 91"/>
    <w:basedOn w:val="1004"/>
    <w:next w:val="1004"/>
    <w:link w:val="121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18">
    <w:name w:val="标题 9 Char"/>
    <w:next w:val="1218"/>
    <w:link w:val="1217"/>
    <w:qFormat/>
    <w:rPr>
      <w:rFonts w:ascii="Arial" w:hAnsi="Arial" w:eastAsia="黑体" w:cs="Times New Roman"/>
      <w:szCs w:val="21"/>
    </w:rPr>
  </w:style>
  <w:style w:type="character" w:styleId="1219">
    <w:name w:val="默认段落字体1"/>
    <w:next w:val="1219"/>
    <w:link w:val="1004"/>
    <w:uiPriority w:val="1"/>
    <w:unhideWhenUsed/>
    <w:qFormat/>
  </w:style>
  <w:style w:type="table" w:styleId="1220">
    <w:name w:val="普通表格1"/>
    <w:next w:val="1220"/>
    <w:link w:val="1004"/>
    <w:uiPriority w:val="99"/>
    <w:unhideWhenUsed/>
    <w:qFormat/>
    <w:tblPr/>
  </w:style>
  <w:style w:type="paragraph" w:styleId="1221">
    <w:name w:val="正文文本11"/>
    <w:basedOn w:val="1004"/>
    <w:next w:val="1004"/>
    <w:link w:val="1222"/>
    <w:qFormat/>
    <w:rPr>
      <w:rFonts w:ascii="楷体_GB2312" w:hAnsi="Arial" w:eastAsia="楷体_GB2312" w:cs="Times New Roman"/>
      <w:sz w:val="28"/>
      <w:szCs w:val="28"/>
    </w:rPr>
  </w:style>
  <w:style w:type="character" w:styleId="1222">
    <w:name w:val="正文文本 Char"/>
    <w:next w:val="1222"/>
    <w:link w:val="1221"/>
    <w:qFormat/>
    <w:rPr>
      <w:rFonts w:ascii="楷体_GB2312" w:hAnsi="Arial" w:eastAsia="楷体_GB2312" w:cs="Times New Roman"/>
      <w:sz w:val="28"/>
      <w:szCs w:val="28"/>
    </w:rPr>
  </w:style>
  <w:style w:type="paragraph" w:styleId="1223">
    <w:name w:val="列表 31"/>
    <w:basedOn w:val="1004"/>
    <w:next w:val="1223"/>
    <w:link w:val="1004"/>
    <w:qFormat/>
    <w:pPr>
      <w:ind w:left="100" w:hanging="200"/>
    </w:pPr>
    <w:rPr>
      <w:rFonts w:ascii="Times New Roman" w:hAnsi="Times New Roman" w:eastAsia="宋体" w:cs="Times New Roman"/>
      <w:szCs w:val="21"/>
    </w:rPr>
  </w:style>
  <w:style w:type="paragraph" w:styleId="1224">
    <w:name w:val="目录 71"/>
    <w:basedOn w:val="1004"/>
    <w:next w:val="1004"/>
    <w:link w:val="1004"/>
    <w:semiHidden/>
    <w:qFormat/>
    <w:pPr>
      <w:ind w:left="1260"/>
      <w:jc w:val="left"/>
    </w:pPr>
    <w:rPr>
      <w:rFonts w:ascii="Times New Roman" w:hAnsi="Times New Roman" w:eastAsia="宋体" w:cs="Times New Roman"/>
      <w:szCs w:val="21"/>
    </w:rPr>
  </w:style>
  <w:style w:type="paragraph" w:styleId="1225">
    <w:name w:val="文档结构图1"/>
    <w:basedOn w:val="1004"/>
    <w:next w:val="1225"/>
    <w:link w:val="1226"/>
    <w:semiHidden/>
    <w:qFormat/>
    <w:pPr>
      <w:shd w:val="clear" w:color="auto" w:fill="000080"/>
    </w:pPr>
    <w:rPr>
      <w:rFonts w:ascii="Times New Roman" w:hAnsi="Times New Roman" w:eastAsia="宋体" w:cs="Times New Roman"/>
      <w:szCs w:val="21"/>
    </w:rPr>
  </w:style>
  <w:style w:type="character" w:styleId="1226">
    <w:name w:val="文档结构图 Char"/>
    <w:next w:val="1226"/>
    <w:link w:val="1225"/>
    <w:semiHidden/>
    <w:qFormat/>
    <w:rPr>
      <w:rFonts w:ascii="Times New Roman" w:hAnsi="Times New Roman" w:eastAsia="宋体" w:cs="Times New Roman"/>
      <w:szCs w:val="21"/>
      <w:shd w:val="clear" w:color="auto" w:fill="000080"/>
    </w:rPr>
  </w:style>
  <w:style w:type="paragraph" w:styleId="1227">
    <w:name w:val="批注文字1"/>
    <w:basedOn w:val="1004"/>
    <w:next w:val="1227"/>
    <w:link w:val="1228"/>
    <w:unhideWhenUsed/>
    <w:qFormat/>
    <w:pPr>
      <w:jc w:val="left"/>
    </w:pPr>
  </w:style>
  <w:style w:type="character" w:styleId="1228">
    <w:name w:val="批注文字 Char"/>
    <w:basedOn w:val="1219"/>
    <w:next w:val="1228"/>
    <w:link w:val="1227"/>
    <w:uiPriority w:val="99"/>
    <w:semiHidden/>
    <w:qFormat/>
  </w:style>
  <w:style w:type="paragraph" w:styleId="1229">
    <w:name w:val="正文文本 31"/>
    <w:basedOn w:val="1004"/>
    <w:next w:val="1229"/>
    <w:link w:val="1230"/>
    <w:qFormat/>
    <w:rPr>
      <w:rFonts w:ascii="仿宋_GB2312" w:hAnsi="Arial" w:eastAsia="仿宋_GB2312" w:cs="Times New Roman"/>
      <w:sz w:val="32"/>
      <w:szCs w:val="32"/>
    </w:rPr>
  </w:style>
  <w:style w:type="character" w:styleId="1230">
    <w:name w:val="正文文本 3 Char"/>
    <w:next w:val="1230"/>
    <w:link w:val="1229"/>
    <w:qFormat/>
    <w:rPr>
      <w:rFonts w:ascii="仿宋_GB2312" w:hAnsi="Arial" w:eastAsia="仿宋_GB2312" w:cs="Times New Roman"/>
      <w:sz w:val="32"/>
      <w:szCs w:val="32"/>
    </w:rPr>
  </w:style>
  <w:style w:type="paragraph" w:styleId="1231">
    <w:name w:val="正文文本缩进1"/>
    <w:basedOn w:val="1004"/>
    <w:next w:val="1233"/>
    <w:link w:val="1232"/>
    <w:unhideWhenUsed/>
    <w:qFormat/>
    <w:pPr>
      <w:ind w:left="420"/>
      <w:spacing w:after="120"/>
    </w:pPr>
  </w:style>
  <w:style w:type="character" w:styleId="1232">
    <w:name w:val="正文文本缩进 Char"/>
    <w:basedOn w:val="1219"/>
    <w:next w:val="1232"/>
    <w:link w:val="1231"/>
    <w:uiPriority w:val="99"/>
    <w:semiHidden/>
    <w:qFormat/>
  </w:style>
  <w:style w:type="paragraph" w:styleId="1233">
    <w:name w:val="寄信人地址1"/>
    <w:basedOn w:val="1004"/>
    <w:next w:val="1233"/>
    <w:link w:val="1004"/>
    <w:uiPriority w:val="99"/>
    <w:unhideWhenUsed/>
    <w:qFormat/>
    <w:rPr>
      <w:rFonts w:ascii="Arial" w:hAnsi="Arial"/>
    </w:rPr>
  </w:style>
  <w:style w:type="paragraph" w:styleId="1234">
    <w:name w:val="列表 21"/>
    <w:basedOn w:val="1004"/>
    <w:next w:val="1234"/>
    <w:link w:val="1004"/>
    <w:qFormat/>
    <w:pPr>
      <w:ind w:left="100" w:hanging="200"/>
    </w:pPr>
    <w:rPr>
      <w:rFonts w:ascii="Times New Roman" w:hAnsi="Times New Roman" w:eastAsia="宋体" w:cs="Times New Roman"/>
      <w:szCs w:val="21"/>
    </w:rPr>
  </w:style>
  <w:style w:type="paragraph" w:styleId="1235">
    <w:name w:val="目录 51"/>
    <w:basedOn w:val="1004"/>
    <w:next w:val="1004"/>
    <w:link w:val="1004"/>
    <w:semiHidden/>
    <w:qFormat/>
    <w:pPr>
      <w:ind w:left="840"/>
      <w:jc w:val="left"/>
    </w:pPr>
    <w:rPr>
      <w:rFonts w:ascii="Times New Roman" w:hAnsi="Times New Roman" w:eastAsia="宋体" w:cs="Times New Roman"/>
      <w:szCs w:val="21"/>
    </w:rPr>
  </w:style>
  <w:style w:type="paragraph" w:styleId="1236">
    <w:name w:val="目录 31"/>
    <w:basedOn w:val="1004"/>
    <w:next w:val="1004"/>
    <w:link w:val="1004"/>
    <w:semiHidden/>
    <w:qFormat/>
    <w:pPr>
      <w:ind w:left="420"/>
      <w:jc w:val="left"/>
    </w:pPr>
    <w:rPr>
      <w:rFonts w:ascii="Times New Roman" w:hAnsi="Times New Roman" w:eastAsia="宋体" w:cs="Times New Roman"/>
      <w:i/>
      <w:iCs/>
      <w:szCs w:val="24"/>
    </w:rPr>
  </w:style>
  <w:style w:type="paragraph" w:styleId="1237">
    <w:name w:val="纯文本1"/>
    <w:basedOn w:val="1004"/>
    <w:next w:val="1237"/>
    <w:link w:val="1238"/>
    <w:qFormat/>
    <w:rPr>
      <w:rFonts w:ascii="宋体" w:hAnsi="Courier New" w:eastAsia="宋体" w:cs="Courier New"/>
      <w:szCs w:val="21"/>
    </w:rPr>
  </w:style>
  <w:style w:type="character" w:styleId="1238">
    <w:name w:val="纯文本 Char"/>
    <w:next w:val="1238"/>
    <w:link w:val="1237"/>
    <w:qFormat/>
    <w:rPr>
      <w:rFonts w:ascii="宋体" w:hAnsi="Courier New" w:eastAsia="宋体" w:cs="Courier New"/>
      <w:szCs w:val="21"/>
    </w:rPr>
  </w:style>
  <w:style w:type="paragraph" w:styleId="1239">
    <w:name w:val="目录 81"/>
    <w:basedOn w:val="1004"/>
    <w:next w:val="1004"/>
    <w:link w:val="1004"/>
    <w:semiHidden/>
    <w:qFormat/>
    <w:pPr>
      <w:ind w:left="1470"/>
      <w:jc w:val="left"/>
    </w:pPr>
    <w:rPr>
      <w:rFonts w:ascii="Times New Roman" w:hAnsi="Times New Roman" w:eastAsia="宋体" w:cs="Times New Roman"/>
      <w:szCs w:val="21"/>
    </w:rPr>
  </w:style>
  <w:style w:type="paragraph" w:styleId="1240">
    <w:name w:val="日期1"/>
    <w:basedOn w:val="1004"/>
    <w:next w:val="1004"/>
    <w:link w:val="1241"/>
    <w:qFormat/>
    <w:rPr>
      <w:rFonts w:ascii="Times New Roman" w:hAnsi="Times New Roman" w:eastAsia="宋体" w:cs="Times New Roman"/>
      <w:sz w:val="24"/>
      <w:szCs w:val="24"/>
    </w:rPr>
  </w:style>
  <w:style w:type="character" w:styleId="1241">
    <w:name w:val="日期 Char"/>
    <w:next w:val="1241"/>
    <w:link w:val="1240"/>
    <w:qFormat/>
    <w:rPr>
      <w:rFonts w:ascii="Times New Roman" w:hAnsi="Times New Roman" w:eastAsia="宋体" w:cs="Times New Roman"/>
      <w:sz w:val="24"/>
      <w:szCs w:val="24"/>
    </w:rPr>
  </w:style>
  <w:style w:type="paragraph" w:styleId="1242">
    <w:name w:val="正文文本缩进 21"/>
    <w:basedOn w:val="1004"/>
    <w:next w:val="1242"/>
    <w:link w:val="1243"/>
    <w:qFormat/>
    <w:pPr>
      <w:ind w:left="630" w:firstLine="645"/>
    </w:pPr>
    <w:rPr>
      <w:rFonts w:ascii="Arial" w:hAnsi="Arial" w:eastAsia="仿宋_GB2312" w:cs="Arial"/>
      <w:sz w:val="32"/>
      <w:szCs w:val="32"/>
    </w:rPr>
  </w:style>
  <w:style w:type="character" w:styleId="1243">
    <w:name w:val="正文文本缩进 2 Char"/>
    <w:next w:val="1243"/>
    <w:link w:val="1242"/>
    <w:qFormat/>
    <w:rPr>
      <w:rFonts w:ascii="Arial" w:hAnsi="Arial" w:eastAsia="仿宋_GB2312" w:cs="Arial"/>
      <w:sz w:val="32"/>
      <w:szCs w:val="32"/>
    </w:rPr>
  </w:style>
  <w:style w:type="paragraph" w:styleId="1244">
    <w:name w:val="批注框文本1"/>
    <w:basedOn w:val="1004"/>
    <w:next w:val="1244"/>
    <w:link w:val="1245"/>
    <w:semiHidden/>
    <w:qFormat/>
    <w:rPr>
      <w:rFonts w:ascii="Times New Roman" w:hAnsi="Times New Roman" w:eastAsia="宋体" w:cs="Times New Roman"/>
      <w:sz w:val="18"/>
      <w:szCs w:val="18"/>
    </w:rPr>
  </w:style>
  <w:style w:type="character" w:styleId="1245">
    <w:name w:val="批注框文本 Char"/>
    <w:next w:val="1245"/>
    <w:link w:val="1244"/>
    <w:semiHidden/>
    <w:qFormat/>
    <w:rPr>
      <w:rFonts w:ascii="Times New Roman" w:hAnsi="Times New Roman" w:eastAsia="宋体" w:cs="Times New Roman"/>
      <w:sz w:val="18"/>
      <w:szCs w:val="18"/>
    </w:rPr>
  </w:style>
  <w:style w:type="paragraph" w:styleId="1246">
    <w:name w:val="页脚1"/>
    <w:basedOn w:val="1004"/>
    <w:next w:val="1246"/>
    <w:link w:val="1247"/>
    <w:qFormat/>
    <w:pPr>
      <w:jc w:val="left"/>
      <w:tabs>
        <w:tab w:val="center" w:pos="4153" w:leader="none"/>
        <w:tab w:val="right" w:pos="8306" w:leader="none"/>
      </w:tabs>
    </w:pPr>
    <w:rPr>
      <w:rFonts w:ascii="Times New Roman" w:hAnsi="Times New Roman" w:eastAsia="宋体" w:cs="Times New Roman"/>
      <w:sz w:val="18"/>
      <w:szCs w:val="18"/>
    </w:rPr>
  </w:style>
  <w:style w:type="character" w:styleId="1247">
    <w:name w:val="页脚 Char"/>
    <w:next w:val="1247"/>
    <w:link w:val="1246"/>
    <w:qFormat/>
    <w:rPr>
      <w:rFonts w:ascii="Times New Roman" w:hAnsi="Times New Roman" w:eastAsia="宋体" w:cs="Times New Roman"/>
      <w:sz w:val="18"/>
      <w:szCs w:val="18"/>
    </w:rPr>
  </w:style>
  <w:style w:type="paragraph" w:styleId="1248">
    <w:name w:val="页眉1"/>
    <w:basedOn w:val="1004"/>
    <w:next w:val="1248"/>
    <w:link w:val="124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49">
    <w:name w:val="页眉 Char"/>
    <w:next w:val="1249"/>
    <w:link w:val="1248"/>
    <w:qFormat/>
    <w:rPr>
      <w:rFonts w:ascii="Times New Roman" w:hAnsi="Times New Roman" w:eastAsia="宋体" w:cs="Times New Roman"/>
      <w:sz w:val="18"/>
      <w:szCs w:val="18"/>
    </w:rPr>
  </w:style>
  <w:style w:type="paragraph" w:styleId="1250">
    <w:name w:val="目录 41"/>
    <w:basedOn w:val="1004"/>
    <w:next w:val="1004"/>
    <w:link w:val="1004"/>
    <w:semiHidden/>
    <w:qFormat/>
    <w:pPr>
      <w:ind w:left="630"/>
      <w:jc w:val="left"/>
    </w:pPr>
    <w:rPr>
      <w:rFonts w:ascii="Times New Roman" w:hAnsi="Times New Roman" w:eastAsia="宋体" w:cs="Times New Roman"/>
      <w:szCs w:val="21"/>
    </w:rPr>
  </w:style>
  <w:style w:type="paragraph" w:styleId="1251">
    <w:name w:val="列表1"/>
    <w:basedOn w:val="1004"/>
    <w:next w:val="1251"/>
    <w:link w:val="1004"/>
    <w:qFormat/>
    <w:pPr>
      <w:ind w:left="200" w:hanging="200"/>
    </w:pPr>
    <w:rPr>
      <w:rFonts w:ascii="Times New Roman" w:hAnsi="Times New Roman" w:eastAsia="宋体" w:cs="Times New Roman"/>
      <w:szCs w:val="21"/>
    </w:rPr>
  </w:style>
  <w:style w:type="paragraph" w:styleId="1252">
    <w:name w:val="目录 61"/>
    <w:basedOn w:val="1004"/>
    <w:next w:val="1004"/>
    <w:link w:val="1004"/>
    <w:semiHidden/>
    <w:qFormat/>
    <w:pPr>
      <w:ind w:left="1050"/>
      <w:jc w:val="left"/>
    </w:pPr>
    <w:rPr>
      <w:rFonts w:ascii="Times New Roman" w:hAnsi="Times New Roman" w:eastAsia="宋体" w:cs="Times New Roman"/>
      <w:szCs w:val="21"/>
    </w:rPr>
  </w:style>
  <w:style w:type="paragraph" w:styleId="1253">
    <w:name w:val="正文文本缩进 31"/>
    <w:basedOn w:val="1004"/>
    <w:next w:val="1253"/>
    <w:link w:val="1254"/>
    <w:qFormat/>
    <w:pPr>
      <w:ind w:left="645" w:firstLine="645"/>
    </w:pPr>
    <w:rPr>
      <w:rFonts w:ascii="Arial" w:hAnsi="Arial" w:eastAsia="仿宋_GB2312" w:cs="Arial"/>
      <w:color w:val="ffff00"/>
      <w:sz w:val="32"/>
      <w:szCs w:val="32"/>
    </w:rPr>
  </w:style>
  <w:style w:type="character" w:styleId="1254">
    <w:name w:val="正文文本缩进 3 Char"/>
    <w:next w:val="1254"/>
    <w:link w:val="1253"/>
    <w:qFormat/>
    <w:rPr>
      <w:rFonts w:ascii="Arial" w:hAnsi="Arial" w:eastAsia="仿宋_GB2312" w:cs="Arial"/>
      <w:color w:val="ffff00"/>
      <w:sz w:val="32"/>
      <w:szCs w:val="32"/>
    </w:rPr>
  </w:style>
  <w:style w:type="paragraph" w:styleId="1255">
    <w:name w:val="图表目录1"/>
    <w:basedOn w:val="1004"/>
    <w:next w:val="1004"/>
    <w:link w:val="1004"/>
    <w:semiHidden/>
    <w:qFormat/>
    <w:pPr>
      <w:ind w:left="840" w:hanging="420"/>
    </w:pPr>
    <w:rPr>
      <w:rFonts w:ascii="Times New Roman" w:hAnsi="Times New Roman" w:eastAsia="宋体" w:cs="Times New Roman"/>
      <w:szCs w:val="21"/>
    </w:rPr>
  </w:style>
  <w:style w:type="paragraph" w:styleId="1256">
    <w:name w:val="目录 21"/>
    <w:basedOn w:val="1004"/>
    <w:next w:val="1004"/>
    <w:link w:val="1004"/>
    <w:semiHidden/>
    <w:qFormat/>
    <w:pPr>
      <w:ind w:left="210"/>
      <w:jc w:val="left"/>
    </w:pPr>
    <w:rPr>
      <w:rFonts w:ascii="Times New Roman" w:hAnsi="Times New Roman" w:eastAsia="宋体" w:cs="Times New Roman"/>
      <w:smallCaps/>
      <w:szCs w:val="24"/>
    </w:rPr>
  </w:style>
  <w:style w:type="paragraph" w:styleId="1257">
    <w:name w:val="目录 91"/>
    <w:basedOn w:val="1004"/>
    <w:next w:val="1004"/>
    <w:link w:val="1004"/>
    <w:semiHidden/>
    <w:qFormat/>
    <w:pPr>
      <w:ind w:left="1680"/>
      <w:jc w:val="left"/>
    </w:pPr>
    <w:rPr>
      <w:rFonts w:ascii="Times New Roman" w:hAnsi="Times New Roman" w:eastAsia="宋体" w:cs="Times New Roman"/>
      <w:szCs w:val="21"/>
    </w:rPr>
  </w:style>
  <w:style w:type="paragraph" w:styleId="1258">
    <w:name w:val="正文文本 21"/>
    <w:basedOn w:val="1004"/>
    <w:next w:val="1258"/>
    <w:link w:val="1259"/>
    <w:qFormat/>
    <w:pPr>
      <w:jc w:val="center"/>
      <w:widowControl/>
    </w:pPr>
    <w:rPr>
      <w:rFonts w:ascii="楷体_GB2312" w:hAnsi="Times New Roman" w:eastAsia="楷体_GB2312" w:cs="Times New Roman"/>
      <w:sz w:val="28"/>
      <w:szCs w:val="28"/>
    </w:rPr>
  </w:style>
  <w:style w:type="character" w:styleId="1259">
    <w:name w:val="正文文本 2 Char"/>
    <w:next w:val="1259"/>
    <w:link w:val="1258"/>
    <w:qFormat/>
    <w:rPr>
      <w:rFonts w:ascii="楷体_GB2312" w:hAnsi="Times New Roman" w:eastAsia="楷体_GB2312" w:cs="Times New Roman"/>
      <w:sz w:val="28"/>
      <w:szCs w:val="28"/>
    </w:rPr>
  </w:style>
  <w:style w:type="paragraph" w:styleId="1260">
    <w:name w:val="普通(网站)1"/>
    <w:basedOn w:val="1004"/>
    <w:next w:val="1260"/>
    <w:link w:val="1004"/>
    <w:uiPriority w:val="99"/>
    <w:qFormat/>
    <w:pPr>
      <w:jc w:val="left"/>
      <w:spacing w:before="100" w:beforeAutospacing="1" w:after="100" w:afterAutospacing="1"/>
      <w:widowControl/>
    </w:pPr>
    <w:rPr>
      <w:rFonts w:ascii="宋体" w:hAnsi="宋体" w:eastAsia="宋体" w:cs="宋体"/>
      <w:sz w:val="24"/>
      <w:szCs w:val="24"/>
    </w:rPr>
  </w:style>
  <w:style w:type="paragraph" w:styleId="1261">
    <w:name w:val="索引 11"/>
    <w:basedOn w:val="1004"/>
    <w:next w:val="1004"/>
    <w:link w:val="1004"/>
    <w:semiHidden/>
    <w:qFormat/>
    <w:pPr>
      <w:spacing w:line="240" w:lineRule="atLeast"/>
    </w:pPr>
    <w:rPr>
      <w:rFonts w:ascii="Times New Roman" w:hAnsi="Times New Roman" w:eastAsia="宋体" w:cs="Times New Roman"/>
      <w:b/>
      <w:bCs/>
      <w:szCs w:val="21"/>
    </w:rPr>
  </w:style>
  <w:style w:type="paragraph" w:styleId="1262">
    <w:name w:val="批注主题1"/>
    <w:basedOn w:val="1227"/>
    <w:next w:val="1227"/>
    <w:link w:val="1263"/>
    <w:semiHidden/>
    <w:qFormat/>
    <w:rPr>
      <w:rFonts w:ascii="Times New Roman" w:hAnsi="Times New Roman" w:eastAsia="宋体" w:cs="Times New Roman"/>
      <w:b/>
      <w:bCs/>
      <w:szCs w:val="21"/>
    </w:rPr>
  </w:style>
  <w:style w:type="character" w:styleId="1263">
    <w:name w:val="批注主题 Char"/>
    <w:next w:val="1263"/>
    <w:link w:val="1262"/>
    <w:semiHidden/>
    <w:qFormat/>
    <w:rPr>
      <w:rFonts w:ascii="Times New Roman" w:hAnsi="Times New Roman" w:eastAsia="宋体" w:cs="Times New Roman"/>
      <w:b/>
      <w:bCs/>
      <w:szCs w:val="21"/>
    </w:rPr>
  </w:style>
  <w:style w:type="paragraph" w:styleId="1264">
    <w:name w:val="正文首行缩进1"/>
    <w:basedOn w:val="1004"/>
    <w:next w:val="1264"/>
    <w:link w:val="1265"/>
    <w:qFormat/>
    <w:pPr>
      <w:ind w:firstLine="200"/>
      <w:spacing w:line="360" w:lineRule="auto"/>
    </w:pPr>
    <w:rPr>
      <w:rFonts w:ascii="仿宋_GB2312" w:hAnsi="Times New Roman" w:eastAsia="仿宋_GB2312" w:cs="Times New Roman"/>
      <w:sz w:val="30"/>
      <w:szCs w:val="30"/>
    </w:rPr>
  </w:style>
  <w:style w:type="character" w:styleId="1265">
    <w:name w:val="正文首行缩进 Char"/>
    <w:next w:val="1265"/>
    <w:link w:val="1264"/>
    <w:qFormat/>
    <w:rPr>
      <w:rFonts w:ascii="仿宋_GB2312" w:hAnsi="Times New Roman" w:eastAsia="仿宋_GB2312" w:cs="Times New Roman"/>
      <w:sz w:val="30"/>
      <w:szCs w:val="30"/>
    </w:rPr>
  </w:style>
  <w:style w:type="paragraph" w:styleId="1266">
    <w:name w:val="正文首行缩进 21"/>
    <w:basedOn w:val="1231"/>
    <w:next w:val="1266"/>
    <w:link w:val="1267"/>
    <w:qFormat/>
    <w:pPr>
      <w:ind w:left="0" w:firstLine="420"/>
      <w:spacing w:after="0" w:line="360" w:lineRule="auto"/>
    </w:pPr>
    <w:rPr>
      <w:rFonts w:ascii="宋体" w:hAnsi="宋体" w:eastAsia="宋体" w:cs="Times New Roman"/>
      <w:szCs w:val="20"/>
    </w:rPr>
  </w:style>
  <w:style w:type="character" w:styleId="1267">
    <w:name w:val="正文首行缩进 2 Char"/>
    <w:next w:val="1267"/>
    <w:link w:val="1266"/>
    <w:qFormat/>
    <w:rPr>
      <w:rFonts w:ascii="宋体" w:hAnsi="宋体" w:eastAsia="宋体" w:cs="Times New Roman"/>
      <w:szCs w:val="20"/>
    </w:rPr>
  </w:style>
  <w:style w:type="table" w:styleId="1268">
    <w:name w:val="网格型1"/>
    <w:basedOn w:val="1220"/>
    <w:next w:val="1268"/>
    <w:link w:val="1004"/>
    <w:qFormat/>
    <w:pPr>
      <w:jc w:val="both"/>
      <w:widowControl w:val="off"/>
    </w:pPr>
    <w:rPr>
      <w:rFonts w:ascii="Times New Roman" w:hAnsi="Times New Roman" w:eastAsia="宋体" w:cs="Times New Roman"/>
      <w:sz w:val="20"/>
      <w:szCs w:val="20"/>
    </w:rPr>
    <w:tblPr/>
  </w:style>
  <w:style w:type="character" w:styleId="1269">
    <w:name w:val="要点1"/>
    <w:next w:val="1269"/>
    <w:link w:val="1004"/>
    <w:qFormat/>
    <w:rPr>
      <w:b/>
      <w:bCs/>
    </w:rPr>
  </w:style>
  <w:style w:type="character" w:styleId="1270">
    <w:name w:val="页码1"/>
    <w:next w:val="1270"/>
    <w:link w:val="1004"/>
    <w:qFormat/>
  </w:style>
  <w:style w:type="character" w:styleId="1271">
    <w:name w:val="已访问的超链接1"/>
    <w:next w:val="1271"/>
    <w:link w:val="1004"/>
    <w:qFormat/>
    <w:rPr>
      <w:color w:val="800080"/>
      <w:u w:val="single"/>
    </w:rPr>
  </w:style>
  <w:style w:type="character" w:styleId="1272">
    <w:name w:val="超链接1"/>
    <w:next w:val="1272"/>
    <w:link w:val="1004"/>
    <w:qFormat/>
    <w:rPr>
      <w:color w:val="0000ff"/>
      <w:u w:val="single"/>
    </w:rPr>
  </w:style>
  <w:style w:type="character" w:styleId="1273">
    <w:name w:val="批注引用1"/>
    <w:next w:val="1273"/>
    <w:link w:val="1004"/>
    <w:semiHidden/>
    <w:qFormat/>
    <w:rPr>
      <w:sz w:val="21"/>
      <w:szCs w:val="21"/>
    </w:rPr>
  </w:style>
  <w:style w:type="character" w:styleId="1274">
    <w:name w:val="font5 Char"/>
    <w:next w:val="1274"/>
    <w:link w:val="1004"/>
    <w:qFormat/>
    <w:rPr>
      <w:rFonts w:ascii="宋体" w:hAnsi="宋体" w:eastAsia="宋体"/>
      <w:sz w:val="28"/>
      <w:szCs w:val="28"/>
      <w:lang w:val="en-US" w:eastAsia="zh-CN" w:bidi="ar-SA"/>
    </w:rPr>
  </w:style>
  <w:style w:type="character" w:styleId="1275">
    <w:name w:val="二级目录 Char"/>
    <w:next w:val="1275"/>
    <w:link w:val="1276"/>
    <w:qFormat/>
    <w:rPr>
      <w:b/>
      <w:sz w:val="30"/>
      <w:szCs w:val="28"/>
    </w:rPr>
  </w:style>
  <w:style w:type="paragraph" w:styleId="1276">
    <w:name w:val="二级目录"/>
    <w:next w:val="1004"/>
    <w:link w:val="127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77">
    <w:name w:val="列出段落 Char"/>
    <w:next w:val="1277"/>
    <w:link w:val="1278"/>
    <w:qFormat/>
    <w:rPr>
      <w:rFonts w:ascii="Calibri" w:hAnsi="Calibri"/>
      <w:sz w:val="24"/>
      <w:szCs w:val="24"/>
      <w:lang w:eastAsia="en-US" w:bidi="en-US"/>
    </w:rPr>
  </w:style>
  <w:style w:type="paragraph" w:styleId="1278">
    <w:name w:val="列出段落1"/>
    <w:basedOn w:val="1004"/>
    <w:next w:val="1278"/>
    <w:link w:val="1277"/>
    <w:qFormat/>
    <w:pPr>
      <w:contextualSpacing/>
      <w:ind w:left="720"/>
      <w:jc w:val="left"/>
      <w:widowControl/>
    </w:pPr>
    <w:rPr>
      <w:rFonts w:ascii="Calibri" w:hAnsi="Calibri"/>
      <w:sz w:val="24"/>
      <w:szCs w:val="24"/>
      <w:lang w:eastAsia="en-US" w:bidi="en-US"/>
    </w:rPr>
  </w:style>
  <w:style w:type="paragraph" w:styleId="1279">
    <w:name w:val="Body Text(ch)"/>
    <w:basedOn w:val="1004"/>
    <w:next w:val="1221"/>
    <w:link w:val="1004"/>
    <w:qFormat/>
    <w:pPr>
      <w:spacing w:after="120"/>
    </w:pPr>
    <w:rPr>
      <w:rFonts w:ascii="宋体" w:hAnsi="Arial" w:eastAsia="宋体" w:cs="Times New Roman"/>
      <w:bCs/>
      <w:iCs/>
      <w:szCs w:val="24"/>
    </w:rPr>
  </w:style>
  <w:style w:type="paragraph" w:styleId="1280">
    <w:name w:val="xl27"/>
    <w:basedOn w:val="1004"/>
    <w:next w:val="1280"/>
    <w:link w:val="10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1">
    <w:name w:val="xl26"/>
    <w:basedOn w:val="1004"/>
    <w:next w:val="1281"/>
    <w:link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2">
    <w:name w:val="Char"/>
    <w:basedOn w:val="1004"/>
    <w:next w:val="1282"/>
    <w:link w:val="1004"/>
    <w:qFormat/>
    <w:pPr>
      <w:ind w:firstLine="200"/>
      <w:tabs>
        <w:tab w:val="left" w:pos="360" w:leader="none"/>
      </w:tabs>
    </w:pPr>
    <w:rPr>
      <w:rFonts w:ascii="Times New Roman" w:hAnsi="Times New Roman" w:eastAsia="宋体" w:cs="Times New Roman"/>
      <w:sz w:val="28"/>
      <w:szCs w:val="30"/>
    </w:rPr>
  </w:style>
  <w:style w:type="paragraph" w:styleId="1283">
    <w:name w:val=" Char"/>
    <w:basedOn w:val="1225"/>
    <w:next w:val="1283"/>
    <w:link w:val="1004"/>
    <w:qFormat/>
    <w:rPr>
      <w:rFonts w:ascii="Tahoma" w:hAnsi="Tahoma"/>
      <w:sz w:val="24"/>
      <w:szCs w:val="24"/>
    </w:rPr>
  </w:style>
  <w:style w:type="paragraph" w:styleId="1284">
    <w:name w:val="普通正文"/>
    <w:basedOn w:val="1004"/>
    <w:next w:val="1284"/>
    <w:link w:val="1004"/>
    <w:qFormat/>
    <w:pPr>
      <w:ind w:firstLine="480"/>
      <w:jc w:val="left"/>
      <w:spacing w:before="120" w:after="120" w:line="360" w:lineRule="auto"/>
    </w:pPr>
    <w:rPr>
      <w:rFonts w:ascii="Arial" w:hAnsi="Arial" w:eastAsia="宋体" w:cs="Times New Roman"/>
      <w:sz w:val="24"/>
      <w:szCs w:val="24"/>
    </w:rPr>
  </w:style>
  <w:style w:type="paragraph" w:styleId="1285">
    <w:name w:val="table_lines"/>
    <w:basedOn w:val="1004"/>
    <w:next w:val="1285"/>
    <w:link w:val="1004"/>
    <w:qFormat/>
    <w:pPr>
      <w:jc w:val="left"/>
      <w:widowControl/>
    </w:pPr>
    <w:rPr>
      <w:rFonts w:ascii="Times New Roman" w:hAnsi="Times New Roman" w:eastAsia="宋体" w:cs="Times New Roman"/>
      <w:sz w:val="20"/>
      <w:szCs w:val="20"/>
      <w:lang w:val="de-DE" w:eastAsia="de-DE"/>
    </w:rPr>
  </w:style>
  <w:style w:type="paragraph" w:styleId="1286">
    <w:name w:val="附录1"/>
    <w:next w:val="1286"/>
    <w:link w:val="100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87">
    <w:name w:val="font7"/>
    <w:basedOn w:val="1004"/>
    <w:next w:val="1287"/>
    <w:link w:val="1004"/>
    <w:qFormat/>
    <w:pPr>
      <w:jc w:val="left"/>
      <w:spacing w:before="100" w:beforeAutospacing="1" w:after="100" w:afterAutospacing="1"/>
      <w:widowControl/>
    </w:pPr>
    <w:rPr>
      <w:rFonts w:hint="eastAsia" w:ascii="宋体" w:hAnsi="宋体" w:eastAsia="宋体" w:cs="Times New Roman"/>
      <w:sz w:val="18"/>
      <w:szCs w:val="18"/>
    </w:rPr>
  </w:style>
  <w:style w:type="paragraph" w:styleId="1288">
    <w:name w:val=" Char Char Char Char"/>
    <w:basedOn w:val="1225"/>
    <w:next w:val="1288"/>
    <w:link w:val="1004"/>
    <w:qFormat/>
    <w:pPr>
      <w:spacing w:line="360" w:lineRule="auto"/>
    </w:pPr>
    <w:rPr>
      <w:rFonts w:ascii="Tahoma" w:hAnsi="Tahoma"/>
      <w:sz w:val="24"/>
      <w:szCs w:val="24"/>
    </w:rPr>
  </w:style>
  <w:style w:type="paragraph" w:styleId="1289">
    <w:name w:val="列出段落"/>
    <w:basedOn w:val="1004"/>
    <w:next w:val="1289"/>
    <w:link w:val="1004"/>
    <w:qFormat/>
    <w:pPr>
      <w:contextualSpacing/>
      <w:ind w:left="720"/>
      <w:jc w:val="left"/>
      <w:widowControl/>
    </w:pPr>
    <w:rPr>
      <w:rFonts w:ascii="Calibri" w:hAnsi="Calibri" w:eastAsia="宋体" w:cs="Times New Roman"/>
      <w:sz w:val="24"/>
      <w:szCs w:val="24"/>
      <w:lang w:eastAsia="en-US" w:bidi="en-US"/>
    </w:rPr>
  </w:style>
  <w:style w:type="paragraph" w:styleId="1290">
    <w:name w:val="4"/>
    <w:basedOn w:val="1004"/>
    <w:next w:val="1253"/>
    <w:link w:val="1004"/>
    <w:qFormat/>
    <w:pPr>
      <w:ind w:firstLine="420"/>
      <w:spacing w:line="360" w:lineRule="auto"/>
    </w:pPr>
    <w:rPr>
      <w:rFonts w:ascii="Times New Roman" w:hAnsi="Times New Roman" w:eastAsia="宋体" w:cs="Times New Roman"/>
      <w:color w:val="ff0000"/>
      <w:sz w:val="24"/>
      <w:szCs w:val="24"/>
    </w:rPr>
  </w:style>
  <w:style w:type="paragraph" w:styleId="1291">
    <w:name w:val="普通 (Web)"/>
    <w:basedOn w:val="1004"/>
    <w:next w:val="1291"/>
    <w:link w:val="1004"/>
    <w:qFormat/>
    <w:pPr>
      <w:jc w:val="left"/>
      <w:spacing w:before="100" w:beforeAutospacing="1" w:after="100" w:afterAutospacing="1"/>
      <w:widowControl/>
    </w:pPr>
    <w:rPr>
      <w:rFonts w:ascii="宋体" w:hAnsi="宋体" w:eastAsia="宋体" w:cs="Times New Roman"/>
      <w:sz w:val="24"/>
      <w:szCs w:val="24"/>
    </w:rPr>
  </w:style>
  <w:style w:type="paragraph" w:styleId="1292">
    <w:name w:val=" Char Char Char Char Char Char Char Char Char Char"/>
    <w:basedOn w:val="1004"/>
    <w:next w:val="1292"/>
    <w:link w:val="1004"/>
    <w:qFormat/>
    <w:pPr>
      <w:spacing w:line="360" w:lineRule="auto"/>
    </w:pPr>
    <w:rPr>
      <w:rFonts w:ascii="Times New Roman" w:hAnsi="Times New Roman" w:eastAsia="宋体" w:cs="Times New Roman"/>
      <w:sz w:val="24"/>
      <w:szCs w:val="20"/>
    </w:rPr>
  </w:style>
  <w:style w:type="paragraph" w:styleId="1293">
    <w:name w:val="样式1"/>
    <w:basedOn w:val="1004"/>
    <w:next w:val="1293"/>
    <w:link w:val="1004"/>
    <w:qFormat/>
    <w:pPr>
      <w:numPr>
        <w:ilvl w:val="0"/>
        <w:numId w:val="3"/>
      </w:numPr>
      <w:tabs>
        <w:tab w:val="left" w:pos="709" w:leader="none"/>
      </w:tabs>
    </w:pPr>
    <w:rPr>
      <w:rFonts w:ascii="宋体" w:hAnsi="宋体" w:eastAsia="宋体" w:cs="Times New Roman"/>
      <w:szCs w:val="21"/>
    </w:rPr>
  </w:style>
  <w:style w:type="paragraph" w:styleId="1294">
    <w:name w:val="font6"/>
    <w:basedOn w:val="1004"/>
    <w:next w:val="1294"/>
    <w:link w:val="100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95">
    <w:name w:val="xl25"/>
    <w:basedOn w:val="1004"/>
    <w:next w:val="1295"/>
    <w:link w:val="10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6">
    <w:name w:val="图标"/>
    <w:basedOn w:val="1004"/>
    <w:next w:val="1004"/>
    <w:link w:val="100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97">
    <w:name w:val="标题3"/>
    <w:basedOn w:val="1004"/>
    <w:next w:val="1004"/>
    <w:link w:val="1004"/>
    <w:qFormat/>
    <w:pPr>
      <w:ind w:firstLine="624"/>
      <w:spacing w:line="590" w:lineRule="atLeast"/>
    </w:pPr>
    <w:rPr>
      <w:rFonts w:ascii="方正黑体_GBK" w:hAnsi="Times New Roman" w:eastAsia="方正黑体_GBK" w:cs="Times New Roman"/>
      <w:sz w:val="32"/>
      <w:szCs w:val="32"/>
    </w:rPr>
  </w:style>
  <w:style w:type="paragraph" w:styleId="1298">
    <w:name w:val="xl24"/>
    <w:basedOn w:val="1004"/>
    <w:next w:val="1298"/>
    <w:link w:val="10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9">
    <w:name w:val="xl29"/>
    <w:basedOn w:val="1004"/>
    <w:next w:val="1299"/>
    <w:link w:val="100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0">
    <w:name w:val="Char Char Char Char Char Char Char Char"/>
    <w:basedOn w:val="1004"/>
    <w:next w:val="1300"/>
    <w:link w:val="1004"/>
    <w:qFormat/>
    <w:pPr>
      <w:jc w:val="left"/>
      <w:spacing w:after="160" w:line="240" w:lineRule="exact"/>
      <w:widowControl/>
    </w:pPr>
    <w:rPr>
      <w:rFonts w:ascii="Verdana" w:hAnsi="Verdana" w:eastAsia="宋体" w:cs="Times New Roman"/>
      <w:sz w:val="20"/>
      <w:szCs w:val="20"/>
      <w:lang w:eastAsia="en-US"/>
    </w:rPr>
  </w:style>
  <w:style w:type="paragraph" w:styleId="1301">
    <w:name w:val="xl28"/>
    <w:basedOn w:val="1004"/>
    <w:next w:val="1301"/>
    <w:link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2">
    <w:name w:val=" Char Char Char Char Char Char Char Char"/>
    <w:basedOn w:val="1004"/>
    <w:next w:val="1302"/>
    <w:link w:val="1004"/>
    <w:qFormat/>
    <w:pPr>
      <w:jc w:val="left"/>
      <w:spacing w:after="160" w:line="240" w:lineRule="exact"/>
      <w:widowControl/>
    </w:pPr>
    <w:rPr>
      <w:rFonts w:ascii="Verdana" w:hAnsi="Verdana" w:eastAsia="宋体" w:cs="Times New Roman"/>
      <w:sz w:val="20"/>
      <w:szCs w:val="20"/>
      <w:lang w:eastAsia="en-US"/>
    </w:rPr>
  </w:style>
  <w:style w:type="paragraph" w:styleId="1303">
    <w:name w:val="xl30"/>
    <w:basedOn w:val="1004"/>
    <w:next w:val="1303"/>
    <w:link w:val="1004"/>
    <w:qFormat/>
    <w:pPr>
      <w:jc w:val="center"/>
      <w:spacing w:before="100" w:beforeAutospacing="1" w:after="100" w:afterAutospacing="1"/>
      <w:widowControl/>
    </w:pPr>
    <w:rPr>
      <w:rFonts w:ascii="宋体" w:hAnsi="宋体" w:eastAsia="宋体" w:cs="Times New Roman"/>
      <w:b/>
      <w:bCs/>
      <w:sz w:val="36"/>
      <w:szCs w:val="36"/>
    </w:rPr>
  </w:style>
  <w:style w:type="paragraph" w:styleId="1304">
    <w:name w:val="Char Char Char Char"/>
    <w:basedOn w:val="1225"/>
    <w:next w:val="1304"/>
    <w:link w:val="1004"/>
    <w:qFormat/>
    <w:pPr>
      <w:spacing w:line="360" w:lineRule="auto"/>
    </w:pPr>
    <w:rPr>
      <w:rFonts w:ascii="Tahoma" w:hAnsi="Tahoma"/>
      <w:sz w:val="24"/>
      <w:szCs w:val="24"/>
    </w:rPr>
  </w:style>
  <w:style w:type="paragraph" w:styleId="1305">
    <w:name w:val="table_1stline"/>
    <w:basedOn w:val="1004"/>
    <w:next w:val="1305"/>
    <w:link w:val="1004"/>
    <w:qFormat/>
    <w:pPr>
      <w:jc w:val="left"/>
      <w:spacing w:before="120"/>
      <w:widowControl/>
    </w:pPr>
    <w:rPr>
      <w:rFonts w:ascii="Times New Roman" w:hAnsi="Times New Roman" w:eastAsia="宋体" w:cs="Times New Roman"/>
      <w:bCs/>
      <w:sz w:val="20"/>
      <w:szCs w:val="20"/>
      <w:lang w:val="de-DE" w:eastAsia="de-DE"/>
    </w:rPr>
  </w:style>
  <w:style w:type="paragraph" w:styleId="1306">
    <w:name w:val="font5"/>
    <w:basedOn w:val="1004"/>
    <w:next w:val="1306"/>
    <w:link w:val="1004"/>
    <w:qFormat/>
    <w:pPr>
      <w:jc w:val="left"/>
      <w:spacing w:before="100" w:beforeAutospacing="1" w:after="100" w:afterAutospacing="1"/>
      <w:widowControl/>
    </w:pPr>
    <w:rPr>
      <w:rFonts w:hint="eastAsia" w:ascii="宋体" w:hAnsi="宋体" w:eastAsia="宋体" w:cs="Times New Roman"/>
      <w:sz w:val="28"/>
      <w:szCs w:val="28"/>
    </w:rPr>
  </w:style>
  <w:style w:type="paragraph" w:styleId="1307">
    <w:name w:val="标题1"/>
    <w:basedOn w:val="1004"/>
    <w:next w:val="1004"/>
    <w:link w:val="100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08">
    <w:name w:val="修订"/>
    <w:next w:val="1308"/>
    <w:link w:val="1004"/>
    <w:uiPriority w:val="99"/>
    <w:semiHidden/>
    <w:qFormat/>
    <w:rPr>
      <w:rFonts w:ascii="Times New Roman" w:hAnsi="Times New Roman" w:eastAsia="宋体" w:cs="Times New Roman"/>
      <w:sz w:val="21"/>
      <w:szCs w:val="21"/>
      <w:lang w:val="en-US" w:eastAsia="zh-CN" w:bidi="ar-SA"/>
    </w:rPr>
  </w:style>
  <w:style w:type="paragraph" w:styleId="1309">
    <w:name w:val="无间隔"/>
    <w:next w:val="1309"/>
    <w:link w:val="1004"/>
    <w:uiPriority w:val="99"/>
    <w:qFormat/>
    <w:pPr>
      <w:jc w:val="both"/>
      <w:widowControl w:val="off"/>
    </w:pPr>
    <w:rPr>
      <w:rFonts w:ascii="Times New Roman" w:hAnsi="Times New Roman" w:eastAsia="宋体" w:cs="Times New Roman"/>
      <w:sz w:val="21"/>
      <w:szCs w:val="21"/>
      <w:lang w:val="en-US" w:eastAsia="zh-CN" w:bidi="ar-SA"/>
    </w:rPr>
  </w:style>
  <w:style w:type="paragraph" w:styleId="1310">
    <w:name w:val="正文文本1"/>
    <w:basedOn w:val="1004"/>
    <w:next w:val="1004"/>
    <w:link w:val="1004"/>
    <w:qFormat/>
    <w:rPr>
      <w:rFonts w:ascii="仿宋_GB2312" w:eastAsia="仿宋_GB2312"/>
      <w:sz w:val="24"/>
      <w:szCs w:val="20"/>
    </w:rPr>
  </w:style>
  <w:style w:type="paragraph" w:styleId="1311">
    <w:name w:val="正文缩进2格"/>
    <w:basedOn w:val="1004"/>
    <w:next w:val="1311"/>
    <w:link w:val="1004"/>
    <w:unhideWhenUsed/>
    <w:qFormat/>
    <w:pPr>
      <w:ind w:firstLine="639"/>
      <w:spacing w:line="600" w:lineRule="exact"/>
    </w:pPr>
    <w:rPr>
      <w:rFonts w:hint="eastAsia" w:ascii="仿宋_GB2312" w:hAnsi="宋体" w:eastAsia="仿宋_GB2312"/>
      <w:sz w:val="31"/>
      <w:szCs w:val="24"/>
    </w:rPr>
  </w:style>
  <w:style w:type="character" w:styleId="1312">
    <w:name w:val="Variable"/>
    <w:next w:val="1312"/>
    <w:link w:val="1004"/>
    <w:qFormat/>
    <w:rPr>
      <w:i/>
    </w:rPr>
  </w:style>
  <w:style w:type="character" w:styleId="1313">
    <w:name w:val="fontstyle11"/>
    <w:next w:val="1313"/>
    <w:link w:val="1004"/>
    <w:qFormat/>
    <w:rPr>
      <w:rFonts w:hint="eastAsia" w:ascii="宋体" w:hAnsi="宋体" w:eastAsia="宋体"/>
      <w:color w:val="000000"/>
      <w:sz w:val="22"/>
      <w:szCs w:val="22"/>
    </w:rPr>
  </w:style>
  <w:style w:type="character" w:styleId="1314">
    <w:name w:val="fontstyle01"/>
    <w:next w:val="1314"/>
    <w:link w:val="1004"/>
    <w:qFormat/>
    <w:rPr>
      <w:rFonts w:ascii="Calibri-Bold" w:hAnsi="Calibri-Bold"/>
      <w:b/>
      <w:bCs/>
      <w:color w:val="000000"/>
      <w:sz w:val="22"/>
      <w:szCs w:val="22"/>
    </w:rPr>
  </w:style>
  <w:style w:type="paragraph" w:styleId="1315">
    <w:name w:val="正文_1_0"/>
    <w:next w:val="1315"/>
    <w:link w:val="1004"/>
    <w:qFormat/>
    <w:pPr>
      <w:jc w:val="both"/>
      <w:widowControl w:val="off"/>
    </w:pPr>
    <w:rPr>
      <w:rFonts w:ascii="Times New Roman" w:hAnsi="Times New Roman" w:eastAsia="宋体" w:cs="Times New Roman"/>
      <w:sz w:val="21"/>
      <w:szCs w:val="24"/>
      <w:lang w:val="en-US" w:eastAsia="zh-CN" w:bidi="ar-SA"/>
    </w:rPr>
  </w:style>
  <w:style w:type="paragraph" w:styleId="1316">
    <w:name w:val="正文_0_0"/>
    <w:next w:val="1316"/>
    <w:link w:val="1004"/>
    <w:qFormat/>
    <w:pPr>
      <w:jc w:val="both"/>
      <w:widowControl w:val="off"/>
    </w:pPr>
    <w:rPr>
      <w:rFonts w:ascii="Times New Roman" w:hAnsi="Times New Roman" w:eastAsia="宋体" w:cs="Times New Roman"/>
      <w:sz w:val="21"/>
      <w:szCs w:val="24"/>
      <w:lang w:val="en-US" w:eastAsia="zh-CN" w:bidi="ar-SA"/>
    </w:rPr>
  </w:style>
  <w:style w:type="character" w:styleId="1317">
    <w:name w:val="active16"/>
    <w:basedOn w:val="1014"/>
    <w:next w:val="1317"/>
    <w:link w:val="1004"/>
    <w:qFormat/>
    <w:rPr>
      <w:color w:val="ffffff"/>
      <w:shd w:val="clear" w:color="auto" w:fill="0f5bb9"/>
    </w:rPr>
  </w:style>
  <w:style w:type="character" w:styleId="1318">
    <w:name w:val="15"/>
    <w:basedOn w:val="1014"/>
    <w:next w:val="1318"/>
    <w:link w:val="1004"/>
    <w:qFormat/>
    <w:rPr>
      <w:rFonts w:ascii="Times New Roman" w:hAnsi="Times New Roman" w:cs="Times New Roman"/>
    </w:rPr>
  </w:style>
  <w:style w:type="paragraph" w:styleId="1319">
    <w:name w:val="页脚11"/>
    <w:basedOn w:val="1004"/>
    <w:next w:val="1319"/>
    <w:link w:val="1004"/>
    <w:qFormat/>
    <w:pPr>
      <w:jc w:val="left"/>
      <w:tabs>
        <w:tab w:val="center" w:pos="4153" w:leader="none"/>
        <w:tab w:val="right" w:pos="8306" w:leader="none"/>
      </w:tabs>
    </w:pPr>
    <w:rPr>
      <w:rFonts w:ascii="Times New Roman" w:hAnsi="Times New Roman" w:eastAsia="宋体" w:cs="Times New Roman"/>
      <w:sz w:val="18"/>
      <w:szCs w:val="18"/>
    </w:rPr>
  </w:style>
  <w:style w:type="character" w:styleId="1320">
    <w:name w:val="active"/>
    <w:basedOn w:val="1014"/>
    <w:next w:val="1320"/>
    <w:link w:val="1004"/>
    <w:qFormat/>
    <w:rPr>
      <w:color w:val="0f5bb9"/>
      <w:shd w:val="clear" w:color="auto" w:fill="0f5bb9"/>
    </w:rPr>
  </w:style>
  <w:style w:type="paragraph" w:styleId="1321">
    <w:name w:val="正文缩进111"/>
    <w:basedOn w:val="1004"/>
    <w:next w:val="1004"/>
    <w:link w:val="1004"/>
    <w:qFormat/>
    <w:pPr>
      <w:ind w:firstLine="420"/>
    </w:pPr>
    <w:rPr>
      <w:szCs w:val="21"/>
    </w:rPr>
  </w:style>
  <w:style w:type="paragraph" w:styleId="1322">
    <w:name w:val="段"/>
    <w:next w:val="1004"/>
    <w:link w:val="1004"/>
    <w:uiPriority w:val="99"/>
    <w:qFormat/>
    <w:pPr>
      <w:ind w:firstLine="200"/>
      <w:jc w:val="both"/>
    </w:pPr>
    <w:rPr>
      <w:rFonts w:ascii="宋体" w:hAnsi="Times New Roman" w:eastAsia="宋体" w:cs="Times New Roman"/>
      <w:sz w:val="21"/>
      <w:lang w:val="en-US" w:eastAsia="zh-CN" w:bidi="ar-SA"/>
    </w:rPr>
  </w:style>
  <w:style w:type="paragraph" w:styleId="1323">
    <w:name w:val="正文缩进11"/>
    <w:basedOn w:val="1004"/>
    <w:next w:val="1323"/>
    <w:link w:val="1004"/>
    <w:qFormat/>
    <w:pPr>
      <w:ind w:firstLine="420"/>
    </w:pPr>
    <w:rPr>
      <w:szCs w:val="20"/>
    </w:rPr>
  </w:style>
  <w:style w:type="paragraph" w:styleId="1324">
    <w:name w:val="首行缩进"/>
    <w:next w:val="1324"/>
    <w:link w:val="1004"/>
    <w:qFormat/>
    <w:pPr>
      <w:ind w:firstLine="480"/>
      <w:jc w:val="both"/>
      <w:widowControl w:val="off"/>
    </w:pPr>
    <w:rPr>
      <w:rFonts w:ascii="Times New Roman" w:hAnsi="Times New Roman" w:eastAsia="宋体" w:cs="Times New Roman"/>
      <w:sz w:val="21"/>
      <w:lang w:val="zh-CN" w:eastAsia="zh-CN" w:bidi="ar-SA"/>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image" Target="media/image1.wmf"/><Relationship Id="rId23" Type="http://schemas.openxmlformats.org/officeDocument/2006/relationships/oleObject" Target="embeddings/oleObject1.bin"/><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周炜</cp:lastModifiedBy>
  <cp:revision>3</cp:revision>
  <dcterms:created xsi:type="dcterms:W3CDTF">2023-03-27T07:28:00Z</dcterms:created>
  <dcterms:modified xsi:type="dcterms:W3CDTF">2026-08-26T05:14:11Z</dcterms:modified>
</cp:coreProperties>
</file>