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0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jc w:val="center"/>
        <w:spacing w:line="300" w:lineRule="auto"/>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00" w:lineRule="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spacing w:line="300" w:lineRule="auto"/>
        <w:rPr>
          <w:rFonts w:ascii="黑体" w:hAnsi="华文中宋" w:eastAsia="黑体"/>
          <w:b/>
          <w:color w:val="000000"/>
          <w:spacing w:val="20"/>
          <w:sz w:val="72"/>
          <w:szCs w:val="72"/>
          <w:highlight w:val="none"/>
        </w:rPr>
      </w:pPr>
      <w:r>
        <w:rPr>
          <w:rFonts w:hint="eastAsia" w:ascii="黑体" w:hAnsi="华文中宋" w:eastAsia="黑体"/>
          <w:b/>
          <w:color w:val="000000"/>
          <w:spacing w:val="20"/>
          <w:sz w:val="72"/>
          <w:szCs w:val="72"/>
          <w:highlight w:val="none"/>
        </w:rPr>
        <w:t xml:space="preserve">公</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开</w:t>
      </w:r>
      <w:r/>
    </w:p>
    <w:p>
      <w:pPr>
        <w:jc w:val="center"/>
        <w:spacing w:line="300" w:lineRule="auto"/>
        <w:rPr>
          <w:rFonts w:ascii="黑体" w:hAnsi="华文中宋" w:eastAsia="黑体"/>
          <w:b/>
          <w:color w:val="000000"/>
          <w:spacing w:val="20"/>
          <w:sz w:val="72"/>
          <w:szCs w:val="72"/>
          <w:highlight w:val="none"/>
        </w:rPr>
      </w:pPr>
      <w:r>
        <w:rPr>
          <w:rFonts w:ascii="黑体" w:hAnsi="华文中宋" w:eastAsia="黑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-112395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8pt,15.6pt" fillcolor="#FFFFFF" strokecolor="#000000" strokeweight="0.14pt"/>
            </w:pict>
          </mc:Fallback>
        </mc:AlternateContent>
      </w:r>
      <w:r>
        <w:rPr>
          <w:rFonts w:hint="eastAsia" w:ascii="黑体" w:hAnsi="华文中宋" w:eastAsia="黑体"/>
          <w:b/>
          <w:color w:val="000000"/>
          <w:spacing w:val="20"/>
          <w:sz w:val="72"/>
          <w:szCs w:val="72"/>
          <w:highlight w:val="none"/>
        </w:rPr>
        <w:t xml:space="preserve">招</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文</w:t>
      </w:r>
      <w:r>
        <w:rPr>
          <w:rFonts w:ascii="黑体" w:hAnsi="华文中宋" w:eastAsia="黑体"/>
          <w:b/>
          <w:color w:val="000000"/>
          <w:spacing w:val="20"/>
          <w:sz w:val="72"/>
          <w:szCs w:val="72"/>
          <w:highlight w:val="none"/>
        </w:rPr>
        <w:t xml:space="preserve"> </w:t>
      </w:r>
      <w:r>
        <w:rPr>
          <w:rFonts w:hint="eastAsia" w:ascii="黑体" w:hAnsi="华文中宋" w:eastAsia="黑体"/>
          <w:b/>
          <w:color w:val="000000"/>
          <w:spacing w:val="20"/>
          <w:sz w:val="72"/>
          <w:szCs w:val="72"/>
          <w:highlight w:val="none"/>
        </w:rPr>
        <w:t xml:space="preserve">件</w:t>
      </w:r>
      <w:r/>
    </w:p>
    <w:p>
      <w:pPr>
        <w:jc w:val="center"/>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jc w:val="center"/>
        <w:spacing w:line="360" w:lineRule="auto"/>
        <w:rPr>
          <w:rFonts w:eastAsia="仿宋_GB2312"/>
          <w:b/>
          <w:color w:val="000000"/>
          <w:sz w:val="24"/>
          <w:highlight w:val="none"/>
        </w:rPr>
      </w:pPr>
      <w:r>
        <w:rPr>
          <w:rFonts w:eastAsia="仿宋_GB2312"/>
          <w:b/>
          <w:color w:val="000000"/>
          <w:sz w:val="24"/>
          <w:highlight w:val="none"/>
        </w:rPr>
      </w:r>
      <w:r/>
    </w:p>
    <w:p>
      <w:pPr>
        <w:jc w:val="cente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line="360" w:lineRule="auto"/>
        <w:rPr>
          <w:rFonts w:eastAsia="仿宋_GB2312"/>
          <w:b/>
          <w:color w:val="000000"/>
          <w:sz w:val="24"/>
          <w:highlight w:val="none"/>
        </w:rPr>
      </w:pPr>
      <w:r>
        <w:rPr>
          <w:rFonts w:eastAsia="仿宋_GB2312"/>
          <w:b/>
          <w:color w:val="000000"/>
          <w:sz w:val="24"/>
          <w:highlight w:val="none"/>
        </w:rPr>
      </w:r>
      <w:r/>
    </w:p>
    <w:p>
      <w:pPr>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政府采购编号：</w:t>
      </w:r>
      <w:r>
        <w:rPr>
          <w:rFonts w:hint="eastAsia"/>
          <w:b/>
          <w:color w:val="000000"/>
          <w:sz w:val="32"/>
          <w:szCs w:val="32"/>
          <w:highlight w:val="none"/>
          <w:lang w:eastAsia="zh-CN"/>
        </w:rPr>
        <w:t xml:space="preserve">JSZC-320292-JING-G</w:t>
      </w:r>
      <w:bookmarkStart w:id="208" w:name="_GoBack"/>
      <w:r>
        <w:rPr>
          <w:rFonts w:hint="eastAsia"/>
          <w:b/>
          <w:color w:val="000000"/>
          <w:sz w:val="32"/>
          <w:szCs w:val="32"/>
          <w:highlight w:val="none"/>
          <w:lang w:eastAsia="zh-CN"/>
        </w:rPr>
        <w:t xml:space="preserve">2026</w:t>
      </w:r>
      <w:bookmarkEnd w:id="208"/>
      <w:r>
        <w:rPr>
          <w:rFonts w:hint="eastAsia"/>
          <w:b/>
          <w:color w:val="000000"/>
          <w:sz w:val="32"/>
          <w:szCs w:val="32"/>
          <w:highlight w:val="none"/>
          <w:lang w:eastAsia="zh-CN"/>
        </w:rPr>
        <w:t xml:space="preserve">-0028</w:t>
      </w:r>
      <w:r/>
    </w:p>
    <w:p>
      <w:pPr>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采购项目名称：</w:t>
      </w:r>
      <w:r>
        <w:rPr>
          <w:rFonts w:hint="eastAsia"/>
          <w:b/>
          <w:color w:val="000000"/>
          <w:sz w:val="32"/>
          <w:szCs w:val="32"/>
          <w:highlight w:val="none"/>
          <w:lang w:eastAsia="zh-CN"/>
        </w:rPr>
        <w:t xml:space="preserve">无锡经开和畅实验中学2026年实验室设施设备采购项目</w:t>
      </w:r>
      <w:r/>
    </w:p>
    <w:p>
      <w:pPr>
        <w:spacing w:before="95" w:after="95" w:line="360" w:lineRule="auto"/>
        <w:rPr>
          <w:rFonts w:hint="eastAsia" w:eastAsia="宋体"/>
          <w:b/>
          <w:color w:val="000000"/>
          <w:sz w:val="24"/>
          <w:highlight w:val="none"/>
          <w:lang w:eastAsia="zh-CN"/>
        </w:rPr>
      </w:pPr>
      <w:r>
        <w:rPr>
          <w:rFonts w:hint="eastAsia"/>
          <w:b/>
          <w:color w:val="000000"/>
          <w:sz w:val="32"/>
          <w:szCs w:val="32"/>
          <w:highlight w:val="none"/>
        </w:rPr>
        <w:t xml:space="preserve">采购人：</w:t>
      </w:r>
      <w:r>
        <w:rPr>
          <w:rFonts w:hint="eastAsia"/>
          <w:b/>
          <w:color w:val="000000"/>
          <w:sz w:val="32"/>
          <w:szCs w:val="32"/>
          <w:highlight w:val="none"/>
          <w:lang w:eastAsia="zh-CN"/>
        </w:rPr>
        <w:t xml:space="preserve">无锡经开和畅实验中学</w:t>
      </w:r>
      <w:r/>
    </w:p>
    <w:p>
      <w:pPr>
        <w:spacing w:before="95" w:after="95"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采购代理机构：</w:t>
      </w:r>
      <w:r>
        <w:rPr>
          <w:rFonts w:hint="eastAsia"/>
          <w:b/>
          <w:color w:val="000000"/>
          <w:sz w:val="32"/>
          <w:szCs w:val="32"/>
          <w:highlight w:val="none"/>
          <w:lang w:eastAsia="zh-CN"/>
        </w:rPr>
        <w:t xml:space="preserve">江苏经天纬地建设项目管理有限公司</w:t>
      </w:r>
      <w:r/>
    </w:p>
    <w:p>
      <w:pPr>
        <w:pStyle w:val="106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lang w:eastAsia="zh-CN"/>
        </w:rPr>
        <w:t xml:space="preserve">二〇二六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p>
    <w:p>
      <w:pPr>
        <w:pStyle w:val="1067"/>
        <w:ind w:firstLine="0"/>
        <w:jc w:val="center"/>
        <w:rPr>
          <w:rFonts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黑体" w:eastAsia="黑体"/>
          <w:color w:val="000000"/>
          <w:sz w:val="36"/>
          <w:szCs w:val="36"/>
          <w:highlight w:val="none"/>
        </w:rPr>
        <w:t xml:space="preserve">总  目  录</w:t>
      </w:r>
      <w:r/>
    </w:p>
    <w:p>
      <w:pPr>
        <w:jc w:val="center"/>
        <w:spacing w:line="48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5"/>
        </w:numPr>
        <w:spacing w:line="72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无锡经开和畅实验中学</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江苏经天纬地建设项目管理有限公司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无锡经开和畅实验中学2026年实验室设施设备采购项目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JSZC-320292-JING-G2026-0028</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无锡经开和畅实验中学2026年实验室装备采购项目</w:t>
      </w:r>
      <w:r>
        <w:rPr>
          <w:rFonts w:hint="eastAsia" w:ascii="宋体" w:hAnsi="宋体"/>
          <w:color w:val="000000"/>
          <w:sz w:val="24"/>
          <w:szCs w:val="24"/>
          <w:highlight w:val="none"/>
          <w:lang w:eastAsia="zh-CN"/>
        </w:rPr>
        <w:t xml:space="preserve">JSZC-320292-JING-G2026-0028</w:t>
      </w:r>
      <w:r>
        <w:rPr>
          <w:rFonts w:hint="eastAsia" w:ascii="宋体" w:hAnsi="宋体"/>
          <w:color w:val="000000"/>
          <w:sz w:val="24"/>
          <w:szCs w:val="24"/>
          <w:highlight w:val="none"/>
        </w:rPr>
        <w:t xml:space="preserve"> 招标项目的潜在投标人应在江苏省政府采购（苏采云）平台 获取招标文件，并于2026-</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 09:30 （北京时间）前递交投标文件。</w:t>
      </w:r>
      <w:r/>
    </w:p>
    <w:p>
      <w:pPr>
        <w:pStyle w:val="843"/>
        <w:ind w:firstLine="452"/>
        <w:keepLines w:val="0"/>
        <w:keepNext w:val="0"/>
        <w:spacing w:before="0" w:after="0" w:line="500" w:lineRule="exact"/>
        <w:rPr>
          <w:color w:val="000000"/>
          <w:sz w:val="30"/>
          <w:szCs w:val="30"/>
          <w:highlight w:val="none"/>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JSZC-320292-JING-G2026-0028</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无锡经开和畅实验中学2026年实验室设施设备采购项目</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3.项目预算金额：113.4万元。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4.最高限价（如有）：113.4万元。</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olor w:val="000000"/>
          <w:sz w:val="24"/>
          <w:szCs w:val="24"/>
          <w:highlight w:val="none"/>
          <w:lang w:eastAsia="zh-CN"/>
        </w:rPr>
        <w:t xml:space="preserve">无锡经开和畅实验中学2026年实验室设施设备采购项目</w:t>
      </w:r>
      <w:r>
        <w:rPr>
          <w:rFonts w:hint="eastAsia" w:ascii="宋体" w:hAnsi="宋体"/>
          <w:color w:val="000000"/>
          <w:sz w:val="24"/>
          <w:szCs w:val="24"/>
          <w:highlight w:val="none"/>
        </w:rPr>
        <w:t xml:space="preserve">，具体详见采购文件第四章“采购需求”。</w:t>
      </w:r>
      <w:r/>
    </w:p>
    <w:p>
      <w:pPr>
        <w:ind w:firstLine="482"/>
        <w:spacing w:line="500" w:lineRule="exact"/>
        <w:rPr>
          <w:rFonts w:hint="eastAsia" w:ascii="宋体" w:hAnsi="宋体"/>
          <w:color w:val="000000"/>
          <w:sz w:val="24"/>
          <w:highlight w:val="none"/>
        </w:rPr>
      </w:pPr>
      <w:r>
        <w:rPr>
          <w:rFonts w:hint="eastAsia" w:ascii="宋体" w:hAnsi="宋体"/>
          <w:color w:val="000000"/>
          <w:sz w:val="24"/>
          <w:szCs w:val="24"/>
          <w:highlight w:val="none"/>
        </w:rPr>
        <w:t xml:space="preserve">7.合同履行期限：</w:t>
      </w:r>
      <w:r>
        <w:rPr>
          <w:rFonts w:hint="eastAsia" w:ascii="宋体" w:hAnsi="宋体"/>
          <w:color w:val="000000"/>
          <w:sz w:val="24"/>
          <w:highlight w:val="none"/>
        </w:rPr>
        <w:t xml:space="preserve">自合同签订生效起且接到采购人通知后30日内送货到指定地点并安装完毕交付使用。</w:t>
      </w:r>
      <w:r/>
    </w:p>
    <w:p>
      <w:pPr>
        <w:ind w:firstLine="480"/>
        <w:spacing w:line="500" w:lineRule="exact"/>
        <w:rPr>
          <w:rFonts w:ascii="宋体" w:hAnsi="宋体" w:cs="宋体"/>
          <w:color w:val="000000"/>
          <w:sz w:val="24"/>
          <w:szCs w:val="24"/>
          <w:highlight w:val="none"/>
        </w:rPr>
      </w:pPr>
      <w:r>
        <w:rPr>
          <w:rFonts w:hint="eastAsia" w:ascii="宋体" w:hAnsi="宋体"/>
          <w:color w:val="000000"/>
          <w:sz w:val="24"/>
          <w:highlight w:val="none"/>
        </w:rPr>
        <w:t xml:space="preserve">8</w:t>
      </w:r>
      <w:r>
        <w:rPr>
          <w:rFonts w:hint="eastAsia" w:ascii="宋体" w:hAnsi="宋体" w:cs="宋体"/>
          <w:color w:val="000000"/>
          <w:sz w:val="24"/>
          <w:szCs w:val="24"/>
          <w:highlight w:val="none"/>
        </w:rPr>
        <w:t xml:space="preserve">.本项目（是/否）接受联合体投标：否。</w:t>
      </w:r>
      <w:r/>
    </w:p>
    <w:p>
      <w:pPr>
        <w:pStyle w:val="843"/>
        <w:ind w:firstLine="452"/>
        <w:keepLines w:val="0"/>
        <w:keepNext w:val="0"/>
        <w:spacing w:before="0" w:after="0" w:line="500" w:lineRule="exact"/>
        <w:rPr>
          <w:color w:val="000000"/>
          <w:sz w:val="30"/>
          <w:szCs w:val="30"/>
          <w:highlight w:val="none"/>
        </w:rPr>
      </w:pPr>
      <w:r/>
      <w:bookmarkStart w:id="12" w:name="_Toc28359003"/>
      <w:r/>
      <w:bookmarkStart w:id="13" w:name="_Toc35393791"/>
      <w:r/>
      <w:bookmarkStart w:id="14" w:name="_Toc28359080"/>
      <w:r/>
      <w:bookmarkStart w:id="15" w:name="_Toc35393622"/>
      <w:r/>
      <w:bookmarkStart w:id="16" w:name="_Toc38985264"/>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000000"/>
          <w:sz w:val="24"/>
          <w:szCs w:val="24"/>
          <w:highlight w:val="none"/>
        </w:rPr>
        <w:t xml:space="preserve">（一）满足《中华人民共和国政府采购法》第二十二条规定：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2.《授权委托书》（给定格式；投标人如是自然人情形的，可不提供）。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4.投标人近一年中任意一个月份（不含投标当月）的依法缴纳税收的相关材料（提供相关主管部门证明或银行代扣证明）。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5.投标人近一年中任意一个月份（不含投标当月）的依法缴纳社会保障资金的相关材料（提供相关主管部门证明或银行代扣证明）。</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6.《资格声明函》（给定格式）。</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（二）落实政府采购政策需满足的资格要求：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中小企业政策：本项目专门面向中小企业采购（残疾人福利性单位、监狱企业视同小型、微型企业）。本项目标的所属行业：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（三）本项目的特定资格要求： </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未被“信用中国”网站（www.creditchina.gov.cn）列入失信被执行人、重大税收违法案件当事人名单、政府采购严重失信行为记录名单。</w:t>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 </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p>
    <w:p>
      <w:pPr>
        <w:ind w:firstLine="540"/>
        <w:spacing w:line="500" w:lineRule="exact"/>
        <w:rPr>
          <w:rStyle w:val="917"/>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4.售价：0.00元</w:t>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ascii="宋体" w:hAnsi="宋体"/>
          <w:color w:val="000000"/>
          <w:sz w:val="24"/>
          <w:szCs w:val="24"/>
          <w:highlight w:val="none"/>
        </w:rPr>
        <w:t xml:space="preserve">：202</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10</w:t>
      </w:r>
      <w:r>
        <w:rPr>
          <w:rFonts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14</w:t>
      </w:r>
      <w:r>
        <w:rPr>
          <w:rFonts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点</w:t>
      </w:r>
      <w:r>
        <w:rPr>
          <w:rFonts w:hint="eastAsia" w:ascii="宋体" w:hAnsi="宋体"/>
          <w:color w:val="000000"/>
          <w:sz w:val="24"/>
          <w:szCs w:val="24"/>
          <w:highlight w:val="none"/>
        </w:rPr>
        <w:t xml:space="preserve">30</w:t>
      </w:r>
      <w:r>
        <w:rPr>
          <w:rFonts w:ascii="宋体" w:hAnsi="宋体"/>
          <w:color w:val="000000"/>
          <w:sz w:val="24"/>
          <w:szCs w:val="24"/>
          <w:highlight w:val="none"/>
        </w:rPr>
        <w:t xml:space="preserve">分（北京时</w:t>
      </w:r>
      <w:r>
        <w:rPr>
          <w:rFonts w:hint="eastAsia" w:ascii="宋体" w:hAnsi="宋体"/>
          <w:bCs/>
          <w:color w:val="000000"/>
          <w:sz w:val="24"/>
          <w:szCs w:val="24"/>
          <w:highlight w:val="none"/>
        </w:rPr>
        <w:t xml:space="preserve">间）</w:t>
      </w:r>
      <w:r/>
    </w:p>
    <w:p>
      <w:pPr>
        <w:ind w:firstLine="480"/>
        <w:spacing w:line="500" w:lineRule="exact"/>
        <w:rPr>
          <w:rFonts w:ascii="宋体" w:hAnsi="宋体"/>
          <w:bCs/>
          <w:color w:val="000000"/>
          <w:sz w:val="24"/>
          <w:szCs w:val="24"/>
          <w:highlight w:val="none"/>
          <w:u w:val="single"/>
        </w:rPr>
      </w:pPr>
      <w:r>
        <w:rPr>
          <w:rFonts w:hint="eastAsia" w:ascii="宋体" w:hAnsi="宋体"/>
          <w:color w:val="000000"/>
          <w:sz w:val="24"/>
          <w:szCs w:val="24"/>
          <w:highlight w:val="none"/>
        </w:rPr>
        <w:t xml:space="preserve">2.地点：江苏政府采购网</w:t>
      </w:r>
      <w:r>
        <w:rPr>
          <w:rFonts w:ascii="宋体" w:hAnsi="宋体"/>
          <w:color w:val="000000"/>
          <w:sz w:val="24"/>
          <w:szCs w:val="24"/>
          <w:highlight w:val="none"/>
        </w:rPr>
        <w:t xml:space="preserve">（苏采云）平台</w:t>
      </w:r>
      <w:r/>
    </w:p>
    <w:p>
      <w:pPr>
        <w:pStyle w:val="843"/>
        <w:ind w:firstLine="452"/>
        <w:keepLines w:val="0"/>
        <w:keepNext w:val="0"/>
        <w:spacing w:before="0" w:after="0" w:line="500" w:lineRule="exact"/>
        <w:rPr>
          <w:color w:val="000000"/>
          <w:sz w:val="30"/>
          <w:szCs w:val="30"/>
          <w:highlight w:val="none"/>
        </w:rPr>
      </w:pPr>
      <w:r/>
      <w:bookmarkStart w:id="27" w:name="_Toc35393794"/>
      <w:r/>
      <w:bookmarkStart w:id="28" w:name="_Toc35393625"/>
      <w:r/>
      <w:bookmarkStart w:id="29" w:name="_Toc38985267"/>
      <w:r/>
      <w:bookmarkStart w:id="30" w:name="_Toc28359084"/>
      <w:r/>
      <w:bookmarkStart w:id="31" w:name="_Toc28359007"/>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自本公告发布之日起5个工作日。</w:t>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843"/>
        <w:ind w:firstLine="452"/>
        <w:keepLines w:val="0"/>
        <w:keepNext w:val="0"/>
        <w:spacing w:before="0" w:after="0" w:line="500" w:lineRule="exact"/>
        <w:rPr>
          <w:color w:val="000000"/>
          <w:sz w:val="30"/>
          <w:szCs w:val="30"/>
          <w:highlight w:val="none"/>
        </w:rPr>
      </w:pPr>
      <w:r/>
      <w:bookmarkStart w:id="35" w:name="_Toc35393627"/>
      <w:r/>
      <w:bookmarkStart w:id="36" w:name="_Toc35393796"/>
      <w:r/>
      <w:bookmarkStart w:id="37" w:name="_Toc28359085"/>
      <w:r/>
      <w:bookmarkStart w:id="38" w:name="_Toc28359008"/>
      <w:r/>
      <w:bookmarkStart w:id="39" w:name="_Toc38985269"/>
      <w:r>
        <w:rPr>
          <w:rFonts w:hint="eastAsia"/>
          <w:color w:val="000000"/>
          <w:sz w:val="30"/>
          <w:szCs w:val="30"/>
          <w:highlight w:val="none"/>
        </w:rPr>
        <w:t xml:space="preserve">七、本项目联系方式</w:t>
      </w:r>
      <w:bookmarkEnd w:id="35"/>
      <w:r/>
      <w:bookmarkEnd w:id="36"/>
      <w:r/>
      <w:bookmarkEnd w:id="37"/>
      <w:r/>
      <w:bookmarkEnd w:id="38"/>
      <w:r/>
      <w:bookmarkEnd w:id="39"/>
      <w:r/>
      <w:r/>
    </w:p>
    <w:p>
      <w:pPr>
        <w:pStyle w:val="84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无锡经开和畅实验中学</w:t>
      </w:r>
      <w:r/>
    </w:p>
    <w:p>
      <w:pPr>
        <w:pStyle w:val="84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无锡经济开发区瑞景道768号</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pStyle w:val="843"/>
        <w:ind w:firstLine="452"/>
        <w:keepLines w:val="0"/>
        <w:keepNext w:val="0"/>
        <w:spacing w:before="0" w:after="0"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江苏经天纬地建设项目管理有限公司</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cs="宋体"/>
          <w:color w:val="000000"/>
          <w:sz w:val="24"/>
          <w:szCs w:val="24"/>
          <w:highlight w:val="none"/>
          <w:lang w:eastAsia="zh-CN"/>
        </w:rPr>
        <w:t xml:space="preserve">无锡市锡山区凤威路2号2号楼308</w:t>
      </w:r>
      <w:r>
        <w:rPr>
          <w:rFonts w:hint="eastAsia" w:ascii="宋体" w:hAnsi="宋体" w:cs="宋体"/>
          <w:color w:val="000000"/>
          <w:sz w:val="24"/>
          <w:szCs w:val="24"/>
          <w:highlight w:val="none"/>
        </w:rPr>
        <w:t xml:space="preserve"> </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pStyle w:val="843"/>
        <w:ind w:firstLine="452"/>
        <w:keepLines w:val="0"/>
        <w:keepNext w:val="0"/>
        <w:spacing w:before="0" w:after="0"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采购人项目咨询联系人：黄锴；电话：13921546063 </w:t>
      </w:r>
      <w:r/>
    </w:p>
    <w:p>
      <w:pPr>
        <w:pStyle w:val="843"/>
        <w:ind w:firstLine="452"/>
        <w:keepLines w:val="0"/>
        <w:keepNext w:val="0"/>
        <w:spacing w:before="0" w:after="0" w:line="500" w:lineRule="exact"/>
        <w:rPr>
          <w:rFonts w:hint="eastAsia"/>
          <w:color w:val="000000"/>
          <w:sz w:val="30"/>
          <w:szCs w:val="30"/>
          <w:highlight w:val="none"/>
        </w:rPr>
      </w:pPr>
      <w:r>
        <w:rPr>
          <w:rFonts w:hint="eastAsia" w:ascii="宋体" w:hAnsi="宋体" w:cs="宋体"/>
          <w:color w:val="000000"/>
          <w:sz w:val="24"/>
          <w:szCs w:val="24"/>
          <w:highlight w:val="none"/>
        </w:rPr>
        <w:t xml:space="preserve">代理机构项目联系人：黄锴；电话：13921546063</w:t>
      </w:r>
      <w:r/>
    </w:p>
    <w:p>
      <w:pPr>
        <w:pStyle w:val="8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”点击“</w:t>
      </w:r>
      <w:r>
        <w:rPr>
          <w:rFonts w:hint="eastAsia" w:ascii="宋体" w:hAnsi="宋体"/>
          <w:color w:val="000000"/>
          <w:sz w:val="24"/>
          <w:szCs w:val="24"/>
          <w:highlight w:val="none"/>
        </w:rPr>
        <w:t xml:space="preserve">江苏政府采购网</w:t>
      </w:r>
      <w:r>
        <w:rPr>
          <w:rFonts w:ascii="宋体" w:hAnsi="宋体"/>
          <w:color w:val="000000"/>
          <w:sz w:val="24"/>
          <w:szCs w:val="24"/>
          <w:highlight w:val="none"/>
        </w:rPr>
        <w:t xml:space="preserve">（苏采云）平台”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w:t>
      </w:r>
      <w:r>
        <w:rPr>
          <w:rFonts w:hint="eastAsia" w:ascii="宋体" w:hAnsi="宋体"/>
          <w:color w:val="000000"/>
          <w:sz w:val="24"/>
          <w:szCs w:val="24"/>
          <w:highlight w:val="none"/>
          <w:lang w:val="en-US" w:eastAsia="zh-CN"/>
        </w:rPr>
        <w:t xml:space="preserve">一</w:t>
      </w:r>
      <w:r>
        <w:rPr>
          <w:rFonts w:hint="eastAsia" w:ascii="宋体" w:hAnsi="宋体"/>
          <w:color w:val="000000"/>
          <w:sz w:val="24"/>
          <w:szCs w:val="24"/>
          <w:highlight w:val="none"/>
        </w:rPr>
        <w:t xml:space="preserve">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color w:val="000000"/>
          <w:highlight w:val="none"/>
        </w:rPr>
        <w:fldChar w:fldCharType="begin"/>
      </w:r>
      <w:r>
        <w:rPr>
          <w:color w:val="000000"/>
          <w:highlight w:val="none"/>
        </w:rPr>
        <w:instrText xml:space="preserve"> HYPERLINK "http://cz.wuxi.gov.cn/doc/2023/10/11/4080287.shtml" \t "_blank" \o "“苏采云”系统供应商操作手册"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spacing w:line="500" w:lineRule="exact"/>
        <w:tabs>
          <w:tab w:val="left" w:pos="1440" w:leader="none"/>
        </w:tabs>
        <w:rPr>
          <w:rFonts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20823274"/>
      <w:r/>
      <w:bookmarkStart w:id="42" w:name="_Toc120614213"/>
      <w:r/>
      <w:bookmarkStart w:id="43" w:name="_Toc513029202"/>
      <w:r/>
      <w:bookmarkStart w:id="44" w:name="_Toc16938518"/>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843"/>
        <w:ind w:firstLine="452"/>
        <w:keepLines w:val="0"/>
        <w:keepNext w:val="0"/>
        <w:spacing w:before="0" w:after="0" w:line="500" w:lineRule="exact"/>
        <w:rPr>
          <w:color w:val="000000"/>
          <w:sz w:val="30"/>
          <w:szCs w:val="30"/>
          <w:highlight w:val="none"/>
        </w:rPr>
      </w:pPr>
      <w:r/>
      <w:bookmarkStart w:id="45" w:name="_Toc120614214"/>
      <w:r/>
      <w:bookmarkStart w:id="46" w:name="_Toc513029203"/>
      <w:r/>
      <w:bookmarkStart w:id="47" w:name="_Toc20823275"/>
      <w:r/>
      <w:bookmarkStart w:id="48" w:name="_Toc16938519"/>
      <w:r>
        <w:rPr>
          <w:rFonts w:hint="eastAsia"/>
          <w:color w:val="000000"/>
          <w:sz w:val="30"/>
          <w:szCs w:val="30"/>
          <w:highlight w:val="none"/>
        </w:rPr>
        <w:t xml:space="preserve">一、总则</w:t>
      </w:r>
      <w:bookmarkEnd w:id="45"/>
      <w:r/>
      <w:bookmarkEnd w:id="46"/>
      <w:r/>
      <w:bookmarkEnd w:id="47"/>
      <w:r/>
      <w:bookmarkEnd w:id="48"/>
      <w:r/>
      <w:r/>
    </w:p>
    <w:p>
      <w:pPr>
        <w:pStyle w:val="845"/>
        <w:ind w:firstLine="422"/>
        <w:keepLines w:val="0"/>
        <w:keepNext w:val="0"/>
        <w:spacing w:before="0" w:after="0" w:line="500" w:lineRule="exact"/>
        <w:rPr>
          <w:rFonts w:ascii="宋体" w:hAnsi="宋体" w:eastAsia="宋体"/>
          <w:bCs w:val="0"/>
          <w:color w:val="000000"/>
          <w:highlight w:val="none"/>
        </w:rPr>
      </w:pPr>
      <w:r/>
      <w:bookmarkStart w:id="49" w:name="_Hlt16619475"/>
      <w:r/>
      <w:bookmarkEnd w:id="49"/>
      <w:r/>
      <w:bookmarkStart w:id="50" w:name="_Toc513029204"/>
      <w:r/>
      <w:bookmarkStart w:id="51" w:name="_Toc20823276"/>
      <w:r/>
      <w:bookmarkStart w:id="52" w:name="_Toc16938520"/>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845"/>
        <w:ind w:firstLine="422"/>
        <w:keepLines w:val="0"/>
        <w:keepNext w:val="0"/>
        <w:spacing w:before="0" w:after="0" w:line="500" w:lineRule="exact"/>
        <w:rPr>
          <w:rFonts w:ascii="宋体" w:hAnsi="宋体" w:eastAsia="宋体"/>
          <w:bCs w:val="0"/>
          <w:color w:val="000000"/>
          <w:highlight w:val="none"/>
        </w:rPr>
      </w:pPr>
      <w:r/>
      <w:bookmarkStart w:id="53" w:name="_Toc513029205"/>
      <w:r/>
      <w:bookmarkStart w:id="54" w:name="_Toc20823277"/>
      <w:r/>
      <w:bookmarkStart w:id="55" w:name="_Toc16938521"/>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45"/>
        <w:ind w:firstLine="422"/>
        <w:keepLines w:val="0"/>
        <w:keepNext w:val="0"/>
        <w:spacing w:before="0" w:after="0" w:line="500" w:lineRule="exact"/>
        <w:rPr>
          <w:rFonts w:ascii="宋体" w:hAnsi="宋体" w:eastAsia="宋体"/>
          <w:bCs w:val="0"/>
          <w:color w:val="000000"/>
          <w:highlight w:val="none"/>
        </w:rPr>
      </w:pPr>
      <w:r/>
      <w:bookmarkStart w:id="56" w:name="_Toc513029206"/>
      <w:r/>
      <w:bookmarkStart w:id="57" w:name="_Toc20823278"/>
      <w:r/>
      <w:bookmarkStart w:id="58" w:name="_Toc16938522"/>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845"/>
        <w:ind w:firstLine="422"/>
        <w:keepLines w:val="0"/>
        <w:keepNext w:val="0"/>
        <w:spacing w:before="0" w:after="0" w:line="500" w:lineRule="exact"/>
        <w:rPr>
          <w:rFonts w:ascii="宋体" w:hAnsi="宋体" w:eastAsia="宋体"/>
          <w:bCs w:val="0"/>
          <w:color w:val="000000"/>
          <w:highlight w:val="none"/>
        </w:rPr>
      </w:pPr>
      <w:r/>
      <w:bookmarkStart w:id="59" w:name="_Toc20823279"/>
      <w:r/>
      <w:bookmarkStart w:id="60" w:name="_Toc513029207"/>
      <w:r/>
      <w:bookmarkStart w:id="61" w:name="_Toc462564067"/>
      <w:r/>
      <w:bookmarkStart w:id="62" w:name="_Toc16938523"/>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4.1采购代理服务费由</w:t>
      </w:r>
      <w:r>
        <w:rPr>
          <w:rFonts w:hint="eastAsia" w:ascii="宋体" w:hAnsi="宋体"/>
          <w:bCs/>
          <w:color w:val="000000"/>
          <w:sz w:val="24"/>
          <w:highlight w:val="none"/>
          <w:lang w:val="en-US" w:eastAsia="zh-CN"/>
        </w:rPr>
        <w:t xml:space="preserve">采购</w:t>
      </w:r>
      <w:r>
        <w:rPr>
          <w:rFonts w:hint="eastAsia" w:ascii="宋体" w:hAnsi="宋体"/>
          <w:bCs/>
          <w:color w:val="000000"/>
          <w:sz w:val="24"/>
          <w:highlight w:val="none"/>
        </w:rPr>
        <w:t xml:space="preserve">人支付。</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4.2投标人应自行承担所有与参加投标有关的费用，无论投标过程中的做法和结果如何，</w:t>
      </w:r>
      <w:r>
        <w:rPr>
          <w:rFonts w:hint="eastAsia" w:ascii="宋体" w:hAnsi="宋体"/>
          <w:color w:val="000000"/>
          <w:sz w:val="24"/>
          <w:highlight w:val="none"/>
          <w:lang w:eastAsia="zh-CN"/>
        </w:rPr>
        <w:t xml:space="preserve">江苏经天纬地建设项目管理有限公司</w:t>
      </w:r>
      <w:r>
        <w:rPr>
          <w:rFonts w:hint="eastAsia" w:ascii="宋体" w:hAnsi="宋体"/>
          <w:color w:val="000000"/>
          <w:sz w:val="24"/>
          <w:highlight w:val="none"/>
        </w:rPr>
        <w:t xml:space="preserve">（以下简称代理机构）在任何情况下均无义务和责任承担这些费用。</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843"/>
        <w:ind w:firstLine="452"/>
        <w:keepLines w:val="0"/>
        <w:keepNext w:val="0"/>
        <w:spacing w:before="0" w:after="0" w:line="500" w:lineRule="exact"/>
        <w:rPr>
          <w:color w:val="000000"/>
          <w:sz w:val="30"/>
          <w:szCs w:val="30"/>
          <w:highlight w:val="none"/>
        </w:rPr>
      </w:pPr>
      <w:r/>
      <w:bookmarkStart w:id="63" w:name="_Toc513029209"/>
      <w:r/>
      <w:bookmarkStart w:id="64" w:name="_Toc120614215"/>
      <w:r/>
      <w:bookmarkStart w:id="65" w:name="_Toc20823281"/>
      <w:r/>
      <w:bookmarkStart w:id="66" w:name="_Toc16938525"/>
      <w:r>
        <w:rPr>
          <w:rFonts w:hint="eastAsia"/>
          <w:color w:val="000000"/>
          <w:sz w:val="30"/>
          <w:szCs w:val="30"/>
          <w:highlight w:val="none"/>
        </w:rPr>
        <w:t xml:space="preserve">二、招标文件</w:t>
      </w:r>
      <w:bookmarkEnd w:id="63"/>
      <w:r/>
      <w:bookmarkEnd w:id="64"/>
      <w:r/>
      <w:bookmarkEnd w:id="65"/>
      <w:r/>
      <w:bookmarkEnd w:id="66"/>
      <w:r/>
      <w:r/>
    </w:p>
    <w:p>
      <w:pPr>
        <w:pStyle w:val="845"/>
        <w:ind w:firstLine="422"/>
        <w:keepLines w:val="0"/>
        <w:keepNext w:val="0"/>
        <w:spacing w:before="0" w:after="0" w:line="500" w:lineRule="exact"/>
        <w:rPr>
          <w:rFonts w:ascii="宋体" w:hAnsi="宋体" w:eastAsia="宋体"/>
          <w:bCs w:val="0"/>
          <w:color w:val="000000"/>
          <w:highlight w:val="none"/>
        </w:rPr>
      </w:pPr>
      <w:r/>
      <w:bookmarkStart w:id="67" w:name="_Toc16938526"/>
      <w:r/>
      <w:bookmarkStart w:id="68" w:name="_Toc20823282"/>
      <w:r/>
      <w:bookmarkStart w:id="69" w:name="_Toc513029210"/>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请仔细检查招标文件是否齐全，如有缺漏请立即与代理机构联系解决。</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5"/>
        <w:ind w:firstLine="422"/>
        <w:keepLines w:val="0"/>
        <w:keepNext w:val="0"/>
        <w:spacing w:before="0" w:after="0" w:line="500" w:lineRule="exact"/>
        <w:rPr>
          <w:rFonts w:ascii="宋体" w:hAnsi="宋体" w:eastAsia="宋体"/>
          <w:bCs w:val="0"/>
          <w:color w:val="000000"/>
          <w:highlight w:val="none"/>
        </w:rPr>
      </w:pPr>
      <w:r/>
      <w:bookmarkStart w:id="70" w:name="_Toc513029211"/>
      <w:r/>
      <w:bookmarkStart w:id="71" w:name="_Toc16938527"/>
      <w:r/>
      <w:bookmarkStart w:id="72" w:name="_Toc20823283"/>
      <w:r/>
      <w:bookmarkStart w:id="73" w:name="_Toc462564070"/>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代理机构以书面形式提出。</w:t>
      </w:r>
      <w:r/>
    </w:p>
    <w:p>
      <w:pPr>
        <w:pStyle w:val="845"/>
        <w:ind w:firstLine="422"/>
        <w:keepLines w:val="0"/>
        <w:keepNext w:val="0"/>
        <w:spacing w:before="0" w:after="0" w:line="500" w:lineRule="exact"/>
        <w:rPr>
          <w:rFonts w:ascii="宋体" w:hAnsi="宋体" w:eastAsia="宋体"/>
          <w:bCs w:val="0"/>
          <w:color w:val="000000"/>
          <w:highlight w:val="none"/>
        </w:rPr>
      </w:pPr>
      <w:r/>
      <w:bookmarkStart w:id="74" w:name="_Toc513029212"/>
      <w:r/>
      <w:bookmarkStart w:id="75" w:name="_Toc16938528"/>
      <w:r/>
      <w:bookmarkStart w:id="76" w:name="_Toc462564071"/>
      <w:r/>
      <w:bookmarkStart w:id="77" w:name="_Toc20823284"/>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8.1代理机构可在投标截止时间十五日前对招标文件进行必要的澄清或者修改，不足十五日的，将顺延提交投标文件的截止时间和开标日期。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843"/>
        <w:ind w:firstLine="452"/>
        <w:keepLines w:val="0"/>
        <w:keepNext w:val="0"/>
        <w:spacing w:before="0" w:after="0" w:line="500" w:lineRule="exact"/>
        <w:rPr>
          <w:color w:val="000000"/>
          <w:sz w:val="30"/>
          <w:szCs w:val="30"/>
          <w:highlight w:val="none"/>
        </w:rPr>
      </w:pPr>
      <w:r/>
      <w:bookmarkStart w:id="78" w:name="_Toc462564072"/>
      <w:r/>
      <w:bookmarkStart w:id="79" w:name="_Toc513029213"/>
      <w:r/>
      <w:bookmarkStart w:id="80" w:name="_Toc120614216"/>
      <w:r/>
      <w:bookmarkStart w:id="81" w:name="_Toc20823285"/>
      <w:r/>
      <w:bookmarkStart w:id="82" w:name="_Toc16938529"/>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845"/>
        <w:ind w:firstLine="422"/>
        <w:keepLines w:val="0"/>
        <w:keepNext w:val="0"/>
        <w:spacing w:before="0" w:after="0" w:line="500" w:lineRule="exact"/>
        <w:rPr>
          <w:rFonts w:ascii="宋体" w:hAnsi="宋体" w:eastAsia="宋体"/>
          <w:bCs w:val="0"/>
          <w:color w:val="000000"/>
          <w:highlight w:val="none"/>
        </w:rPr>
      </w:pPr>
      <w:r/>
      <w:bookmarkStart w:id="83" w:name="_Toc513029214"/>
      <w:r/>
      <w:bookmarkStart w:id="84" w:name="_Toc462564073"/>
      <w:r/>
      <w:bookmarkStart w:id="85" w:name="_Toc20823286"/>
      <w:r/>
      <w:bookmarkStart w:id="86" w:name="_Toc16938530"/>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9.3投标文件由投标人按给定格式如实填写</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编写</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，须有法人</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盖章</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、法定代表人或法定代表人授权代表签字或盖章，方为有效，未尽事宜可自行补充。</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9.4如无特别说明，投标人报价一律以人民币为投标结算货币，结算单位为“元”。</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9.5投标文件格式部分，应由投标人按给定格式提供，不得更改。</w:t>
      </w:r>
      <w:r/>
    </w:p>
    <w:p>
      <w:pPr>
        <w:ind w:firstLine="48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9.6.投标人在制作电子投标文件时，请正确关联到对应</w:t>
      </w:r>
      <w:r>
        <w:rPr>
          <w:rFonts w:hint="eastAsia" w:ascii="宋体" w:hAnsi="宋体" w:cs="宋体"/>
          <w:bCs/>
          <w:color w:val="000000"/>
          <w:sz w:val="24"/>
          <w:szCs w:val="24"/>
          <w:highlight w:val="none"/>
          <w:lang w:eastAsia="zh-CN" w:bidi="ar"/>
        </w:rPr>
        <w:t xml:space="preserve">页面</w:t>
      </w:r>
      <w:r>
        <w:rPr>
          <w:rFonts w:hint="eastAsia" w:ascii="宋体" w:hAnsi="宋体" w:cs="宋体"/>
          <w:bCs/>
          <w:color w:val="000000"/>
          <w:sz w:val="24"/>
          <w:szCs w:val="24"/>
          <w:highlight w:val="none"/>
          <w:lang w:bidi="ar"/>
        </w:rPr>
        <w:t xml:space="preserve">，在评审过程中，评审专家如因在相对应页面找不到该相关联的文件，由此产生的后果由投标人自行承担。</w:t>
      </w:r>
      <w:r/>
    </w:p>
    <w:p>
      <w:pPr>
        <w:ind w:firstLine="480"/>
        <w:spacing w:line="500" w:lineRule="exact"/>
        <w:rPr>
          <w:rFonts w:hint="eastAsia" w:ascii="宋体" w:hAnsi="宋体"/>
          <w:bCs/>
          <w:color w:val="000000"/>
          <w:sz w:val="24"/>
          <w:szCs w:val="24"/>
          <w:highlight w:val="none"/>
        </w:rPr>
      </w:pPr>
      <w:r>
        <w:rPr>
          <w:rFonts w:hint="eastAsia" w:ascii="宋体" w:hAnsi="宋体" w:cs="宋体"/>
          <w:bCs/>
          <w:color w:val="000000"/>
          <w:sz w:val="24"/>
          <w:szCs w:val="24"/>
          <w:highlight w:val="none"/>
          <w:lang w:bidi="ar"/>
        </w:rPr>
        <w:t xml:space="preserve">9.7投标费用自理。</w:t>
      </w:r>
      <w:r/>
    </w:p>
    <w:p>
      <w:pPr>
        <w:ind w:firstLine="482"/>
        <w:jc w:val="left"/>
        <w:spacing w:line="500" w:lineRule="exact"/>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9.8在评分标准中除了投标报价外，还须包含商务部分和技术部分两大部分</w:t>
      </w:r>
      <w:r>
        <w:rPr>
          <w:rFonts w:hint="eastAsia" w:ascii="宋体" w:hAnsi="宋体" w:cs="宋体"/>
          <w:b/>
          <w:bCs/>
          <w:color w:val="000000"/>
          <w:sz w:val="24"/>
          <w:szCs w:val="24"/>
          <w:highlight w:val="none"/>
          <w:lang w:eastAsia="zh-CN" w:bidi="ar"/>
        </w:rPr>
        <w:t xml:space="preserve">。</w:t>
      </w:r>
      <w:r/>
    </w:p>
    <w:p>
      <w:pPr>
        <w:pStyle w:val="845"/>
        <w:ind w:firstLine="422"/>
        <w:keepLines w:val="0"/>
        <w:keepNext w:val="0"/>
        <w:spacing w:before="0" w:after="0" w:line="500" w:lineRule="exact"/>
        <w:rPr>
          <w:rFonts w:ascii="宋体" w:hAnsi="宋体" w:eastAsia="宋体"/>
          <w:bCs w:val="0"/>
          <w:color w:val="000000"/>
          <w:highlight w:val="none"/>
        </w:rPr>
      </w:pPr>
      <w:r/>
      <w:bookmarkStart w:id="87" w:name="_Toc462564074"/>
      <w:r/>
      <w:bookmarkStart w:id="88" w:name="_Toc20823287"/>
      <w:r/>
      <w:bookmarkStart w:id="89" w:name="_Toc16938531"/>
      <w:r/>
      <w:bookmarkStart w:id="90" w:name="_Toc513029215"/>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投标产品配置及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845"/>
        <w:ind w:firstLine="422"/>
        <w:keepLines w:val="0"/>
        <w:keepNext w:val="0"/>
        <w:spacing w:before="0" w:after="0" w:line="500" w:lineRule="exact"/>
        <w:rPr>
          <w:rFonts w:ascii="宋体" w:hAnsi="宋体" w:eastAsia="宋体"/>
          <w:bCs w:val="0"/>
          <w:color w:val="000000"/>
          <w:highlight w:val="none"/>
        </w:rPr>
      </w:pPr>
      <w:r/>
      <w:bookmarkStart w:id="91" w:name="_Hlt26954838"/>
      <w:r/>
      <w:bookmarkEnd w:id="91"/>
      <w:r/>
      <w:bookmarkStart w:id="92" w:name="_Hlt26670360"/>
      <w:r/>
      <w:bookmarkEnd w:id="92"/>
      <w:r/>
      <w:bookmarkStart w:id="93" w:name="_Hlt26668975"/>
      <w:r/>
      <w:bookmarkEnd w:id="93"/>
      <w:r/>
      <w:bookmarkStart w:id="94" w:name="_Toc513029219"/>
      <w:r/>
      <w:bookmarkStart w:id="95" w:name="_Toc14577354"/>
      <w:r/>
      <w:bookmarkStart w:id="96" w:name="_Toc513029216"/>
      <w:r/>
      <w:bookmarkStart w:id="97" w:name="_Toc14577357"/>
      <w:r/>
      <w:bookmarkStart w:id="98" w:name="_Toc49090509"/>
      <w:r/>
      <w:bookmarkStart w:id="99" w:name="_Toc49090507"/>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ascii="宋体" w:hAnsi="宋体"/>
          <w:bCs/>
          <w:color w:val="000000"/>
          <w:sz w:val="24"/>
          <w:highlight w:val="none"/>
        </w:rPr>
      </w:pPr>
      <w:r/>
      <w:bookmarkStart w:id="100" w:name="_Toc14577355"/>
      <w:r/>
      <w:bookmarkStart w:id="101" w:name="_Toc49090508"/>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845"/>
        <w:ind w:firstLine="422"/>
        <w:keepLines w:val="0"/>
        <w:keepNext w:val="0"/>
        <w:spacing w:before="0" w:after="0" w:line="500" w:lineRule="exact"/>
        <w:rPr>
          <w:rFonts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45"/>
        <w:ind w:firstLine="422"/>
        <w:keepLines w:val="0"/>
        <w:keepNext w:val="0"/>
        <w:spacing w:before="0" w:after="0" w:line="500" w:lineRule="exact"/>
        <w:rPr>
          <w:rFonts w:hint="eastAsia" w:ascii="宋体" w:hAnsi="宋体" w:eastAsia="宋体"/>
          <w:bCs w:val="0"/>
          <w:color w:val="000000"/>
          <w:highlight w:val="none"/>
          <w:lang w:eastAsia="zh-CN"/>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lang w:eastAsia="zh-CN"/>
        </w:rPr>
        <w:t xml:space="preserve">投标产品配置及分项报价表</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lang w:eastAsia="zh-CN"/>
        </w:rPr>
        <w:t xml:space="preserve">投标产品配置及分项报价表</w:t>
      </w:r>
      <w:r>
        <w:rPr>
          <w:rFonts w:hint="eastAsia" w:ascii="宋体" w:hAnsi="宋体"/>
          <w:color w:val="000000"/>
          <w:sz w:val="24"/>
          <w:highlight w:val="none"/>
        </w:rPr>
        <w:t xml:space="preserve">。</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845"/>
        <w:ind w:firstLine="422"/>
        <w:keepLines w:val="0"/>
        <w:keepNext w:val="0"/>
        <w:spacing w:before="0" w:after="0" w:line="500" w:lineRule="exact"/>
        <w:rPr>
          <w:rFonts w:ascii="宋体" w:hAnsi="宋体" w:eastAsia="宋体"/>
          <w:bCs w:val="0"/>
          <w:color w:val="000000"/>
          <w:highlight w:val="none"/>
        </w:rPr>
      </w:pPr>
      <w:r/>
      <w:bookmarkStart w:id="106" w:name="_Hlt26954844"/>
      <w:r/>
      <w:bookmarkEnd w:id="106"/>
      <w:r/>
      <w:bookmarkStart w:id="107" w:name="_Hlt26670425"/>
      <w:r/>
      <w:bookmarkEnd w:id="107"/>
      <w:r/>
      <w:bookmarkStart w:id="108" w:name="_Hlt26954846"/>
      <w:r/>
      <w:bookmarkEnd w:id="108"/>
      <w:r/>
      <w:bookmarkStart w:id="109" w:name="_Hlt26670482"/>
      <w:r/>
      <w:bookmarkEnd w:id="109"/>
      <w:r/>
      <w:bookmarkStart w:id="110" w:name="_Hlt26954848"/>
      <w:r/>
      <w:bookmarkEnd w:id="110"/>
      <w:r/>
      <w:bookmarkStart w:id="111" w:name="_Hlt26668983"/>
      <w:r/>
      <w:bookmarkEnd w:id="111"/>
      <w:r/>
      <w:bookmarkStart w:id="112" w:name="_Hlt26670403"/>
      <w:r/>
      <w:bookmarkEnd w:id="112"/>
      <w:r/>
      <w:bookmarkStart w:id="113" w:name="_Hlt26954842"/>
      <w:r/>
      <w:bookmarkEnd w:id="113"/>
      <w:r/>
      <w:bookmarkStart w:id="114" w:name="_Hlt26670486"/>
      <w:r/>
      <w:bookmarkEnd w:id="114"/>
      <w:r/>
      <w:bookmarkStart w:id="115" w:name="_Hlt26954731"/>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845"/>
        <w:ind w:firstLine="422"/>
        <w:keepLines w:val="0"/>
        <w:keepNext w:val="0"/>
        <w:spacing w:before="0" w:after="0" w:line="500" w:lineRule="exact"/>
        <w:rPr>
          <w:rFonts w:ascii="宋体" w:hAnsi="宋体" w:eastAsia="宋体"/>
          <w:bCs w:val="0"/>
          <w:color w:val="000000"/>
          <w:highlight w:val="none"/>
        </w:rPr>
      </w:pPr>
      <w:r/>
      <w:bookmarkStart w:id="116" w:name="_Hlt26954734"/>
      <w:r/>
      <w:bookmarkEnd w:id="116"/>
      <w:r/>
      <w:bookmarkStart w:id="117" w:name="_Hlt26670489"/>
      <w:r/>
      <w:bookmarkEnd w:id="117"/>
      <w:r/>
      <w:bookmarkStart w:id="118" w:name="_Hlt26954850"/>
      <w:r/>
      <w:bookmarkEnd w:id="118"/>
      <w:r/>
      <w:bookmarkStart w:id="119" w:name="_Toc14577360"/>
      <w:r/>
      <w:bookmarkStart w:id="120" w:name="_Toc49090511"/>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843"/>
        <w:ind w:firstLine="452"/>
        <w:keepLines w:val="0"/>
        <w:keepNext w:val="0"/>
        <w:spacing w:before="0" w:after="0" w:line="500" w:lineRule="exact"/>
        <w:rPr>
          <w:color w:val="000000"/>
          <w:sz w:val="30"/>
          <w:szCs w:val="30"/>
          <w:highlight w:val="none"/>
        </w:rPr>
      </w:pPr>
      <w:r/>
      <w:bookmarkStart w:id="121" w:name="_Hlt26954852"/>
      <w:r/>
      <w:bookmarkEnd w:id="121"/>
      <w:r/>
      <w:bookmarkStart w:id="122" w:name="_Hlt26954739"/>
      <w:r/>
      <w:bookmarkEnd w:id="122"/>
      <w:r/>
      <w:bookmarkStart w:id="123" w:name="_Toc20823296"/>
      <w:r/>
      <w:bookmarkStart w:id="124" w:name="_Toc16938540"/>
      <w:r/>
      <w:bookmarkStart w:id="125" w:name="_Toc513029224"/>
      <w:r/>
      <w:bookmarkStart w:id="126" w:name="_Toc120614217"/>
      <w:r>
        <w:rPr>
          <w:rFonts w:hint="eastAsia"/>
          <w:color w:val="000000"/>
          <w:sz w:val="30"/>
          <w:szCs w:val="30"/>
          <w:highlight w:val="none"/>
        </w:rPr>
        <w:t xml:space="preserve">四、投标文件的递交</w:t>
      </w:r>
      <w:bookmarkEnd w:id="123"/>
      <w:r/>
      <w:bookmarkEnd w:id="124"/>
      <w:r/>
      <w:bookmarkEnd w:id="125"/>
      <w:r/>
      <w:bookmarkEnd w:id="126"/>
      <w:r/>
      <w:r/>
    </w:p>
    <w:p>
      <w:pPr>
        <w:pStyle w:val="845"/>
        <w:ind w:firstLine="422"/>
        <w:keepLines w:val="0"/>
        <w:keepNext w:val="0"/>
        <w:spacing w:before="0" w:after="0" w:line="500" w:lineRule="exact"/>
        <w:rPr>
          <w:rFonts w:ascii="宋体" w:hAnsi="宋体" w:eastAsia="宋体"/>
          <w:bCs w:val="0"/>
          <w:color w:val="000000"/>
          <w:highlight w:val="none"/>
        </w:rPr>
      </w:pPr>
      <w:r/>
      <w:bookmarkStart w:id="127" w:name="_Toc513029225"/>
      <w:r/>
      <w:bookmarkStart w:id="128" w:name="_Toc462564084"/>
      <w:r/>
      <w:bookmarkStart w:id="129" w:name="_Toc20823297"/>
      <w:r/>
      <w:bookmarkStart w:id="130" w:name="_Toc16938541"/>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920"/>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bookmarkStart w:id="132" w:name="_Toc513029226"/>
      <w:r/>
      <w:bookmarkStart w:id="133" w:name="_Toc20823298"/>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代理机构可以按照规定，通过更正公告修改投标截止时间，投标人的所有权利和义务以及投标人受制的截止时间均应以延长后新的截止时间为准。</w:t>
      </w:r>
      <w:r/>
    </w:p>
    <w:p>
      <w:pPr>
        <w:pStyle w:val="845"/>
        <w:ind w:firstLine="422"/>
        <w:keepLines w:val="0"/>
        <w:keepNext w:val="0"/>
        <w:spacing w:before="0" w:after="0" w:line="500" w:lineRule="exact"/>
        <w:rPr>
          <w:rFonts w:ascii="宋体" w:hAnsi="宋体" w:eastAsia="宋体"/>
          <w:bCs w:val="0"/>
          <w:color w:val="000000"/>
          <w:highlight w:val="none"/>
        </w:rPr>
      </w:pPr>
      <w:r/>
      <w:bookmarkStart w:id="134" w:name="_Toc16938543"/>
      <w:r/>
      <w:bookmarkStart w:id="135" w:name="_Toc513029227"/>
      <w:r/>
      <w:bookmarkStart w:id="136" w:name="_Toc20823299"/>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代理机构拒绝接收在其规定的投标截止时间后上传的任何投标文件。</w:t>
      </w:r>
      <w:r/>
    </w:p>
    <w:p>
      <w:pPr>
        <w:pStyle w:val="845"/>
        <w:ind w:firstLine="422"/>
        <w:keepLines w:val="0"/>
        <w:keepNext w:val="0"/>
        <w:spacing w:before="0" w:after="0" w:line="500" w:lineRule="exact"/>
        <w:rPr>
          <w:rFonts w:ascii="宋体" w:hAnsi="宋体" w:eastAsia="宋体"/>
          <w:bCs w:val="0"/>
          <w:color w:val="000000"/>
          <w:highlight w:val="none"/>
        </w:rPr>
      </w:pPr>
      <w:r/>
      <w:bookmarkStart w:id="137" w:name="_Toc513029228"/>
      <w:r/>
      <w:bookmarkStart w:id="138" w:name="_Toc20823300"/>
      <w:r/>
      <w:bookmarkStart w:id="139" w:name="_Toc16938544"/>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843"/>
        <w:ind w:firstLine="452"/>
        <w:keepLines w:val="0"/>
        <w:keepNext w:val="0"/>
        <w:spacing w:before="0" w:after="0" w:line="500" w:lineRule="exact"/>
        <w:rPr>
          <w:color w:val="000000"/>
          <w:sz w:val="30"/>
          <w:szCs w:val="30"/>
          <w:highlight w:val="none"/>
        </w:rPr>
      </w:pPr>
      <w:r/>
      <w:bookmarkStart w:id="140" w:name="_Toc20823301"/>
      <w:r/>
      <w:bookmarkStart w:id="141" w:name="_Toc513029229"/>
      <w:r/>
      <w:bookmarkStart w:id="142" w:name="_Toc120614218"/>
      <w:r/>
      <w:bookmarkStart w:id="143" w:name="_Toc16938545"/>
      <w:r>
        <w:rPr>
          <w:rFonts w:hint="eastAsia"/>
          <w:color w:val="000000"/>
          <w:sz w:val="30"/>
          <w:szCs w:val="30"/>
          <w:highlight w:val="none"/>
        </w:rPr>
        <w:t xml:space="preserve">五、开标与评标</w:t>
      </w:r>
      <w:bookmarkEnd w:id="140"/>
      <w:r/>
      <w:bookmarkEnd w:id="141"/>
      <w:r/>
      <w:bookmarkEnd w:id="142"/>
      <w:r/>
      <w:bookmarkEnd w:id="143"/>
      <w:r/>
      <w:r/>
    </w:p>
    <w:p>
      <w:pPr>
        <w:pStyle w:val="845"/>
        <w:ind w:firstLine="422"/>
        <w:keepLines w:val="0"/>
        <w:keepNext w:val="0"/>
        <w:spacing w:before="0" w:after="0" w:line="500" w:lineRule="exact"/>
        <w:rPr>
          <w:rFonts w:ascii="宋体" w:hAnsi="宋体" w:eastAsia="宋体"/>
          <w:bCs w:val="0"/>
          <w:color w:val="000000"/>
          <w:highlight w:val="none"/>
        </w:rPr>
      </w:pPr>
      <w:r/>
      <w:bookmarkStart w:id="144" w:name="_Toc513029230"/>
      <w:r/>
      <w:bookmarkStart w:id="145" w:name="_Toc20823302"/>
      <w:r/>
      <w:bookmarkStart w:id="146" w:name="_Toc16938546"/>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代理机构将在招标公告中规定的时间和地点组织公开开标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21.2开标仪式由代理机构组织。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845"/>
        <w:ind w:firstLine="422"/>
        <w:keepLines w:val="0"/>
        <w:keepNext w:val="0"/>
        <w:spacing w:before="0" w:after="0" w:line="500" w:lineRule="exact"/>
        <w:rPr>
          <w:rFonts w:ascii="宋体" w:hAnsi="宋体" w:eastAsia="宋体"/>
          <w:bCs w:val="0"/>
          <w:color w:val="000000"/>
          <w:highlight w:val="none"/>
        </w:rPr>
      </w:pPr>
      <w:r/>
      <w:bookmarkStart w:id="147" w:name="_Toc513029231"/>
      <w:r/>
      <w:bookmarkStart w:id="148" w:name="_Toc20823303"/>
      <w:r/>
      <w:bookmarkStart w:id="149" w:name="_Toc16938547"/>
      <w:r>
        <w:rPr>
          <w:rFonts w:hint="eastAsia" w:ascii="宋体" w:hAnsi="宋体" w:eastAsia="宋体"/>
          <w:bCs w:val="0"/>
          <w:color w:val="000000"/>
          <w:highlight w:val="none"/>
        </w:rPr>
        <w:t xml:space="preserve">22.评标委员会</w:t>
      </w:r>
      <w:r/>
    </w:p>
    <w:p>
      <w:pPr>
        <w:ind w:firstLine="480"/>
        <w:spacing w:line="500" w:lineRule="exact"/>
        <w:rPr>
          <w:rFonts w:ascii="宋体" w:hAnsi="宋体"/>
          <w:b/>
          <w:color w:val="000000"/>
          <w:sz w:val="24"/>
          <w:szCs w:val="24"/>
          <w:highlight w:val="none"/>
        </w:rPr>
      </w:pPr>
      <w:r>
        <w:rPr>
          <w:rFonts w:hint="eastAsia" w:ascii="宋体" w:hAnsi="宋体"/>
          <w:color w:val="000000"/>
          <w:sz w:val="24"/>
          <w:szCs w:val="24"/>
          <w:highlight w:val="none"/>
        </w:rPr>
        <w:t xml:space="preserve">22.1开标后，代理机构将立即组织评标委员会（以下简称评委会）进行评标。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代理机构和评标委员会不向未中标的投标人解释未中标原因，也不公布评标过程中的相关细节。</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845"/>
        <w:ind w:firstLine="422"/>
        <w:keepLines w:val="0"/>
        <w:keepNext w:val="0"/>
        <w:spacing w:before="0" w:after="0" w:line="500" w:lineRule="exact"/>
        <w:rPr>
          <w:rFonts w:ascii="宋体" w:hAnsi="宋体" w:eastAsia="宋体"/>
          <w:bCs w:val="0"/>
          <w:color w:val="000000"/>
          <w:highlight w:val="none"/>
        </w:rPr>
      </w:pPr>
      <w:r/>
      <w:bookmarkStart w:id="150" w:name="_Toc513029232"/>
      <w:r/>
      <w:bookmarkStart w:id="151" w:name="_Toc16938548"/>
      <w:r/>
      <w:bookmarkStart w:id="152" w:name="_Toc20823304"/>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p>
    <w:p>
      <w:pPr>
        <w:pStyle w:val="845"/>
        <w:ind w:firstLine="422"/>
        <w:keepLines w:val="0"/>
        <w:keepNext w:val="0"/>
        <w:spacing w:before="0" w:after="0" w:line="500" w:lineRule="exact"/>
        <w:rPr>
          <w:rFonts w:ascii="宋体" w:hAnsi="宋体" w:eastAsia="宋体"/>
          <w:bCs w:val="0"/>
          <w:color w:val="000000"/>
          <w:highlight w:val="none"/>
        </w:rPr>
      </w:pPr>
      <w:r/>
      <w:bookmarkStart w:id="153" w:name="_Toc20823305"/>
      <w:r/>
      <w:bookmarkStart w:id="154" w:name="_Toc16938549"/>
      <w:r/>
      <w:bookmarkStart w:id="155" w:name="_Toc513029233"/>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w:t>
      </w:r>
      <w:r>
        <w:rPr>
          <w:rFonts w:hint="eastAsia" w:ascii="宋体" w:hAnsi="宋体" w:cs="宋体"/>
          <w:bCs/>
          <w:color w:val="000000"/>
          <w:sz w:val="24"/>
          <w:szCs w:val="24"/>
          <w:highlight w:val="none"/>
          <w:lang w:eastAsia="zh-CN"/>
        </w:rPr>
        <w:t xml:space="preserve">投标人</w:t>
      </w:r>
      <w:r>
        <w:rPr>
          <w:rFonts w:hint="eastAsia" w:ascii="宋体" w:hAnsi="宋体" w:cs="宋体"/>
          <w:bCs/>
          <w:color w:val="000000"/>
          <w:sz w:val="24"/>
          <w:szCs w:val="24"/>
          <w:highlight w:val="none"/>
        </w:rPr>
        <w:t xml:space="preserve">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w:t>
      </w:r>
      <w:r>
        <w:rPr>
          <w:rFonts w:hint="eastAsia" w:ascii="宋体" w:hAnsi="宋体" w:cs="宋体"/>
          <w:bCs/>
          <w:color w:val="000000"/>
          <w:sz w:val="24"/>
          <w:highlight w:val="none"/>
          <w:lang w:eastAsia="zh-CN"/>
        </w:rPr>
        <w:t xml:space="preserve">投标人</w:t>
      </w:r>
      <w:r>
        <w:rPr>
          <w:rFonts w:hint="eastAsia" w:ascii="宋体" w:hAnsi="宋体" w:cs="宋体"/>
          <w:bCs/>
          <w:color w:val="000000"/>
          <w:sz w:val="24"/>
          <w:highlight w:val="none"/>
        </w:rPr>
        <w:t xml:space="preserve">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2"/>
        <w:spacing w:line="500" w:lineRule="atLeas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highlight w:val="none"/>
        </w:rPr>
      </w:pPr>
      <w:r/>
      <w:bookmarkStart w:id="156" w:name="_Toc16938550"/>
      <w:r/>
      <w:bookmarkStart w:id="157" w:name="_Toc513029234"/>
      <w:r/>
      <w:bookmarkStart w:id="158" w:name="_Toc20823306"/>
      <w:r>
        <w:rPr>
          <w:rFonts w:hint="eastAsia" w:ascii="宋体" w:hAnsi="宋体"/>
          <w:color w:val="000000"/>
          <w:sz w:val="24"/>
          <w:highlight w:val="none"/>
        </w:rPr>
        <w:t xml:space="preserve">25.</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投标人在开、评标全过程中应保持通信畅通，及时登录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25.7异常低价投标（响应）审查</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7.1根据《关于推动解决政府采购异常低价问题的通知》（财库〔2026〕2号）要求，政府采购评审中出现下列情形之一的，评审委员会应当启动异常低价投标（响应）审查程序：</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（1）投标（响应）报价低于全部通过符合性审查供应商投标（响应）报价平均值50%的，即投标（响应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报价＜全部通过符合性审查供应商投标（响应）报价平均值×50%；</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（2）投标（响应）报价低于通过符合性审查的次低报价供应商投标（响应）报价50%的，即投标（响应 </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报价＜通过符合性审查的次低报价供应商投标（响应）报价×50%；</w:t>
      </w:r>
      <w:r/>
    </w:p>
    <w:p>
      <w:pPr>
        <w:pStyle w:val="1117"/>
        <w:ind w:firstLine="482"/>
        <w:spacing w:line="500" w:lineRule="atLeas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（3）投标（响应）报价低于采购项目最高限价45%的，即投标（响应）报价＜采购项目最高限价×45%</w:t>
      </w:r>
      <w:r>
        <w:rPr>
          <w:rFonts w:hint="eastAsia" w:ascii="宋体" w:hAnsi="宋体" w:eastAsia="宋体" w:cs="宋体"/>
          <w:b/>
          <w:bCs/>
          <w:color w:val="000000"/>
          <w:sz w:val="24"/>
          <w:szCs w:val="24"/>
          <w:highlight w:val="none"/>
          <w:lang w:eastAsia="zh-CN"/>
        </w:rPr>
        <w:t xml:space="preserve">；</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（4）评审委员会基于专业判断，认为供应商报价过低，有可能影响产品质量或者不能诚信履约的其他情形。</w:t>
      </w:r>
      <w:r/>
    </w:p>
    <w:p>
      <w:pPr>
        <w:pStyle w:val="1117"/>
        <w:ind w:firstLine="482"/>
        <w:spacing w:line="50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相关法律法规对供应商报价有规定的，从其规定。</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25.</w:t>
      </w:r>
      <w:r>
        <w:rPr>
          <w:rFonts w:hint="eastAsia" w:ascii="宋体" w:hAnsi="宋体" w:eastAsia="宋体" w:cs="宋体"/>
          <w:b/>
          <w:bCs/>
          <w:color w:val="000000"/>
          <w:sz w:val="24"/>
          <w:szCs w:val="24"/>
          <w:highlight w:val="none"/>
          <w:lang w:val="en-US" w:eastAsia="zh-CN"/>
        </w:rPr>
        <w:t xml:space="preserve">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17"/>
        <w:ind w:firstLine="482"/>
        <w:spacing w:line="500" w:lineRule="atLeas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财政部门在投诉处理、监督检查中发现评审委员会未按规定对异常低价开展审查的，依法予以纠正并追究评审专家的法律责任。</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ascii="宋体" w:hAnsi="宋体"/>
          <w:bCs/>
          <w:color w:val="000000"/>
          <w:sz w:val="24"/>
          <w:highlight w:val="none"/>
        </w:rPr>
      </w:pPr>
      <w:r/>
      <w:bookmarkStart w:id="159" w:name="_Toc513029235"/>
      <w:r/>
      <w:bookmarkStart w:id="160" w:name="_Toc16938551"/>
      <w:r/>
      <w:bookmarkStart w:id="161" w:name="_Toc20823307"/>
      <w:r>
        <w:rPr>
          <w:rFonts w:hint="eastAsia" w:ascii="宋体" w:hAnsi="宋体"/>
          <w:bCs/>
          <w:color w:val="000000"/>
          <w:sz w:val="24"/>
          <w:highlight w:val="none"/>
        </w:rPr>
        <w:t xml:space="preserve">26.1无效投标条款</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标段</w:t>
      </w:r>
      <w:r>
        <w:rPr>
          <w:rFonts w:hint="eastAsia" w:ascii="宋体" w:hAnsi="宋体"/>
          <w:bCs/>
          <w:color w:val="000000"/>
          <w:sz w:val="24"/>
          <w:szCs w:val="24"/>
          <w:highlight w:val="none"/>
        </w:rPr>
        <w:t xml:space="preserve">）投标总价超过本项目（本采购包、本标项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本标段</w:t>
      </w:r>
      <w:r>
        <w:rPr>
          <w:rFonts w:hint="eastAsia" w:ascii="宋体" w:hAnsi="宋体"/>
          <w:bCs/>
          <w:color w:val="000000"/>
          <w:sz w:val="24"/>
          <w:szCs w:val="24"/>
          <w:highlight w:val="none"/>
        </w:rPr>
        <w:t xml:space="preserve">）预算或最高限价的。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bCs/>
          <w:color w:val="000000"/>
          <w:sz w:val="24"/>
          <w:highlight w:val="none"/>
          <w:lang w:val="en-US" w:eastAsia="zh-CN"/>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szCs w:val="24"/>
          <w:highlight w:val="none"/>
          <w:lang w:eastAsia="zh-CN"/>
        </w:rPr>
        <w:t xml:space="preserve">。</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 </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26.1.2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其他法律法规及本招标文件规定的</w:t>
      </w:r>
      <w:r>
        <w:rPr>
          <w:rFonts w:hint="eastAsia" w:ascii="宋体" w:hAnsi="宋体"/>
          <w:bCs/>
          <w:color w:val="000000"/>
          <w:sz w:val="24"/>
          <w:highlight w:val="none"/>
          <w:lang w:eastAsia="zh-CN"/>
        </w:rPr>
        <w:t xml:space="preserve">属于</w:t>
      </w:r>
      <w:r>
        <w:rPr>
          <w:rFonts w:hint="eastAsia" w:ascii="宋体" w:hAnsi="宋体"/>
          <w:bCs/>
          <w:color w:val="000000"/>
          <w:sz w:val="24"/>
          <w:highlight w:val="none"/>
        </w:rPr>
        <w:t xml:space="preserve">无效投标的情形。</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26.2.1符合专业条件的供应商或者对招标文件做实质响应的供应商不足三家的。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843"/>
        <w:ind w:firstLine="452"/>
        <w:keepLines w:val="0"/>
        <w:keepNext w:val="0"/>
        <w:spacing w:before="0" w:after="0" w:line="500" w:lineRule="exact"/>
        <w:rPr>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845"/>
        <w:ind w:firstLine="422"/>
        <w:keepLines w:val="0"/>
        <w:keepNext w:val="0"/>
        <w:spacing w:before="0" w:after="0" w:line="500" w:lineRule="exact"/>
        <w:rPr>
          <w:rFonts w:ascii="宋体" w:hAnsi="宋体" w:eastAsia="宋体"/>
          <w:bCs w:val="0"/>
          <w:color w:val="000000"/>
          <w:highlight w:val="none"/>
        </w:rPr>
      </w:pPr>
      <w:r/>
      <w:bookmarkStart w:id="163" w:name="_Toc513029238"/>
      <w:r/>
      <w:bookmarkStart w:id="164" w:name="_Toc16938554"/>
      <w:r/>
      <w:bookmarkStart w:id="165" w:name="_Toc20823310"/>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代理机构将在“江苏政府采购网”发布中标公告，公告期限为1个工作日。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27.4.2向采购人、代理机构行贿或者提供其他不正当利益的。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采购人、代理机构只接收以纸质原件形式送达的质疑，质疑供应商可通过面交或邮寄方式送达（采购人和代理机构不接受未填写快递运单的快件）。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采购人、代理机构联系人、联系方式、通信地址见招标文件第一章。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一经查实，代理机构有权依据政府采购的有关规定，报请政府采购监管部门对该供应商进行相应的行政处罚和记录该供应商的失信信息。</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29.l中标结果确定后，代理机构将向中标人发出中标通知书。请中标人在中标结果公告届满之日起30日内，使用CA数字证书登录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30.代理服务费：</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30.1</w:t>
      </w:r>
      <w:r>
        <w:rPr>
          <w:rFonts w:hint="eastAsia" w:ascii="宋体" w:hAnsi="宋体" w:cs="宋体"/>
          <w:color w:val="000000"/>
          <w:sz w:val="24"/>
          <w:highlight w:val="none"/>
        </w:rPr>
        <w:t xml:space="preserve">本项目招标代理服务费以中标金额为计费基础，按差额定率累进法计算后</w:t>
      </w:r>
      <w:r>
        <w:rPr>
          <w:rFonts w:hint="eastAsia" w:ascii="宋体" w:hAnsi="宋体" w:cs="宋体"/>
          <w:color w:val="000000"/>
          <w:sz w:val="24"/>
          <w:szCs w:val="24"/>
          <w:highlight w:val="none"/>
        </w:rPr>
        <w:t xml:space="preserve">打</w:t>
      </w:r>
      <w:r>
        <w:rPr>
          <w:rFonts w:hint="eastAsia" w:ascii="宋体" w:hAnsi="宋体" w:cs="宋体"/>
          <w:color w:val="000000"/>
          <w:sz w:val="24"/>
          <w:szCs w:val="24"/>
          <w:highlight w:val="none"/>
          <w:lang w:val="en-US" w:eastAsia="zh-CN"/>
        </w:rPr>
        <w:t xml:space="preserve">75</w:t>
      </w:r>
      <w:r>
        <w:rPr>
          <w:rFonts w:hint="eastAsia" w:ascii="宋体" w:hAnsi="宋体" w:cs="宋体"/>
          <w:color w:val="000000"/>
          <w:sz w:val="24"/>
          <w:szCs w:val="24"/>
          <w:highlight w:val="none"/>
        </w:rPr>
        <w:t xml:space="preserve">折计取</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100万元以下</w:t>
      </w:r>
      <w:r>
        <w:rPr>
          <w:rFonts w:hint="eastAsia" w:ascii="宋体" w:hAnsi="宋体" w:cs="宋体"/>
          <w:color w:val="000000"/>
          <w:sz w:val="24"/>
          <w:highlight w:val="none"/>
        </w:rPr>
        <w:t xml:space="preserve">费率为1.5%，</w:t>
      </w:r>
      <w:r>
        <w:rPr>
          <w:rFonts w:hint="eastAsia" w:ascii="宋体" w:hAnsi="宋体" w:cs="宋体"/>
          <w:color w:val="000000"/>
          <w:sz w:val="24"/>
          <w:highlight w:val="none"/>
          <w:lang w:eastAsia="zh-CN"/>
        </w:rPr>
        <w:t xml:space="preserve">100万—500万</w:t>
      </w:r>
      <w:r>
        <w:rPr>
          <w:rFonts w:hint="eastAsia" w:ascii="宋体" w:hAnsi="宋体" w:cs="宋体"/>
          <w:color w:val="000000"/>
          <w:sz w:val="24"/>
          <w:highlight w:val="none"/>
        </w:rPr>
        <w:t xml:space="preserve">费率为1.1%</w:t>
      </w:r>
      <w:r>
        <w:rPr>
          <w:rFonts w:hint="eastAsia" w:ascii="宋体" w:hAnsi="宋体" w:cs="宋体"/>
          <w:bCs/>
          <w:color w:val="000000"/>
          <w:sz w:val="24"/>
          <w:highlight w:val="none"/>
        </w:rPr>
        <w:t xml:space="preserve">。本项目招标代理费由</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支付。</w:t>
      </w:r>
      <w:r/>
    </w:p>
    <w:p>
      <w:pPr>
        <w:pStyle w:val="843"/>
        <w:ind w:firstLine="452"/>
        <w:keepLines w:val="0"/>
        <w:keepNext w:val="0"/>
        <w:spacing w:before="0" w:after="0" w:line="500" w:lineRule="exact"/>
        <w:rPr>
          <w:color w:val="000000"/>
          <w:sz w:val="30"/>
          <w:szCs w:val="30"/>
          <w:highlight w:val="none"/>
        </w:rPr>
      </w:pPr>
      <w:r/>
      <w:bookmarkStart w:id="167" w:name="_Toc20823308"/>
      <w:r/>
      <w:bookmarkStart w:id="168" w:name="_Toc16938552"/>
      <w:r/>
      <w:bookmarkStart w:id="169" w:name="_Toc513029236"/>
      <w:r/>
      <w:bookmarkStart w:id="170" w:name="_Toc120614220"/>
      <w:r>
        <w:rPr>
          <w:rFonts w:hint="eastAsia"/>
          <w:color w:val="000000"/>
          <w:sz w:val="30"/>
          <w:szCs w:val="30"/>
          <w:highlight w:val="none"/>
        </w:rPr>
        <w:t xml:space="preserve">七、授予合同</w:t>
      </w:r>
      <w:bookmarkEnd w:id="167"/>
      <w:r/>
      <w:bookmarkEnd w:id="168"/>
      <w:r/>
      <w:bookmarkEnd w:id="169"/>
      <w:r/>
      <w:bookmarkEnd w:id="170"/>
      <w:r/>
      <w:r/>
    </w:p>
    <w:p>
      <w:pPr>
        <w:pStyle w:val="845"/>
        <w:ind w:firstLine="422"/>
        <w:keepLines w:val="0"/>
        <w:keepNext w:val="0"/>
        <w:spacing w:before="0" w:after="0" w:line="500" w:lineRule="exact"/>
        <w:rPr>
          <w:rFonts w:ascii="宋体" w:hAnsi="宋体" w:eastAsia="宋体"/>
          <w:bCs w:val="0"/>
          <w:color w:val="000000"/>
          <w:highlight w:val="none"/>
        </w:rPr>
      </w:pPr>
      <w:r/>
      <w:bookmarkStart w:id="171" w:name="_Toc16938553"/>
      <w:r/>
      <w:bookmarkStart w:id="172" w:name="_Toc513029237"/>
      <w:r/>
      <w:bookmarkStart w:id="173" w:name="_Toc20823309"/>
      <w:r>
        <w:rPr>
          <w:rFonts w:hint="eastAsia" w:ascii="宋体" w:hAnsi="宋体" w:eastAsia="宋体"/>
          <w:bCs w:val="0"/>
          <w:color w:val="000000"/>
          <w:highlight w:val="none"/>
        </w:rPr>
        <w:t xml:space="preserve">31.签订合同</w:t>
      </w:r>
      <w:r/>
    </w:p>
    <w:p>
      <w:pPr>
        <w:ind w:firstLine="480"/>
        <w:spacing w:line="500" w:lineRule="exact"/>
        <w:rPr>
          <w:rFonts w:ascii="宋体" w:hAnsi="宋体"/>
          <w:color w:val="000000"/>
          <w:sz w:val="24"/>
          <w:szCs w:val="24"/>
          <w:highlight w:val="none"/>
        </w:rPr>
      </w:pPr>
      <w:r>
        <w:rPr>
          <w:rFonts w:hint="eastAsia" w:ascii="宋体" w:hAnsi="宋体"/>
          <w:bCs/>
          <w:color w:val="000000"/>
          <w:sz w:val="24"/>
          <w:szCs w:val="24"/>
          <w:highlight w:val="none"/>
        </w:rPr>
        <w:t xml:space="preserve">31.1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31.2中标人非因不可抗力未履行招、投标文件和合同规定的义务，一经查实，代理机构将根据具体情况提请政府采购管理部门作出相应处理。</w:t>
      </w:r>
      <w:r/>
    </w:p>
    <w:p>
      <w:pPr>
        <w:ind w:firstLine="480"/>
        <w:spacing w:line="500" w:lineRule="exact"/>
        <w:rPr>
          <w:rFonts w:ascii="宋体" w:hAnsi="宋体"/>
          <w:bCs/>
          <w:color w:val="000000"/>
          <w:sz w:val="24"/>
          <w:szCs w:val="24"/>
          <w:highlight w:val="none"/>
        </w:rPr>
      </w:pPr>
      <w:r>
        <w:rPr>
          <w:rFonts w:hint="eastAsia" w:ascii="宋体" w:hAnsi="宋体"/>
          <w:color w:val="000000"/>
          <w:sz w:val="24"/>
          <w:szCs w:val="24"/>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31.4中标供应商向采购人缴纳的履约保证金不超过政府采购合同金额的10%。收取履约保证金的，采购人应当允许供应商自主选择以支票、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45"/>
        <w:ind w:firstLine="422"/>
        <w:keepLines w:val="0"/>
        <w:keepNext w:val="0"/>
        <w:spacing w:before="0" w:after="0" w:line="500" w:lineRule="exact"/>
        <w:rPr>
          <w:rFonts w:ascii="宋体" w:hAnsi="宋体" w:eastAsia="宋体"/>
          <w:bCs w:val="0"/>
          <w:color w:val="000000"/>
          <w:highlight w:val="none"/>
        </w:rPr>
      </w:pPr>
      <w:r>
        <w:rPr>
          <w:rFonts w:hint="eastAsia" w:ascii="宋体" w:hAnsi="宋体" w:eastAsia="宋体"/>
          <w:bCs w:val="0"/>
          <w:color w:val="000000"/>
          <w:highlight w:val="none"/>
        </w:rPr>
        <w:t xml:space="preserve">32.服务（包含与服务相关的货物）的追加</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服务（包含与服务相关的货物），在不改变合同其他条款的前提下，可以与中标人协商签订补充合同，但所有补充合同的采购金额不超过原合同金额的10%。</w:t>
      </w:r>
      <w:bookmarkEnd w:id="171"/>
      <w:r/>
      <w:bookmarkEnd w:id="172"/>
      <w:r/>
      <w:bookmarkEnd w:id="173"/>
      <w:r/>
      <w:r/>
    </w:p>
    <w:p>
      <w:pPr>
        <w:pStyle w:val="840"/>
        <w:jc w:val="center"/>
        <w:spacing w:line="500" w:lineRule="exact"/>
        <w:rPr>
          <w:rFonts w:ascii="黑体" w:eastAsia="黑体"/>
          <w:bCs/>
          <w:color w:val="000000"/>
          <w:sz w:val="36"/>
          <w:szCs w:val="36"/>
          <w:highlight w:val="none"/>
        </w:rPr>
      </w:pPr>
      <w:r/>
      <w:bookmarkStart w:id="174" w:name="_Toc120614221"/>
      <w:r/>
      <w:bookmarkStart w:id="175" w:name="_Toc16938558"/>
      <w:r/>
      <w:bookmarkStart w:id="176" w:name="_Toc479757207"/>
      <w:r/>
      <w:bookmarkStart w:id="177" w:name="_Toc513029242"/>
      <w:r/>
      <w:bookmarkStart w:id="178" w:name="_Toc20823314"/>
      <w:r>
        <w:rPr>
          <w:rFonts w:ascii="宋体" w:hAnsi="宋体"/>
          <w:bCs/>
          <w:color w:val="000000"/>
          <w:sz w:val="24"/>
          <w:highlight w:val="none"/>
          <w:shd w:val="clear" w:color="ffffff" w:fill="d9d9d9"/>
        </w:rPr>
        <w:br w:type="page" w:clear="all"/>
      </w:r>
      <w:r>
        <w:rPr>
          <w:rFonts w:hint="eastAsia" w:ascii="黑体" w:eastAsia="黑体"/>
          <w:bCs/>
          <w:color w:val="000000"/>
          <w:sz w:val="36"/>
          <w:szCs w:val="36"/>
          <w:highlight w:val="none"/>
        </w:rPr>
        <w:t xml:space="preserve">第三章  合同</w:t>
      </w:r>
      <w:bookmarkEnd w:id="174"/>
      <w:r/>
      <w:bookmarkEnd w:id="175"/>
      <w:r/>
      <w:bookmarkEnd w:id="176"/>
      <w:r/>
      <w:bookmarkEnd w:id="177"/>
      <w:r/>
      <w:bookmarkEnd w:id="178"/>
      <w:r>
        <w:rPr>
          <w:rFonts w:hint="eastAsia" w:ascii="黑体" w:eastAsia="黑体"/>
          <w:bCs/>
          <w:color w:val="000000"/>
          <w:sz w:val="36"/>
          <w:szCs w:val="36"/>
          <w:highlight w:val="none"/>
        </w:rPr>
        <w:t xml:space="preserve">文本</w:t>
      </w:r>
      <w:r/>
    </w:p>
    <w:p>
      <w:pPr>
        <w:spacing w:line="360" w:lineRule="exact"/>
        <w:rPr>
          <w:rFonts w:ascii="宋体" w:hAnsi="宋体"/>
          <w:bCs/>
          <w:color w:val="000000"/>
          <w:sz w:val="24"/>
          <w:highlight w:val="none"/>
        </w:rPr>
      </w:pPr>
      <w:r/>
      <w:bookmarkStart w:id="179" w:name="_Toc120614244"/>
      <w:r/>
      <w:bookmarkEnd w:id="179"/>
      <w:r/>
      <w:bookmarkStart w:id="180" w:name="_Hlt16619350"/>
      <w:r/>
      <w:bookmarkEnd w:id="180"/>
      <w:r/>
      <w:bookmarkStart w:id="181" w:name="_Toc20823346"/>
      <w:r/>
      <w:bookmarkEnd w:id="181"/>
      <w:r/>
      <w:bookmarkStart w:id="182" w:name="_Toc16938590"/>
      <w:r/>
      <w:bookmarkEnd w:id="182"/>
      <w:r/>
      <w:bookmarkStart w:id="183" w:name="_Toc462564139"/>
      <w:r/>
      <w:bookmarkStart w:id="184" w:name="_Toc479757211"/>
      <w:r/>
      <w:r/>
    </w:p>
    <w:p>
      <w:pPr>
        <w:ind w:firstLine="480"/>
        <w:spacing w:line="440" w:lineRule="exact"/>
        <w:rPr>
          <w:rFonts w:hint="eastAsia" w:ascii="宋体" w:hAnsi="宋体"/>
          <w:bCs/>
          <w:color w:val="000000"/>
          <w:sz w:val="24"/>
          <w:highlight w:val="none"/>
          <w:lang w:val="en-US" w:eastAsia="zh-CN"/>
        </w:rPr>
      </w:pPr>
      <w:r/>
      <w:bookmarkStart w:id="185" w:name="_Toc26554093"/>
      <w:r/>
      <w:bookmarkStart w:id="186" w:name="_Toc49090575"/>
      <w:r>
        <w:rPr>
          <w:rFonts w:hint="eastAsia" w:ascii="宋体" w:hAnsi="宋体"/>
          <w:bCs/>
          <w:color w:val="000000"/>
          <w:sz w:val="24"/>
          <w:highlight w:val="none"/>
          <w:lang w:val="en-US" w:eastAsia="zh-CN"/>
        </w:rPr>
        <w:t xml:space="preserve">根据《中华人民共和国政府采购法》《中华人民共和国民法典》及相关法规，遵循平等、自愿、公平和诚实信用的原则，供需双方就项目（项目编号：JSZC-320292-JING-G2026-0028）实施及有关事项协商一致，共同达成如下协议</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需方（采购人）：</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供方（中标方）：</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政府采购编号：</w:t>
      </w:r>
      <w:r>
        <w:rPr>
          <w:rFonts w:hint="eastAsia" w:ascii="宋体" w:hAnsi="宋体"/>
          <w:bCs/>
          <w:color w:val="000000"/>
          <w:sz w:val="24"/>
          <w:highlight w:val="none"/>
          <w:u w:val="single"/>
        </w:rPr>
        <w:t xml:space="preserve">                ；</w:t>
      </w:r>
      <w:r>
        <w:rPr>
          <w:rFonts w:ascii="宋体" w:hAnsi="宋体"/>
          <w:bCs/>
          <w:color w:val="000000"/>
          <w:sz w:val="24"/>
          <w:highlight w:val="non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采购内容：</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中标总金额：（大写）</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；（小写）</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质量和包装要求及验收标准：</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交货期或完工期：</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lang w:val="en-US" w:eastAsia="zh-CN"/>
        </w:rPr>
        <w:t xml:space="preserve">质保</w:t>
      </w:r>
      <w:r>
        <w:rPr>
          <w:rFonts w:hint="eastAsia" w:ascii="宋体" w:hAnsi="宋体"/>
          <w:bCs/>
          <w:color w:val="000000"/>
          <w:sz w:val="24"/>
          <w:highlight w:val="none"/>
        </w:rPr>
        <w:t xml:space="preserve">期：</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交货地点和方式：</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货款支付步骤和办法：</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售后服务：</w:t>
      </w:r>
      <w:r>
        <w:rPr>
          <w:rFonts w:hint="eastAsia" w:ascii="宋体" w:hAnsi="宋体"/>
          <w:bCs/>
          <w:color w:val="000000"/>
          <w:sz w:val="24"/>
          <w:highlight w:val="none"/>
          <w:u w:val="single"/>
        </w:rPr>
        <w:t xml:space="preserve">                                                    ；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违约责任：</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ascii="宋体" w:hAnsi="宋体"/>
          <w:color w:val="000000"/>
          <w:sz w:val="24"/>
          <w:highlight w:val="none"/>
        </w:rPr>
        <w:t xml:space="preserve">解决争议的方</w:t>
      </w:r>
      <w:r>
        <w:rPr>
          <w:rFonts w:hint="eastAsia" w:ascii="宋体" w:hAnsi="宋体"/>
          <w:color w:val="000000"/>
          <w:sz w:val="24"/>
          <w:highlight w:val="none"/>
        </w:rPr>
        <w:t xml:space="preserve">式：</w:t>
      </w:r>
      <w:r>
        <w:rPr>
          <w:rFonts w:hint="eastAsia" w:ascii="宋体" w:hAnsi="宋体"/>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lang w:eastAsia="zh-CN"/>
        </w:rPr>
        <w:t xml:space="preserve">其他</w:t>
      </w:r>
      <w:r>
        <w:rPr>
          <w:rFonts w:hint="eastAsia" w:ascii="宋体" w:hAnsi="宋体"/>
          <w:bCs/>
          <w:color w:val="000000"/>
          <w:sz w:val="24"/>
          <w:highlight w:val="none"/>
        </w:rPr>
        <w:t xml:space="preserve">事项：</w:t>
      </w:r>
      <w:r>
        <w:rPr>
          <w:rFonts w:hint="eastAsia" w:ascii="宋体" w:hAnsi="宋体"/>
          <w:bCs/>
          <w:color w:val="000000"/>
          <w:sz w:val="24"/>
          <w:highlight w:val="none"/>
          <w:u w:val="single"/>
        </w:rPr>
        <w:t xml:space="preserve">                                                    ；</w:t>
      </w:r>
      <w:r/>
    </w:p>
    <w:p>
      <w:pPr>
        <w:numPr>
          <w:ilvl w:val="0"/>
          <w:numId w:val="6"/>
        </w:numPr>
        <w:ind w:left="0" w:firstLine="523"/>
        <w:spacing w:line="440" w:lineRule="exact"/>
        <w:tabs>
          <w:tab w:val="left" w:pos="210" w:leader="none"/>
          <w:tab w:val="left" w:pos="840" w:leader="none"/>
          <w:tab w:val="left" w:pos="1260" w:leader="none"/>
        </w:tabs>
        <w:rPr>
          <w:rFonts w:ascii="宋体" w:hAnsi="宋体"/>
          <w:bCs/>
          <w:color w:val="000000"/>
          <w:sz w:val="24"/>
          <w:highlight w:val="none"/>
        </w:rPr>
      </w:pPr>
      <w:r>
        <w:rPr>
          <w:rFonts w:hint="eastAsia" w:ascii="宋体" w:hAnsi="宋体"/>
          <w:bCs/>
          <w:color w:val="000000"/>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招标文件、投标文件、合同条款及中标通知书，供方在投标、评标过程中所作</w:t>
      </w:r>
      <w:r>
        <w:rPr>
          <w:rFonts w:hint="eastAsia" w:ascii="宋体" w:hAnsi="宋体"/>
          <w:bCs/>
          <w:color w:val="000000"/>
          <w:sz w:val="24"/>
          <w:highlight w:val="none"/>
          <w:lang w:eastAsia="zh-CN"/>
        </w:rPr>
        <w:t xml:space="preserve">其他有关</w:t>
      </w:r>
      <w:r>
        <w:rPr>
          <w:rFonts w:hint="eastAsia" w:ascii="宋体" w:hAnsi="宋体"/>
          <w:bCs/>
          <w:color w:val="000000"/>
          <w:sz w:val="24"/>
          <w:highlight w:val="none"/>
        </w:rPr>
        <w:t xml:space="preserve">承诺、声明、书面澄清等均为合同不可分割的部分，与主合同具有同等法律效力。</w:t>
      </w:r>
      <w:r/>
    </w:p>
    <w:p>
      <w:pPr>
        <w:numPr>
          <w:ilvl w:val="0"/>
          <w:numId w:val="6"/>
        </w:numPr>
        <w:ind w:left="0" w:firstLine="523"/>
        <w:spacing w:line="440" w:lineRule="exact"/>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合同一式</w:t>
      </w:r>
      <w:r>
        <w:rPr>
          <w:rFonts w:hint="eastAsia" w:ascii="宋体" w:hAnsi="宋体"/>
          <w:bCs/>
          <w:color w:val="000000"/>
          <w:sz w:val="24"/>
          <w:highlight w:val="none"/>
          <w:lang w:val="en-US" w:eastAsia="zh-CN"/>
        </w:rPr>
        <w:t xml:space="preserve">四</w:t>
      </w:r>
      <w:r>
        <w:rPr>
          <w:rFonts w:hint="eastAsia" w:ascii="宋体" w:hAnsi="宋体"/>
          <w:bCs/>
          <w:color w:val="000000"/>
          <w:sz w:val="24"/>
          <w:highlight w:val="none"/>
        </w:rPr>
        <w:t xml:space="preserve">份，供需双方各执</w:t>
      </w:r>
      <w:r>
        <w:rPr>
          <w:rFonts w:hint="eastAsia" w:ascii="宋体" w:hAnsi="宋体"/>
          <w:bCs/>
          <w:color w:val="000000"/>
          <w:sz w:val="24"/>
          <w:highlight w:val="none"/>
          <w:lang w:eastAsia="zh-CN"/>
        </w:rPr>
        <w:t xml:space="preserve">二份</w:t>
      </w:r>
      <w:r>
        <w:rPr>
          <w:rFonts w:hint="eastAsia" w:ascii="宋体" w:hAnsi="宋体"/>
          <w:bCs/>
          <w:color w:val="000000"/>
          <w:sz w:val="24"/>
          <w:highlight w:val="none"/>
        </w:rPr>
        <w:t xml:space="preserve">。</w:t>
      </w:r>
      <w:r/>
    </w:p>
    <w:p>
      <w:pPr>
        <w:numPr>
          <w:ilvl w:val="0"/>
          <w:numId w:val="6"/>
        </w:numPr>
        <w:ind w:left="0" w:firstLine="523"/>
        <w:spacing w:line="440" w:lineRule="exact"/>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本合同由供需双方签字、盖章后生效。</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需方（采购人）：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供方（中标方）：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供方户名：</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u w:val="single"/>
        </w:rPr>
      </w:pPr>
      <w:r>
        <w:rPr>
          <w:rFonts w:hint="eastAsia" w:ascii="宋体" w:hAnsi="宋体"/>
          <w:bCs/>
          <w:color w:val="000000"/>
          <w:sz w:val="24"/>
          <w:highlight w:val="none"/>
        </w:rPr>
        <w:t xml:space="preserve">                                            供方开户银行：</w:t>
      </w:r>
      <w:r>
        <w:rPr>
          <w:rFonts w:hint="eastAsia" w:ascii="宋体" w:hAnsi="宋体"/>
          <w:bCs/>
          <w:color w:val="000000"/>
          <w:sz w:val="24"/>
          <w:highlight w:val="none"/>
          <w:u w:val="single"/>
        </w:rPr>
        <w:t xml:space="preserve">                       </w:t>
      </w:r>
      <w:r/>
    </w:p>
    <w:p>
      <w:pPr>
        <w:spacing w:line="440" w:lineRule="exact"/>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u w:val="none"/>
          <w:lang w:val="en-US" w:eastAsia="zh-CN"/>
        </w:rPr>
        <w:t xml:space="preserve">                           </w:t>
      </w:r>
      <w:r>
        <w:rPr>
          <w:rFonts w:hint="eastAsia" w:ascii="宋体" w:hAnsi="宋体"/>
          <w:bCs/>
          <w:color w:val="000000"/>
          <w:sz w:val="24"/>
          <w:highlight w:val="none"/>
        </w:rPr>
        <w:t xml:space="preserve">     供方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p>
    <w:p>
      <w:pPr>
        <w:jc w:val="left"/>
        <w:rPr>
          <w:rFonts w:ascii="宋体" w:hAnsi="宋体"/>
          <w:bCs/>
          <w:color w:val="000000"/>
          <w:sz w:val="24"/>
          <w:highlight w:val="none"/>
        </w:rPr>
      </w:pPr>
      <w:r/>
      <w:bookmarkStart w:id="187" w:name="五．合同条款"/>
      <w:r/>
      <w:bookmarkEnd w:id="187"/>
      <w:r>
        <w:rPr>
          <w:rFonts w:hint="eastAsia" w:ascii="宋体" w:hAnsi="宋体"/>
          <w:bCs/>
          <w:color w:val="000000"/>
          <w:sz w:val="24"/>
          <w:highlight w:val="none"/>
        </w:rPr>
        <w:t xml:space="preserve">★.</w:t>
      </w:r>
      <w:r>
        <w:rPr>
          <w:rFonts w:hint="eastAsia" w:ascii="宋体" w:hAnsi="宋体"/>
          <w:b/>
          <w:bCs/>
          <w:color w:val="000000"/>
          <w:sz w:val="24"/>
          <w:highlight w:val="none"/>
        </w:rPr>
        <w:t xml:space="preserve">备注：</w:t>
      </w:r>
      <w:r>
        <w:rPr>
          <w:rFonts w:hint="eastAsia" w:ascii="宋体" w:hAnsi="宋体"/>
          <w:bCs/>
          <w:color w:val="000000"/>
          <w:sz w:val="24"/>
          <w:highlight w:val="none"/>
        </w:rPr>
        <w:t xml:space="preserve">方按照招标文件和中标人投标文件的规定，与中标人签订书面合同。所签订的合同不得对招标文件确定的事项和中标人投标文件作实质性修改。</w:t>
      </w:r>
      <w:r/>
    </w:p>
    <w:p>
      <w:pPr>
        <w:jc w:val="center"/>
        <w:spacing w:line="360" w:lineRule="auto"/>
        <w:rPr>
          <w:rFonts w:eastAsia="黑体"/>
          <w:bCs/>
          <w:color w:val="000000"/>
          <w:sz w:val="28"/>
          <w:szCs w:val="28"/>
          <w:highlight w:val="none"/>
          <w:lang w:val="de-DE"/>
        </w:rPr>
      </w:pPr>
      <w:r>
        <w:rPr>
          <w:rFonts w:hint="eastAsia" w:ascii="黑体" w:eastAsia="黑体"/>
          <w:bCs/>
          <w:color w:val="000000"/>
          <w:sz w:val="28"/>
          <w:szCs w:val="28"/>
          <w:highlight w:val="none"/>
        </w:rPr>
        <w:br w:type="page" w:clear="all"/>
      </w:r>
      <w:r>
        <w:rPr>
          <w:rFonts w:hint="eastAsia" w:ascii="黑体" w:eastAsia="黑体"/>
          <w:bCs/>
          <w:color w:val="000000"/>
          <w:sz w:val="28"/>
          <w:szCs w:val="28"/>
          <w:highlight w:val="none"/>
          <w:lang w:eastAsia="zh-CN"/>
        </w:rPr>
        <w:t xml:space="preserve">五、</w:t>
      </w:r>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rPr>
        <w:t xml:space="preserve">合同条款（格式）</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根据编号</w:t>
      </w:r>
      <w:r>
        <w:rPr>
          <w:rFonts w:hint="eastAsia" w:ascii="宋体" w:hAnsi="宋体" w:cs="宋体"/>
          <w:bCs/>
          <w:color w:val="000000"/>
          <w:sz w:val="24"/>
          <w:szCs w:val="24"/>
          <w:highlight w:val="none"/>
          <w:lang w:eastAsia="zh-CN"/>
        </w:rPr>
        <w:t xml:space="preserve">JSZC-320292-JING-G2026-0028</w:t>
      </w:r>
      <w:r>
        <w:rPr>
          <w:rFonts w:hint="eastAsia" w:ascii="宋体" w:hAnsi="宋体" w:eastAsia="宋体" w:cs="宋体"/>
          <w:bCs/>
          <w:color w:val="000000"/>
          <w:sz w:val="24"/>
          <w:szCs w:val="24"/>
          <w:highlight w:val="none"/>
        </w:rPr>
        <w:t xml:space="preserve">采购文件和该文件的中标通知书及供方投标文件，供需双方就此次无锡经开和畅实验中学实验室装备采购项目及相关问题，同意按下列条款规定执行。</w:t>
      </w:r>
      <w:r/>
    </w:p>
    <w:p>
      <w:pPr>
        <w:ind w:firstLine="525"/>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 合同内容： 需方向供方购买</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w:t>
      </w:r>
      <w:r/>
    </w:p>
    <w:p>
      <w:pPr>
        <w:ind w:firstLine="525"/>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 价格及支付：</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按此次中标价格执行，合同总标的额为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w:t>
      </w:r>
      <w:r/>
    </w:p>
    <w:p>
      <w:pPr>
        <w:ind w:left="0"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rPr>
        <w:t xml:space="preserve">2. 付款方式：</w:t>
      </w:r>
      <w:r>
        <w:rPr>
          <w:rFonts w:hint="eastAsia" w:ascii="宋体" w:hAnsi="宋体" w:eastAsia="宋体" w:cs="宋体"/>
          <w:bCs/>
          <w:color w:val="000000"/>
          <w:sz w:val="24"/>
          <w:szCs w:val="24"/>
          <w:highlight w:val="none"/>
          <w:u w:val="single"/>
        </w:rPr>
        <w:t xml:space="preserve">全部货物安装调试完成并验收合格后，支付合同结算价的</w:t>
      </w:r>
      <w:r>
        <w:rPr>
          <w:rFonts w:hint="eastAsia" w:ascii="宋体" w:hAnsi="宋体" w:eastAsia="宋体" w:cs="宋体"/>
          <w:bCs/>
          <w:color w:val="000000"/>
          <w:sz w:val="24"/>
          <w:szCs w:val="24"/>
          <w:highlight w:val="none"/>
          <w:u w:val="single"/>
          <w:lang w:val="en-US" w:eastAsia="zh-CN"/>
        </w:rPr>
        <w:t xml:space="preserve">95</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eastAsia="zh-CN"/>
        </w:rPr>
        <w:t xml:space="preserve">；余款自项目验收合格之日起满</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lang w:eastAsia="zh-CN"/>
        </w:rPr>
        <w:t xml:space="preserve">年无息付清</w:t>
      </w:r>
      <w:r>
        <w:rPr>
          <w:rFonts w:hint="eastAsia" w:ascii="宋体" w:hAnsi="宋体" w:eastAsia="宋体" w:cs="宋体"/>
          <w:bCs/>
          <w:color w:val="000000"/>
          <w:sz w:val="24"/>
          <w:szCs w:val="24"/>
          <w:highlight w:val="none"/>
          <w:u w:val="single"/>
        </w:rPr>
        <w:t xml:space="preserve">。每次付款时供方需出具符合</w:t>
      </w:r>
      <w:r>
        <w:rPr>
          <w:rFonts w:hint="eastAsia" w:ascii="宋体" w:hAnsi="宋体" w:eastAsia="宋体" w:cs="宋体"/>
          <w:bCs/>
          <w:color w:val="000000"/>
          <w:sz w:val="24"/>
          <w:szCs w:val="24"/>
          <w:highlight w:val="none"/>
          <w:u w:val="single"/>
          <w:lang w:eastAsia="zh-CN"/>
        </w:rPr>
        <w:t xml:space="preserve">需方</w:t>
      </w:r>
      <w:r>
        <w:rPr>
          <w:rFonts w:hint="eastAsia" w:ascii="宋体" w:hAnsi="宋体" w:eastAsia="宋体" w:cs="宋体"/>
          <w:bCs/>
          <w:color w:val="000000"/>
          <w:sz w:val="24"/>
          <w:szCs w:val="24"/>
          <w:highlight w:val="none"/>
          <w:u w:val="single"/>
        </w:rPr>
        <w:t xml:space="preserve">财务要求的正规税金发票，若供方未能按期开具发票，需方可顺延付款。款项实际支付时间，以需方财政资金拨付时间为准。</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3. 合同价款的确定：本项目为固定总价合同。本项目投标总报价包括设备、配件、包装、运输、装卸、安装调试、税金及售后服务等从项目中标起到项目正式交付以及免费质保期内所发生的一切费用。</w:t>
      </w:r>
      <w:r>
        <w:rPr>
          <w:rFonts w:hint="eastAsia" w:ascii="宋体" w:hAnsi="宋体" w:eastAsia="宋体" w:cs="宋体"/>
          <w:bCs/>
          <w:color w:val="000000"/>
          <w:sz w:val="24"/>
          <w:szCs w:val="24"/>
          <w:highlight w:val="none"/>
          <w:lang w:val="en-US" w:eastAsia="zh-CN"/>
        </w:rPr>
        <w:t xml:space="preserve">上述</w:t>
      </w:r>
      <w:r>
        <w:rPr>
          <w:rFonts w:hint="eastAsia" w:ascii="宋体" w:hAnsi="宋体" w:eastAsia="宋体" w:cs="宋体"/>
          <w:bCs/>
          <w:color w:val="000000"/>
          <w:sz w:val="24"/>
          <w:szCs w:val="24"/>
          <w:highlight w:val="none"/>
          <w:u w:val="none"/>
          <w:lang w:val="en-US" w:eastAsia="zh-CN"/>
        </w:rPr>
        <w:t xml:space="preserve">招标内容所需的所有费用全部由中标单位包干。</w:t>
      </w:r>
      <w:r/>
    </w:p>
    <w:p>
      <w:pPr>
        <w:ind w:firstLine="523"/>
        <w:spacing w:line="440" w:lineRule="exact"/>
        <w:tabs>
          <w:tab w:val="left" w:pos="525" w:leader="none"/>
          <w:tab w:val="left" w:pos="1050" w:leader="none"/>
          <w:tab w:val="left" w:pos="1155"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u w:val="none"/>
          <w:lang w:val="en-US" w:eastAsia="zh-CN"/>
        </w:rPr>
        <w:t xml:space="preserve">4. 在项目实施过程中，项目范围内的某个分项不需实施时，结算时应扣除该项费用</w:t>
      </w:r>
      <w:r>
        <w:rPr>
          <w:rFonts w:hint="eastAsia" w:ascii="宋体" w:hAnsi="宋体" w:eastAsia="宋体" w:cs="宋体"/>
          <w:bCs/>
          <w:color w:val="000000"/>
          <w:sz w:val="24"/>
          <w:szCs w:val="24"/>
          <w:highlight w:val="none"/>
          <w:u w:val="none"/>
          <w:lang w:eastAsia="zh-CN"/>
        </w:rPr>
        <w:t xml:space="preserve">。</w:t>
      </w:r>
      <w:r/>
    </w:p>
    <w:p>
      <w:pPr>
        <w:numPr>
          <w:ilvl w:val="0"/>
          <w:numId w:val="7"/>
        </w:numPr>
        <w:ind w:left="0" w:firstLine="525"/>
        <w:spacing w:line="440" w:lineRule="exact"/>
        <w:tabs>
          <w:tab w:val="left" w:pos="0"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知识产权</w:t>
      </w:r>
      <w:r/>
    </w:p>
    <w:p>
      <w:pPr>
        <w:ind w:firstLine="480"/>
        <w:spacing w:line="440" w:lineRule="exact"/>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7"/>
        </w:numPr>
        <w:ind w:left="0" w:firstLine="520"/>
        <w:spacing w:line="440" w:lineRule="exact"/>
        <w:tabs>
          <w:tab w:val="left" w:pos="73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质量与检验：</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供方应严格按照招标文件的有关规定和供方投标文件提供合格的货物及服务。供方应保证货物是全新、未使用过的原装合格正品，并完全符合招标文件及本合同规定的质量、规格和性能的要求。 </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2.货物的技术标准按国家标准执行，无国家标准的，按行业标准执行，无国家和行业标准的，按企业标准执行；但在招标文件中有特别要求的，按招标文件中规定的要求执行，并且符合相关</w:t>
      </w:r>
      <w:r>
        <w:rPr>
          <w:rFonts w:hint="eastAsia" w:ascii="宋体" w:hAnsi="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规定的要求。</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3.货物的包装，国家或行业主管部门有规定的，按规定执行。货物的到货验收包括：数量、外观、质量、性能、随机备件、装箱单、质量证书等随机资料及包装完整无破损。 </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5.供方应保证提供的货物不得侵犯第三方专利权、商标权和工业设计权、版权等。否则，供方应负全部责任，并承担由此引起的一切后果。</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6.供方应保证其货物在正确安装、正常使用和保养条件下，在其使用寿命期内应具有满意的性能。</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7.供方应采取必要的安全措施保证设备的运输及安装的安全，并承担设备的运输及安装过程中产生的风险。</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8.货物最终验收后，供方应对由于设计、工艺或材料的缺陷而发生的任何不足或故障负责，并承担由此引起的一切后果。                               </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9.货物和系统调试验收标准：按行业通行标准、厂方出厂标准、招标文件要求和供方投标文件的承诺，100%一次性通过技术监督局验收合格标准，并不低于国家相关标准。</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10.货物运到需方指定地点并经需方验证签收后，由于需方保管不善造成的质量问题，供方应负责修理，但有关费用由需方承担。</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520"/>
        <w:spacing w:line="440" w:lineRule="exact"/>
        <w:tabs>
          <w:tab w:val="left" w:pos="105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12.需方不得擅自变更招投标文件约定的性能、指标等相关内容，如有变更应按《中华人民共和国政府采购法》、财政部《政府采购货物和服务招标投标管理办法》的相关程序执行。</w:t>
      </w:r>
      <w:r/>
    </w:p>
    <w:p>
      <w:pPr>
        <w:ind w:left="-2" w:firstLine="5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 交货条件：</w:t>
      </w:r>
      <w:r/>
    </w:p>
    <w:p>
      <w:pPr>
        <w:ind w:firstLine="520"/>
        <w:spacing w:line="440" w:lineRule="exact"/>
        <w:tabs>
          <w:tab w:val="left" w:pos="42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1.</w:t>
      </w:r>
      <w:r>
        <w:rPr>
          <w:rFonts w:hint="eastAsia" w:ascii="宋体" w:hAnsi="宋体" w:eastAsia="宋体" w:cs="宋体"/>
          <w:bCs/>
          <w:color w:val="000000"/>
          <w:sz w:val="24"/>
          <w:szCs w:val="24"/>
          <w:highlight w:val="none"/>
        </w:rPr>
        <w:t xml:space="preserve">交货日期（或完工期）：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p>
    <w:p>
      <w:pPr>
        <w:ind w:firstLine="520"/>
        <w:spacing w:line="44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2.</w:t>
      </w:r>
      <w:r>
        <w:rPr>
          <w:rFonts w:hint="eastAsia" w:ascii="宋体" w:hAnsi="宋体" w:eastAsia="宋体" w:cs="宋体"/>
          <w:bCs/>
          <w:color w:val="000000"/>
          <w:sz w:val="24"/>
          <w:szCs w:val="24"/>
          <w:highlight w:val="none"/>
        </w:rPr>
        <w:t xml:space="preserve">供方在验收时应先用信函、传真、电子邮件等书面方式通知需方。</w:t>
      </w:r>
      <w:r/>
    </w:p>
    <w:p>
      <w:pPr>
        <w:ind w:firstLine="520"/>
        <w:spacing w:line="44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520"/>
        <w:spacing w:line="440" w:lineRule="exact"/>
        <w:tabs>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 货物交货时，所有货物必须带有货物质量检验合格证书、中文质保单、装箱单、中文货物安装使用说明书。</w:t>
      </w:r>
      <w:r>
        <w:rPr>
          <w:rFonts w:hint="eastAsia" w:ascii="宋体" w:hAnsi="宋体" w:eastAsia="宋体" w:cs="宋体"/>
          <w:bCs/>
          <w:color w:val="000000"/>
          <w:sz w:val="24"/>
          <w:szCs w:val="24"/>
          <w:highlight w:val="none"/>
          <w:lang w:eastAsia="zh-CN"/>
        </w:rPr>
        <w:t xml:space="preserve">其他附件</w:t>
      </w:r>
      <w:r>
        <w:rPr>
          <w:rFonts w:hint="eastAsia" w:ascii="宋体" w:hAnsi="宋体" w:eastAsia="宋体" w:cs="宋体"/>
          <w:bCs/>
          <w:color w:val="000000"/>
          <w:sz w:val="24"/>
          <w:szCs w:val="24"/>
          <w:highlight w:val="none"/>
        </w:rPr>
        <w:t xml:space="preserve">所有部件必须原包装。</w:t>
      </w:r>
      <w:r/>
    </w:p>
    <w:p>
      <w:pPr>
        <w:ind w:left="2" w:firstLine="520"/>
        <w:spacing w:line="44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 运输及到货地点：由供方负责办理运输并承担所有费用，直接送到需方指定地点，即：以合同书上的地点为准。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 安装调试及售后服务：</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供方负责本项目的安装和调试，并保证其提供的货物符合国家、行业、地方、招投标文件及合同规定的质量、性能和标准，并正确且安全地安装。</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供方提供的服务全部按照国家有关法律法规规章和“三包”规定以及按招标文件要求和供方投标文件中的承诺执行。</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伴随服务：免费质量保证期限为</w:t>
      </w:r>
      <w:r>
        <w:rPr>
          <w:rFonts w:hint="eastAsia" w:ascii="宋体" w:hAnsi="宋体" w:eastAsia="宋体" w:cs="宋体"/>
          <w:bCs/>
          <w:color w:val="000000"/>
          <w:sz w:val="24"/>
          <w:szCs w:val="24"/>
          <w:highlight w:val="none"/>
          <w:u w:val="single"/>
          <w:lang w:val="en-US" w:eastAsia="zh-CN"/>
        </w:rPr>
        <w:t xml:space="preserve"> 3 </w:t>
      </w:r>
      <w:r>
        <w:rPr>
          <w:rFonts w:hint="eastAsia" w:ascii="宋体" w:hAnsi="宋体" w:eastAsia="宋体" w:cs="宋体"/>
          <w:bCs/>
          <w:color w:val="000000"/>
          <w:sz w:val="24"/>
          <w:szCs w:val="24"/>
          <w:highlight w:val="none"/>
        </w:rPr>
        <w:t xml:space="preserve">年，质保期满后，提供产品最优惠的维修保养及零配件供应价格（具体细则由</w:t>
      </w:r>
      <w:r>
        <w:rPr>
          <w:rFonts w:hint="eastAsia" w:ascii="宋体" w:hAnsi="宋体" w:eastAsia="宋体" w:cs="宋体"/>
          <w:bCs/>
          <w:color w:val="000000"/>
          <w:sz w:val="24"/>
          <w:szCs w:val="24"/>
          <w:highlight w:val="none"/>
          <w:lang w:eastAsia="zh-CN"/>
        </w:rPr>
        <w:t xml:space="preserve">投标人</w:t>
      </w:r>
      <w:r>
        <w:rPr>
          <w:rFonts w:hint="eastAsia" w:ascii="宋体" w:hAnsi="宋体" w:eastAsia="宋体" w:cs="宋体"/>
          <w:bCs/>
          <w:color w:val="000000"/>
          <w:sz w:val="24"/>
          <w:szCs w:val="24"/>
          <w:highlight w:val="none"/>
        </w:rPr>
        <w:t xml:space="preserve">自行投报）。</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在投标文件售后服务方案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jc w:val="center"/>
        <w:rPr>
          <w:rFonts w:hint="eastAsia" w:ascii="宋体" w:hAnsi="宋体" w:eastAsia="宋体" w:cs="宋体"/>
          <w:color w:val="000000"/>
          <w:sz w:val="24"/>
          <w:szCs w:val="24"/>
          <w:highlight w:val="none"/>
          <w:lang w:val="en-US" w:eastAsia="zh-CN"/>
        </w:rPr>
      </w:pPr>
      <w:r/>
      <w:bookmarkStart w:id="188" w:name="OLE_LINK3"/>
      <w:r>
        <w:rPr>
          <w:rFonts w:hint="eastAsia" w:ascii="宋体" w:hAnsi="宋体" w:eastAsia="宋体" w:cs="宋体"/>
          <w:color w:val="000000"/>
          <w:sz w:val="24"/>
          <w:szCs w:val="24"/>
          <w:highlight w:val="none"/>
          <w:lang w:val="en-US" w:eastAsia="zh-CN"/>
        </w:rPr>
        <w:t xml:space="preserve">配件、易损易耗件备品清单</w:t>
      </w:r>
      <w:r/>
    </w:p>
    <w:tbl>
      <w:tblPr>
        <w:tblStyle w:val="11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5351"/>
        <w:gridCol w:w="1342"/>
        <w:gridCol w:w="1342"/>
      </w:tblGrid>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设备名称</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数量</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单位</w:t>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 </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 </w:t>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p>
        </w:tc>
        <w:tc>
          <w:tcPr>
            <w:tcW w:w="5419"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p>
        </w:tc>
        <w:tc>
          <w:tcPr>
            <w:tcW w:w="541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r>
            <w:r/>
          </w:p>
        </w:tc>
        <w:tc>
          <w:tcPr>
            <w:tcW w:w="1354"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r>
            <w:bookmarkEnd w:id="188"/>
            <w:r/>
            <w:r/>
          </w:p>
        </w:tc>
        <w:tc>
          <w:tcPr>
            <w:tcW w:w="1354"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000000"/>
                <w:sz w:val="24"/>
                <w:szCs w:val="24"/>
                <w:highlight w:val="none"/>
                <w:vertAlign w:val="baseline"/>
                <w:lang w:val="en-US" w:eastAsia="zh-CN"/>
              </w:rPr>
            </w:pPr>
            <w:r>
              <w:rPr>
                <w:rFonts w:ascii="宋体" w:hAnsi="宋体" w:eastAsia="宋体" w:cs="宋体"/>
                <w:color w:val="000000"/>
                <w:sz w:val="24"/>
                <w:szCs w:val="24"/>
                <w:highlight w:val="none"/>
                <w:vertAlign w:val="baseline"/>
                <w:lang w:val="en-US" w:eastAsia="zh-CN"/>
              </w:rPr>
            </w:r>
            <w:r/>
          </w:p>
        </w:tc>
      </w:tr>
    </w:tbl>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故障处理：在货物保修期内，一旦发生质量问题，</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在2小时以内响应，4小时内赶到现场进行修理、更换或退货，费用由</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负责。如需更换设备或送修，在2个工作日内解决。质保期满后的维修内容减免上门费及人工费等费用，仅按原材料的价格收取维修费用，</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提供“质保期满后备品备件、易损件报价表”，具体原材料价格参照投标文件中“质保期满后备品备件、易损件报价表”执行，表中未注明的视为免费。</w:t>
      </w:r>
      <w:r/>
    </w:p>
    <w:p>
      <w:pPr>
        <w:ind w:firstLine="480"/>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质保期满后</w:t>
      </w:r>
      <w:r>
        <w:rPr>
          <w:rFonts w:hint="eastAsia" w:ascii="宋体" w:hAnsi="宋体" w:eastAsia="宋体" w:cs="宋体"/>
          <w:color w:val="000000"/>
          <w:sz w:val="24"/>
          <w:szCs w:val="24"/>
          <w:highlight w:val="none"/>
          <w:lang w:val="en-US" w:eastAsia="zh-CN"/>
        </w:rPr>
        <w:t xml:space="preserve">备品备件、易损件报价表</w:t>
      </w:r>
      <w:r/>
    </w:p>
    <w:tbl>
      <w:tblPr>
        <w:tblStyle w:val="11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184"/>
        <w:gridCol w:w="3833"/>
      </w:tblGrid>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设备名称</w:t>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报价</w:t>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590" w:hRule="exact"/>
        </w:trPr>
        <w:tc>
          <w:tcPr>
            <w:tcW w:w="113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5</w:t>
            </w:r>
            <w:r/>
          </w:p>
        </w:tc>
        <w:tc>
          <w:tcPr>
            <w:tcW w:w="418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3833"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bCs/>
          <w:color w:val="000000"/>
          <w:sz w:val="24"/>
          <w:szCs w:val="24"/>
          <w:highlight w:val="none"/>
        </w:rPr>
        <w:t xml:space="preserve">承诺质保期后终身提供优惠的技术支持和维修服务，保证</w:t>
      </w:r>
      <w:r>
        <w:rPr>
          <w:rFonts w:hint="eastAsia" w:ascii="宋体" w:hAnsi="宋体" w:eastAsia="宋体" w:cs="宋体"/>
          <w:bCs/>
          <w:color w:val="000000"/>
          <w:sz w:val="24"/>
          <w:szCs w:val="24"/>
          <w:highlight w:val="none"/>
          <w:lang w:val="en-US" w:eastAsia="zh-CN"/>
        </w:rPr>
        <w:t xml:space="preserve">需方</w:t>
      </w:r>
      <w:r>
        <w:rPr>
          <w:rFonts w:hint="eastAsia" w:ascii="宋体" w:hAnsi="宋体" w:eastAsia="宋体" w:cs="宋体"/>
          <w:bCs/>
          <w:color w:val="000000"/>
          <w:sz w:val="24"/>
          <w:szCs w:val="24"/>
          <w:highlight w:val="none"/>
        </w:rPr>
        <w:t xml:space="preserve">能及时购买所需的备品备件和易损件。货物的维修、部件更换只收取材料成本费用；维修工时费终身全免。</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供方在供货时须提供货物主要材料的鉴定报告原件。</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供方根据需方提供设计图纸进行安装，在安装过程中应注意自身安全，加强对安装人员的安全教育，在安装期间发生的安全事故，均由供方负全责。</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需方应向供方现场调试的技术人员及维修人员提供方便条件，有关费用由供方负责。</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结合货物安装、调试等阶段，同步地免费对采购人的技术人员就有关系统安装、维护、操作使用等方面进行现场技术培训，使受训人员能熟练掌握所有的安装测试和维护方法以及操作命令的使用。培训前，将该项目安装及维护人员发放培训手册，手册内容包括基本原理、故障排除，维护说明等项目。并且</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会提供两套完整的设备技术资料和出厂及现场测试资料、表格及电子文档。</w:t>
      </w:r>
      <w:r>
        <w:rPr>
          <w:rFonts w:hint="eastAsia" w:ascii="宋体" w:hAnsi="宋体" w:eastAsia="宋体" w:cs="宋体"/>
          <w:color w:val="000000"/>
          <w:sz w:val="24"/>
          <w:szCs w:val="24"/>
          <w:highlight w:val="none"/>
          <w:lang w:val="en-US" w:eastAsia="zh-CN"/>
        </w:rPr>
        <w:t xml:space="preserve">凡</w:t>
      </w:r>
      <w:r>
        <w:rPr>
          <w:rFonts w:hint="eastAsia" w:ascii="宋体" w:hAnsi="宋体" w:eastAsia="宋体" w:cs="宋体"/>
          <w:bCs/>
          <w:color w:val="000000"/>
          <w:sz w:val="24"/>
          <w:szCs w:val="24"/>
          <w:highlight w:val="none"/>
          <w:lang w:val="en-US" w:eastAsia="zh-CN"/>
        </w:rPr>
        <w:t xml:space="preserve">供方</w:t>
      </w:r>
      <w:r>
        <w:rPr>
          <w:rFonts w:hint="eastAsia" w:ascii="宋体" w:hAnsi="宋体" w:eastAsia="宋体" w:cs="宋体"/>
          <w:color w:val="000000"/>
          <w:sz w:val="24"/>
          <w:szCs w:val="24"/>
          <w:highlight w:val="none"/>
        </w:rPr>
        <w:t xml:space="preserve">供货的产品，在工程项目的安装、调试中，在符合技术标准与使用环境下均承诺保证按工程要求派技术人员或胜任者代表到工作现场提供技术服务，以确保所有供货产品正常安装和运行，保证工程质量。</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施工现场供方做到随工程的进展不断地对施工现场及使用的机具进行整理、清扫、清洁；做到材料按指定地点整齐堆放，不需要的及时清运。</w:t>
      </w:r>
      <w:r/>
    </w:p>
    <w:p>
      <w:pPr>
        <w:numPr>
          <w:ilvl w:val="0"/>
          <w:numId w:val="8"/>
        </w:numPr>
        <w:ind w:left="0" w:firstLine="520"/>
        <w:spacing w:line="440" w:lineRule="exact"/>
        <w:tabs>
          <w:tab w:val="left" w:pos="525" w:leader="none"/>
          <w:tab w:val="left" w:pos="840"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供方对施工现场产生的建筑垃圾、零散材料，分开堆放，及时外运，做到工完场清。</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 安全要求</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方应严格遵守国家安全生产的法律法规，贯彻执行国家相关方针政策及采购人各项安全管理制度，依法履行本建设工程安全生产主体责任。健全并落实安全生产检查制度，定期组织安全生产检查活动，对发现的事故隐患，及时组织并落实整改，确保安全生产。</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2.施工现场供方必须有技术人员统一指挥，严格遵循安全施工程序，服从招标人的统一管理。</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3.供方必须加强对从业人员的安全生产教育和培训，保证其具备并掌握必要的安全生产知识和安全操作技能。特种作业人员必须</w:t>
      </w:r>
      <w:r>
        <w:rPr>
          <w:rFonts w:hint="eastAsia" w:ascii="宋体" w:hAnsi="宋体" w:eastAsia="宋体" w:cs="宋体"/>
          <w:bCs/>
          <w:color w:val="000000"/>
          <w:sz w:val="24"/>
          <w:szCs w:val="24"/>
          <w:highlight w:val="none"/>
          <w:lang w:eastAsia="zh-CN"/>
        </w:rPr>
        <w:t xml:space="preserve">经过</w:t>
      </w:r>
      <w:r>
        <w:rPr>
          <w:rFonts w:hint="eastAsia" w:ascii="宋体" w:hAnsi="宋体" w:eastAsia="宋体" w:cs="宋体"/>
          <w:bCs/>
          <w:color w:val="000000"/>
          <w:sz w:val="24"/>
          <w:szCs w:val="24"/>
          <w:highlight w:val="none"/>
        </w:rPr>
        <w:t xml:space="preserve">专门培训，取得岗位操作证书后方能上岗作业。对进入施工现场所有施工单位工作人员，做好安全教育、安全技术交底。确保施工安全，不发生人身伤亡事故和火灾事故，若因供方原因造成安全事故，供方承担由此造成而发生的直接和间接损失，并承担一切责任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4.供方必须密切注意，防患于未然，工程技术人员现场检查，确认安装物</w:t>
      </w:r>
      <w:r>
        <w:rPr>
          <w:rFonts w:hint="eastAsia" w:ascii="宋体" w:hAnsi="宋体" w:eastAsia="宋体" w:cs="宋体"/>
          <w:bCs/>
          <w:color w:val="000000"/>
          <w:sz w:val="24"/>
          <w:szCs w:val="24"/>
          <w:highlight w:val="none"/>
          <w:lang w:eastAsia="zh-CN"/>
        </w:rPr>
        <w:t xml:space="preserve">是否</w:t>
      </w:r>
      <w:r>
        <w:rPr>
          <w:rFonts w:hint="eastAsia" w:ascii="宋体" w:hAnsi="宋体" w:eastAsia="宋体" w:cs="宋体"/>
          <w:bCs/>
          <w:color w:val="000000"/>
          <w:sz w:val="24"/>
          <w:szCs w:val="24"/>
          <w:highlight w:val="none"/>
        </w:rPr>
        <w:t xml:space="preserve">加固，做到安全无隐患。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5.供方必须保证对安全生产的有效投入，积极推广和应用安全生产先进技术，不使用国家明令淘汰、禁止使用的危及安全生产的工艺、设备，提高安全生产水平。</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6.供方负责施工的本工程在施工</w:t>
      </w:r>
      <w:r>
        <w:rPr>
          <w:rFonts w:hint="eastAsia" w:ascii="宋体" w:hAnsi="宋体" w:cs="宋体"/>
          <w:bCs/>
          <w:color w:val="000000"/>
          <w:sz w:val="24"/>
          <w:szCs w:val="24"/>
          <w:highlight w:val="none"/>
          <w:lang w:eastAsia="zh-CN"/>
        </w:rPr>
        <w:t xml:space="preserve">期间</w:t>
      </w:r>
      <w:r>
        <w:rPr>
          <w:rFonts w:hint="eastAsia" w:ascii="宋体" w:hAnsi="宋体" w:eastAsia="宋体" w:cs="宋体"/>
          <w:bCs/>
          <w:color w:val="000000"/>
          <w:sz w:val="24"/>
          <w:szCs w:val="24"/>
          <w:highlight w:val="none"/>
        </w:rPr>
        <w:t xml:space="preserve">发生对第三方或甲方的人身财产损害的，由乙方承担一切赔偿责任及承担一切法律后果。</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 违约责任：</w:t>
      </w:r>
      <w:r/>
    </w:p>
    <w:p>
      <w:pPr>
        <w:numPr>
          <w:ilvl w:val="0"/>
          <w:numId w:val="9"/>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numPr>
          <w:ilvl w:val="0"/>
          <w:numId w:val="9"/>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方如无不可抗力，又未履行招标文件、投标文件和合同条款的，一经查实，由供方赔偿由此给需方造成的损失，并按照合同总价的10%向需方支付违约金，因招、投标产生的其他责任及后果按招标文件的相关要求及处理方式执行。</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由于供方提供货物质量和安装存在问题和缺陷导致任何人身、财产损害的，供方应负责承担由此产生的责任，与需方无关。或者在质量保证期限内，如果货物的数量，质量或规格与合同不符或证实货物是有缺陷的，包括潜在缺陷或使用不符合要求的材料等时，有权向供方提出赔偿要求，供方在收到需方通知后2</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5天内应免费维修或更换有缺陷的货物或部件。如不可避免地造成需方损失的，需方有权向供方追偿（该等损失包括但不限于损害赔偿金、需方为解决纠纷支付的律师费、诉讼费、差旅费等合理费用）。供方并应按照合同总价的5%向需方支付违约金，如给需方造成其他损失的，供方还应负责赔偿。</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9"/>
        </w:numPr>
        <w:ind w:left="0" w:firstLine="520"/>
        <w:spacing w:line="440" w:lineRule="exact"/>
        <w:tabs>
          <w:tab w:val="left" w:pos="105"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招标文件及合同中所述之“不可抗力”系指不可预见、不可避免、不可克服的事件，包括但不限于：战争、洪水、台风、地震及其他</w:t>
      </w:r>
      <w:r>
        <w:rPr>
          <w:rFonts w:hint="eastAsia" w:ascii="宋体" w:hAnsi="宋体" w:cs="宋体"/>
          <w:bCs/>
          <w:color w:val="000000"/>
          <w:sz w:val="24"/>
          <w:szCs w:val="24"/>
          <w:highlight w:val="none"/>
          <w:lang w:eastAsia="zh-CN"/>
        </w:rPr>
        <w:t xml:space="preserve">法律法规</w:t>
      </w:r>
      <w:r>
        <w:rPr>
          <w:rFonts w:hint="eastAsia" w:ascii="宋体" w:hAnsi="宋体" w:eastAsia="宋体" w:cs="宋体"/>
          <w:bCs/>
          <w:color w:val="000000"/>
          <w:sz w:val="24"/>
          <w:szCs w:val="24"/>
          <w:highlight w:val="none"/>
        </w:rPr>
        <w:t xml:space="preserve">规定的事件。</w:t>
      </w:r>
      <w:r/>
    </w:p>
    <w:p>
      <w:pPr>
        <w:ind w:left="-2" w:firstLine="52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 合同生效</w:t>
      </w:r>
      <w:r>
        <w:rPr>
          <w:rFonts w:hint="eastAsia" w:ascii="宋体" w:hAnsi="宋体" w:eastAsia="宋体" w:cs="宋体"/>
          <w:bCs/>
          <w:color w:val="000000"/>
          <w:sz w:val="24"/>
          <w:szCs w:val="24"/>
          <w:highlight w:val="none"/>
          <w:lang w:eastAsia="zh-CN"/>
        </w:rPr>
        <w:t xml:space="preserve">及其他</w:t>
      </w:r>
      <w:r>
        <w:rPr>
          <w:rFonts w:hint="eastAsia" w:ascii="宋体" w:hAnsi="宋体" w:eastAsia="宋体" w:cs="宋体"/>
          <w:bCs/>
          <w:color w:val="000000"/>
          <w:sz w:val="24"/>
          <w:szCs w:val="24"/>
          <w:highlight w:val="none"/>
        </w:rPr>
        <w:t xml:space="preserve">：</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合同经供需双方代表签字并盖章后生效。</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本项目收取履约保证金；</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履约保证金缴纳金额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中标金额的1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履约保证金的缴纳时间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合同生效后进行缴纳；</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缴纳形式：银行保函等非现金形式缴纳；</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履约保证金的退付时间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履约保证金在本项目验收合格后一次性退还； </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退付办法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原路退回。   </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履约保证金不予退还的情形：</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①由于乙方的原因不能履约的。</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②在履行合同期间发生重大安全事故，给甲方造成不良影响和严重经济损失的。</w:t>
      </w:r>
      <w:r/>
    </w:p>
    <w:p>
      <w:pPr>
        <w:numPr>
          <w:ilvl w:val="0"/>
          <w:numId w:val="0"/>
        </w:numPr>
        <w:ind w:left="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逾期退还履约保证金的违约责任：承担履约保证金金额千分之二/天的违约金</w:t>
      </w:r>
      <w:r>
        <w:rPr>
          <w:rFonts w:hint="eastAsia" w:ascii="宋体" w:hAnsi="宋体" w:eastAsia="宋体" w:cs="宋体"/>
          <w:color w:val="000000"/>
          <w:sz w:val="24"/>
          <w:szCs w:val="24"/>
          <w:highlight w:val="none"/>
          <w:lang w:eastAsia="zh-CN"/>
        </w:rPr>
        <w:t xml:space="preserve">。</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合同签订后供需双方即直接产生权利与义务的关系，合同执行过程中出现的问题应按照合同约定、法律法规的规定办理，在合同履行过程中，双方如有争议，由招标代理协调解决。如协商不能解决，双方可</w:t>
      </w:r>
      <w:r>
        <w:rPr>
          <w:rFonts w:hint="eastAsia" w:ascii="宋体" w:hAnsi="宋体" w:eastAsia="宋体" w:cs="宋体"/>
          <w:color w:val="000000"/>
          <w:sz w:val="24"/>
          <w:szCs w:val="24"/>
          <w:highlight w:val="none"/>
        </w:rPr>
        <w:t xml:space="preserve">向无锡仲裁委员会申请仲裁</w:t>
      </w:r>
      <w:r>
        <w:rPr>
          <w:rFonts w:hint="eastAsia" w:ascii="宋体" w:hAnsi="宋体" w:eastAsia="宋体" w:cs="宋体"/>
          <w:bCs/>
          <w:color w:val="000000"/>
          <w:sz w:val="24"/>
          <w:szCs w:val="24"/>
          <w:highlight w:val="none"/>
        </w:rPr>
        <w:t xml:space="preserve">，仲裁期间，除仲裁委员会要求停止履行合同或出现一方确实无法继续履行合同的情形外，本合同应继续履行。</w:t>
      </w:r>
      <w:r/>
    </w:p>
    <w:p>
      <w:pPr>
        <w:numPr>
          <w:ilvl w:val="0"/>
          <w:numId w:val="10"/>
        </w:numPr>
        <w:ind w:left="0" w:firstLine="520"/>
        <w:spacing w:line="440" w:lineRule="exact"/>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p>
    <w:p>
      <w:pPr>
        <w:numPr>
          <w:ilvl w:val="0"/>
          <w:numId w:val="10"/>
        </w:numPr>
        <w:ind w:left="0" w:firstLine="520"/>
        <w:spacing w:line="440" w:lineRule="exact"/>
        <w:tabs>
          <w:tab w:val="left" w:pos="0" w:leader="none"/>
          <w:tab w:val="left" w:pos="525" w:leader="none"/>
          <w:tab w:val="left" w:pos="945" w:leader="none"/>
        </w:tabs>
        <w:rPr>
          <w:bCs/>
          <w:color w:val="000000"/>
          <w:highlight w:val="none"/>
        </w:rPr>
      </w:pPr>
      <w:r>
        <w:rPr>
          <w:rFonts w:hint="eastAsia" w:ascii="宋体" w:hAnsi="宋体" w:eastAsia="宋体" w:cs="宋体"/>
          <w:bCs/>
          <w:color w:val="000000"/>
          <w:sz w:val="24"/>
          <w:szCs w:val="24"/>
          <w:highlight w:val="none"/>
        </w:rPr>
        <w:t xml:space="preserve">供需双方确认：对本合同条款及后果均已知悉，一致确认不存在欺诈、胁迫、乘人之危、重大误解、显失公平等任何可能导致合同无效或被撤销的情形。</w:t>
      </w:r>
      <w:r/>
    </w:p>
    <w:p>
      <w:pPr>
        <w:numPr>
          <w:ilvl w:val="0"/>
          <w:numId w:val="0"/>
        </w:numPr>
        <w:spacing w:line="360" w:lineRule="auto"/>
        <w:tabs>
          <w:tab w:val="left" w:pos="0" w:leader="none"/>
          <w:tab w:val="left" w:pos="525" w:leader="none"/>
          <w:tab w:val="left" w:pos="945" w:leader="none"/>
        </w:tabs>
        <w:rPr>
          <w:rFonts w:ascii="宋体" w:hAnsi="宋体"/>
          <w:bCs/>
          <w:color w:val="000000"/>
          <w:sz w:val="24"/>
          <w:highlight w:val="none"/>
        </w:rPr>
      </w:pPr>
      <w:r>
        <w:rPr>
          <w:rFonts w:ascii="宋体" w:hAnsi="宋体"/>
          <w:bCs/>
          <w:color w:val="000000"/>
          <w:sz w:val="24"/>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1120"/>
        <w:rPr>
          <w:rFonts w:hint="eastAsia" w:eastAsia="宋体"/>
          <w:bCs/>
          <w:color w:val="000000"/>
          <w:highlight w:val="none"/>
          <w:lang w:val="en-US" w:eastAsia="zh-CN"/>
        </w:rPr>
      </w:pPr>
      <w:r/>
      <w:bookmarkStart w:id="189" w:name="OLE_LINK6"/>
      <w:r>
        <w:rPr>
          <w:rFonts w:hint="eastAsia" w:eastAsia="宋体"/>
          <w:bCs/>
          <w:color w:val="000000"/>
          <w:highlight w:val="none"/>
          <w:lang w:eastAsia="zh-CN"/>
        </w:rPr>
        <w:t xml:space="preserve">附件</w:t>
      </w:r>
      <w:r>
        <w:rPr>
          <w:rFonts w:hint="eastAsia" w:eastAsia="宋体"/>
          <w:bCs/>
          <w:color w:val="000000"/>
          <w:highlight w:val="none"/>
          <w:lang w:val="en-US" w:eastAsia="zh-CN"/>
        </w:rPr>
        <w:t xml:space="preserve">1《明细报价表》</w:t>
      </w:r>
      <w:bookmarkEnd w:id="189"/>
      <w:r/>
      <w:r/>
    </w:p>
    <w:p>
      <w:pPr>
        <w:pStyle w:val="1120"/>
        <w:rPr>
          <w:rFonts w:eastAsia="宋体"/>
          <w:bCs/>
          <w:color w:val="000000"/>
          <w:highlight w:val="none"/>
          <w:lang w:val="en-US" w:eastAsia="zh-CN"/>
        </w:rPr>
      </w:pPr>
      <w:r/>
      <w:bookmarkStart w:id="190" w:name="OLE_LINK14"/>
      <w:r>
        <w:rPr>
          <w:rFonts w:hint="eastAsia" w:eastAsia="宋体"/>
          <w:bCs/>
          <w:color w:val="000000"/>
          <w:highlight w:val="none"/>
          <w:lang w:eastAsia="zh-CN"/>
        </w:rPr>
        <w:t xml:space="preserve">附件</w:t>
      </w:r>
      <w:r>
        <w:rPr>
          <w:rFonts w:hint="eastAsia" w:eastAsia="宋体"/>
          <w:bCs/>
          <w:color w:val="000000"/>
          <w:highlight w:val="none"/>
          <w:lang w:val="en-US" w:eastAsia="zh-CN"/>
        </w:rPr>
        <w:t xml:space="preserve">2《</w:t>
      </w:r>
      <w:bookmarkStart w:id="191" w:name="_Toc9312"/>
      <w:r>
        <w:rPr>
          <w:rFonts w:hint="eastAsia" w:eastAsia="宋体"/>
          <w:bCs/>
          <w:color w:val="000000"/>
          <w:highlight w:val="none"/>
          <w:lang w:val="en-US" w:eastAsia="zh-CN"/>
        </w:rPr>
        <w:t xml:space="preserve">售后服务承诺</w:t>
      </w:r>
      <w:bookmarkEnd w:id="191"/>
      <w:r>
        <w:rPr>
          <w:rFonts w:hint="eastAsia" w:eastAsia="宋体"/>
          <w:bCs/>
          <w:color w:val="000000"/>
          <w:highlight w:val="none"/>
          <w:lang w:val="en-US" w:eastAsia="zh-CN"/>
        </w:rPr>
        <w:t xml:space="preserve">》</w:t>
      </w:r>
      <w:bookmarkEnd w:id="190"/>
      <w:r/>
      <w:r/>
    </w:p>
    <w:p>
      <w:pPr>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720"/>
        <w:jc w:val="center"/>
        <w:spacing w:line="288" w:lineRule="auto"/>
        <w:rPr>
          <w:rFonts w:hAnsi="宋体"/>
          <w:color w:val="000000"/>
          <w:sz w:val="36"/>
          <w:szCs w:val="36"/>
          <w:highlight w:val="none"/>
        </w:rPr>
      </w:pPr>
      <w:r>
        <w:rPr>
          <w:rFonts w:hint="eastAsia" w:ascii="宋体" w:hAnsi="宋体"/>
          <w:b/>
          <w:color w:val="000000"/>
          <w:sz w:val="30"/>
          <w:szCs w:val="30"/>
          <w:highlight w:val="none"/>
        </w:rPr>
        <w:br w:type="page" w:clear="all"/>
      </w:r>
      <w:r>
        <w:rPr>
          <w:rFonts w:hint="eastAsia" w:ascii="黑体" w:eastAsia="黑体"/>
          <w:bCs/>
          <w:color w:val="000000"/>
          <w:sz w:val="36"/>
          <w:szCs w:val="36"/>
          <w:highlight w:val="none"/>
        </w:rPr>
        <w:t xml:space="preserve">第四章 采购需求</w:t>
      </w:r>
      <w:r/>
    </w:p>
    <w:p>
      <w:pPr>
        <w:ind w:firstLine="600"/>
        <w:jc w:val="left"/>
        <w:spacing w:line="360" w:lineRule="auto"/>
        <w:rPr>
          <w:rFonts w:ascii="黑体" w:hAnsi="黑体" w:eastAsia="黑体"/>
          <w:color w:val="000000"/>
          <w:sz w:val="30"/>
          <w:szCs w:val="30"/>
          <w:highlight w:val="none"/>
        </w:rPr>
      </w:pPr>
      <w:r>
        <w:rPr>
          <w:rFonts w:hint="eastAsia" w:ascii="黑体" w:hAnsi="黑体" w:eastAsia="黑体"/>
          <w:color w:val="000000"/>
          <w:sz w:val="30"/>
          <w:szCs w:val="30"/>
          <w:highlight w:val="none"/>
        </w:rPr>
        <w:t xml:space="preserve">本项目属性：货物类项目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本项目标的物所属行业：工业 </w:t>
      </w:r>
      <w:r/>
    </w:p>
    <w:p>
      <w:p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本项目核心产品：实验桌。</w:t>
      </w:r>
      <w:r/>
    </w:p>
    <w:p>
      <w:pPr>
        <w:numPr>
          <w:ilvl w:val="0"/>
          <w:numId w:val="11"/>
        </w:numPr>
        <w:ind w:firstLine="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 项目技术要求</w:t>
      </w:r>
      <w:r/>
    </w:p>
    <w:p>
      <w:pPr>
        <w:spacing w:line="360" w:lineRule="auto"/>
        <w:rPr>
          <w:rFonts w:ascii="宋体" w:hAnsi="宋体"/>
          <w:b/>
          <w:color w:val="000000"/>
          <w:sz w:val="24"/>
          <w:highlight w:val="none"/>
        </w:rPr>
      </w:pPr>
      <w:r>
        <w:rPr>
          <w:rFonts w:hint="eastAsia"/>
          <w:b/>
          <w:color w:val="000000"/>
          <w:sz w:val="24"/>
          <w:highlight w:val="none"/>
          <w:lang w:eastAsia="zh-CN"/>
        </w:rPr>
        <w:t xml:space="preserve">1.</w:t>
      </w:r>
      <w:r>
        <w:rPr>
          <w:rFonts w:hint="eastAsia"/>
          <w:b/>
          <w:color w:val="000000"/>
          <w:sz w:val="24"/>
          <w:highlight w:val="none"/>
        </w:rPr>
        <w:t xml:space="preserve">采购设备清单</w:t>
      </w:r>
      <w:r>
        <w:rPr>
          <w:rFonts w:hint="eastAsia"/>
          <w:b/>
          <w:color w:val="000000"/>
          <w:sz w:val="24"/>
          <w:highlight w:val="none"/>
          <w:lang w:val="en-US" w:eastAsia="zh-CN"/>
        </w:rPr>
        <w:t xml:space="preserve">及设备技术参数</w:t>
      </w:r>
      <w:r>
        <w:rPr>
          <w:rFonts w:hint="eastAsia"/>
          <w:b/>
          <w:color w:val="000000"/>
          <w:sz w:val="24"/>
          <w:highlight w:val="none"/>
          <w:lang w:eastAsia="zh-CN"/>
        </w:rPr>
        <w:t xml:space="preserve">（</w:t>
      </w:r>
      <w:r>
        <w:rPr>
          <w:rFonts w:hint="eastAsia"/>
          <w:b/>
          <w:color w:val="000000"/>
          <w:sz w:val="24"/>
          <w:highlight w:val="none"/>
          <w:lang w:val="en-US" w:eastAsia="zh-CN"/>
        </w:rPr>
        <w:t xml:space="preserve">详见清单附件）。</w:t>
      </w:r>
      <w:r/>
    </w:p>
    <w:p>
      <w:pPr>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项目整体质保期：三年（自设备验收合格之日开始计算）。所投产品质保期内质量出现问题，中标单位应包退、包换、包修，费用由中标单位负责。</w:t>
      </w:r>
      <w:r/>
    </w:p>
    <w:p>
      <w:pPr>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产品质量必须符合《中华人民共和国国家标准》及我国最新颁布的与之相关的技术规范与正宗合格产品标准，同时必须满足采购清单中所列全部规格、型号、具体配置、技术条件及功能要求和供方承诺的其他指标；产品质量出现问题，供方负责包退、包换、包修，其费用由供方负责</w:t>
      </w:r>
      <w:r>
        <w:rPr>
          <w:rFonts w:hint="eastAsia" w:ascii="宋体" w:hAnsi="宋体"/>
          <w:color w:val="000000"/>
          <w:sz w:val="24"/>
          <w:highlight w:val="none"/>
          <w:lang w:eastAsia="zh-CN"/>
        </w:rPr>
        <w:t xml:space="preserve">。</w:t>
      </w:r>
      <w:r/>
    </w:p>
    <w:p>
      <w:pPr>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维修服务响应时间：在本项目产品质保期内，一旦产品发生质量问题，中标人保证在接到通知12小时内响应，1日历天内赶到现场进行修理、更换或退货，费用由中标人负责。如中标人在接到通知后12小时内没有答复，则视为中标人承认质量问题并承担由此发生的一切费用。质保期内产品的一切质量问题，更换部件及产品本身质量原因造成的直接经济损失应全部由中标人负责。</w:t>
      </w:r>
      <w:r/>
    </w:p>
    <w:p>
      <w:pPr>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5.本项目合同履行地点：采购人指定地点。中标方必须按采购人要求将本项目中货物送到指定地点（包括可能的分布范围），并分地实施安装调试。</w:t>
      </w:r>
      <w:r/>
    </w:p>
    <w:p>
      <w:pPr>
        <w:ind w:firstLine="0"/>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进口产品是指通过中国海关报关验放进入中国境内且产自关境外的产品</w:t>
      </w:r>
      <w:r>
        <w:rPr>
          <w:rFonts w:hint="eastAsia" w:ascii="宋体" w:hAnsi="宋体"/>
          <w:bCs/>
          <w:color w:val="000000"/>
          <w:sz w:val="24"/>
          <w:szCs w:val="24"/>
          <w:highlight w:val="none"/>
        </w:rPr>
        <w:t xml:space="preserve">。</w:t>
      </w:r>
      <w:r/>
    </w:p>
    <w:p>
      <w:pPr>
        <w:numPr>
          <w:ilvl w:val="1"/>
          <w:numId w:val="12"/>
        </w:numPr>
        <w:ind w:left="0" w:firstLine="480"/>
        <w:spacing w:line="360" w:lineRule="auto"/>
        <w:tabs>
          <w:tab w:val="left" w:pos="525" w:leader="none"/>
          <w:tab w:val="left" w:pos="840" w:leader="none"/>
          <w:tab w:val="left" w:pos="945" w:leader="none"/>
        </w:tabs>
        <w:rPr>
          <w:rFonts w:hint="eastAsia" w:ascii="宋体" w:hAnsi="宋体" w:cs="宋体"/>
          <w:bCs/>
          <w:color w:val="000000"/>
          <w:sz w:val="24"/>
          <w:szCs w:val="24"/>
          <w:highlight w:val="none"/>
        </w:rPr>
      </w:pPr>
      <w:r>
        <w:rPr>
          <w:rFonts w:hint="eastAsia" w:ascii="宋体"/>
          <w:bCs/>
          <w:color w:val="000000"/>
          <w:sz w:val="24"/>
          <w:szCs w:val="24"/>
          <w:highlight w:val="none"/>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供货期间，采购人可随时委托具有资质的第三方专业检测机构进行全过程跟踪检测，检测内容包括但不限于原材料、半成品、成品等。检测标准以国家、行业标准、招标文件及投标承诺为依据。供应商须无条件配合采购人、检测单位完成跟踪检测工作，并由采购人委托的检测单位出具检测报告及验收报告。相关检测费用由中标单位承担，若检测结果没有达到中标单位投标文件中承诺的技术要求，采购人有权因此而终止部分直至全部合同，由此而造成的后果和责任由供应商全部承担。</w:t>
      </w:r>
      <w:r/>
    </w:p>
    <w:p>
      <w:pPr>
        <w:numPr>
          <w:ilvl w:val="1"/>
          <w:numId w:val="12"/>
        </w:numPr>
        <w:ind w:left="0" w:firstLine="480"/>
        <w:spacing w:line="360" w:lineRule="auto"/>
        <w:tabs>
          <w:tab w:val="left" w:pos="525" w:leader="none"/>
          <w:tab w:val="left" w:pos="945" w:leader="none"/>
        </w:tabs>
        <w:rPr>
          <w:color w:val="000000"/>
          <w:highlight w:val="none"/>
        </w:rPr>
      </w:pPr>
      <w:r>
        <w:rPr>
          <w:rFonts w:hint="eastAsia" w:ascii="宋体" w:hAnsi="宋体" w:cs="宋体"/>
          <w:bCs/>
          <w:color w:val="000000"/>
          <w:sz w:val="24"/>
          <w:szCs w:val="24"/>
          <w:highlight w:val="none"/>
        </w:rPr>
        <w:t xml:space="preserve">交货期或完工期：</w:t>
      </w:r>
      <w:r>
        <w:rPr>
          <w:rFonts w:hint="eastAsia" w:ascii="宋体" w:hAnsi="宋体"/>
          <w:color w:val="000000"/>
          <w:sz w:val="24"/>
          <w:highlight w:val="none"/>
        </w:rPr>
        <w:t xml:space="preserve">自合同签订生效起且接到采购人通知后30日内送货到指定地点并安装完毕交付使用。</w:t>
      </w:r>
      <w:r/>
    </w:p>
    <w:p>
      <w:pPr>
        <w:numPr>
          <w:ilvl w:val="1"/>
          <w:numId w:val="12"/>
        </w:numPr>
        <w:ind w:left="0" w:firstLine="480"/>
        <w:spacing w:line="360" w:lineRule="auto"/>
        <w:tabs>
          <w:tab w:val="left" w:pos="525" w:leader="none"/>
          <w:tab w:val="left" w:pos="945" w:leader="none"/>
        </w:tabs>
        <w:rPr>
          <w:color w:val="000000"/>
          <w:highlight w:val="none"/>
        </w:rPr>
      </w:pPr>
      <w:r>
        <w:rPr>
          <w:rFonts w:hint="eastAsia" w:ascii="宋体" w:hAnsi="宋体"/>
          <w:color w:val="000000"/>
          <w:sz w:val="24"/>
          <w:highlight w:val="none"/>
        </w:rPr>
        <w:t xml:space="preserve">货物保管：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宋体"/>
          <w:bCs/>
          <w:color w:val="000000"/>
          <w:sz w:val="24"/>
          <w:szCs w:val="24"/>
          <w:highlight w:val="none"/>
          <w:u w:val="none"/>
          <w:lang w:val="en-US" w:eastAsia="zh-CN"/>
        </w:rPr>
        <w:t xml:space="preserve">付款方式：全部货物安装调试完成并验收合格后，支付合同结算价的95%；余款自项目验收合格之日起满1年无息付清。付款时中标供应商须出具符合采购人财务要求的正规税金发票，若中标人未能按期开具发票，采购人可顺延付款。款项实际支付时间，以采购人财政资金拨付时间为准</w:t>
      </w:r>
      <w:r>
        <w:rPr>
          <w:rFonts w:hint="eastAsia" w:ascii="宋体" w:hAnsi="宋体" w:cs="宋体"/>
          <w:bCs/>
          <w:color w:val="000000"/>
          <w:sz w:val="24"/>
          <w:szCs w:val="24"/>
          <w:highlight w:val="none"/>
        </w:rPr>
        <w:t xml:space="preserve">。</w:t>
      </w:r>
      <w:r/>
    </w:p>
    <w:p>
      <w:pPr>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履约担保：</w:t>
      </w:r>
      <w:r>
        <w:rPr>
          <w:rFonts w:hint="eastAsia" w:ascii="宋体" w:hAnsi="宋体" w:cs="宋体"/>
          <w:color w:val="000000"/>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cs="宋体"/>
          <w:color w:val="000000"/>
          <w:sz w:val="24"/>
          <w:highlight w:val="none"/>
        </w:rPr>
        <w:t xml:space="preserve">该项目位于</w:t>
      </w:r>
      <w:r>
        <w:rPr>
          <w:rFonts w:hint="eastAsia" w:ascii="宋体" w:hAnsi="宋体" w:cs="宋体"/>
          <w:color w:val="000000"/>
          <w:sz w:val="24"/>
          <w:highlight w:val="none"/>
          <w:lang w:eastAsia="zh-CN"/>
        </w:rPr>
        <w:t xml:space="preserve">无锡经开和畅实验中学</w:t>
      </w:r>
      <w:r>
        <w:rPr>
          <w:rFonts w:hint="eastAsia" w:ascii="宋体" w:hAnsi="宋体"/>
          <w:bCs/>
          <w:color w:val="000000"/>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bookmarkStart w:id="192" w:name="四．合同书"/>
      <w:r/>
      <w:bookmarkEnd w:id="192"/>
      <w:r/>
      <w:bookmarkStart w:id="193" w:name="三．项目技术配置和有关说明"/>
      <w:r/>
      <w:bookmarkEnd w:id="193"/>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eastAsia="宋体" w:cs="宋体"/>
          <w:color w:val="000000"/>
          <w:sz w:val="24"/>
          <w:szCs w:val="24"/>
          <w:highlight w:val="none"/>
        </w:rPr>
        <w:t xml:space="preserve">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3"/>
        </w:numPr>
        <w:ind w:left="0" w:firstLine="480"/>
        <w:jc w:val="left"/>
        <w:spacing w:line="360" w:lineRule="auto"/>
        <w:tabs>
          <w:tab w:val="left" w:pos="525" w:leader="none"/>
          <w:tab w:val="left" w:pos="945" w:leader="none"/>
        </w:tabs>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7.</w:t>
      </w:r>
      <w:r>
        <w:rPr>
          <w:rFonts w:hint="eastAsia" w:ascii="宋体"/>
          <w:bCs/>
          <w:color w:val="000000"/>
          <w:sz w:val="24"/>
          <w:szCs w:val="24"/>
          <w:highlight w:val="none"/>
        </w:rPr>
        <w:t xml:space="preserve">本项目中如有涉及数据库、操作系</w:t>
      </w:r>
      <w:r>
        <w:rPr>
          <w:rFonts w:hint="eastAsia" w:ascii="宋体"/>
          <w:bCs/>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8.</w:t>
      </w: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9.</w:t>
      </w: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10.</w:t>
      </w:r>
      <w:r>
        <w:rPr>
          <w:rFonts w:hint="eastAsia" w:ascii="宋体"/>
          <w:bCs/>
          <w:color w:val="000000"/>
          <w:sz w:val="24"/>
          <w:szCs w:val="24"/>
          <w:highlight w:val="none"/>
        </w:rPr>
        <w:t xml:space="preserve">根据</w:t>
      </w:r>
      <w:bookmarkStart w:id="194" w:name="OLE_LINK2"/>
      <w:r/>
      <w:bookmarkStart w:id="195" w:name="OLE_LINK1"/>
      <w:r>
        <w:rPr>
          <w:rFonts w:hint="eastAsia" w:ascii="宋体"/>
          <w:bCs/>
          <w:color w:val="000000"/>
          <w:sz w:val="24"/>
          <w:szCs w:val="24"/>
          <w:highlight w:val="none"/>
        </w:rPr>
        <w:t xml:space="preserve">《保障中小企业款项支付条例》（中华人民共和国国务院令第802号）</w:t>
      </w:r>
      <w:bookmarkEnd w:id="194"/>
      <w:r/>
      <w:bookmarkEnd w:id="195"/>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US" w:eastAsia="zh-CN"/>
        </w:rPr>
        <w:t xml:space="preserve">12.</w:t>
      </w: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ascii="宋体"/>
          <w:bCs/>
          <w:color w:val="000000"/>
          <w:sz w:val="24"/>
          <w:szCs w:val="24"/>
          <w:highlight w:val="none"/>
        </w:rPr>
        <w:br w:type="page" w:clear="all"/>
      </w:r>
      <w:bookmarkStart w:id="196"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067"/>
        <w:ind w:firstLine="602"/>
        <w:spacing w:before="0" w:after="0" w:line="500" w:lineRule="exact"/>
        <w:rPr>
          <w:rFonts w:cs="Arial"/>
          <w:b/>
          <w:color w:val="000000"/>
          <w:sz w:val="30"/>
          <w:szCs w:val="30"/>
          <w:highlight w:val="none"/>
        </w:rPr>
      </w:pPr>
      <w:r>
        <w:rPr>
          <w:rFonts w:hint="eastAsia" w:cs="Arial"/>
          <w:b/>
          <w:color w:val="000000"/>
          <w:sz w:val="30"/>
          <w:szCs w:val="30"/>
          <w:highlight w:val="none"/>
        </w:rPr>
        <w:t xml:space="preserve">第一部分  评标方法</w:t>
      </w:r>
      <w:r/>
    </w:p>
    <w:p>
      <w:pPr>
        <w:pStyle w:val="1067"/>
        <w:spacing w:before="0" w:after="0" w:line="500" w:lineRule="exact"/>
        <w:rPr>
          <w:rFonts w:cs="Arial"/>
          <w:color w:val="000000"/>
          <w:highlight w:val="none"/>
        </w:rPr>
      </w:pPr>
      <w:r>
        <w:rPr>
          <w:rFonts w:hint="eastAsia" w:cs="Arial"/>
          <w:color w:val="000000"/>
          <w:highlight w:val="none"/>
        </w:rPr>
        <w:t xml:space="preserve">投标人通过初审的，方可进入比较与评价程序。</w:t>
      </w:r>
      <w:r/>
    </w:p>
    <w:p>
      <w:pPr>
        <w:pStyle w:val="1067"/>
        <w:spacing w:before="0" w:after="0" w:line="500" w:lineRule="exact"/>
        <w:rPr>
          <w:rFonts w:cs="Arial"/>
          <w:color w:val="000000"/>
          <w:highlight w:val="none"/>
        </w:rPr>
      </w:pPr>
      <w:r>
        <w:rPr>
          <w:rFonts w:hint="eastAsia" w:cs="Arial"/>
          <w:color w:val="000000"/>
          <w:highlight w:val="none"/>
        </w:rPr>
        <w:t xml:space="preserve">比较与评价采用综合评分法。</w:t>
      </w:r>
      <w:r/>
    </w:p>
    <w:p>
      <w:pPr>
        <w:pStyle w:val="1067"/>
        <w:spacing w:before="0" w:after="0" w:line="500" w:lineRule="exact"/>
        <w:rPr>
          <w:rFonts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67"/>
        <w:spacing w:before="0" w:after="0" w:line="500" w:lineRule="exact"/>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67"/>
        <w:spacing w:before="0" w:after="0" w:line="500" w:lineRule="exact"/>
        <w:rPr>
          <w:rFonts w:ascii="宋体" w:hAnsi="宋体"/>
          <w:bCs/>
          <w:color w:val="00000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67"/>
        <w:ind w:firstLine="0"/>
        <w:spacing w:before="0" w:after="0" w:line="500" w:lineRule="exact"/>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1.</w:t>
      </w: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1.2</w:t>
      </w:r>
      <w:r>
        <w:rPr>
          <w:rFonts w:hint="eastAsia" w:ascii="宋体" w:hAnsi="宋体" w:cs="宋体"/>
          <w:bCs/>
          <w:color w:val="000000"/>
          <w:sz w:val="24"/>
          <w:szCs w:val="24"/>
          <w:highlight w:val="none"/>
          <w:lang w:bidi="ar"/>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4残疾人福利单位、监狱企业属于小型、微型企业的，不重复享受政策。</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bidi="ar"/>
        </w:rPr>
        <w:t xml:space="preserve">1.</w:t>
      </w:r>
      <w:r>
        <w:rPr>
          <w:rFonts w:hint="eastAsia" w:ascii="宋体" w:hAnsi="宋体" w:cs="宋体"/>
          <w:bCs/>
          <w:color w:val="000000"/>
          <w:sz w:val="24"/>
          <w:szCs w:val="24"/>
          <w:highlight w:val="none"/>
          <w:lang w:bidi="ar"/>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联合体各方均为小型、微型企业的，联合体视同为小型、微型企业按规定享受价格扣除。</w:t>
      </w:r>
      <w:r/>
    </w:p>
    <w:p>
      <w:pPr>
        <w:ind w:firstLine="480"/>
        <w:jc w:val="left"/>
        <w:spacing w:line="500" w:lineRule="exact"/>
        <w:rPr>
          <w:rFonts w:hint="eastAsia"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厂名</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w:t>
      </w:r>
      <w:r>
        <w:rPr>
          <w:rFonts w:hint="eastAsia" w:ascii="宋体" w:hAnsi="宋体"/>
          <w:bCs/>
          <w:color w:val="000000"/>
          <w:sz w:val="24"/>
          <w:szCs w:val="24"/>
          <w:highlight w:val="none"/>
          <w:lang w:eastAsia="zh-CN"/>
        </w:rPr>
        <w:t xml:space="preserve">投标产品配置及分项报价表</w:t>
      </w:r>
      <w:r>
        <w:rPr>
          <w:rFonts w:hint="eastAsia" w:ascii="宋体" w:hAnsi="宋体"/>
          <w:bCs/>
          <w:color w:val="000000"/>
          <w:sz w:val="24"/>
          <w:szCs w:val="24"/>
          <w:highlight w:val="none"/>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sz w:val="24"/>
          <w:szCs w:val="24"/>
          <w:highlight w:val="none"/>
          <w:lang w:eastAsia="zh-CN"/>
        </w:rPr>
        <w:t xml:space="preserve">》和</w:t>
      </w:r>
      <w:r>
        <w:rPr>
          <w:rFonts w:hint="eastAsia" w:ascii="宋体" w:hAnsi="宋体"/>
          <w:bCs/>
          <w:color w:val="000000"/>
          <w:sz w:val="24"/>
          <w:szCs w:val="24"/>
          <w:highlight w:val="none"/>
        </w:rPr>
        <w:t xml:space="preserve">《财政部关于进一步加大政府采购支持中小企业力度的通知</w:t>
      </w:r>
      <w:r>
        <w:rPr>
          <w:rFonts w:hint="eastAsia" w:ascii="宋体" w:hAnsi="宋体"/>
          <w:bCs/>
          <w:color w:val="000000"/>
          <w:sz w:val="24"/>
          <w:szCs w:val="24"/>
          <w:highlight w:val="none"/>
          <w:lang w:eastAsia="zh-CN"/>
        </w:rPr>
        <w:t xml:space="preserve">》等</w:t>
      </w:r>
      <w:r>
        <w:rPr>
          <w:rFonts w:hint="eastAsia" w:ascii="宋体" w:hAnsi="宋体"/>
          <w:bCs/>
          <w:color w:val="000000"/>
          <w:sz w:val="24"/>
          <w:szCs w:val="24"/>
          <w:highlight w:val="none"/>
        </w:rPr>
        <w:t xml:space="preserve">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1000000×[1-（10%+20%）]=700000元</w:t>
      </w:r>
      <w:r/>
    </w:p>
    <w:p>
      <w:pPr>
        <w:pStyle w:val="1067"/>
        <w:numPr>
          <w:ilvl w:val="0"/>
          <w:numId w:val="0"/>
        </w:numPr>
        <w:ind w:firstLine="0"/>
        <w:jc w:val="both"/>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二、</w:t>
      </w:r>
      <w:r>
        <w:rPr>
          <w:rFonts w:hint="eastAsia" w:ascii="宋体" w:hAnsi="宋体"/>
          <w:b/>
          <w:color w:val="000000"/>
          <w:sz w:val="28"/>
          <w:szCs w:val="28"/>
          <w:highlight w:val="none"/>
        </w:rPr>
        <w:t xml:space="preserve">评分标准</w:t>
      </w:r>
      <w:r/>
    </w:p>
    <w:p>
      <w:pPr>
        <w:ind w:firstLine="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rPr>
        <w:t xml:space="preserve">报价（50分）</w:t>
      </w:r>
      <w:r/>
    </w:p>
    <w:p>
      <w:pPr>
        <w:ind w:firstLine="480"/>
        <w:spacing w:line="360" w:lineRule="auto"/>
        <w:tabs>
          <w:tab w:val="left" w:pos="945" w:leader="none"/>
          <w:tab w:val="left" w:pos="1146" w:leader="none"/>
        </w:tabs>
        <w:rPr>
          <w:color w:val="000000"/>
          <w:sz w:val="24"/>
          <w:highlight w:val="none"/>
        </w:rPr>
      </w:pPr>
      <w:r>
        <w:rPr>
          <w:rFonts w:hint="eastAsia"/>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630" w:leader="none"/>
        </w:tabs>
        <w:rPr>
          <w:color w:val="000000"/>
          <w:sz w:val="24"/>
          <w:highlight w:val="none"/>
        </w:rPr>
      </w:pPr>
      <w:r>
        <w:rPr>
          <w:rFonts w:hint="eastAsia"/>
          <w:color w:val="000000"/>
          <w:sz w:val="24"/>
          <w:highlight w:val="none"/>
        </w:rPr>
        <w:t xml:space="preserve">投标报价得分=（评标基准价/投标报价）×50。</w:t>
      </w:r>
      <w:r/>
    </w:p>
    <w:p>
      <w:pPr>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价格扣除：本项目专门面向中小微企业，不再执行价格评审优惠的扶持政策。</w:t>
      </w:r>
      <w:r/>
    </w:p>
    <w:p>
      <w:pPr>
        <w:ind w:firstLine="480"/>
        <w:spacing w:line="360" w:lineRule="auto"/>
        <w:tabs>
          <w:tab w:val="left" w:pos="945" w:leader="none"/>
          <w:tab w:val="left" w:pos="1155" w:leader="none"/>
        </w:tabs>
        <w:rPr>
          <w:rFonts w:hint="eastAsia" w:ascii="宋体" w:hAnsi="宋体" w:cs="宋体"/>
          <w:b/>
          <w:color w:val="000000"/>
          <w:sz w:val="24"/>
          <w:szCs w:val="24"/>
          <w:highlight w:val="none"/>
          <w:lang w:bidi="ar"/>
        </w:rPr>
      </w:pPr>
      <w:r>
        <w:rPr>
          <w:rFonts w:hint="eastAsia" w:ascii="宋体" w:hAnsi="宋体"/>
          <w:b/>
          <w:bCs w:val="0"/>
          <w:color w:val="000000"/>
          <w:sz w:val="24"/>
          <w:szCs w:val="24"/>
          <w:highlight w:val="none"/>
        </w:rPr>
        <w:t xml:space="preserve">评标委员会认为投标人的报价明显低于其他通过符合性审查投标人的报价，有可能影响产品质量或者不能诚信履约的，将要求其在合理的时间内（自江苏省政府采购（苏采云）平台通知之时起一小时内）提供书面说明，必要时提交相关证明材料；投标人不能证明其报价合理性的，评标委员会将其作为无效投标处理。</w:t>
      </w:r>
      <w:r/>
    </w:p>
    <w:p>
      <w:pPr>
        <w:ind w:firstLine="0"/>
        <w:jc w:val="left"/>
        <w:spacing w:line="360" w:lineRule="auto"/>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eastAsia="zh-CN" w:bidi="ar"/>
        </w:rPr>
        <w:t xml:space="preserve">（二）</w:t>
      </w:r>
      <w:r>
        <w:rPr>
          <w:rFonts w:hint="eastAsia" w:ascii="宋体" w:hAnsi="宋体" w:cs="宋体"/>
          <w:b/>
          <w:color w:val="000000"/>
          <w:sz w:val="24"/>
          <w:szCs w:val="24"/>
          <w:highlight w:val="none"/>
          <w:lang w:bidi="ar"/>
        </w:rPr>
        <w:t xml:space="preserve">技术</w:t>
      </w:r>
      <w:r>
        <w:rPr>
          <w:rFonts w:hint="eastAsia" w:ascii="宋体" w:hAnsi="宋体" w:eastAsia="宋体" w:cs="宋体"/>
          <w:b/>
          <w:color w:val="000000"/>
          <w:sz w:val="24"/>
          <w:szCs w:val="24"/>
          <w:highlight w:val="none"/>
          <w:lang w:val="en-US" w:eastAsia="zh-CN"/>
        </w:rPr>
        <w:t xml:space="preserve">参数</w:t>
      </w:r>
      <w:r>
        <w:rPr>
          <w:rFonts w:hint="eastAsia" w:ascii="宋体" w:hAnsi="宋体" w:cs="宋体"/>
          <w:b/>
          <w:color w:val="000000"/>
          <w:sz w:val="24"/>
          <w:szCs w:val="24"/>
          <w:highlight w:val="none"/>
          <w:lang w:bidi="ar"/>
        </w:rPr>
        <w:t xml:space="preserve">响应（</w:t>
      </w:r>
      <w:r>
        <w:rPr>
          <w:rFonts w:hint="eastAsia" w:ascii="宋体" w:hAnsi="宋体" w:eastAsia="宋体" w:cs="宋体"/>
          <w:b/>
          <w:color w:val="000000"/>
          <w:sz w:val="24"/>
          <w:szCs w:val="24"/>
          <w:highlight w:val="none"/>
          <w:lang w:val="en-US" w:eastAsia="zh-CN" w:bidi="ar"/>
        </w:rPr>
        <w:t xml:space="preserve">15</w:t>
      </w:r>
      <w:r>
        <w:rPr>
          <w:rFonts w:hint="eastAsia" w:ascii="宋体" w:hAnsi="宋体" w:cs="宋体"/>
          <w:b/>
          <w:color w:val="000000"/>
          <w:sz w:val="24"/>
          <w:szCs w:val="24"/>
          <w:highlight w:val="none"/>
          <w:lang w:bidi="ar"/>
        </w:rPr>
        <w:t xml:space="preserve">分）</w:t>
      </w:r>
      <w:r>
        <w:rPr>
          <w:rFonts w:hint="eastAsia" w:ascii="宋体" w:hAnsi="宋体" w:cs="宋体"/>
          <w:b/>
          <w:color w:val="000000"/>
          <w:sz w:val="24"/>
          <w:szCs w:val="24"/>
          <w:highlight w:val="none"/>
          <w:lang w:eastAsia="zh-CN" w:bidi="ar"/>
        </w:rPr>
        <w:t xml:space="preserve">：</w:t>
      </w:r>
      <w:r>
        <w:rPr>
          <w:rFonts w:hint="eastAsia" w:ascii="宋体" w:hAnsi="宋体" w:cs="宋体"/>
          <w:b/>
          <w:color w:val="000000"/>
          <w:sz w:val="24"/>
          <w:highlight w:val="none"/>
        </w:rPr>
        <w:t xml:space="preserve">投标人或其制造商须提供通过CMA资质认定的检验检测机构所出具的带有CMA标识的检测报告复印件并加盖原厂公章的得</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分，未提供不得分。</w:t>
      </w:r>
      <w:r/>
    </w:p>
    <w:p>
      <w:pPr>
        <w:ind w:firstLine="480"/>
        <w:spacing w:line="360" w:lineRule="auto"/>
        <w:rPr>
          <w:rFonts w:hint="eastAsia" w:ascii="宋体" w:hAnsi="宋体" w:eastAsia="宋体" w:cs="宋体"/>
          <w:b w:val="0"/>
          <w:bCs/>
          <w:color w:val="000000"/>
          <w:position w:val="0"/>
          <w:sz w:val="24"/>
          <w:szCs w:val="24"/>
          <w:highlight w:val="none"/>
          <w:lang w:val="en-US" w:eastAsia="zh-CN"/>
        </w:rPr>
      </w:pPr>
      <w:r>
        <w:rPr>
          <w:rFonts w:hint="eastAsia" w:ascii="宋体" w:hAnsi="宋体" w:eastAsia="宋体" w:cs="宋体"/>
          <w:b w:val="0"/>
          <w:bCs/>
          <w:color w:val="000000"/>
          <w:sz w:val="24"/>
          <w:highlight w:val="none"/>
          <w:lang w:val="en-US" w:eastAsia="zh-CN"/>
        </w:rPr>
        <w:t xml:space="preserve">1.技术指标</w:t>
      </w:r>
      <w:r>
        <w:rPr>
          <w:rFonts w:hint="eastAsia" w:ascii="宋体" w:hAnsi="宋体" w:eastAsia="宋体" w:cs="宋体"/>
          <w:b w:val="0"/>
          <w:bCs/>
          <w:color w:val="000000"/>
          <w:sz w:val="24"/>
          <w:highlight w:val="none"/>
        </w:rPr>
        <w:t xml:space="preserve">（</w:t>
      </w:r>
      <w:r>
        <w:rPr>
          <w:rFonts w:hint="eastAsia" w:ascii="宋体" w:hAnsi="宋体" w:eastAsia="宋体" w:cs="宋体"/>
          <w:b w:val="0"/>
          <w:bCs/>
          <w:color w:val="000000"/>
          <w:sz w:val="24"/>
          <w:highlight w:val="none"/>
          <w:lang w:val="en-US" w:eastAsia="zh-CN"/>
        </w:rPr>
        <w:t xml:space="preserve">11</w:t>
      </w:r>
      <w:r>
        <w:rPr>
          <w:rFonts w:hint="eastAsia" w:ascii="宋体" w:hAnsi="宋体" w:eastAsia="宋体" w:cs="宋体"/>
          <w:b w:val="0"/>
          <w:bCs/>
          <w:color w:val="000000"/>
          <w:sz w:val="24"/>
          <w:highlight w:val="none"/>
        </w:rPr>
        <w:t xml:space="preserve">分）：</w:t>
      </w:r>
      <w:r/>
    </w:p>
    <w:p>
      <w:pPr>
        <w:ind w:firstLine="480"/>
        <w:spacing w:line="360" w:lineRule="auto"/>
      </w:pPr>
      <w:r>
        <w:rPr>
          <w:rFonts w:hint="eastAsia" w:ascii="宋体" w:hAnsi="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rPr>
        <w:t xml:space="preserve">.1</w:t>
      </w:r>
      <w:r>
        <w:rPr>
          <w:rFonts w:hint="eastAsia" w:ascii="宋体" w:hAnsi="宋体" w:cs="宋体"/>
          <w:b w:val="0"/>
          <w:bCs/>
          <w:color w:val="000000"/>
          <w:sz w:val="24"/>
          <w:szCs w:val="24"/>
          <w:highlight w:val="none"/>
        </w:rPr>
        <w:t xml:space="preserve">所投教师演示台依据GB/T 24820-2024《实验室家具通用技术条件》标准，力学性能：水平耐久性试验、垂直耐久性试验、水平静载荷试验检测符合标准要求。</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1.2所投实验桌依据GB/T 24820-2024《实验室家具通用技术条件》检测标准，力学性能满足：独立操作台垂直加载稳定性试验：水平静载荷试验、活动操作台跌落检测均符合标准要求。</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1.3所投实验桌阻水边依据GB/T 23266-2009检测标准，弹性限度mm≥12，断裂模数MPa：平均值≥45，单值≥40；单项结论均为符合。</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1.4所投吊装主体框架依据GB/T9286-2021和GB/T17657-2022检测标准，理化性能检测结果为合格。环保性能：甲醛释放量不大于 0.1mg/l；附着力应不低于 2 级</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w:t>
      </w:r>
      <w:r>
        <w:rPr>
          <w:rFonts w:hint="eastAsia" w:ascii="宋体" w:hAnsi="宋体" w:cs="宋体"/>
          <w:b w:val="0"/>
          <w:bCs/>
          <w:color w:val="000000"/>
          <w:sz w:val="24"/>
          <w:szCs w:val="24"/>
          <w:highlight w:val="none"/>
        </w:rPr>
        <w:t xml:space="preserve">.5所投产品ABS原材料必须符合以下技术参数及要求：（1）依据GB/T 3682.1-2018检测标准，检测项目至少包含：熔体质量流动速率，判定基准：≥1.98，检测结论：符合。（2）依据GB/T 1033.1-2008检测标准，检测项目至少包含：密度，判定基准：≥1.0g/cm³，检测结论：符合。依据GB/T 9345.1-2008检测标准，检测项目至少包含：灰分，判定基准：≥0.3，检测结论：符合。依据GB/T 2411-2008检测标准，检测项目至少包含：邵氏硬度，判定基准：≥73，检测结论：符合。（</w:t>
      </w:r>
      <w:r>
        <w:rPr>
          <w:rFonts w:hint="eastAsia" w:ascii="宋体" w:hAnsi="宋体" w:cs="宋体"/>
          <w:b w:val="0"/>
          <w:bCs/>
          <w:color w:val="000000"/>
          <w:sz w:val="24"/>
          <w:szCs w:val="24"/>
          <w:highlight w:val="none"/>
        </w:rPr>
        <w:t xml:space="preserve">3</w:t>
      </w:r>
      <w:r>
        <w:rPr>
          <w:rFonts w:hint="eastAsia" w:ascii="宋体" w:hAnsi="宋体" w:cs="宋体"/>
          <w:b w:val="0"/>
          <w:bCs/>
          <w:color w:val="000000"/>
          <w:sz w:val="24"/>
          <w:szCs w:val="24"/>
          <w:highlight w:val="none"/>
        </w:rPr>
        <w:t xml:space="preserve">）依据GB/T1040.2-2022标准：拉伸强度、断裂伸长率，拉伸强度检测判定基准：≥41，检测结论：符合。断裂伸长率检测判定基准：≥17.4，检测结论：符合。依据 GB/T 9341-2008 检测标准，检测项目至少包含：弯曲强度，判定基准：≥63.8，检测结论：符合。依据 GB/T 1843-2008 检测标准，检测项目至少包含：悬臂梁缺口冲击强度，判定基准：≥19，检测结论：符合。依据GB/T 1043.1-2008 检测标准，检测项目至少包含：简支梁缺口冲击，判定基准：≥18.7，检测结论：符合。</w:t>
      </w:r>
      <w:r>
        <w:rPr>
          <w:rFonts w:hint="eastAsia" w:ascii="宋体" w:hAnsi="宋体" w:cs="宋体"/>
          <w:b w:val="0"/>
          <w:bCs/>
          <w:color w:val="000000"/>
          <w:sz w:val="24"/>
          <w:szCs w:val="24"/>
          <w:highlight w:val="none"/>
        </w:rPr>
        <w:t xml:space="preserve">（4）依据GB/T1041-2008标准，压缩强度检测判定基准：≥628Mpa，压缩模量检测判定基准≥1092Mpa，检测结论：符合。</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1.6所投实验演示多目仪依据GB/T 3325-2024《金属家具通用技术条件》标准，金属喷漆（塑）涂层附着力检测结果为0级：切割边缘完全平滑，网格内无脱落。外观性能（金属件）－管材：无裂缝、叠缝；外露管口端面封闭。</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1.7所投智慧环境监测系统主机设备通过下列检测：GB/T2423.1-2008《电子电工产品环境试验第2部分：试验方法试验A：低温试验》，耐低温性能；GB/T2423.2-2008《电工电子产品环境试验第2部分：试验方法试验B：高温》，耐高温性能；GB/T2423.3-2016《环境试验第2部分：试验方法试验Cab：恒定湿热试验》，耐湿热工作性能；GB/T2423.10-2019《环境试验第2部分：试验方法试验Fc：振动（正弦）》，振动试验。</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1.8所投智慧环境监测系统主机设备符合GB/T26125-2011《电子电气产品六种限用物质（铅、汞、镉、六价铬、多溴联苯和多溴二苯醚）》、GB/T26572-2011《电子电气产品中限用物质的限量要求》《电器电子产品有害物质限制使用自愿性认证实施规则》《达标管理目录限用物质应用例外清单》。</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1.9 所投仪器柜依据GB/T 32487-2016《塑料家具通用技术条件》检测标准，冲击强度≥10J/m²。</w:t>
      </w:r>
      <w:r>
        <w:rPr>
          <w:rFonts w:hint="eastAsia" w:ascii="宋体" w:hAnsi="宋体" w:cs="宋体"/>
          <w:b w:val="0"/>
          <w:bCs/>
          <w:color w:val="000000"/>
          <w:sz w:val="24"/>
          <w:szCs w:val="24"/>
          <w:highlight w:val="none"/>
        </w:rPr>
      </w:r>
      <w:r/>
    </w:p>
    <w:p>
      <w:pPr>
        <w:ind w:firstLine="480"/>
        <w:spacing w:line="360" w:lineRule="auto"/>
      </w:pPr>
      <w:r>
        <w:rPr>
          <w:rFonts w:hint="eastAsia" w:ascii="宋体" w:hAnsi="宋体" w:cs="宋体"/>
          <w:b w:val="0"/>
          <w:bCs/>
          <w:color w:val="000000"/>
          <w:sz w:val="24"/>
          <w:szCs w:val="24"/>
          <w:highlight w:val="none"/>
        </w:rPr>
        <w:t xml:space="preserve">1.10所投焦耳定律演示器检测内容如下：（1）核心技术指标需满足：外形尺寸666*470mm（±5mm）；上下为铝型材结构，6063-T5材料，具有良好的抗拉强度、表面黑色氧化细喷砂处理。左右为ABS塑料精密注塑成型边框；仪器面板表面印有原理电路图。配有透明贮液筒（带底座）3个，电阻4个。（2）可完成以下焦耳定律相关实验：①观察电能转化为内能的实验现象②探究电流产生热量与哪些因素有关；电流热效应；焦耳定律中热量与电阻的关系；焦耳定律中热量与电流的关系；焦耳定律中热量与通电时间的关系。结果为：符合。</w:t>
      </w:r>
      <w:r>
        <w:rPr>
          <w:rFonts w:hint="eastAsia" w:ascii="宋体" w:hAnsi="宋体" w:cs="宋体"/>
          <w:b w:val="0"/>
          <w:bCs/>
          <w:color w:val="000000"/>
          <w:sz w:val="24"/>
          <w:szCs w:val="24"/>
          <w:highlight w:val="none"/>
        </w:rPr>
      </w:r>
      <w:r/>
    </w:p>
    <w:p>
      <w:pPr>
        <w:ind w:firstLine="480"/>
        <w:spacing w:line="360" w:lineRule="auto"/>
        <w:rPr>
          <w:rFonts w:hint="eastAsia" w:ascii="宋体" w:hAnsi="宋体" w:cs="宋体"/>
          <w:b w:val="0"/>
          <w:bCs w:val="0"/>
          <w:color w:val="000000"/>
          <w:sz w:val="24"/>
          <w:szCs w:val="24"/>
          <w:highlight w:val="none"/>
        </w:rPr>
      </w:pPr>
      <w:r>
        <w:rPr>
          <w:rFonts w:hint="eastAsia" w:ascii="宋体" w:hAnsi="宋体" w:cs="宋体"/>
          <w:b w:val="0"/>
          <w:bCs/>
          <w:color w:val="000000"/>
          <w:sz w:val="24"/>
          <w:szCs w:val="24"/>
          <w:highlight w:val="none"/>
        </w:rPr>
        <w:t xml:space="preserve">1</w:t>
      </w:r>
      <w:r>
        <w:rPr>
          <w:rFonts w:hint="eastAsia" w:ascii="宋体" w:hAnsi="宋体" w:cs="宋体"/>
          <w:b w:val="0"/>
          <w:bCs/>
          <w:color w:val="000000"/>
          <w:sz w:val="24"/>
          <w:szCs w:val="24"/>
          <w:highlight w:val="none"/>
        </w:rPr>
        <w:t xml:space="preserve">.11所投电学实验箱检测内容如下：（1）核心技术指标需满足：电学模块组件：规格：尺寸64x64x32mm；主要材质：ABS工程塑料、PC；工艺：塑料注塑成型；功能描述：①结构特点：镀金触点连接，拼图式插接方式，上盖四边凹凸式对插接口， 下盖四边滑槽， 底部一个磁钢卡槽。可扩展为磁吸式电学模块； ②可用多种电子元件组成功能模块，经过拼插组合可以组合成多种电学功能电路，也可以在电学模块上插接拓展功能组件，形成特定功能产品，用以完成对应的实验。四联电池盒规格：尺寸120x96x45mm,3个4mm香蕉插座接口，配</w:t>
      </w:r>
      <w:r>
        <w:rPr>
          <w:rFonts w:hint="eastAsia" w:ascii="宋体" w:hAnsi="宋体" w:cs="宋体"/>
          <w:b w:val="0"/>
          <w:bCs/>
          <w:color w:val="000000"/>
          <w:sz w:val="24"/>
          <w:szCs w:val="24"/>
          <w:highlight w:val="none"/>
        </w:rPr>
        <w:t xml:space="preserve">4节5号AA电池双电源输出DC3V\DC6V，开关1个，LED灯1个；主要材质：壳体为ABS工程塑料、下盖为半透明PC；工艺：塑料注塑成型；功能描述：提供两档电压DC3V\DC6V，开关控制输出，自带LED输出显示灯，有输出电压时LED点亮。（2）可完成以下电学相关实验：①观察摩擦起电现象；②探究电流与电压、电阻的关系；③用电流表测量电流；④用电压表测量电压；⑤连接串联电路和并联电路；⑥用电流表和电压表测量电阻；⑦探究串联电路和并联电路中电流、电压的特点。结论为：符合</w:t>
      </w:r>
      <w:r>
        <w:rPr>
          <w:rFonts w:hint="eastAsia" w:ascii="宋体" w:hAnsi="宋体" w:cs="宋体"/>
          <w:b w:val="0"/>
          <w:bCs/>
          <w:color w:val="000000"/>
          <w:sz w:val="24"/>
          <w:szCs w:val="24"/>
          <w:highlight w:val="none"/>
        </w:rPr>
        <w:t xml:space="preserve">。</w:t>
      </w:r>
      <w:r>
        <w:rPr>
          <w:rFonts w:hint="eastAsia" w:ascii="宋体" w:hAnsi="宋体" w:cs="宋体"/>
          <w:b w:val="0"/>
          <w:bCs w:val="0"/>
          <w:color w:val="000000"/>
          <w:sz w:val="24"/>
          <w:szCs w:val="24"/>
          <w:highlight w:val="none"/>
        </w:rPr>
      </w:r>
      <w:r/>
    </w:p>
    <w:p>
      <w:pPr>
        <w:ind w:firstLine="482"/>
        <w:spacing w:line="360" w:lineRule="auto"/>
        <w:rPr>
          <w:rFonts w:hint="eastAsia" w:eastAsia="宋体"/>
          <w:color w:val="000000"/>
          <w:sz w:val="24"/>
          <w:highlight w:val="none"/>
          <w:lang w:val="en-US" w:eastAsia="zh-CN"/>
        </w:rPr>
      </w:pPr>
      <w:r>
        <w:rPr>
          <w:rFonts w:hint="eastAsia" w:ascii="宋体" w:hAnsi="宋体" w:cs="宋体"/>
          <w:b/>
          <w:color w:val="000000"/>
          <w:sz w:val="24"/>
          <w:szCs w:val="24"/>
          <w:highlight w:val="none"/>
        </w:rPr>
        <w:t xml:space="preserve">注：检测报告须清晰且完整含封底及封面，检测结果必须包含每项要求内注明条目，检测报告上的名称与要求中所对应的名称不同但内容实质相同的视作等同，检测报告不完整视作无效；受检单位须为投标人或其制造商，任意条件不满足或检测缺项不得分。</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eastAsia="宋体"/>
          <w:color w:val="000000"/>
          <w:sz w:val="24"/>
          <w:highlight w:val="none"/>
          <w:lang w:val="en-US" w:eastAsia="zh-CN"/>
        </w:rPr>
        <w:t xml:space="preserve">2.</w:t>
      </w:r>
      <w:r>
        <w:rPr>
          <w:rFonts w:hint="eastAsia" w:ascii="Times New Roman" w:hAnsi="Times New Roman" w:eastAsia="宋体" w:cs="Times New Roman"/>
          <w:color w:val="000000"/>
          <w:sz w:val="24"/>
          <w:highlight w:val="none"/>
          <w:lang w:val="en-US" w:eastAsia="zh-CN"/>
        </w:rPr>
        <w:t xml:space="preserve">软件著作证书（2分）：</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2.1所投app吊装控制系统：提供吊装控制系统软件著作权证书原件扫描件佐证的得1分。</w:t>
      </w:r>
      <w:r/>
    </w:p>
    <w:p>
      <w:pPr>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2.2所投实验演示多目仪配套VR版资源包：提供理化生VR软件著作权证书原件扫描件佐证得1分。</w:t>
      </w:r>
      <w:r/>
    </w:p>
    <w:p>
      <w:pPr>
        <w:ind w:firstLine="482"/>
        <w:spacing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软件著作证书扫描件上传至系统中并加盖公章。名称与上述名称不同，但内容实际相同的视作等同。</w:t>
      </w:r>
      <w:r/>
    </w:p>
    <w:p>
      <w:pPr>
        <w:ind w:firstLine="480"/>
        <w:spacing w:line="360" w:lineRule="auto"/>
        <w:rPr>
          <w:rFonts w:hint="eastAsia"/>
          <w:color w:val="000000"/>
          <w:sz w:val="24"/>
          <w:highlight w:val="none"/>
        </w:rPr>
      </w:pPr>
      <w:r>
        <w:rPr>
          <w:rFonts w:hint="eastAsia" w:eastAsia="宋体"/>
          <w:color w:val="000000"/>
          <w:sz w:val="24"/>
          <w:highlight w:val="none"/>
          <w:lang w:val="en-US" w:eastAsia="zh-CN"/>
        </w:rPr>
        <w:t xml:space="preserve">3.</w:t>
      </w:r>
      <w:r>
        <w:rPr>
          <w:rFonts w:hint="eastAsia" w:ascii="Times New Roman" w:hAnsi="Times New Roman" w:eastAsia="宋体" w:cs="Times New Roman"/>
          <w:color w:val="000000"/>
          <w:sz w:val="24"/>
          <w:highlight w:val="none"/>
          <w:lang w:val="en-US" w:eastAsia="zh-CN"/>
        </w:rPr>
        <w:t xml:space="preserve">政策性</w:t>
      </w:r>
      <w:r>
        <w:rPr>
          <w:rFonts w:hint="eastAsia"/>
          <w:color w:val="000000"/>
          <w:sz w:val="24"/>
          <w:highlight w:val="none"/>
        </w:rPr>
        <w:t xml:space="preserve">因素（2分）：本项目明确可加分</w:t>
      </w:r>
      <w:r>
        <w:rPr>
          <w:rFonts w:hint="eastAsia"/>
          <w:color w:val="000000"/>
          <w:sz w:val="24"/>
          <w:highlight w:val="none"/>
        </w:rPr>
        <w:t xml:space="preserve">的节能、环境标志产品仅限本项目采购清单内设备/材料，须在财政部、发展改革委最新发布的节能产品政府采购品目清单、环境标志产品政府采购品目清单对应范围内；供应商提供由《市场监管总局关于发布参与实施政府采购节能产品、环境标志产品认证机构名录的公告》（2019年第16号）名录内认证机构出具、有效期内的对应产品节能产品/环境标志产品认证证书，1个有效产品项加1分，最多加2分；同一产品同时具备两类证书不重复加分，非本项目采购产品、不在对应品目清单内、证书不在有效期内均不予加分；投标文件中须上传证书扫描件，否则不予计分。</w:t>
      </w:r>
      <w:r/>
    </w:p>
    <w:p>
      <w:pPr>
        <w:pStyle w:val="830"/>
        <w:numPr>
          <w:ilvl w:val="0"/>
          <w:numId w:val="0"/>
        </w:numPr>
        <w:ind w:left="0" w:firstLine="0"/>
        <w:spacing w:line="360" w:lineRule="auto"/>
        <w:rPr>
          <w:rFonts w:hint="eastAsia" w:ascii="宋体" w:hAnsi="宋体"/>
          <w:b/>
          <w:color w:val="000000"/>
          <w:sz w:val="24"/>
          <w:highlight w:val="none"/>
        </w:rPr>
        <w:outlineLvl w:val="0"/>
      </w:pPr>
      <w:r>
        <w:rPr>
          <w:rFonts w:hint="eastAsia" w:ascii="宋体" w:hAnsi="宋体"/>
          <w:b/>
          <w:color w:val="000000"/>
          <w:sz w:val="24"/>
          <w:highlight w:val="none"/>
          <w:lang w:val="en-US" w:eastAsia="zh-CN"/>
        </w:rPr>
        <w:t xml:space="preserve">（三）服务</w:t>
      </w:r>
      <w:r>
        <w:rPr>
          <w:rFonts w:hint="eastAsia" w:ascii="宋体" w:hAnsi="宋体"/>
          <w:b/>
          <w:color w:val="000000"/>
          <w:sz w:val="24"/>
          <w:highlight w:val="none"/>
        </w:rPr>
        <w:t xml:space="preserve">方案（</w:t>
      </w: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分）</w:t>
      </w:r>
      <w:r/>
    </w:p>
    <w:p>
      <w:pPr>
        <w:pStyle w:val="919"/>
        <w:ind w:left="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1.</w:t>
      </w:r>
      <w:r>
        <w:rPr>
          <w:rFonts w:hint="eastAsia" w:ascii="宋体" w:hAnsi="宋体" w:eastAsia="宋体" w:cs="宋体"/>
          <w:b/>
          <w:bCs w:val="0"/>
          <w:color w:val="000000"/>
          <w:sz w:val="24"/>
          <w:szCs w:val="24"/>
          <w:highlight w:val="none"/>
        </w:rPr>
        <w:t xml:space="preserve">项目实施方案（</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分）</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投标人根据项目特点提供详尽的实施方案，具体包括以下核心内容：①实施计划；②采购、运输、安装</w:t>
      </w:r>
      <w:r>
        <w:rPr>
          <w:rFonts w:hint="eastAsia" w:ascii="宋体" w:hAnsi="宋体" w:eastAsia="宋体" w:cs="宋体"/>
          <w:bCs/>
          <w:color w:val="000000"/>
          <w:sz w:val="24"/>
          <w:szCs w:val="24"/>
          <w:highlight w:val="none"/>
          <w:lang w:eastAsia="zh-CN"/>
        </w:rPr>
        <w:t xml:space="preserve">调试</w:t>
      </w:r>
      <w:r>
        <w:rPr>
          <w:rFonts w:hint="eastAsia" w:ascii="宋体" w:hAnsi="宋体" w:eastAsia="宋体" w:cs="宋体"/>
          <w:bCs/>
          <w:color w:val="000000"/>
          <w:sz w:val="24"/>
          <w:szCs w:val="24"/>
          <w:highlight w:val="none"/>
        </w:rPr>
        <w:t xml:space="preserve">及交付方案；③项目进度计划④风险识别与应急预案。</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pStyle w:val="919"/>
        <w:ind w:left="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2.</w:t>
      </w:r>
      <w:r>
        <w:rPr>
          <w:rFonts w:hint="eastAsia" w:ascii="宋体" w:hAnsi="宋体" w:eastAsia="宋体" w:cs="宋体"/>
          <w:b/>
          <w:bCs w:val="0"/>
          <w:color w:val="000000"/>
          <w:sz w:val="24"/>
          <w:szCs w:val="24"/>
          <w:highlight w:val="none"/>
        </w:rPr>
        <w:t xml:space="preserve">质量控制方案（5分）</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投标人根据项目特点提供详尽的质量控制方案，具体包括以下核心内容：①项目质量控制目标；②质量控制组织架构与职责分工；③ 关键环节/工序的质量控制措施与方法；④ 质量风险识别与预防措施。</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pStyle w:val="919"/>
        <w:numPr>
          <w:ilvl w:val="0"/>
          <w:numId w:val="0"/>
        </w:num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3.</w:t>
      </w:r>
      <w:r>
        <w:rPr>
          <w:rFonts w:hint="eastAsia" w:ascii="宋体" w:hAnsi="宋体" w:eastAsia="宋体" w:cs="宋体"/>
          <w:b/>
          <w:color w:val="000000"/>
          <w:sz w:val="24"/>
          <w:highlight w:val="none"/>
        </w:rPr>
        <w:t xml:space="preserve">售后服务方案（</w:t>
      </w: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分）</w:t>
      </w:r>
      <w:r/>
    </w:p>
    <w:p>
      <w:pPr>
        <w:pStyle w:val="830"/>
        <w:ind w:left="0"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投标人根据项目特点提供详尽的售后服务方案，具体包括以下核心内容：①售后服务内容及流程、响应时间；②售后服务专门机构、网点分布及售后人员配置；③备品备件方案；④培训计划</w:t>
      </w:r>
      <w:r>
        <w:rPr>
          <w:rFonts w:hint="eastAsia" w:ascii="宋体" w:hAnsi="宋体" w:eastAsia="宋体" w:cs="宋体"/>
          <w:bCs/>
          <w:color w:val="000000"/>
          <w:sz w:val="24"/>
          <w:szCs w:val="24"/>
          <w:highlight w:val="none"/>
          <w:lang w:eastAsia="zh-CN"/>
        </w:rPr>
        <w:t xml:space="preserve">。</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lang w:eastAsia="zh-CN"/>
        </w:rPr>
        <w:t xml:space="preserve">4.</w:t>
      </w:r>
      <w:r>
        <w:rPr>
          <w:rFonts w:hint="eastAsia" w:ascii="宋体" w:hAnsi="宋体" w:cs="宋体"/>
          <w:b/>
          <w:bCs/>
          <w:color w:val="000000"/>
          <w:sz w:val="24"/>
          <w:highlight w:val="none"/>
        </w:rPr>
        <w:t xml:space="preserve">项目培训方案（</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分）</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根据项目特点提供完善的培训方案，包括①培训讲师团队；②时间计划；③培训内容；④培训时长等内容；</w:t>
      </w:r>
      <w:r/>
    </w:p>
    <w:p>
      <w:pPr>
        <w:pStyle w:val="830"/>
        <w:ind w:left="0"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针对上述每一项要求作出了清晰、完整、可行方案且符合采购需求的得5分；内容安排相对完善、基本可行、较为符合实际情况的得2分；内容空泛，有待完善且针对性一般的，得1分；未进行阐述或存在逻辑错误、前后矛盾或存在违反现行相关规范的，该条不得分。</w:t>
      </w:r>
      <w:r/>
    </w:p>
    <w:p>
      <w:pPr>
        <w:ind w:firstLine="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四）产品演示</w:t>
      </w: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分）</w:t>
      </w:r>
      <w:r>
        <w:rPr>
          <w:rFonts w:hint="eastAsia" w:ascii="宋体" w:hAnsi="宋体" w:cs="宋体"/>
          <w:b/>
          <w:color w:val="000000"/>
          <w:sz w:val="24"/>
          <w:szCs w:val="24"/>
          <w:highlight w:val="none"/>
        </w:rPr>
        <w:t xml:space="preserve">：</w:t>
      </w:r>
      <w:r/>
    </w:p>
    <w:p>
      <w:pPr>
        <w:pStyle w:val="759"/>
        <w:ind w:firstLine="480"/>
        <w:spacing w:line="360" w:lineRule="auto"/>
        <w:rPr>
          <w:rFonts w:ascii="宋体" w:hAnsi="宋体"/>
          <w:b/>
          <w:color w:val="000000"/>
          <w:sz w:val="24"/>
          <w:highlight w:val="none"/>
        </w:rPr>
      </w:pP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需提供功能演示视频上传至投标系统中。视频文件的格式为*.mp4或*.avi，投标人须将视频文件压缩为*.zip文件上传（单个文件不得大于50M，所有文件总共不得大于300M）。视频时长总计不超过</w:t>
      </w:r>
      <w:r>
        <w:rPr>
          <w:rFonts w:hint="eastAsia" w:ascii="宋体" w:hAnsi="宋体" w:eastAsia="宋体"/>
          <w:b/>
          <w:bCs/>
          <w:color w:val="000000"/>
          <w:sz w:val="24"/>
          <w:szCs w:val="24"/>
          <w:highlight w:val="none"/>
          <w:lang w:val="en-US" w:eastAsia="zh-CN"/>
        </w:rPr>
        <w:t xml:space="preserve">15</w:t>
      </w:r>
      <w:r>
        <w:rPr>
          <w:rFonts w:hint="eastAsia" w:ascii="宋体" w:hAnsi="宋体"/>
          <w:b/>
          <w:bCs/>
          <w:color w:val="000000"/>
          <w:sz w:val="24"/>
          <w:szCs w:val="24"/>
          <w:highlight w:val="none"/>
        </w:rPr>
        <w:t xml:space="preserve">分钟。根据投标人视频演示情况和以下功能得分点进行打分，未按要求进行演示或未提供演示视频的不得分。具体要求如下：</w:t>
      </w:r>
      <w:r/>
    </w:p>
    <w:p>
      <w:pPr>
        <w:ind w:firstLine="482"/>
        <w:spacing w:line="360" w:lineRule="auto"/>
        <w:rPr>
          <w:rFonts w:hint="eastAsia" w:ascii="宋体" w:hAnsi="宋体"/>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实验演示多目仪（</w:t>
      </w:r>
      <w:r>
        <w:rPr>
          <w:rFonts w:hint="eastAsia" w:ascii="宋体" w:hAnsi="宋体"/>
          <w:b/>
          <w:bCs/>
          <w:color w:val="000000"/>
          <w:sz w:val="24"/>
          <w:highlight w:val="none"/>
          <w:lang w:val="en-US" w:eastAsia="zh-CN"/>
        </w:rPr>
        <w:t xml:space="preserve">3</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具有两个摄像头，整机一体化设计；主拍摄像和侧拍摄像可折叠，通过USB接入一体机或智慧黑板，演示多目仪直播画面可自由组合切换成画中画、双画面、单镜头功能演示；演示多目仪支持同步录制教学音频、截取实验搭建视频画面为图片和支持打开本地视频进行播放功能演示；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②VR版多目仪软件支持理化生VR软件功能，能够打开的化学学科实验数量≥50个。满足以上要求得1分。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③提供二维码扫描打开实验功能，扫描后可打开含对应版本的VR实验资源</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如滴水生烟，硫酸铜溶液和氢氧化钠溶液的反应实验，无色酚酞分别与酸和碱的作用，氢氧化钠与盐酸的反应，酸、碱与指示剂的作用，碱的化学性质，探究氢氧化钠与二氧化碳反应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压强差</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，探究氢氧化钠与二氧化碳反应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气球变化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，探究氢氧化钠与二氧化碳反应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验证产物</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，紫色石蕊试液分别与酸和碱的作用实验。满足以上要求得1分。</w:t>
      </w:r>
      <w:r/>
    </w:p>
    <w:p>
      <w:pPr>
        <w:ind w:firstLine="482"/>
        <w:spacing w:line="360" w:lineRule="auto"/>
        <w:rPr>
          <w:rFonts w:hint="eastAsia" w:ascii="宋体" w:hAnsi="宋体"/>
          <w:color w:val="000000"/>
          <w:sz w:val="24"/>
          <w:highlight w:val="none"/>
        </w:rPr>
      </w:pP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智慧环境监测系统（</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①室内环境监测预警功能：系统可实现室内环境监测预警，通过设置预警参数以及预警间隔提醒时间，当监测数据达到设定的</w:t>
      </w:r>
      <w:r>
        <w:rPr>
          <w:rFonts w:hint="eastAsia" w:ascii="宋体" w:hAnsi="宋体"/>
          <w:color w:val="000000"/>
          <w:sz w:val="24"/>
          <w:highlight w:val="none"/>
          <w:lang w:eastAsia="zh-CN"/>
        </w:rPr>
        <w:t xml:space="preserve">阈值</w:t>
      </w:r>
      <w:r>
        <w:rPr>
          <w:rFonts w:hint="eastAsia" w:ascii="宋体" w:hAnsi="宋体"/>
          <w:color w:val="000000"/>
          <w:sz w:val="24"/>
          <w:highlight w:val="none"/>
        </w:rPr>
        <w:t xml:space="preserve">，系统自动进行预警提醒，监测预警信息查询功能：监测预警信息可以在本地进行查看，也可以通过互联网访问云平台进行查看。满足以上要求得1分。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②监测数据功能：支持本地查看室内温湿度、光照、甲醛、C02、TVOC、PM2.5和PM10以及烟雾的实时数据，并可查看统计分钟监测数据、小时监测数据，也可以通过互联网访问云平台进行查看。满足以上要求得1分。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③室外监测数据查询功能：支持查看室外12种天气实况参数（天气现象、室外温度、体感温度、气压、相对湿度、能见度、风向、风向角度、风速、风力等级、云量、露点温度）以及8种室外空气质量实况（室外空气质量、室外首要污染物、PM2.5、PM10、S02、N02、C0、03）。满足以上要求得1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④远程设备管理功能：支持利用手机微信扫码，查看设备信息以及监测数据。满足以上要求得1分。</w:t>
      </w:r>
      <w:r/>
    </w:p>
    <w:p>
      <w:pPr>
        <w:ind w:firstLine="482"/>
        <w:spacing w:line="360" w:lineRule="auto"/>
        <w:rPr>
          <w:rFonts w:hint="eastAsia" w:ascii="宋体" w:hAnsi="宋体" w:eastAsia="宋体"/>
          <w:color w:val="000000"/>
          <w:sz w:val="24"/>
          <w:highlight w:val="none"/>
          <w:lang w:eastAsia="zh-CN"/>
        </w:rPr>
      </w:pPr>
      <w:r>
        <w:rPr>
          <w:rFonts w:hint="eastAsia" w:ascii="宋体" w:hAnsi="宋体"/>
          <w:b/>
          <w:bCs/>
          <w:color w:val="000000"/>
          <w:sz w:val="24"/>
          <w:highlight w:val="none"/>
          <w:lang w:eastAsia="zh-CN"/>
        </w:rPr>
        <w:t xml:space="preserve">3.</w:t>
      </w:r>
      <w:r>
        <w:rPr>
          <w:rFonts w:hint="eastAsia" w:ascii="宋体" w:hAnsi="宋体"/>
          <w:b/>
          <w:bCs/>
          <w:color w:val="000000"/>
          <w:sz w:val="24"/>
          <w:highlight w:val="none"/>
        </w:rPr>
        <w:t xml:space="preserve">能源与可持续发展实验箱（</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带支撑杆电机由铝制电机壳、不锈钢支撑杆、2个4mm香蕉插座等组成。小电机模块、单插座模块均为电学模块组件，为ABS工程塑料注塑成型，具有镀金触点连接，拼图式插接方式，上盖四边凹凸式对插接口，下盖四边滑槽，底部一个磁钢卡槽，可扩展为磁吸式电学模块。满足以上要求得1分。</w:t>
      </w:r>
      <w:r/>
    </w:p>
    <w:p>
      <w:pPr>
        <w:ind w:firstLine="480"/>
        <w:spacing w:line="360" w:lineRule="auto"/>
        <w:rPr>
          <w:rFonts w:hint="eastAsia" w:ascii="宋体" w:hAnsi="宋体"/>
          <w:color w:val="000000"/>
          <w:sz w:val="24"/>
          <w:highlight w:val="none"/>
        </w:rPr>
      </w:pPr>
      <w:r>
        <w:rPr>
          <w:rFonts w:hint="eastAsia" w:ascii="宋体" w:hAnsi="宋体" w:eastAsia="宋体" w:cs="Times New Roman"/>
          <w:color w:val="000000"/>
          <w:sz w:val="24"/>
          <w:highlight w:val="none"/>
        </w:rPr>
        <w:t xml:space="preserve">②将三叶桨固定在带支撑杆电机上，600mm支撑杆的公母杆与X型支座对接组成支撑座，锁紧自</w:t>
      </w:r>
      <w:r>
        <w:rPr>
          <w:rFonts w:hint="eastAsia" w:ascii="宋体" w:hAnsi="宋体" w:eastAsia="宋体" w:cs="Times New Roman"/>
          <w:color w:val="000000"/>
          <w:sz w:val="24"/>
          <w:highlight w:val="none"/>
        </w:rPr>
        <w:t xml:space="preserve">锁紧双下压扣，在X支座的插孔上固定带支撑杆风机，将带支撑杆电机固定在滑行座上。按照单端插座模块+小电机模块+单端插座模块的顺序拼接好。用4mm红黑香蕉导线连接移动式多功能电源与带支撑杆风机，并使带支撑杆风机与带支撑杆电机的三叶桨面对面放置，带支撑杆电机的电源孔和2个单端插座模块分别用4mm红黑香蕉导线连接好。调节移动式多功能电源的AC/DC切换按钮和电压调档旋钮，使输出电压为DC直流12伏，打开电源开关，适当调节带支撑杆风机与带支撑杆电机的三叶桨之间的距离，可以观察到小电机上的风扇转动。满足以上要求得1分。</w:t>
      </w:r>
      <w:r/>
    </w:p>
    <w:p>
      <w:pPr>
        <w:ind w:firstLine="482"/>
        <w:spacing w:line="360" w:lineRule="auto"/>
        <w:rPr>
          <w:rFonts w:hint="eastAsia" w:ascii="宋体" w:hAnsi="宋体"/>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眼球仪（</w:t>
      </w:r>
      <w:r>
        <w:rPr>
          <w:rFonts w:hint="eastAsia" w:ascii="宋体" w:hAnsi="宋体"/>
          <w:b/>
          <w:bCs/>
          <w:color w:val="000000"/>
          <w:sz w:val="24"/>
          <w:highlight w:val="none"/>
          <w:lang w:val="en-US" w:eastAsia="zh-CN"/>
        </w:rPr>
        <w:t xml:space="preserve">4</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①上下为铝型材结构，具有良好的抗拉强度，表面黑色氧化细喷砂处理。左右为ABS塑料精密注塑成型边框。五线激光源：工作电压DC3V；主要材质：ABS工程塑料、铜；工艺：塑料注塑成型；功能描述：激光光学光源，磁吸式，内置电池可充电，提供1～5线平行光源（中间绿色光源）。光学透镜：厚度20mm；主要材质：PMMA；磁吸式；演示所有配件吸附在眼球仪主体上。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②由眼球仪主体（含眼球剖面图）、五线激光源、光学零件（正常眼球玻璃、远视眼球玻璃、近视眼球玻璃、近视镜玻璃、远视镜玻璃）组成。满足以上要求得1分。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③近视矫正演示：将近视眼球玻璃放在指定虚线位置，将五线激光源电源打开，射向近视眼球玻璃，可以看到光源的焦点在视网膜前面，说明眼睛近视；将近视镜玻璃放在近视眼球玻璃前面，可以看到光源的焦点在视网膜上，说明通过近视镜玻璃矫正，眼睛视力恢复正常。满足以上要求得1分。</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④远视矫正演示：将远视眼球玻璃放在指定虚线位置，将五线激光源电源打开，射向远视眼球玻璃，可以看到光源的焦点在视网膜后面，说明眼睛远视；将远视镜玻璃放在远视眼球玻璃前面，可以看到光源的焦点在视网膜上，说明通过远视镜玻璃矫正，眼睛视力恢复正常。满足以上要求得1分。</w:t>
      </w:r>
      <w:r/>
    </w:p>
    <w:p>
      <w:pPr>
        <w:ind w:firstLine="482"/>
        <w:spacing w:line="360" w:lineRule="auto"/>
        <w:rPr>
          <w:rFonts w:hint="eastAsia" w:ascii="宋体" w:hAnsi="宋体"/>
          <w:b/>
          <w:bCs/>
          <w:color w:val="000000"/>
          <w:sz w:val="24"/>
          <w:highlight w:val="none"/>
        </w:rPr>
      </w:pPr>
      <w:r>
        <w:rPr>
          <w:rFonts w:hint="eastAsia" w:ascii="宋体" w:hAnsi="宋体" w:eastAsia="宋体" w:cs="Times New Roman"/>
          <w:b/>
          <w:bCs/>
          <w:color w:val="000000"/>
          <w:sz w:val="24"/>
          <w:highlight w:val="none"/>
          <w:lang w:val="en-US" w:eastAsia="zh-CN"/>
        </w:rPr>
        <w:t xml:space="preserve">5.磁吸电路实验箱</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分）</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①</w:t>
      </w:r>
      <w:r>
        <w:rPr>
          <w:rFonts w:hint="eastAsia" w:ascii="宋体" w:hAnsi="宋体" w:eastAsia="宋体" w:cs="Times New Roman"/>
          <w:color w:val="000000"/>
          <w:sz w:val="24"/>
          <w:highlight w:val="none"/>
        </w:rPr>
        <w:t xml:space="preserve">演示电流表</w:t>
      </w:r>
      <w:r>
        <w:rPr>
          <w:rFonts w:hint="eastAsia" w:ascii="宋体" w:hAnsi="宋体" w:eastAsia="宋体" w:cs="Times New Roman"/>
          <w:color w:val="000000"/>
          <w:sz w:val="24"/>
          <w:highlight w:val="none"/>
          <w:lang w:val="en-US" w:eastAsia="zh-CN"/>
        </w:rPr>
        <w:t xml:space="preserve">由外壳、表盘、调零旋钮、香蕉插头接线柱等组成。工艺：ABS塑料精密注塑成型；量程：-0.2A～0.6 A/-1A～3 A 双量程，功能描述：磁吸式。1号电池盒（磁吸）由壳体、弹簧、弹片、</w:t>
      </w:r>
      <w:r>
        <w:rPr>
          <w:rFonts w:hint="eastAsia" w:ascii="宋体" w:hAnsi="宋体" w:eastAsia="宋体" w:cs="Times New Roman"/>
          <w:color w:val="000000"/>
          <w:sz w:val="24"/>
          <w:highlight w:val="none"/>
        </w:rPr>
        <w:t xml:space="preserve">4mm</w:t>
      </w:r>
      <w:r>
        <w:rPr>
          <w:rFonts w:hint="eastAsia" w:ascii="宋体" w:hAnsi="宋体" w:eastAsia="宋体" w:cs="Times New Roman"/>
          <w:color w:val="000000"/>
          <w:sz w:val="24"/>
          <w:highlight w:val="none"/>
          <w:lang w:val="en-US" w:eastAsia="zh-CN"/>
        </w:rPr>
        <w:t xml:space="preserve">香蕉插头接线柱等组成；壳体材质工艺：ABS塑料精密注塑成型，功能描述：磁吸式，内嵌磁铁。灯座和单刀单掷开关：材质工艺：ABS塑料精密注塑成型；功能描述：磁吸式，内嵌磁铁。</w:t>
      </w:r>
      <w:r>
        <w:rPr>
          <w:rFonts w:hint="eastAsia" w:ascii="宋体" w:hAnsi="宋体" w:eastAsia="宋体" w:cs="Times New Roman"/>
          <w:color w:val="000000"/>
          <w:sz w:val="24"/>
          <w:highlight w:val="none"/>
        </w:rPr>
        <w:t xml:space="preserve">满足以上要求得1分</w:t>
      </w:r>
      <w:r>
        <w:rPr>
          <w:rFonts w:hint="eastAsia" w:ascii="宋体" w:hAnsi="宋体" w:eastAsia="宋体" w:cs="Times New Roman"/>
          <w:color w:val="000000"/>
          <w:sz w:val="24"/>
          <w:highlight w:val="none"/>
          <w:lang w:eastAsia="zh-CN"/>
        </w:rPr>
        <w:t xml:space="preserve">。</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②在黑板上通过磁吸电学模块进行搭建串联电路，用手拨动调零旋钮对电流表进行调零（不用工具）。将电流表放在第一个小灯泡的前面</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闭合开关，观察电流表的读数；将电流表放在两个小灯泡的中间</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闭合开关，观察电流表的读数；将电流表放在第二个小灯泡的后面</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闭合开关，观察电流表的读数</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val="en-US" w:eastAsia="zh-CN"/>
        </w:rPr>
        <w:t xml:space="preserve">通过实验得知，串联电路中处处电流相等。</w:t>
      </w:r>
      <w:r>
        <w:rPr>
          <w:rFonts w:hint="eastAsia" w:ascii="宋体" w:hAnsi="宋体" w:eastAsia="宋体" w:cs="Times New Roman"/>
          <w:color w:val="000000"/>
          <w:sz w:val="24"/>
          <w:highlight w:val="none"/>
        </w:rPr>
        <w:t xml:space="preserve">满足以上要求得1分</w:t>
      </w:r>
      <w:r>
        <w:rPr>
          <w:rFonts w:hint="eastAsia" w:ascii="宋体" w:hAnsi="宋体" w:eastAsia="宋体" w:cs="Times New Roman"/>
          <w:color w:val="000000"/>
          <w:sz w:val="24"/>
          <w:highlight w:val="none"/>
          <w:lang w:eastAsia="zh-CN"/>
        </w:rPr>
        <w:t xml:space="preserve">。</w:t>
      </w:r>
      <w:r/>
    </w:p>
    <w:p>
      <w:pPr>
        <w:ind w:firstLine="482"/>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r>
      <w:r/>
    </w:p>
    <w:p>
      <w:pPr>
        <w:spacing w:line="360" w:lineRule="auto"/>
        <w:rPr>
          <w:color w:val="000000"/>
          <w:sz w:val="24"/>
          <w:szCs w:val="24"/>
          <w:highlight w:val="none"/>
        </w:rPr>
      </w:pPr>
      <w:r>
        <w:rPr>
          <w:rFonts w:hint="eastAsia" w:ascii="宋体" w:hAnsi="宋体" w:cs="宋体"/>
          <w:b/>
          <w:bCs/>
          <w:color w:val="000000"/>
          <w:sz w:val="24"/>
          <w:szCs w:val="24"/>
          <w:highlight w:val="none"/>
          <w:shd w:val="clear" w:color="auto" w:fill="ffffff"/>
        </w:rPr>
        <w:t xml:space="preserve">未列入本评分细则的其他条件不作为评分内容。</w:t>
      </w:r>
      <w:r/>
    </w:p>
    <w:p>
      <w:pPr>
        <w:ind w:firstLine="480"/>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rPr>
        <w:t xml:space="preserve">注：评委在5人及5人以上的，取所有</w:t>
      </w:r>
      <w:r>
        <w:rPr>
          <w:rFonts w:hint="eastAsia" w:ascii="宋体" w:cs="宋体"/>
          <w:bCs/>
          <w:color w:val="000000"/>
          <w:sz w:val="24"/>
          <w:szCs w:val="24"/>
          <w:highlight w:val="none"/>
        </w:rPr>
        <w:t xml:space="preserve">评委</w:t>
      </w:r>
      <w:r>
        <w:rPr>
          <w:rFonts w:hint="eastAsia" w:ascii="宋体" w:hAnsi="宋体" w:cs="宋体"/>
          <w:color w:val="000000"/>
          <w:sz w:val="24"/>
          <w:szCs w:val="24"/>
          <w:highlight w:val="none"/>
        </w:rPr>
        <w:t xml:space="preserve">的平均值。</w:t>
      </w:r>
      <w:r>
        <w:rPr>
          <w:rFonts w:hint="eastAsia" w:ascii="宋体" w:hAnsi="宋体"/>
          <w:bCs/>
          <w:color w:val="000000"/>
          <w:sz w:val="24"/>
          <w:szCs w:val="24"/>
          <w:highlight w:val="none"/>
        </w:rPr>
        <w:t xml:space="preserve">未列入本评分细则的其他条件不作为评分内容。</w:t>
      </w:r>
      <w:r/>
    </w:p>
    <w:p>
      <w:pPr>
        <w:pStyle w:val="1067"/>
        <w:ind w:firstLine="0"/>
        <w:jc w:val="both"/>
        <w:spacing w:before="0" w:after="0" w:line="500" w:lineRule="exact"/>
        <w:rPr>
          <w:rFonts w:ascii="黑体" w:eastAsia="黑体"/>
          <w:bCs/>
          <w:color w:val="000000"/>
          <w:sz w:val="36"/>
          <w:szCs w:val="36"/>
          <w:highlight w:val="none"/>
        </w:rPr>
      </w:pPr>
      <w:r>
        <w:rPr>
          <w:rFonts w:hint="eastAsia" w:ascii="黑体" w:eastAsia="黑体"/>
          <w:bCs/>
          <w:color w:val="000000"/>
          <w:sz w:val="36"/>
          <w:szCs w:val="36"/>
          <w:highlight w:val="none"/>
        </w:rPr>
        <w:br w:type="page" w:clear="all"/>
      </w:r>
      <w:r>
        <w:rPr>
          <w:rFonts w:hint="eastAsia" w:ascii="黑体" w:eastAsia="黑体"/>
          <w:bCs/>
          <w:color w:val="000000"/>
          <w:sz w:val="36"/>
          <w:szCs w:val="36"/>
          <w:highlight w:val="none"/>
        </w:rPr>
        <w:t xml:space="preserve">第六章  </w:t>
      </w:r>
      <w:bookmarkEnd w:id="185"/>
      <w:r/>
      <w:bookmarkEnd w:id="186"/>
      <w:r/>
      <w:bookmarkEnd w:id="196"/>
      <w:r>
        <w:rPr>
          <w:rFonts w:hint="eastAsia" w:ascii="黑体" w:eastAsia="黑体"/>
          <w:bCs/>
          <w:color w:val="000000"/>
          <w:sz w:val="36"/>
          <w:szCs w:val="36"/>
          <w:highlight w:val="none"/>
        </w:rPr>
        <w:t xml:space="preserve">投标文件内容与格式</w:t>
      </w:r>
      <w:r/>
    </w:p>
    <w:p>
      <w:pPr>
        <w:pStyle w:val="1067"/>
        <w:ind w:firstLine="602"/>
        <w:spacing w:before="0" w:after="0" w:line="500" w:lineRule="exact"/>
        <w:rPr>
          <w:rFonts w:cs="Arial"/>
          <w:b/>
          <w:color w:val="000000"/>
          <w:sz w:val="30"/>
          <w:szCs w:val="30"/>
          <w:highlight w:val="none"/>
        </w:rPr>
      </w:pPr>
      <w:r/>
      <w:bookmarkStart w:id="197" w:name="_Hlt26955039"/>
      <w:r/>
      <w:bookmarkEnd w:id="197"/>
      <w:r/>
      <w:bookmarkStart w:id="198" w:name="_Hlt26671244"/>
      <w:r/>
      <w:bookmarkEnd w:id="198"/>
      <w:r/>
      <w:bookmarkStart w:id="199" w:name="_Toc120614282"/>
      <w:r/>
      <w:bookmarkStart w:id="200" w:name="_Toc26554094"/>
      <w:r/>
      <w:bookmarkStart w:id="201" w:name="_Toc49090576"/>
      <w:r>
        <w:rPr>
          <w:rFonts w:hint="eastAsia" w:cs="Arial"/>
          <w:b/>
          <w:color w:val="000000"/>
          <w:sz w:val="30"/>
          <w:szCs w:val="30"/>
          <w:highlight w:val="none"/>
        </w:rPr>
        <w:t xml:space="preserve">第一部分  投标文件内容</w:t>
      </w:r>
      <w:r/>
    </w:p>
    <w:p>
      <w:pPr>
        <w:pStyle w:val="1067"/>
        <w:ind w:firstLine="0"/>
        <w:spacing w:before="0" w:after="0" w:line="500" w:lineRule="exact"/>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2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6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tcPr>
          <w:p>
            <w:pPr>
              <w:pStyle w:val="1067"/>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tcPr>
          <w:p>
            <w:pPr>
              <w:pStyle w:val="1067"/>
              <w:ind w:firstLine="0"/>
              <w:jc w:val="center"/>
              <w:spacing w:before="0" w:after="0" w:line="240" w:lineRule="auto"/>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17"/>
                <w:rFonts w:hint="eastAsia" w:ascii="宋体" w:hAnsi="宋体" w:cs="宋体"/>
                <w:color w:val="000000"/>
                <w:sz w:val="24"/>
                <w:szCs w:val="24"/>
                <w:highlight w:val="none"/>
              </w:rPr>
              <w:t xml:space="preserve">。</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tcPr>
          <w:p>
            <w:pPr>
              <w:pStyle w:val="1067"/>
              <w:ind w:firstLine="0"/>
              <w:jc w:val="both"/>
              <w:spacing w:before="0" w:after="0" w:line="240" w:lineRule="auto"/>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tcPr>
          <w:p>
            <w:pPr>
              <w:pStyle w:val="1067"/>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tcPr>
          <w:p>
            <w:pPr>
              <w:pStyle w:val="1067"/>
              <w:ind w:firstLine="0"/>
              <w:jc w:val="center"/>
              <w:spacing w:before="0" w:after="0" w:line="240" w:lineRule="auto"/>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pStyle w:val="1067"/>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tcPr>
          <w:p>
            <w:pPr>
              <w:pStyle w:val="1067"/>
              <w:ind w:firstLine="0"/>
              <w:jc w:val="both"/>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文件：无</w:t>
            </w:r>
            <w:r/>
          </w:p>
        </w:tc>
        <w:tc>
          <w:tcPr>
            <w:tcW w:w="2449" w:type="dxa"/>
            <w:vAlign w:val="center"/>
            <w:textDirection w:val="lrTb"/>
            <w:noWrap/>
          </w:tcPr>
          <w:p>
            <w:pPr>
              <w:pStyle w:val="1067"/>
              <w:ind w:firstLine="0"/>
              <w:spacing w:before="0" w:after="0" w:line="24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tcPr>
          <w:p>
            <w:pPr>
              <w:pStyle w:val="1067"/>
              <w:ind w:firstLine="0"/>
              <w:jc w:val="center"/>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tcPr>
          <w:p>
            <w:pPr>
              <w:pStyle w:val="1067"/>
              <w:ind w:firstLine="0"/>
              <w:spacing w:before="0" w:after="0" w:line="24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4"/>
        </w:num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4"/>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4"/>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4"/>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p>
      <w:pPr>
        <w:rPr>
          <w:b/>
          <w:color w:val="000000"/>
          <w:sz w:val="28"/>
          <w:szCs w:val="28"/>
          <w:highlight w:val="none"/>
        </w:rPr>
      </w:pPr>
      <w:r>
        <w:rPr>
          <w:rFonts w:hint="eastAsia"/>
          <w:b/>
          <w:color w:val="000000"/>
          <w:sz w:val="28"/>
          <w:szCs w:val="28"/>
          <w:highlight w:val="none"/>
        </w:rPr>
        <w:t xml:space="preserve">（一）符合性证明文件</w:t>
      </w:r>
      <w:r/>
    </w:p>
    <w:tbl>
      <w:tblPr>
        <w:tblStyle w:val="7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67"/>
              <w:ind w:firstLine="0"/>
              <w:jc w:val="center"/>
              <w:spacing w:before="0" w:after="0" w:line="240" w:lineRule="auto"/>
              <w:rPr>
                <w:rFonts w:cs="Arial"/>
                <w:b/>
                <w:color w:val="000000"/>
                <w:highlight w:val="none"/>
              </w:rPr>
            </w:pPr>
            <w:r>
              <w:rPr>
                <w:rFonts w:hint="eastAsia" w:cs="Arial"/>
                <w:b/>
                <w:color w:val="000000"/>
                <w:highlight w:val="none"/>
              </w:rPr>
              <w:t xml:space="preserve">序号</w:t>
            </w:r>
            <w:r/>
          </w:p>
        </w:tc>
        <w:tc>
          <w:tcPr>
            <w:tcW w:w="6095" w:type="dxa"/>
            <w:vAlign w:val="center"/>
            <w:textDirection w:val="lrTb"/>
            <w:noWrap/>
          </w:tcPr>
          <w:p>
            <w:pPr>
              <w:pStyle w:val="1067"/>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p>
        </w:tc>
        <w:tc>
          <w:tcPr>
            <w:tcW w:w="1979" w:type="dxa"/>
            <w:vAlign w:val="center"/>
            <w:textDirection w:val="lrTb"/>
            <w:noWrap/>
          </w:tcPr>
          <w:p>
            <w:pPr>
              <w:pStyle w:val="1067"/>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p>
        </w:tc>
        <w:tc>
          <w:tcPr>
            <w:tcW w:w="1979" w:type="dxa"/>
            <w:vAlign w:val="center"/>
            <w:vMerge w:val="restart"/>
            <w:textDirection w:val="lrTb"/>
            <w:noWrap/>
          </w:tcPr>
          <w:p>
            <w:pPr>
              <w:pStyle w:val="1067"/>
              <w:ind w:firstLine="0"/>
              <w:jc w:val="center"/>
              <w:spacing w:before="0" w:after="0" w:line="240" w:lineRule="auto"/>
              <w:rPr>
                <w:rFonts w:cs="Arial"/>
                <w:color w:val="000000"/>
                <w:highlight w:val="none"/>
              </w:rPr>
            </w:pPr>
            <w:r>
              <w:rPr>
                <w:rFonts w:hint="eastAsia" w:cs="Arial"/>
                <w:color w:val="000000"/>
                <w:highlight w:val="none"/>
              </w:rPr>
              <w:t xml:space="preserve">商务符合性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p>
        </w:tc>
        <w:tc>
          <w:tcPr>
            <w:tcW w:w="1979" w:type="dxa"/>
            <w:vAlign w:val="center"/>
            <w:vMerge w:val="continue"/>
            <w:textDirection w:val="lrTb"/>
            <w:noWrap/>
          </w:tcPr>
          <w:p>
            <w:pPr>
              <w:pStyle w:val="1067"/>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开标一览表（“苏采云”系统中给定格式）</w:t>
            </w:r>
            <w:r/>
          </w:p>
        </w:tc>
        <w:tc>
          <w:tcPr>
            <w:tcW w:w="1979" w:type="dxa"/>
            <w:vAlign w:val="center"/>
            <w:vMerge w:val="restart"/>
            <w:textDirection w:val="lrTb"/>
            <w:noWrap/>
          </w:tcPr>
          <w:p>
            <w:pPr>
              <w:pStyle w:val="1067"/>
              <w:ind w:firstLine="0"/>
              <w:jc w:val="center"/>
              <w:spacing w:before="0" w:after="0" w:line="240" w:lineRule="auto"/>
              <w:rPr>
                <w:rFonts w:cs="Arial"/>
                <w:color w:val="000000"/>
                <w:highlight w:val="none"/>
              </w:rPr>
            </w:pPr>
            <w:r>
              <w:rPr>
                <w:rFonts w:hint="eastAsia" w:cs="Arial"/>
                <w:color w:val="000000"/>
                <w:highlight w:val="none"/>
              </w:rPr>
              <w:t xml:space="preserve">报价符合性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4</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投标产品配置及分项报价表（给定格式）</w:t>
            </w:r>
            <w:r/>
          </w:p>
        </w:tc>
        <w:tc>
          <w:tcPr>
            <w:tcW w:w="1979" w:type="dxa"/>
            <w:vAlign w:val="center"/>
            <w:vMerge w:val="continue"/>
            <w:textDirection w:val="lrTb"/>
            <w:noWrap/>
          </w:tcPr>
          <w:p>
            <w:pPr>
              <w:pStyle w:val="1067"/>
              <w:ind w:firstLine="0"/>
              <w:jc w:val="center"/>
              <w:spacing w:before="0" w:after="0" w:line="240" w:lineRule="auto"/>
              <w:rPr>
                <w:rFonts w:cs="Arial"/>
                <w:color w:val="000000"/>
                <w:highlight w:val="none"/>
              </w:rPr>
            </w:pPr>
            <w:r>
              <w:rPr>
                <w:rFonts w:cs="Arial"/>
                <w:color w:val="000000"/>
                <w:highlight w:val="none"/>
              </w:rPr>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5</w:t>
            </w:r>
            <w:r/>
          </w:p>
        </w:tc>
        <w:tc>
          <w:tcPr>
            <w:tcW w:w="6095" w:type="dxa"/>
            <w:vAlign w:val="center"/>
            <w:textDirection w:val="lrTb"/>
            <w:noWrap/>
          </w:tcPr>
          <w:p>
            <w:pPr>
              <w:pStyle w:val="1067"/>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p>
        </w:tc>
        <w:tc>
          <w:tcPr>
            <w:tcW w:w="1979" w:type="dxa"/>
            <w:vAlign w:val="center"/>
            <w:vMerge w:val="restart"/>
            <w:textDirection w:val="lrTb"/>
            <w:noWrap/>
          </w:tcPr>
          <w:p>
            <w:pPr>
              <w:pStyle w:val="1067"/>
              <w:ind w:firstLine="0"/>
              <w:jc w:val="center"/>
              <w:spacing w:before="0" w:after="0" w:line="240" w:lineRule="auto"/>
              <w:rPr>
                <w:rFonts w:cs="Arial"/>
                <w:color w:val="000000"/>
                <w:highlight w:val="none"/>
              </w:rPr>
            </w:pPr>
            <w:r>
              <w:rPr>
                <w:rFonts w:hint="eastAsia" w:cs="Arial"/>
                <w:color w:val="000000"/>
                <w:highlight w:val="none"/>
              </w:rPr>
              <w:t xml:space="preserve">技术符合性</w:t>
            </w:r>
            <w:r/>
          </w:p>
        </w:tc>
      </w:tr>
      <w:tr>
        <w:trPr>
          <w:cantSplit/>
          <w:jc w:val="center"/>
          <w:trHeight w:val="567"/>
        </w:trPr>
        <w:tc>
          <w:tcPr>
            <w:tcW w:w="823" w:type="dxa"/>
            <w:vAlign w:val="center"/>
            <w:textDirection w:val="lrTb"/>
            <w:noWrap/>
          </w:tcPr>
          <w:p>
            <w:pPr>
              <w:pStyle w:val="1067"/>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6</w:t>
            </w:r>
            <w:r/>
          </w:p>
        </w:tc>
        <w:tc>
          <w:tcPr>
            <w:tcW w:w="6095" w:type="dxa"/>
            <w:vAlign w:val="center"/>
            <w:textDirection w:val="lrTb"/>
            <w:noWrap/>
          </w:tcPr>
          <w:p>
            <w:pPr>
              <w:pStyle w:val="1067"/>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p>
        </w:tc>
        <w:tc>
          <w:tcPr>
            <w:tcW w:w="1979" w:type="dxa"/>
            <w:vAlign w:val="center"/>
            <w:vMerge w:val="continue"/>
            <w:textDirection w:val="lrTb"/>
            <w:noWrap/>
          </w:tcPr>
          <w:p>
            <w:pPr>
              <w:pStyle w:val="1067"/>
              <w:ind w:firstLine="0"/>
              <w:jc w:val="center"/>
              <w:spacing w:before="0" w:after="0" w:line="240" w:lineRule="auto"/>
              <w:rPr>
                <w:rFonts w:cs="Arial"/>
                <w:color w:val="000000"/>
                <w:highlight w:val="none"/>
              </w:rPr>
            </w:pPr>
            <w:r>
              <w:rPr>
                <w:rFonts w:cs="Arial"/>
                <w:color w:val="000000"/>
                <w:highlight w:val="none"/>
              </w:rPr>
            </w:r>
            <w:r/>
          </w:p>
        </w:tc>
      </w:tr>
    </w:tbl>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p>
    <w:p>
      <w:pPr>
        <w:numPr>
          <w:ilvl w:val="0"/>
          <w:numId w:val="15"/>
        </w:num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p>
    <w:p>
      <w:pPr>
        <w:numPr>
          <w:ilvl w:val="0"/>
          <w:numId w:val="15"/>
        </w:num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p>
    <w:p>
      <w:pPr>
        <w:rPr>
          <w:b/>
          <w:color w:val="000000"/>
          <w:sz w:val="28"/>
          <w:szCs w:val="28"/>
          <w:highlight w:val="none"/>
        </w:rPr>
      </w:pPr>
      <w:r>
        <w:rPr>
          <w:b/>
          <w:color w:val="000000"/>
          <w:sz w:val="28"/>
          <w:szCs w:val="28"/>
          <w:highlight w:val="none"/>
        </w:rPr>
      </w:r>
      <w:r/>
    </w:p>
    <w:p>
      <w:pPr>
        <w:rPr>
          <w:b/>
          <w:color w:val="000000"/>
          <w:sz w:val="28"/>
          <w:szCs w:val="28"/>
          <w:highlight w:val="none"/>
        </w:rPr>
      </w:pPr>
      <w:r>
        <w:rPr>
          <w:rFonts w:hint="eastAsia"/>
          <w:b/>
          <w:color w:val="000000"/>
          <w:sz w:val="28"/>
          <w:szCs w:val="28"/>
          <w:highlight w:val="none"/>
        </w:rPr>
        <w:t xml:space="preserve">（二）其他证明文件</w:t>
      </w:r>
      <w:r/>
    </w:p>
    <w:p>
      <w:pPr>
        <w:ind w:left="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p>
    <w:p>
      <w:pPr>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p>
    <w:p>
      <w:pPr>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67"/>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jc w:val="center"/>
        <w:rPr>
          <w:rFonts w:ascii="宋体" w:hAnsi="宋体"/>
          <w:b/>
          <w:color w:val="000000"/>
          <w:sz w:val="72"/>
          <w:highlight w:val="none"/>
          <w:shd w:val="clear" w:color="ffffff" w:fill="d9d9d9"/>
        </w:rPr>
      </w:pPr>
      <w:r>
        <w:rPr>
          <w:rFonts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JSZC-320292-JING-G2026-0028</w:t>
      </w:r>
      <w:r/>
    </w:p>
    <w:p>
      <w:pPr>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无锡经开和畅实验中学2026年实验室设施设备采购项目</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65"/>
        <w:ind w:firstLine="480"/>
        <w:spacing w:line="360" w:lineRule="auto"/>
        <w:rPr>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eastAsia="zh-CN"/>
        </w:rPr>
        <w:t xml:space="preserve">JSZC-320292-JING-G2026-0028</w:t>
      </w:r>
      <w:r>
        <w:rPr>
          <w:rFonts w:hint="eastAsia" w:ascii="宋体" w:hAnsi="宋体"/>
          <w:bCs/>
          <w:color w:val="000000"/>
          <w:sz w:val="24"/>
          <w:szCs w:val="24"/>
          <w:highlight w:val="none"/>
        </w:rPr>
        <w:t xml:space="preserve">项目，兹授权：</w:t>
      </w:r>
      <w:r/>
    </w:p>
    <w:p>
      <w:pPr>
        <w:pStyle w:val="1065"/>
        <w:ind w:firstLine="480"/>
        <w:spacing w:line="360" w:lineRule="auto"/>
        <w:rPr>
          <w:color w:val="000000"/>
          <w:sz w:val="24"/>
          <w:szCs w:val="24"/>
          <w:highlight w:val="none"/>
          <w:u w:val="singl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 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p>
    <w:p>
      <w:pPr>
        <w:pStyle w:val="1065"/>
        <w:ind w:firstLine="480"/>
        <w:spacing w:line="360" w:lineRule="auto"/>
        <w:rPr>
          <w:color w:val="000000"/>
          <w:sz w:val="24"/>
          <w:szCs w:val="24"/>
          <w:highlight w:val="none"/>
          <w:u w:val="single"/>
        </w:rPr>
      </w:pPr>
      <w:r>
        <w:rPr>
          <w:rFonts w:hint="eastAsia"/>
          <w:color w:val="000000"/>
          <w:sz w:val="24"/>
          <w:szCs w:val="24"/>
          <w:highlight w:val="none"/>
        </w:rPr>
        <w:t xml:space="preserve">被授权人的身份证号码：</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p>
    <w:p>
      <w:pPr>
        <w:pStyle w:val="1065"/>
        <w:ind w:firstLine="480"/>
        <w:spacing w:line="360" w:lineRule="auto"/>
        <w:rPr>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65"/>
        <w:ind w:firstLine="480"/>
        <w:spacing w:line="360" w:lineRule="auto"/>
        <w:rPr>
          <w:rFonts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65"/>
        <w:ind w:firstLine="480"/>
        <w:spacing w:line="360" w:lineRule="auto"/>
        <w:rPr>
          <w:color w:val="000000"/>
          <w:sz w:val="24"/>
          <w:szCs w:val="24"/>
          <w:highlight w:val="none"/>
        </w:rPr>
      </w:pPr>
      <w:r>
        <w:rPr>
          <w:rFonts w:hint="eastAsia"/>
          <w:color w:val="000000"/>
          <w:sz w:val="24"/>
          <w:szCs w:val="24"/>
          <w:highlight w:val="none"/>
        </w:rPr>
        <w:t xml:space="preserve">特此授权委托。</w:t>
      </w:r>
      <w:r/>
    </w:p>
    <w:p>
      <w:pPr>
        <w:pStyle w:val="1065"/>
        <w:ind w:firstLine="0"/>
        <w:spacing w:line="360" w:lineRule="auto"/>
        <w:rPr>
          <w:color w:val="000000"/>
          <w:sz w:val="24"/>
          <w:szCs w:val="24"/>
          <w:highlight w:val="none"/>
          <w:u w:val="single"/>
        </w:rPr>
      </w:pPr>
      <w:r>
        <w:rPr>
          <w:rFonts w:hint="eastAsia"/>
          <w:color w:val="000000"/>
          <w:sz w:val="24"/>
          <w:szCs w:val="24"/>
          <w:highlight w:val="none"/>
        </w:rPr>
        <w:t xml:space="preserve">授权日期：年月日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65"/>
        <w:ind w:firstLine="0"/>
        <w:spacing w:line="360" w:lineRule="auto"/>
        <w:rPr>
          <w:color w:val="000000"/>
          <w:sz w:val="24"/>
          <w:szCs w:val="24"/>
          <w:highlight w:val="none"/>
        </w:rPr>
      </w:pPr>
      <w:r>
        <w:rPr>
          <w:rFonts w:hint="eastAsia"/>
          <w:color w:val="000000"/>
          <w:sz w:val="24"/>
          <w:szCs w:val="24"/>
          <w:highlight w:val="none"/>
        </w:rPr>
        <w:t xml:space="preserve">法定代表人签字或盖章：               被授权人签字或盖章：</w:t>
      </w:r>
      <w:r/>
    </w:p>
    <w:p>
      <w:pPr>
        <w:pStyle w:val="1065"/>
        <w:ind w:firstLine="0"/>
        <w:spacing w:line="360" w:lineRule="auto"/>
        <w:rPr>
          <w:color w:val="000000"/>
          <w:sz w:val="24"/>
          <w:szCs w:val="24"/>
          <w:highlight w:val="none"/>
        </w:rPr>
      </w:pPr>
      <w:r>
        <w:rPr>
          <w:rFonts w:hint="eastAsia" w:ascii="宋体" w:hAnsi="宋体" w:cs="宋体"/>
          <w:b/>
          <w:color w:val="000000"/>
          <w:sz w:val="30"/>
          <w:highlight w:val="none"/>
        </w:rPr>
        <w:t xml:space="preserve">（被授权人身份证原件扫描件附后）</w:t>
      </w:r>
      <w:r/>
    </w:p>
    <w:p>
      <w:pPr>
        <w:pStyle w:val="1065"/>
        <w:ind w:firstLine="0"/>
        <w:spacing w:line="360" w:lineRule="auto"/>
        <w:rPr>
          <w:color w:val="000000"/>
          <w:sz w:val="24"/>
          <w:szCs w:val="24"/>
          <w:highlight w:val="none"/>
        </w:rPr>
      </w:pPr>
      <w:r>
        <w:rPr>
          <w:rFonts w:hint="eastAsia"/>
          <w:color w:val="000000"/>
          <w:sz w:val="24"/>
          <w:szCs w:val="24"/>
          <w:highlight w:val="none"/>
        </w:rPr>
        <w:t xml:space="preserve">说明：</w:t>
      </w:r>
      <w:r/>
    </w:p>
    <w:p>
      <w:pPr>
        <w:pStyle w:val="1065"/>
        <w:numPr>
          <w:ilvl w:val="0"/>
          <w:numId w:val="16"/>
        </w:numPr>
        <w:ind w:firstLine="480"/>
        <w:spacing w:line="360" w:lineRule="auto"/>
        <w:rPr>
          <w:rFonts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65"/>
        <w:numPr>
          <w:ilvl w:val="0"/>
          <w:numId w:val="16"/>
        </w:numPr>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65"/>
        <w:numPr>
          <w:ilvl w:val="0"/>
          <w:numId w:val="16"/>
        </w:numPr>
        <w:ind w:firstLine="480"/>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供应商为自然人情形的，可不提供本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65"/>
        <w:numPr>
          <w:ilvl w:val="0"/>
          <w:numId w:val="16"/>
        </w:num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65"/>
        <w:ind w:firstLine="0"/>
        <w:spacing w:line="360" w:lineRule="auto"/>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02" w:name="报价方关于资格的声明函（格式）"/>
      <w:r/>
      <w:bookmarkEnd w:id="202"/>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JSZC-320292-JING-G2026-0028</w:t>
      </w:r>
      <w:r>
        <w:rPr>
          <w:rFonts w:hint="eastAsia" w:ascii="宋体" w:hAnsi="宋体"/>
          <w:bCs/>
          <w:color w:val="000000"/>
          <w:sz w:val="24"/>
          <w:szCs w:val="24"/>
          <w:highlight w:val="none"/>
        </w:rPr>
        <w:t xml:space="preserve">进行投标，</w:t>
      </w:r>
      <w:r>
        <w:rPr>
          <w:rFonts w:hint="eastAsia" w:ascii="宋体" w:hAnsi="宋体"/>
          <w:bCs/>
          <w:color w:val="000000"/>
          <w:sz w:val="24"/>
          <w:szCs w:val="24"/>
          <w:highlight w:val="none"/>
          <w:lang w:eastAsia="zh-CN"/>
        </w:rPr>
        <w:t xml:space="preserve">并作</w:t>
      </w:r>
      <w:r>
        <w:rPr>
          <w:rFonts w:hint="eastAsia" w:ascii="宋体" w:hAnsi="宋体"/>
          <w:bCs/>
          <w:color w:val="000000"/>
          <w:sz w:val="24"/>
          <w:szCs w:val="24"/>
          <w:highlight w:val="none"/>
        </w:rPr>
        <w:t xml:space="preserve">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2"/>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2"/>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中小企业声明函（货物）</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 </w:t>
      </w:r>
      <w:r>
        <w:rPr>
          <w:rFonts w:ascii="宋体" w:hAnsi="宋体"/>
          <w:bCs/>
          <w:color w:val="000000"/>
          <w:sz w:val="24"/>
          <w:szCs w:val="24"/>
          <w:highlight w:val="none"/>
          <w:u w:val="single"/>
        </w:rPr>
        <w:t xml:space="preserve">（标的名称）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 行业</w:t>
      </w:r>
      <w:r>
        <w:rPr>
          <w:rFonts w:ascii="宋体" w:hAnsi="宋体"/>
          <w:bCs/>
          <w:color w:val="000000"/>
          <w:sz w:val="24"/>
          <w:szCs w:val="24"/>
          <w:highlight w:val="none"/>
        </w:rPr>
        <w:t xml:space="preserve">；制造商为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（中型企业、小 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清单所列明的标的及其所属行业逐一进行填报。根据本《中小企业声明函》类型，项目属性为货物类的，只需按项目清单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highlight w:val="none"/>
        </w:rPr>
      </w:pPr>
      <w:r>
        <w:rPr>
          <w:rFonts w:hint="eastAsia"/>
          <w:color w:val="000000"/>
          <w:highlight w:val="none"/>
        </w:rPr>
        <w:t xml:space="preserve">（4）中标供应商的《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560"/>
        <w:jc w:val="center"/>
        <w:spacing w:line="360" w:lineRule="auto"/>
        <w:rPr>
          <w:rFonts w:hint="eastAsia" w:ascii="黑体" w:eastAsia="黑体"/>
          <w:bCs/>
          <w:color w:val="000000"/>
          <w:sz w:val="28"/>
          <w:szCs w:val="28"/>
          <w:highlight w:val="none"/>
        </w:rPr>
      </w:pPr>
      <w:r>
        <w:rPr>
          <w:rFonts w:hint="eastAsia"/>
          <w:color w:val="000000"/>
          <w:highlight w:val="none"/>
        </w:rPr>
        <w:br w:type="page" w:clear="all"/>
      </w: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spacing w:line="360" w:lineRule="auto"/>
        <w:rPr>
          <w:rFonts w:hint="eastAsia"/>
          <w:color w:val="000000"/>
          <w:highlight w:val="none"/>
        </w:rPr>
      </w:pPr>
      <w:r>
        <w:rPr>
          <w:rFonts w:hint="eastAsia"/>
          <w:color w:val="000000"/>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r>
      <w:r/>
    </w:p>
    <w:p>
      <w:pPr>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b/>
          <w:color w:val="000000"/>
          <w:sz w:val="30"/>
          <w:szCs w:val="30"/>
          <w:highlight w:val="none"/>
        </w:rPr>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ind w:firstLine="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w:t>
      </w:r>
      <w:r/>
    </w:p>
    <w:p>
      <w:pPr>
        <w:ind w:firstLine="480"/>
        <w:spacing w:line="24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JSZC-320292-JING-G2026-0028</w:t>
      </w:r>
      <w:r>
        <w:rPr>
          <w:rFonts w:hint="eastAsia" w:ascii="宋体" w:hAnsi="宋体"/>
          <w:bCs/>
          <w:color w:val="000000"/>
          <w:sz w:val="24"/>
          <w:szCs w:val="24"/>
          <w:highlight w:val="none"/>
        </w:rPr>
        <w:t xml:space="preserve">招标文件，经仔细阅读和研究，我方决定参加此项目的投标。</w:t>
      </w:r>
      <w:r/>
    </w:p>
    <w:p>
      <w:pPr>
        <w:numPr>
          <w:ilvl w:val="0"/>
          <w:numId w:val="17"/>
        </w:numPr>
        <w:ind w:left="0" w:firstLine="525"/>
        <w:spacing w:line="24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7"/>
        </w:numPr>
        <w:ind w:left="0" w:firstLine="523"/>
        <w:spacing w:line="240" w:lineRule="auto"/>
        <w:tabs>
          <w:tab w:val="left" w:pos="0" w:leader="none"/>
          <w:tab w:val="left" w:pos="315" w:leader="none"/>
          <w:tab w:val="left" w:pos="525" w:leader="none"/>
          <w:tab w:val="left" w:pos="840" w:leader="none"/>
          <w:tab w:val="left" w:pos="945" w:leader="none"/>
          <w:tab w:val="left" w:pos="1050" w:leader="none"/>
        </w:tabs>
        <w:rPr>
          <w:rStyle w:val="91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江苏经天纬地建设项目管理有限公司</w:t>
      </w:r>
      <w:r>
        <w:rPr>
          <w:rFonts w:hint="eastAsia" w:ascii="宋体" w:hAnsi="宋体"/>
          <w:bCs/>
          <w:color w:val="000000"/>
          <w:sz w:val="24"/>
          <w:szCs w:val="24"/>
          <w:highlight w:val="none"/>
        </w:rPr>
        <w:t xml:space="preserve">在招标文件中要求的文件、资料。</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eastAsia="zh-CN"/>
        </w:rPr>
        <w:t xml:space="preserve">按照《中华人民共和国</w:t>
      </w:r>
      <w:r>
        <w:rPr>
          <w:rFonts w:hint="eastAsia" w:ascii="宋体" w:hAnsi="宋体"/>
          <w:bCs/>
          <w:color w:val="000000"/>
          <w:sz w:val="24"/>
          <w:szCs w:val="24"/>
          <w:highlight w:val="none"/>
        </w:rPr>
        <w:t xml:space="preserve">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u w:val="singl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；传真：</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lang w:val="en-US" w:eastAsia="zh-CN"/>
        </w:rPr>
        <w:t xml:space="preserve">              </w:t>
      </w:r>
      <w:r/>
    </w:p>
    <w:p>
      <w:pPr>
        <w:ind w:firstLine="480"/>
        <w:spacing w:line="400" w:lineRule="exact"/>
        <w:rPr>
          <w:rFonts w:ascii="宋体" w:hAnsi="宋体" w:eastAsia="宋体"/>
          <w:bCs/>
          <w:color w:val="000000"/>
          <w:sz w:val="24"/>
          <w:szCs w:val="24"/>
          <w:highlight w:val="none"/>
          <w:u w:val="single"/>
          <w:lang w:val="en-US" w:eastAsia="zh-CN"/>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lang w:val="en-US" w:eastAsia="zh-CN"/>
        </w:rPr>
        <w:t xml:space="preserve">                                      </w:t>
      </w:r>
      <w:r/>
    </w:p>
    <w:p>
      <w:pPr>
        <w:spacing w:line="46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lang w:val="en-US" w:eastAsia="zh-CN"/>
        </w:rPr>
        <w:t xml:space="preserve">七</w:t>
      </w:r>
      <w:r>
        <w:rPr>
          <w:rFonts w:hint="eastAsia"/>
          <w:b/>
          <w:color w:val="000000"/>
          <w:sz w:val="28"/>
          <w:szCs w:val="28"/>
          <w:highlight w:val="none"/>
        </w:rPr>
        <w:t xml:space="preserve">、承诺书（给定格式）：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color w:val="000000"/>
          <w:sz w:val="24"/>
          <w:szCs w:val="24"/>
          <w:highlight w:val="none"/>
          <w:lang w:eastAsia="zh-CN"/>
        </w:rPr>
        <w:t xml:space="preserve">JSZC-320292-JING-G2026-0028</w:t>
      </w:r>
      <w:r>
        <w:rPr>
          <w:rFonts w:hint="eastAsia" w:ascii="宋体" w:hAnsi="宋体"/>
          <w:color w:val="000000"/>
          <w:sz w:val="24"/>
          <w:szCs w:val="24"/>
          <w:highlight w:val="none"/>
        </w:rPr>
        <w:t xml:space="preserve">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w:t>
      </w:r>
      <w:r>
        <w:rPr>
          <w:rFonts w:hint="eastAsia" w:ascii="宋体" w:hAnsi="宋体"/>
          <w:bCs/>
          <w:color w:val="000000"/>
          <w:sz w:val="24"/>
          <w:szCs w:val="24"/>
          <w:highlight w:val="none"/>
          <w:lang w:eastAsia="zh-CN"/>
        </w:rPr>
        <w:t xml:space="preserve">格产</w:t>
      </w:r>
      <w:r>
        <w:rPr>
          <w:rFonts w:hint="eastAsia" w:ascii="宋体" w:hAnsi="宋体"/>
          <w:bCs/>
          <w:color w:val="000000"/>
          <w:sz w:val="24"/>
          <w:szCs w:val="24"/>
          <w:highlight w:val="none"/>
        </w:rPr>
        <w:t xml:space="preserve">品，提供的服务符合采购文件要求。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）对于成交产品的包装将严格按照《关于印发〈商品包装政府采购需求标准（试行）〉、〈快递包装政府采购需求标准（试行）〉的通知》（财办库〔2020〕123号）文件执行。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《需求标准》的前提下，如采购文件中对七种软硬件有其他要求的，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满足采购文件要求。如采购人在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p>
    <w:p>
      <w:pPr>
        <w:ind w:firstLine="480"/>
        <w:spacing w:line="36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37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rPr>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lang w:val="en-US" w:eastAsia="zh-CN"/>
        </w:rPr>
        <w:t xml:space="preserve">八</w:t>
      </w:r>
      <w:r>
        <w:rPr>
          <w:rFonts w:hint="eastAsia"/>
          <w:b/>
          <w:color w:val="000000"/>
          <w:sz w:val="28"/>
          <w:szCs w:val="28"/>
          <w:highlight w:val="none"/>
        </w:rPr>
        <w:t xml:space="preserve">、开标一览表：</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投标人全称：</w:t>
      </w:r>
      <w:r/>
    </w:p>
    <w:p>
      <w:pPr>
        <w:spacing w:line="360" w:lineRule="auto"/>
        <w:rPr>
          <w:rFonts w:hint="eastAsia"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项目名称：</w:t>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p>
    <w:p>
      <w:pPr>
        <w:spacing w:line="360" w:lineRule="auto"/>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分包号：</w:t>
      </w:r>
      <w:r/>
    </w:p>
    <w:tbl>
      <w:tblPr>
        <w:tblStyle w:val="725"/>
        <w:tblW w:w="910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31"/>
        <w:gridCol w:w="5175"/>
      </w:tblGrid>
      <w:tr>
        <w:trPr>
          <w:cantSplit/>
          <w:trHeight w:val="567"/>
        </w:trPr>
        <w:tc>
          <w:tcPr>
            <w:tcW w:w="3931"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5175" w:type="dxa"/>
            <w:vAlign w:val="center"/>
            <w:textDirection w:val="lrTb"/>
            <w:noWrap/>
          </w:tcPr>
          <w:p>
            <w:pPr>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总价（小写）</w:t>
            </w:r>
            <w:r/>
          </w:p>
        </w:tc>
      </w:tr>
      <w:tr>
        <w:trPr>
          <w:cantSplit/>
          <w:trHeight w:val="1630"/>
        </w:trPr>
        <w:tc>
          <w:tcPr>
            <w:tcW w:w="3931" w:type="dxa"/>
            <w:vAlign w:val="center"/>
            <w:textDirection w:val="lrTb"/>
            <w:noWrap/>
          </w:tcPr>
          <w:p>
            <w:pPr>
              <w:pStyle w:val="1091"/>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无锡经开和畅实验中学2026年实验室设施设备采购项目</w:t>
            </w:r>
            <w:r/>
          </w:p>
        </w:tc>
        <w:tc>
          <w:tcPr>
            <w:tcW w:w="5175" w:type="dxa"/>
            <w:vAlign w:val="center"/>
            <w:textDirection w:val="lrTb"/>
            <w:noWrap/>
          </w:tcPr>
          <w:p>
            <w:pPr>
              <w:pStyle w:val="1091"/>
              <w:jc w:val="center"/>
              <w:rPr>
                <w:rFonts w:hAnsi="宋体"/>
                <w:b/>
                <w:color w:val="000000"/>
                <w:szCs w:val="24"/>
                <w:highlight w:val="none"/>
              </w:rPr>
            </w:pPr>
            <w:r>
              <w:rPr>
                <w:rFonts w:hAnsi="宋体"/>
                <w:b/>
                <w:color w:val="000000"/>
                <w:szCs w:val="24"/>
                <w:highlight w:val="none"/>
              </w:rPr>
            </w:r>
            <w:r/>
          </w:p>
        </w:tc>
      </w:tr>
    </w:tbl>
    <w:p>
      <w:pPr>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ind w:firstLine="120"/>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日期：     年  月   日</w:t>
      </w:r>
      <w:r/>
    </w:p>
    <w:p>
      <w:pPr>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lang w:val="en-US" w:eastAsia="zh-CN"/>
        </w:rPr>
        <w:t xml:space="preserve">九</w:t>
      </w:r>
      <w:r>
        <w:rPr>
          <w:rFonts w:hint="eastAsia"/>
          <w:b/>
          <w:color w:val="000000"/>
          <w:sz w:val="28"/>
          <w:szCs w:val="28"/>
          <w:highlight w:val="none"/>
        </w:rPr>
        <w:t xml:space="preserve">、投标产品配置及分项报价表（给定格式）：</w:t>
      </w:r>
      <w:r/>
    </w:p>
    <w:p>
      <w:pPr>
        <w:spacing w:line="360" w:lineRule="auto"/>
        <w:rPr>
          <w:b/>
          <w:color w:val="000000"/>
          <w:sz w:val="30"/>
          <w:szCs w:val="30"/>
          <w:highlight w:val="none"/>
        </w:rPr>
      </w:pPr>
      <w:r>
        <w:rPr>
          <w:b/>
          <w:color w:val="000000"/>
          <w:sz w:val="30"/>
          <w:szCs w:val="30"/>
          <w:highlight w:val="none"/>
        </w:rPr>
      </w:r>
      <w:r/>
    </w:p>
    <w:p>
      <w:pPr>
        <w:jc w:val="center"/>
        <w:spacing w:line="400" w:lineRule="exact"/>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投标产品配置及分项报价表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JSZC-320292-JING-G2026-0028</w:t>
      </w:r>
      <w:r/>
    </w:p>
    <w:tbl>
      <w:tblPr>
        <w:tblStyle w:val="725"/>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highlight w:val="none"/>
              </w:rPr>
            </w:pPr>
            <w:r>
              <w:rPr>
                <w:rFonts w:hint="eastAsia"/>
                <w:color w:val="000000"/>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highlight w:val="none"/>
              </w:rPr>
            </w:pPr>
            <w:r>
              <w:rPr>
                <w:rFonts w:hint="eastAsia"/>
                <w:color w:val="000000"/>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highlight w:val="none"/>
              </w:rPr>
            </w:pPr>
            <w:r>
              <w:rPr>
                <w:rFonts w:hint="eastAsia"/>
                <w:color w:val="000000"/>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000000"/>
                <w:sz w:val="18"/>
                <w:highlight w:val="none"/>
              </w:rPr>
            </w:pPr>
            <w:r>
              <w:rPr>
                <w:rFonts w:hint="eastAsia"/>
                <w:color w:val="000000"/>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数量</w:t>
            </w:r>
            <w:r/>
          </w:p>
        </w:tc>
        <w:tc>
          <w:tcPr>
            <w:tcW w:w="1276"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000000"/>
                <w:sz w:val="18"/>
                <w:highlight w:val="none"/>
              </w:rPr>
            </w:pPr>
            <w:r>
              <w:rPr>
                <w:rFonts w:hint="eastAsia"/>
                <w:color w:val="000000"/>
                <w:sz w:val="18"/>
                <w:highlight w:val="none"/>
              </w:rPr>
              <w:t xml:space="preserve">质保期</w:t>
            </w:r>
            <w:r/>
          </w:p>
        </w:tc>
        <w:tc>
          <w:tcPr>
            <w:tcW w:w="70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单报价</w:t>
            </w:r>
            <w:r/>
          </w:p>
        </w:tc>
        <w:tc>
          <w:tcPr>
            <w:tcW w:w="939"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1106"/>
              <w:spacing w:before="5"/>
              <w:tabs>
                <w:tab w:val="clear" w:pos="4153" w:leader="none"/>
                <w:tab w:val="clear" w:pos="8306" w:leader="none"/>
              </w:tabs>
              <w:rPr>
                <w:rFonts w:ascii="宋体"/>
                <w:color w:val="000000"/>
                <w:highlight w:val="none"/>
                <w:lang w:eastAsia="zh-CN"/>
              </w:rPr>
              <w:pBdr>
                <w:bottom w:val="none" w:color="000000" w:sz="0" w:space="0"/>
              </w:pBdr>
            </w:pPr>
            <w:r>
              <w:rPr>
                <w:rFonts w:hint="eastAsia" w:ascii="宋体"/>
                <w:color w:val="000000"/>
                <w:highlight w:val="none"/>
                <w:lang w:eastAsia="zh-CN"/>
              </w:rPr>
              <w:t xml:space="preserve">1</w:t>
            </w:r>
            <w:r/>
          </w:p>
        </w:tc>
        <w:tc>
          <w:tcPr>
            <w:tcMar>
              <w:left w:w="15" w:type="dxa"/>
              <w:top w:w="15" w:type="dxa"/>
              <w:right w:w="15" w:type="dxa"/>
              <w:bottom w:w="0" w:type="dxa"/>
            </w:tcMar>
            <w:tcW w:w="1050" w:type="dxa"/>
            <w:vAlign w:val="center"/>
            <w:textDirection w:val="lrTb"/>
            <w:noWrap/>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1106"/>
              <w:tabs>
                <w:tab w:val="clear" w:pos="4153" w:leader="none"/>
                <w:tab w:val="clear" w:pos="8306" w:leader="none"/>
              </w:tabs>
              <w:rPr>
                <w:rFonts w:ascii="宋体"/>
                <w:bCs/>
                <w:color w:val="000000"/>
                <w:highlight w:val="none"/>
                <w:lang w:eastAsia="zh-CN"/>
              </w:rPr>
              <w:pBdr>
                <w:bottom w:val="none" w:color="000000" w:sz="0" w:space="0"/>
              </w:pBdr>
            </w:pPr>
            <w:r>
              <w:rPr>
                <w:rFonts w:ascii="宋体"/>
                <w:bCs/>
                <w:color w:val="000000"/>
                <w:highlight w:val="none"/>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color w:val="000000"/>
                <w:highlight w:val="none"/>
              </w:rPr>
            </w:pPr>
            <w:r>
              <w:rPr>
                <w:rFonts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eastAsia="黑体"/>
                <w:b/>
                <w:bCs/>
                <w:color w:val="000000"/>
                <w:highlight w:val="none"/>
              </w:rPr>
            </w:pPr>
            <w:r>
              <w:rPr>
                <w:rFonts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投标人承诺：</w:t>
            </w:r>
            <w:r/>
          </w:p>
          <w:p>
            <w:pPr>
              <w:jc w:val="center"/>
              <w:rPr>
                <w:rFonts w:ascii="黑体" w:hAnsi="宋体" w:eastAsia="黑体"/>
                <w:b/>
                <w:bCs/>
                <w:color w:val="000000"/>
                <w:sz w:val="24"/>
                <w:szCs w:val="24"/>
                <w:highlight w:val="none"/>
              </w:rPr>
            </w:pPr>
            <w:r>
              <w:rPr>
                <w:rFonts w:hint="eastAsia" w:ascii="宋体" w:hAnsi="宋体"/>
                <w:bCs/>
                <w:color w:val="000000"/>
                <w:sz w:val="24"/>
                <w:szCs w:val="24"/>
                <w:highlight w:val="none"/>
              </w:rPr>
              <w:t xml:space="preserve">本采购</w:t>
            </w:r>
            <w:r>
              <w:rPr>
                <w:rFonts w:hint="eastAsia" w:ascii="宋体" w:hAnsi="宋体"/>
                <w:bCs/>
                <w:color w:val="000000"/>
                <w:sz w:val="24"/>
                <w:szCs w:val="24"/>
                <w:highlight w:val="none"/>
                <w:lang w:val="en-US" w:eastAsia="zh-CN"/>
              </w:rPr>
              <w:t xml:space="preserve">项目或采购</w:t>
            </w:r>
            <w:r>
              <w:rPr>
                <w:rFonts w:hint="eastAsia" w:ascii="宋体" w:hAnsi="宋体"/>
                <w:bCs/>
                <w:color w:val="000000"/>
                <w:sz w:val="24"/>
                <w:szCs w:val="24"/>
                <w:highlight w:val="none"/>
              </w:rPr>
              <w:t xml:space="preserve">包中提供的符合本国产品标准的产品成本之和占提供的全部产品成本之和的比例为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w:t>
            </w:r>
            <w:r/>
          </w:p>
        </w:tc>
      </w:tr>
    </w:tbl>
    <w:p>
      <w:pPr>
        <w:spacing w:before="5" w:line="560" w:lineRule="atLeast"/>
        <w:rPr>
          <w:b/>
          <w:bCs/>
          <w:color w:val="000000"/>
          <w:sz w:val="24"/>
          <w:szCs w:val="24"/>
          <w:highlight w:val="none"/>
        </w:rPr>
      </w:pPr>
      <w:r>
        <w:rPr>
          <w:rFonts w:hint="eastAsia"/>
          <w:b/>
          <w:bCs/>
          <w:color w:val="000000"/>
          <w:sz w:val="24"/>
          <w:szCs w:val="24"/>
          <w:highlight w:val="none"/>
        </w:rPr>
        <w:t xml:space="preserve">投标人名称（盖章）：</w:t>
      </w:r>
      <w:r/>
    </w:p>
    <w:p>
      <w:pPr>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highlight w:val="none"/>
          <w:lang w:val="en-US" w:eastAsia="zh-CN"/>
        </w:rPr>
        <w:t xml:space="preserve">代理机构</w:t>
      </w:r>
      <w:r>
        <w:rPr>
          <w:rFonts w:hint="eastAsia" w:ascii="宋体"/>
          <w:bCs/>
          <w:color w:val="000000"/>
          <w:highlight w:val="none"/>
        </w:rPr>
        <w:t xml:space="preserve">有权将相关内容进行公示。</w:t>
      </w:r>
      <w:r/>
    </w:p>
    <w:p>
      <w:pPr>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）投标人应当根据“采购需求”的内容在上表中详细填写。</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p>
    <w:p>
      <w:pPr>
        <w:ind w:firstLine="315"/>
        <w:spacing w:line="400" w:lineRule="exact"/>
        <w:rPr>
          <w:rFonts w:hint="eastAsia" w:ascii="宋体" w:hAnsi="宋体"/>
          <w:bCs/>
          <w:color w:val="000000"/>
          <w:highlight w:val="none"/>
        </w:rPr>
        <w:outlineLvl w:val="0"/>
      </w:pPr>
      <w:r>
        <w:rPr>
          <w:rFonts w:hint="eastAsia" w:ascii="宋体" w:hAnsi="宋体"/>
          <w:bCs/>
          <w:color w:val="000000"/>
          <w:highlight w:val="none"/>
        </w:rPr>
        <w:t xml:space="preserve">（4）</w:t>
      </w:r>
      <w:r>
        <w:rPr>
          <w:rFonts w:hint="eastAsia" w:ascii="宋体" w:hAnsi="宋体"/>
          <w:bCs/>
          <w:color w:val="000000"/>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highlight w:val="none"/>
          <w:u w:val="single"/>
        </w:rPr>
        <w:outlineLvl w:val="0"/>
      </w:pPr>
      <w:r>
        <w:rPr>
          <w:rFonts w:hint="eastAsia" w:ascii="宋体" w:hAnsi="宋体"/>
          <w:bCs/>
          <w:color w:val="000000"/>
          <w:highlight w:val="none"/>
          <w:u w:val="single"/>
        </w:rPr>
        <w:t xml:space="preserve">特别注意！！“符合本国产品标准的产品成本之和”是指本项目或采购包中符合本国产品标准的</w:t>
      </w:r>
      <w:r>
        <w:rPr>
          <w:rFonts w:hint="eastAsia" w:ascii="宋体" w:hAnsi="宋体"/>
          <w:b/>
          <w:bCs/>
          <w:color w:val="000000"/>
          <w:highlight w:val="none"/>
          <w:u w:val="single"/>
        </w:rPr>
        <w:t xml:space="preserve">货物成本之和</w:t>
      </w:r>
      <w:r>
        <w:rPr>
          <w:rFonts w:hint="eastAsia" w:ascii="宋体" w:hAnsi="宋体"/>
          <w:bCs/>
          <w:color w:val="000000"/>
          <w:highlight w:val="none"/>
          <w:u w:val="single"/>
        </w:rPr>
        <w:t xml:space="preserve">；“全部产品成本之和”是指货物或服务项目（或者采购包）中包含的</w:t>
      </w:r>
      <w:r>
        <w:rPr>
          <w:rFonts w:hint="eastAsia" w:ascii="宋体" w:hAnsi="宋体"/>
          <w:b/>
          <w:bCs/>
          <w:color w:val="000000"/>
          <w:highlight w:val="none"/>
          <w:u w:val="single"/>
        </w:rPr>
        <w:t xml:space="preserve">全部货物、服务产品的成本之和</w:t>
      </w:r>
      <w:r>
        <w:rPr>
          <w:rFonts w:hint="eastAsia" w:ascii="宋体" w:hAnsi="宋体"/>
          <w:bCs/>
          <w:color w:val="000000"/>
          <w:highlight w:val="none"/>
          <w:u w:val="single"/>
        </w:rPr>
        <w:t xml:space="preserve">。</w:t>
      </w:r>
      <w:r/>
    </w:p>
    <w:p>
      <w:pPr>
        <w:spacing w:line="400" w:lineRule="exact"/>
        <w:rPr>
          <w:b/>
          <w:color w:val="000000"/>
          <w:sz w:val="28"/>
          <w:szCs w:val="28"/>
          <w:highlight w:val="none"/>
        </w:rPr>
        <w:outlineLvl w:val="0"/>
      </w:pPr>
      <w:r>
        <w:rPr>
          <w:rFonts w:ascii="宋体" w:hAnsi="宋体"/>
          <w:bCs/>
          <w:color w:val="000000"/>
          <w:highlight w:val="none"/>
        </w:rPr>
        <w:br w:type="page" w:clear="all"/>
      </w:r>
      <w:bookmarkEnd w:id="199"/>
      <w:r/>
      <w:bookmarkEnd w:id="200"/>
      <w:r/>
      <w:bookmarkEnd w:id="201"/>
      <w:r/>
      <w:bookmarkStart w:id="203"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JSZC-320292-JING-G2026-0028</w:t>
      </w:r>
      <w:r/>
    </w:p>
    <w:tbl>
      <w:tblPr>
        <w:tblStyle w:val="725"/>
        <w:tblW w:w="8878" w:type="dxa"/>
        <w:jc w:val="center"/>
        <w:tblLayout w:type="fixed"/>
        <w:tblCellMar>
          <w:left w:w="15" w:type="dxa"/>
          <w:top w:w="15" w:type="dxa"/>
          <w:right w:w="15" w:type="dxa"/>
          <w:bottom w:w="0" w:type="dxa"/>
        </w:tblCellMar>
        <w:tblLook w:val="04A0" w:firstRow="1" w:lastRow="0" w:firstColumn="1" w:lastColumn="0" w:noHBand="0" w:noVBand="1"/>
      </w:tblPr>
      <w:tblGrid>
        <w:gridCol w:w="1843"/>
        <w:gridCol w:w="2530"/>
        <w:gridCol w:w="2410"/>
        <w:gridCol w:w="2095"/>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3"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30" w:type="dxa"/>
            <w:vAlign w:val="center"/>
            <w:textDirection w:val="lrTb"/>
            <w:noWrap/>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095" w:type="dxa"/>
            <w:vAlign w:val="center"/>
            <w:textDirection w:val="lrTb"/>
            <w:noWrap/>
          </w:tcPr>
          <w:p>
            <w:pPr>
              <w:jc w:val="center"/>
              <w:rPr>
                <w:rFonts w:ascii="宋体"/>
                <w:bCs/>
                <w:color w:val="000000"/>
                <w:highlight w:val="none"/>
              </w:rPr>
            </w:pPr>
            <w:r>
              <w:rPr>
                <w:rFonts w:ascii="宋体"/>
                <w:bCs/>
                <w:color w:val="000000"/>
                <w:highlight w:val="none"/>
              </w:rPr>
            </w:r>
            <w:r/>
          </w:p>
        </w:tc>
      </w:tr>
    </w:tbl>
    <w:p>
      <w:pPr>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90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w:t>
      </w:r>
      <w:r>
        <w:rPr>
          <w:rFonts w:hint="eastAsia" w:ascii="宋体" w:hAnsi="宋体"/>
          <w:bCs/>
          <w:color w:val="000000"/>
          <w:sz w:val="24"/>
          <w:szCs w:val="24"/>
          <w:highlight w:val="none"/>
          <w:lang w:eastAsia="zh-CN"/>
        </w:rPr>
        <w:t xml:space="preserve">无需</w:t>
      </w:r>
      <w:r>
        <w:rPr>
          <w:rFonts w:hint="eastAsia" w:ascii="宋体" w:hAnsi="宋体"/>
          <w:bCs/>
          <w:color w:val="000000"/>
          <w:sz w:val="24"/>
          <w:szCs w:val="24"/>
          <w:highlight w:val="none"/>
        </w:rPr>
        <w:t xml:space="preserve">赘述。</w:t>
      </w:r>
      <w:bookmarkEnd w:id="183"/>
      <w:r/>
      <w:bookmarkEnd w:id="184"/>
      <w:r/>
      <w:bookmarkEnd w:id="203"/>
      <w:r/>
      <w:bookmarkStart w:id="204" w:name="_格式2__法定代表人授权书"/>
      <w:r/>
      <w:bookmarkEnd w:id="204"/>
      <w:r/>
      <w:bookmarkStart w:id="205" w:name="_Hlt26609389"/>
      <w:r/>
      <w:bookmarkEnd w:id="205"/>
      <w:r/>
      <w:bookmarkStart w:id="206" w:name="_Hlt26671374"/>
      <w:r/>
      <w:bookmarkEnd w:id="206"/>
      <w:r/>
      <w:bookmarkStart w:id="207" w:name="_Hlt26955066"/>
      <w:r/>
      <w:bookmarkEnd w:id="207"/>
      <w:r/>
      <w:r/>
    </w:p>
    <w:p>
      <w:pPr>
        <w:rPr>
          <w:rFonts w:hint="eastAsia"/>
          <w:color w:val="000000"/>
          <w:highlight w:val="none"/>
          <w:lang w:val="en-US" w:eastAsia="zh-CN"/>
        </w:rPr>
      </w:pPr>
      <w:r>
        <w:rPr>
          <w:rFonts w:hint="eastAsia"/>
          <w:color w:val="000000"/>
          <w:highlight w:val="none"/>
          <w:lang w:val="en-US" w:eastAsia="zh-CN"/>
        </w:rPr>
        <w:t xml:space="preserve">  </w:t>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pStyle w:val="796"/>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rPr>
          <w:color w:val="000000"/>
          <w:highlight w:val="none"/>
          <w:lang w:val="en-US" w:eastAsia="zh-CN"/>
        </w:rPr>
      </w:pPr>
      <w:r>
        <w:rPr>
          <w:color w:val="000000"/>
          <w:highlight w:val="none"/>
          <w:lang w:val="en-US" w:eastAsia="zh-CN"/>
        </w:rPr>
      </w:r>
      <w:r/>
    </w:p>
    <w:p>
      <w:pPr>
        <w:spacing w:line="400" w:lineRule="exact"/>
        <w:rPr>
          <w:rFonts w:hint="eastAsia" w:ascii="Times New Roman" w:hAnsi="Times New Roman" w:eastAsia="宋体" w:cs="Times New Roman"/>
          <w:b/>
          <w:bCs w:val="0"/>
          <w:color w:val="000000"/>
          <w:sz w:val="28"/>
          <w:szCs w:val="28"/>
          <w:highlight w:val="none"/>
        </w:rPr>
        <w:outlineLvl w:val="0"/>
      </w:pPr>
      <w:r>
        <w:rPr>
          <w:rFonts w:hint="eastAsia" w:ascii="Times New Roman" w:hAnsi="Times New Roman" w:eastAsia="宋体" w:cs="Times New Roman"/>
          <w:b/>
          <w:bCs w:val="0"/>
          <w:color w:val="000000"/>
          <w:sz w:val="28"/>
          <w:szCs w:val="28"/>
          <w:highlight w:val="none"/>
        </w:rPr>
        <w:t xml:space="preserve">（</w:t>
      </w:r>
      <w:r>
        <w:rPr>
          <w:rFonts w:hint="eastAsia" w:ascii="Times New Roman" w:hAnsi="Times New Roman" w:eastAsia="宋体" w:cs="Times New Roman"/>
          <w:b/>
          <w:bCs w:val="0"/>
          <w:color w:val="000000"/>
          <w:sz w:val="28"/>
          <w:szCs w:val="28"/>
          <w:highlight w:val="none"/>
          <w:lang w:val="en-US" w:eastAsia="zh-CN"/>
        </w:rPr>
        <w:t xml:space="preserve">十一</w:t>
      </w:r>
      <w:r>
        <w:rPr>
          <w:rFonts w:hint="eastAsia" w:ascii="Times New Roman" w:hAnsi="Times New Roman" w:eastAsia="宋体" w:cs="Times New Roman"/>
          <w:b/>
          <w:bCs w:val="0"/>
          <w:color w:val="000000"/>
          <w:sz w:val="28"/>
          <w:szCs w:val="28"/>
          <w:highlight w:val="none"/>
        </w:rPr>
        <w:t xml:space="preserve">）</w:t>
      </w:r>
      <w:r>
        <w:rPr>
          <w:rFonts w:hint="eastAsia" w:ascii="Times New Roman" w:hAnsi="Times New Roman" w:eastAsia="宋体" w:cs="Times New Roman"/>
          <w:b/>
          <w:bCs w:val="0"/>
          <w:color w:val="000000"/>
          <w:sz w:val="28"/>
          <w:szCs w:val="28"/>
          <w:highlight w:val="none"/>
          <w:lang w:val="en-US" w:eastAsia="zh-CN"/>
        </w:rPr>
        <w:t xml:space="preserve">服务方案</w:t>
      </w:r>
      <w:r>
        <w:rPr>
          <w:rFonts w:hint="eastAsia" w:ascii="Times New Roman" w:hAnsi="Times New Roman" w:eastAsia="宋体" w:cs="Times New Roman"/>
          <w:b/>
          <w:bCs w:val="0"/>
          <w:color w:val="000000"/>
          <w:sz w:val="28"/>
          <w:szCs w:val="28"/>
          <w:highlight w:val="none"/>
        </w:rPr>
        <w:t xml:space="preserve">（格式）：</w:t>
      </w:r>
      <w:r/>
    </w:p>
    <w:p>
      <w:pPr>
        <w:ind w:firstLine="480"/>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服务方案</w:t>
      </w:r>
      <w:r/>
    </w:p>
    <w:p>
      <w:pPr>
        <w:pStyle w:val="830"/>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color w:val="000000"/>
          <w:sz w:val="24"/>
          <w:szCs w:val="24"/>
          <w:highlight w:val="none"/>
        </w:rPr>
        <w:t xml:space="preserve">投标</w:t>
      </w:r>
      <w:r>
        <w:rPr>
          <w:rFonts w:hint="eastAsia" w:ascii="宋体" w:hAnsi="宋体" w:eastAsia="宋体" w:cs="宋体"/>
          <w:b w:val="0"/>
          <w:bCs/>
          <w:color w:val="000000"/>
          <w:sz w:val="24"/>
          <w:szCs w:val="24"/>
          <w:highlight w:val="none"/>
          <w:lang w:val="en-US" w:eastAsia="zh-CN"/>
        </w:rPr>
        <w:t xml:space="preserve">人</w:t>
      </w:r>
      <w:r>
        <w:rPr>
          <w:rFonts w:hint="eastAsia" w:ascii="宋体" w:hAnsi="宋体" w:eastAsia="宋体" w:cs="宋体"/>
          <w:b w:val="0"/>
          <w:bCs/>
          <w:color w:val="000000"/>
          <w:sz w:val="24"/>
          <w:szCs w:val="24"/>
          <w:highlight w:val="none"/>
        </w:rPr>
        <w:t xml:space="preserve">应按评分点编制完整的服务方案，以便评审。</w:t>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r>
      <w:r/>
    </w:p>
    <w:p>
      <w:pPr>
        <w:spacing w:line="400" w:lineRule="exact"/>
        <w:rPr>
          <w:rFonts w:hint="eastAsia" w:ascii="Times New Roman" w:hAnsi="Times New Roman" w:eastAsia="宋体" w:cs="Times New Roman"/>
          <w:b/>
          <w:bCs w:val="0"/>
          <w:color w:val="000000"/>
          <w:sz w:val="28"/>
          <w:szCs w:val="28"/>
          <w:highlight w:val="none"/>
        </w:rPr>
      </w:pPr>
      <w:r>
        <w:rPr>
          <w:rFonts w:hint="eastAsia" w:ascii="Times New Roman" w:hAnsi="Times New Roman" w:eastAsia="宋体" w:cs="Times New Roman"/>
          <w:b/>
          <w:bCs w:val="0"/>
          <w:color w:val="000000"/>
          <w:sz w:val="28"/>
          <w:szCs w:val="28"/>
          <w:highlight w:val="none"/>
        </w:rPr>
        <w:t xml:space="preserve">（十</w:t>
      </w:r>
      <w:r>
        <w:rPr>
          <w:rFonts w:hint="eastAsia" w:ascii="Times New Roman" w:hAnsi="Times New Roman" w:eastAsia="宋体" w:cs="Times New Roman"/>
          <w:b/>
          <w:bCs w:val="0"/>
          <w:color w:val="000000"/>
          <w:sz w:val="28"/>
          <w:szCs w:val="28"/>
          <w:highlight w:val="none"/>
          <w:lang w:val="en-US" w:eastAsia="zh-CN"/>
        </w:rPr>
        <w:t xml:space="preserve">二</w:t>
      </w:r>
      <w:r>
        <w:rPr>
          <w:rFonts w:hint="eastAsia" w:ascii="Times New Roman" w:hAnsi="Times New Roman" w:eastAsia="宋体" w:cs="Times New Roman"/>
          <w:b/>
          <w:bCs w:val="0"/>
          <w:color w:val="000000"/>
          <w:sz w:val="28"/>
          <w:szCs w:val="28"/>
          <w:highlight w:val="none"/>
        </w:rPr>
        <w:t xml:space="preserve">）其他资料</w:t>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pPr>
      <w:r>
        <w:rPr>
          <w:b/>
          <w:bCs/>
          <w:color w:val="000000"/>
          <w:sz w:val="24"/>
          <w:szCs w:val="24"/>
          <w:highlight w:val="none"/>
        </w:rPr>
      </w:r>
      <w:r/>
    </w:p>
    <w:p>
      <w:pPr>
        <w:ind w:firstLine="120"/>
        <w:rPr>
          <w:b/>
          <w:bCs/>
          <w:color w:val="000000"/>
          <w:sz w:val="24"/>
          <w:szCs w:val="24"/>
          <w:highlight w:val="none"/>
        </w:rPr>
        <w:outlineLvl w:val="0"/>
      </w:pPr>
      <w:r>
        <w:rPr>
          <w:rFonts w:hint="eastAsia"/>
          <w:b/>
          <w:bCs/>
          <w:color w:val="000000"/>
          <w:sz w:val="24"/>
          <w:szCs w:val="24"/>
          <w:highlight w:val="none"/>
        </w:rPr>
        <w:t xml:space="preserve">投标人认为有必要提供的声明和文件，如有自拟并自行添加</w:t>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投标人名称（公章）：</w:t>
      </w:r>
      <w:r/>
    </w:p>
    <w:p>
      <w:pPr>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                                     日期：     年  月   日</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3"/>
        <w:rFonts w:ascii="宋体" w:hAnsi="宋体"/>
      </w:rPr>
      <w:framePr w:w="271" w:wrap="around" w:vAnchor="text" w:hAnchor="page" w:x="5596" w:y="-3"/>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84</w:t>
    </w:r>
    <w:r>
      <w:rPr>
        <w:rFonts w:ascii="宋体" w:hAnsi="宋体"/>
      </w:rPr>
      <w:fldChar w:fldCharType="end"/>
    </w:r>
    <w:r/>
  </w:p>
  <w:p>
    <w:pPr>
      <w:pStyle w:val="8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4">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849"/>
      <w:isLgl w:val="false"/>
      <w:suff w:val="nothing"/>
      <w:lvlText w:val=""/>
      <w:lvlJc w:val="left"/>
      <w:pPr>
        <w:ind w:left="0" w:firstLine="0"/>
      </w:pPr>
      <w:rPr>
        <w:rFonts w:hint="eastAsia"/>
      </w:rPr>
    </w:lvl>
    <w:lvl w:ilvl="6">
      <w:start w:val="1"/>
      <w:numFmt w:val="decimal"/>
      <w:pStyle w:val="851"/>
      <w:isLgl w:val="false"/>
      <w:suff w:val="nothing"/>
      <w:lvlText w:val=""/>
      <w:lvlJc w:val="left"/>
      <w:pPr>
        <w:ind w:left="0" w:firstLine="0"/>
      </w:pPr>
      <w:rPr>
        <w:rFonts w:hint="eastAsia"/>
      </w:rPr>
    </w:lvl>
    <w:lvl w:ilvl="7">
      <w:start w:val="1"/>
      <w:numFmt w:val="decimal"/>
      <w:pStyle w:val="853"/>
      <w:isLgl w:val="false"/>
      <w:suff w:val="nothing"/>
      <w:lvlText w:val=""/>
      <w:lvlJc w:val="left"/>
      <w:pPr>
        <w:ind w:left="0" w:firstLine="0"/>
      </w:pPr>
      <w:rPr>
        <w:rFonts w:hint="eastAsia"/>
      </w:rPr>
    </w:lvl>
    <w:lvl w:ilvl="8">
      <w:start w:val="1"/>
      <w:numFmt w:val="decimal"/>
      <w:pStyle w:val="855"/>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tab"/>
      <w:lvlText w:val="%1．"/>
      <w:lvlJc w:val="left"/>
      <w:pPr>
        <w:ind w:left="315" w:hanging="315"/>
        <w:tabs>
          <w:tab w:val="left" w:pos="31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japaneseCounting"/>
      <w:isLgl w:val="false"/>
      <w:suff w:val="tab"/>
      <w:lvlText w:val="（%1）"/>
      <w:lvlJc w:val="left"/>
      <w:pPr>
        <w:ind w:left="855" w:hanging="855"/>
        <w:tabs>
          <w:tab w:val="left" w:pos="855"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16">
    <w:multiLevelType w:val="hybridMultilevel"/>
    <w:lvl w:ilvl="0">
      <w:start w:val="1"/>
      <w:numFmt w:val="decimal"/>
      <w:isLgl w:val="false"/>
      <w:suff w:val="tab"/>
      <w:lvlText w:val="%1."/>
      <w:lvlJc w:val="left"/>
      <w:pPr>
        <w:ind w:left="1965" w:hanging="705"/>
        <w:tabs>
          <w:tab w:val="left" w:pos="1965"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link w:val="11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5">
    <w:name w:val="Heading 1"/>
    <w:basedOn w:val="714"/>
    <w:next w:val="714"/>
    <w:link w:val="819"/>
    <w:uiPriority w:val="9"/>
    <w:qFormat/>
    <w:pPr>
      <w:keepLines/>
      <w:keepNext/>
      <w:spacing w:before="480" w:after="200"/>
      <w:outlineLvl w:val="0"/>
    </w:pPr>
    <w:rPr>
      <w:rFonts w:ascii="Arial" w:hAnsi="Arial" w:eastAsia="Arial"/>
      <w:sz w:val="40"/>
      <w:szCs w:val="40"/>
    </w:rPr>
  </w:style>
  <w:style w:type="paragraph" w:styleId="716">
    <w:name w:val="Heading 2"/>
    <w:basedOn w:val="714"/>
    <w:next w:val="714"/>
    <w:link w:val="820"/>
    <w:uiPriority w:val="9"/>
    <w:unhideWhenUsed/>
    <w:qFormat/>
    <w:pPr>
      <w:keepLines/>
      <w:keepNext/>
      <w:spacing w:before="360" w:after="200"/>
      <w:outlineLvl w:val="1"/>
    </w:pPr>
    <w:rPr>
      <w:rFonts w:ascii="Arial" w:hAnsi="Arial" w:eastAsia="Arial"/>
      <w:sz w:val="34"/>
      <w:szCs w:val="20"/>
    </w:rPr>
  </w:style>
  <w:style w:type="paragraph" w:styleId="717">
    <w:name w:val="Heading 3"/>
    <w:basedOn w:val="714"/>
    <w:next w:val="714"/>
    <w:link w:val="821"/>
    <w:uiPriority w:val="9"/>
    <w:unhideWhenUsed/>
    <w:qFormat/>
    <w:pPr>
      <w:keepLines/>
      <w:keepNext/>
      <w:spacing w:before="320" w:after="200"/>
      <w:outlineLvl w:val="2"/>
    </w:pPr>
    <w:rPr>
      <w:rFonts w:ascii="Arial" w:hAnsi="Arial" w:eastAsia="Arial"/>
      <w:sz w:val="30"/>
      <w:szCs w:val="30"/>
    </w:rPr>
  </w:style>
  <w:style w:type="paragraph" w:styleId="718">
    <w:name w:val="Heading 4"/>
    <w:basedOn w:val="714"/>
    <w:next w:val="714"/>
    <w:link w:val="802"/>
    <w:uiPriority w:val="9"/>
    <w:unhideWhenUsed/>
    <w:qFormat/>
    <w:pPr>
      <w:keepLines/>
      <w:keepNext/>
      <w:spacing w:before="320" w:after="200"/>
      <w:outlineLvl w:val="3"/>
    </w:pPr>
    <w:rPr>
      <w:rFonts w:ascii="Arial" w:hAnsi="Arial" w:eastAsia="Arial"/>
      <w:b/>
      <w:bCs/>
      <w:sz w:val="26"/>
      <w:szCs w:val="26"/>
    </w:rPr>
  </w:style>
  <w:style w:type="paragraph" w:styleId="719">
    <w:name w:val="Heading 5"/>
    <w:basedOn w:val="714"/>
    <w:next w:val="714"/>
    <w:link w:val="822"/>
    <w:uiPriority w:val="9"/>
    <w:unhideWhenUsed/>
    <w:qFormat/>
    <w:pPr>
      <w:keepLines/>
      <w:keepNext/>
      <w:spacing w:before="320" w:after="200"/>
      <w:outlineLvl w:val="4"/>
    </w:pPr>
    <w:rPr>
      <w:rFonts w:ascii="Arial" w:hAnsi="Arial" w:eastAsia="Arial"/>
      <w:b/>
      <w:bCs/>
      <w:sz w:val="24"/>
      <w:szCs w:val="24"/>
    </w:rPr>
  </w:style>
  <w:style w:type="paragraph" w:styleId="720">
    <w:name w:val="Heading 6"/>
    <w:basedOn w:val="714"/>
    <w:next w:val="714"/>
    <w:link w:val="823"/>
    <w:uiPriority w:val="9"/>
    <w:unhideWhenUsed/>
    <w:qFormat/>
    <w:pPr>
      <w:keepLines/>
      <w:keepNext/>
      <w:spacing w:before="320" w:after="200"/>
      <w:outlineLvl w:val="5"/>
    </w:pPr>
    <w:rPr>
      <w:rFonts w:ascii="Arial" w:hAnsi="Arial" w:eastAsia="Arial"/>
      <w:b/>
      <w:bCs/>
      <w:sz w:val="22"/>
      <w:szCs w:val="22"/>
    </w:rPr>
  </w:style>
  <w:style w:type="paragraph" w:styleId="721">
    <w:name w:val="Heading 7"/>
    <w:basedOn w:val="714"/>
    <w:next w:val="714"/>
    <w:link w:val="824"/>
    <w:uiPriority w:val="9"/>
    <w:unhideWhenUsed/>
    <w:qFormat/>
    <w:pPr>
      <w:keepLines/>
      <w:keepNext/>
      <w:spacing w:before="320" w:after="200"/>
      <w:outlineLvl w:val="6"/>
    </w:pPr>
    <w:rPr>
      <w:rFonts w:ascii="Arial" w:hAnsi="Arial" w:eastAsia="Arial"/>
      <w:b/>
      <w:bCs/>
      <w:i/>
      <w:iCs/>
      <w:sz w:val="22"/>
      <w:szCs w:val="22"/>
    </w:rPr>
  </w:style>
  <w:style w:type="paragraph" w:styleId="722">
    <w:name w:val="Heading 8"/>
    <w:basedOn w:val="714"/>
    <w:next w:val="714"/>
    <w:link w:val="825"/>
    <w:uiPriority w:val="9"/>
    <w:unhideWhenUsed/>
    <w:qFormat/>
    <w:pPr>
      <w:keepLines/>
      <w:keepNext/>
      <w:spacing w:before="320" w:after="200"/>
      <w:outlineLvl w:val="7"/>
    </w:pPr>
    <w:rPr>
      <w:rFonts w:ascii="Arial" w:hAnsi="Arial" w:eastAsia="Arial"/>
      <w:i/>
      <w:iCs/>
      <w:sz w:val="22"/>
      <w:szCs w:val="22"/>
    </w:rPr>
  </w:style>
  <w:style w:type="paragraph" w:styleId="723">
    <w:name w:val="Heading 9"/>
    <w:basedOn w:val="714"/>
    <w:next w:val="714"/>
    <w:link w:val="826"/>
    <w:uiPriority w:val="9"/>
    <w:unhideWhenUsed/>
    <w:qFormat/>
    <w:pPr>
      <w:keepLines/>
      <w:keepNext/>
      <w:spacing w:before="320" w:after="200"/>
      <w:outlineLvl w:val="8"/>
    </w:pPr>
    <w:rPr>
      <w:rFonts w:ascii="Arial" w:hAnsi="Arial" w:eastAsia="Arial"/>
      <w:i/>
      <w:iCs/>
    </w:rPr>
  </w:style>
  <w:style w:type="character" w:styleId="724" w:default="1">
    <w:name w:val="Default Paragraph Font"/>
    <w:uiPriority w:val="1"/>
    <w:semiHidden/>
    <w:unhideWhenUsed/>
  </w:style>
  <w:style w:type="table" w:styleId="725" w:default="1">
    <w:name w:val="Normal Table"/>
    <w:uiPriority w:val="99"/>
    <w:semiHidden/>
    <w:unhideWhenUsed/>
    <w:tblPr>
      <w:tblCellMar>
        <w:left w:w="108" w:type="dxa"/>
        <w:top w:w="0" w:type="dxa"/>
        <w:right w:w="108" w:type="dxa"/>
        <w:bottom w:w="0" w:type="dxa"/>
      </w:tblCellMar>
    </w:tblPr>
  </w:style>
  <w:style w:type="paragraph" w:styleId="726">
    <w:name w:val="toc 7"/>
    <w:basedOn w:val="714"/>
    <w:next w:val="714"/>
    <w:uiPriority w:val="39"/>
    <w:unhideWhenUsed/>
    <w:pPr>
      <w:ind w:left="1701" w:right="0" w:firstLine="0"/>
      <w:spacing w:after="57"/>
    </w:pPr>
  </w:style>
  <w:style w:type="paragraph" w:styleId="727">
    <w:name w:val="Caption"/>
    <w:basedOn w:val="714"/>
    <w:next w:val="7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8">
    <w:name w:val="toc 5"/>
    <w:basedOn w:val="714"/>
    <w:next w:val="714"/>
    <w:uiPriority w:val="39"/>
    <w:unhideWhenUsed/>
    <w:pPr>
      <w:ind w:left="1134" w:right="0" w:firstLine="0"/>
      <w:spacing w:after="57"/>
    </w:pPr>
  </w:style>
  <w:style w:type="paragraph" w:styleId="729">
    <w:name w:val="toc 3"/>
    <w:basedOn w:val="714"/>
    <w:next w:val="714"/>
    <w:uiPriority w:val="39"/>
    <w:unhideWhenUsed/>
    <w:pPr>
      <w:ind w:left="567" w:right="0" w:firstLine="0"/>
      <w:spacing w:after="57"/>
    </w:pPr>
  </w:style>
  <w:style w:type="paragraph" w:styleId="730">
    <w:name w:val="toc 8"/>
    <w:basedOn w:val="714"/>
    <w:next w:val="714"/>
    <w:uiPriority w:val="39"/>
    <w:unhideWhenUsed/>
    <w:pPr>
      <w:ind w:left="1984" w:right="0" w:firstLine="0"/>
      <w:spacing w:after="57"/>
    </w:pPr>
  </w:style>
  <w:style w:type="paragraph" w:styleId="731">
    <w:name w:val="endnote text"/>
    <w:basedOn w:val="714"/>
    <w:uiPriority w:val="99"/>
    <w:semiHidden/>
    <w:unhideWhenUsed/>
    <w:pPr>
      <w:spacing w:after="0" w:line="240" w:lineRule="auto"/>
    </w:pPr>
    <w:rPr>
      <w:sz w:val="20"/>
    </w:rPr>
  </w:style>
  <w:style w:type="paragraph" w:styleId="732">
    <w:name w:val="Footer"/>
    <w:basedOn w:val="714"/>
    <w:uiPriority w:val="99"/>
    <w:unhideWhenUsed/>
    <w:qFormat/>
    <w:pPr>
      <w:spacing w:after="0" w:line="240" w:lineRule="auto"/>
      <w:tabs>
        <w:tab w:val="center" w:pos="7143" w:leader="none"/>
        <w:tab w:val="right" w:pos="14287" w:leader="none"/>
      </w:tabs>
    </w:pPr>
  </w:style>
  <w:style w:type="paragraph" w:styleId="733">
    <w:name w:val="Header"/>
    <w:basedOn w:val="714"/>
    <w:uiPriority w:val="99"/>
    <w:unhideWhenUsed/>
    <w:pPr>
      <w:spacing w:after="0" w:line="240" w:lineRule="auto"/>
      <w:tabs>
        <w:tab w:val="center" w:pos="7143" w:leader="none"/>
        <w:tab w:val="right" w:pos="14287" w:leader="none"/>
      </w:tabs>
    </w:pPr>
  </w:style>
  <w:style w:type="paragraph" w:styleId="734">
    <w:name w:val="toc 1"/>
    <w:basedOn w:val="714"/>
    <w:next w:val="714"/>
    <w:uiPriority w:val="39"/>
    <w:unhideWhenUsed/>
    <w:pPr>
      <w:ind w:left="0" w:right="0" w:firstLine="0"/>
      <w:spacing w:after="57"/>
    </w:pPr>
  </w:style>
  <w:style w:type="paragraph" w:styleId="735">
    <w:name w:val="toc 4"/>
    <w:basedOn w:val="714"/>
    <w:next w:val="714"/>
    <w:uiPriority w:val="39"/>
    <w:unhideWhenUsed/>
    <w:pPr>
      <w:ind w:left="850" w:right="0" w:firstLine="0"/>
      <w:spacing w:after="57"/>
    </w:pPr>
  </w:style>
  <w:style w:type="paragraph" w:styleId="736">
    <w:name w:val="Subtitle"/>
    <w:basedOn w:val="714"/>
    <w:next w:val="714"/>
    <w:uiPriority w:val="11"/>
    <w:qFormat/>
    <w:pPr>
      <w:spacing w:before="200" w:after="200"/>
    </w:pPr>
    <w:rPr>
      <w:sz w:val="24"/>
      <w:szCs w:val="24"/>
    </w:rPr>
  </w:style>
  <w:style w:type="paragraph" w:styleId="737">
    <w:name w:val="footnote text"/>
    <w:basedOn w:val="714"/>
    <w:uiPriority w:val="99"/>
    <w:semiHidden/>
    <w:unhideWhenUsed/>
    <w:pPr>
      <w:spacing w:after="40" w:line="240" w:lineRule="auto"/>
    </w:pPr>
    <w:rPr>
      <w:sz w:val="18"/>
    </w:rPr>
  </w:style>
  <w:style w:type="paragraph" w:styleId="738">
    <w:name w:val="toc 6"/>
    <w:basedOn w:val="714"/>
    <w:next w:val="714"/>
    <w:uiPriority w:val="39"/>
    <w:unhideWhenUsed/>
    <w:pPr>
      <w:ind w:left="1417" w:right="0" w:firstLine="0"/>
      <w:spacing w:after="57"/>
    </w:pPr>
  </w:style>
  <w:style w:type="paragraph" w:styleId="739">
    <w:name w:val="table of figures"/>
    <w:basedOn w:val="714"/>
    <w:next w:val="714"/>
    <w:uiPriority w:val="99"/>
    <w:unhideWhenUsed/>
    <w:pPr>
      <w:spacing w:after="0" w:afterAutospacing="0"/>
    </w:pPr>
  </w:style>
  <w:style w:type="paragraph" w:styleId="740">
    <w:name w:val="toc 2"/>
    <w:basedOn w:val="714"/>
    <w:next w:val="714"/>
    <w:uiPriority w:val="39"/>
    <w:unhideWhenUsed/>
    <w:pPr>
      <w:ind w:left="283" w:right="0" w:firstLine="0"/>
      <w:spacing w:after="57"/>
    </w:pPr>
  </w:style>
  <w:style w:type="paragraph" w:styleId="741">
    <w:name w:val="toc 9"/>
    <w:basedOn w:val="714"/>
    <w:next w:val="714"/>
    <w:uiPriority w:val="39"/>
    <w:unhideWhenUsed/>
    <w:pPr>
      <w:ind w:left="2268" w:right="0" w:firstLine="0"/>
      <w:spacing w:after="57"/>
    </w:pPr>
  </w:style>
  <w:style w:type="paragraph" w:styleId="742">
    <w:name w:val="Title"/>
    <w:basedOn w:val="714"/>
    <w:next w:val="714"/>
    <w:uiPriority w:val="10"/>
    <w:qFormat/>
    <w:pPr>
      <w:contextualSpacing/>
      <w:spacing w:before="300" w:after="200"/>
    </w:pPr>
    <w:rPr>
      <w:sz w:val="48"/>
      <w:szCs w:val="48"/>
    </w:rPr>
  </w:style>
  <w:style w:type="table" w:styleId="74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name w:val="endnote reference"/>
    <w:uiPriority w:val="99"/>
    <w:semiHidden/>
    <w:unhideWhenUsed/>
    <w:rPr>
      <w:vertAlign w:val="superscript"/>
    </w:rPr>
  </w:style>
  <w:style w:type="character" w:styleId="745">
    <w:name w:val="Hyperlink"/>
    <w:uiPriority w:val="99"/>
    <w:unhideWhenUsed/>
    <w:rPr>
      <w:color w:val="0000ff" w:themeColor="hyperlink"/>
      <w:u w:val="single"/>
      <w14:textFill>
        <w14:solidFill>
          <w14:schemeClr w14:val="hlink"/>
        </w14:solidFill>
      </w14:textFill>
    </w:rPr>
  </w:style>
  <w:style w:type="character" w:styleId="746">
    <w:name w:val="footnote reference"/>
    <w:uiPriority w:val="99"/>
    <w:unhideWhenUsed/>
    <w:rPr>
      <w:vertAlign w:val="superscript"/>
    </w:rPr>
  </w:style>
  <w:style w:type="paragraph" w:styleId="747">
    <w:name w:val="List Paragraph"/>
    <w:basedOn w:val="714"/>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paragraph" w:styleId="749">
    <w:name w:val="Quote"/>
    <w:basedOn w:val="714"/>
    <w:next w:val="714"/>
    <w:uiPriority w:val="29"/>
    <w:qFormat/>
    <w:pPr>
      <w:ind w:left="720" w:right="720"/>
    </w:pPr>
    <w:rPr>
      <w:i/>
    </w:rPr>
  </w:style>
  <w:style w:type="paragraph" w:styleId="750">
    <w:name w:val="Intense Quote"/>
    <w:basedOn w:val="714"/>
    <w:next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1" w:customStyle="1">
    <w:name w:val="TOC Heading"/>
    <w:uiPriority w:val="39"/>
    <w:unhideWhenUsed/>
    <w:rPr>
      <w:rFonts w:hint="default" w:ascii="Times New Roman" w:hAnsi="Times New Roman" w:eastAsia="宋体" w:cs="Times New Roman"/>
    </w:rPr>
  </w:style>
  <w:style w:type="paragraph" w:styleId="752" w:customStyle="1">
    <w:name w:val="标题 111"/>
    <w:basedOn w:val="714"/>
    <w:next w:val="714"/>
    <w:uiPriority w:val="0"/>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753" w:customStyle="1">
    <w:name w:val="标题 311"/>
    <w:basedOn w:val="714"/>
    <w:next w:val="714"/>
    <w:uiPriority w:val="9"/>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754" w:customStyle="1">
    <w:name w:val="默认段落字体11"/>
    <w:link w:val="714"/>
    <w:uiPriority w:val="1"/>
    <w:unhideWhenUsed/>
    <w:qFormat/>
  </w:style>
  <w:style w:type="table" w:styleId="755" w:customStyle="1">
    <w:name w:val="普通表格11"/>
    <w:uiPriority w:val="99"/>
    <w:unhideWhenUsed/>
    <w:qFormat/>
    <w:tblPr/>
  </w:style>
  <w:style w:type="paragraph" w:styleId="756" w:customStyle="1">
    <w:name w:val="目录 711"/>
    <w:basedOn w:val="714"/>
    <w:next w:val="714"/>
    <w:uiPriority w:val="39"/>
    <w:unhideWhenUsed/>
    <w:qFormat/>
    <w:pPr>
      <w:ind w:left="1701"/>
      <w:spacing w:after="57"/>
    </w:pPr>
  </w:style>
  <w:style w:type="paragraph" w:styleId="757" w:customStyle="1">
    <w:name w:val="批注文字11"/>
    <w:basedOn w:val="714"/>
    <w:link w:val="758"/>
    <w:uiPriority w:val="99"/>
    <w:unhideWhenUsed/>
    <w:qFormat/>
    <w:pPr>
      <w:jc w:val="left"/>
    </w:pPr>
  </w:style>
  <w:style w:type="character" w:styleId="758" w:customStyle="1">
    <w:name w:val="批注文字 Char1"/>
    <w:link w:val="757"/>
    <w:uiPriority w:val="99"/>
    <w:semiHidden/>
    <w:qFormat/>
    <w:rPr>
      <w:sz w:val="21"/>
      <w:szCs w:val="21"/>
    </w:rPr>
  </w:style>
  <w:style w:type="paragraph" w:styleId="759" w:customStyle="1">
    <w:name w:val="正文文本13"/>
    <w:basedOn w:val="714"/>
    <w:uiPriority w:val="0"/>
    <w:qFormat/>
    <w:pPr>
      <w:spacing w:after="120"/>
    </w:pPr>
  </w:style>
  <w:style w:type="paragraph" w:styleId="760" w:customStyle="1">
    <w:name w:val="正文文本缩进11"/>
    <w:basedOn w:val="714"/>
    <w:uiPriority w:val="99"/>
    <w:qFormat/>
    <w:pPr>
      <w:ind w:firstLine="576"/>
    </w:pPr>
    <w:rPr>
      <w:sz w:val="20"/>
    </w:rPr>
  </w:style>
  <w:style w:type="paragraph" w:styleId="761" w:customStyle="1">
    <w:name w:val="索引 41"/>
    <w:basedOn w:val="714"/>
    <w:next w:val="714"/>
    <w:uiPriority w:val="99"/>
    <w:qFormat/>
    <w:pPr>
      <w:ind w:left="600"/>
    </w:pPr>
    <w:rPr>
      <w:szCs w:val="24"/>
    </w:rPr>
  </w:style>
  <w:style w:type="paragraph" w:styleId="762" w:customStyle="1">
    <w:name w:val="目录 511"/>
    <w:basedOn w:val="714"/>
    <w:next w:val="714"/>
    <w:uiPriority w:val="39"/>
    <w:unhideWhenUsed/>
    <w:qFormat/>
    <w:pPr>
      <w:ind w:left="1134"/>
      <w:spacing w:after="57"/>
    </w:pPr>
  </w:style>
  <w:style w:type="paragraph" w:styleId="763" w:customStyle="1">
    <w:name w:val="目录 311"/>
    <w:basedOn w:val="714"/>
    <w:next w:val="714"/>
    <w:uiPriority w:val="39"/>
    <w:unhideWhenUsed/>
    <w:qFormat/>
    <w:pPr>
      <w:ind w:left="567"/>
      <w:spacing w:after="57"/>
    </w:pPr>
  </w:style>
  <w:style w:type="paragraph" w:styleId="764" w:customStyle="1">
    <w:name w:val="目录 811"/>
    <w:basedOn w:val="714"/>
    <w:next w:val="714"/>
    <w:uiPriority w:val="39"/>
    <w:unhideWhenUsed/>
    <w:qFormat/>
    <w:pPr>
      <w:ind w:left="1984"/>
      <w:spacing w:after="57"/>
    </w:pPr>
  </w:style>
  <w:style w:type="paragraph" w:styleId="765" w:customStyle="1">
    <w:name w:val="尾注文本11"/>
    <w:basedOn w:val="714"/>
    <w:link w:val="766"/>
    <w:uiPriority w:val="99"/>
    <w:unhideWhenUsed/>
    <w:qFormat/>
    <w:rPr>
      <w:sz w:val="20"/>
    </w:rPr>
  </w:style>
  <w:style w:type="character" w:styleId="766" w:customStyle="1">
    <w:name w:val="尾注文本 Char1"/>
    <w:link w:val="765"/>
    <w:uiPriority w:val="99"/>
    <w:qFormat/>
    <w:rPr>
      <w:sz w:val="20"/>
    </w:rPr>
  </w:style>
  <w:style w:type="paragraph" w:styleId="767" w:customStyle="1">
    <w:name w:val="批注框文本11"/>
    <w:basedOn w:val="714"/>
    <w:link w:val="768"/>
    <w:uiPriority w:val="99"/>
    <w:unhideWhenUsed/>
    <w:qFormat/>
    <w:rPr>
      <w:sz w:val="18"/>
      <w:szCs w:val="18"/>
    </w:rPr>
  </w:style>
  <w:style w:type="character" w:styleId="768" w:customStyle="1">
    <w:name w:val="批注框文本 Char1"/>
    <w:link w:val="767"/>
    <w:uiPriority w:val="99"/>
    <w:semiHidden/>
    <w:qFormat/>
    <w:rPr>
      <w:sz w:val="18"/>
      <w:szCs w:val="18"/>
    </w:rPr>
  </w:style>
  <w:style w:type="paragraph" w:styleId="769" w:customStyle="1">
    <w:name w:val="页脚11"/>
    <w:basedOn w:val="714"/>
    <w:link w:val="770"/>
    <w:uiPriority w:val="99"/>
    <w:unhideWhenUsed/>
    <w:pPr>
      <w:jc w:val="left"/>
      <w:tabs>
        <w:tab w:val="center" w:pos="4153" w:leader="none"/>
        <w:tab w:val="right" w:pos="8306" w:leader="none"/>
      </w:tabs>
    </w:pPr>
    <w:rPr>
      <w:sz w:val="18"/>
      <w:szCs w:val="18"/>
    </w:rPr>
  </w:style>
  <w:style w:type="character" w:styleId="770" w:customStyle="1">
    <w:name w:val="页脚 Char1"/>
    <w:link w:val="769"/>
    <w:uiPriority w:val="99"/>
    <w:rPr>
      <w:sz w:val="18"/>
      <w:szCs w:val="18"/>
    </w:rPr>
  </w:style>
  <w:style w:type="paragraph" w:styleId="771" w:customStyle="1">
    <w:name w:val="页眉12"/>
    <w:basedOn w:val="714"/>
    <w:link w:val="772"/>
    <w:uiPriority w:val="99"/>
    <w:unhideWhenUsed/>
    <w:pPr>
      <w:jc w:val="center"/>
      <w:tabs>
        <w:tab w:val="center" w:pos="4153" w:leader="none"/>
        <w:tab w:val="right" w:pos="8306" w:leader="none"/>
      </w:tabs>
      <w:pBdr>
        <w:bottom w:val="single" w:color="000000" w:sz="6" w:space="1"/>
      </w:pBdr>
    </w:pPr>
    <w:rPr>
      <w:sz w:val="18"/>
      <w:szCs w:val="18"/>
    </w:rPr>
  </w:style>
  <w:style w:type="character" w:styleId="772" w:customStyle="1">
    <w:name w:val="页眉 Char1"/>
    <w:link w:val="771"/>
    <w:uiPriority w:val="99"/>
    <w:rPr>
      <w:sz w:val="18"/>
      <w:szCs w:val="18"/>
    </w:rPr>
  </w:style>
  <w:style w:type="paragraph" w:styleId="773" w:customStyle="1">
    <w:name w:val="目录 1111"/>
    <w:basedOn w:val="714"/>
    <w:next w:val="714"/>
    <w:uiPriority w:val="39"/>
    <w:unhideWhenUsed/>
    <w:qFormat/>
    <w:pPr>
      <w:spacing w:after="57"/>
    </w:pPr>
  </w:style>
  <w:style w:type="paragraph" w:styleId="774" w:customStyle="1">
    <w:name w:val="目录 411"/>
    <w:basedOn w:val="714"/>
    <w:next w:val="714"/>
    <w:uiPriority w:val="39"/>
    <w:unhideWhenUsed/>
    <w:qFormat/>
    <w:pPr>
      <w:ind w:left="850"/>
      <w:spacing w:after="57"/>
    </w:pPr>
  </w:style>
  <w:style w:type="paragraph" w:styleId="775" w:customStyle="1">
    <w:name w:val="副标题11"/>
    <w:basedOn w:val="714"/>
    <w:next w:val="714"/>
    <w:link w:val="776"/>
    <w:uiPriority w:val="11"/>
    <w:qFormat/>
    <w:pPr>
      <w:spacing w:before="200" w:after="200"/>
    </w:pPr>
    <w:rPr>
      <w:sz w:val="24"/>
      <w:szCs w:val="24"/>
    </w:rPr>
  </w:style>
  <w:style w:type="character" w:styleId="776" w:customStyle="1">
    <w:name w:val="副标题 Char1"/>
    <w:link w:val="775"/>
    <w:uiPriority w:val="11"/>
    <w:qFormat/>
    <w:rPr>
      <w:sz w:val="24"/>
      <w:szCs w:val="24"/>
    </w:rPr>
  </w:style>
  <w:style w:type="paragraph" w:styleId="777" w:customStyle="1">
    <w:name w:val="脚注文本11"/>
    <w:basedOn w:val="714"/>
    <w:link w:val="778"/>
    <w:uiPriority w:val="99"/>
    <w:unhideWhenUsed/>
    <w:qFormat/>
    <w:pPr>
      <w:spacing w:after="40"/>
    </w:pPr>
    <w:rPr>
      <w:sz w:val="18"/>
    </w:rPr>
  </w:style>
  <w:style w:type="character" w:styleId="778" w:customStyle="1">
    <w:name w:val="脚注文本 Char1"/>
    <w:link w:val="777"/>
    <w:uiPriority w:val="99"/>
    <w:qFormat/>
    <w:rPr>
      <w:sz w:val="18"/>
    </w:rPr>
  </w:style>
  <w:style w:type="paragraph" w:styleId="779" w:customStyle="1">
    <w:name w:val="目录 611"/>
    <w:basedOn w:val="714"/>
    <w:next w:val="714"/>
    <w:uiPriority w:val="39"/>
    <w:unhideWhenUsed/>
    <w:qFormat/>
    <w:pPr>
      <w:ind w:left="1417"/>
      <w:spacing w:after="57"/>
    </w:pPr>
  </w:style>
  <w:style w:type="paragraph" w:styleId="780" w:customStyle="1">
    <w:name w:val="图表目录11"/>
    <w:basedOn w:val="714"/>
    <w:next w:val="714"/>
    <w:uiPriority w:val="99"/>
    <w:unhideWhenUsed/>
    <w:qFormat/>
  </w:style>
  <w:style w:type="paragraph" w:styleId="781" w:customStyle="1">
    <w:name w:val="目录 211"/>
    <w:basedOn w:val="714"/>
    <w:next w:val="714"/>
    <w:uiPriority w:val="39"/>
    <w:unhideWhenUsed/>
    <w:qFormat/>
    <w:pPr>
      <w:ind w:left="283"/>
      <w:spacing w:after="57"/>
    </w:pPr>
  </w:style>
  <w:style w:type="paragraph" w:styleId="782" w:customStyle="1">
    <w:name w:val="目录 911"/>
    <w:basedOn w:val="714"/>
    <w:next w:val="714"/>
    <w:uiPriority w:val="39"/>
    <w:unhideWhenUsed/>
    <w:qFormat/>
    <w:pPr>
      <w:ind w:left="2268"/>
      <w:spacing w:after="57"/>
    </w:pPr>
  </w:style>
  <w:style w:type="paragraph" w:styleId="783" w:customStyle="1">
    <w:name w:val="普通(网站)11"/>
    <w:basedOn w:val="71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84" w:customStyle="1">
    <w:name w:val="标题12"/>
    <w:basedOn w:val="714"/>
    <w:next w:val="714"/>
    <w:link w:val="785"/>
    <w:uiPriority w:val="10"/>
    <w:qFormat/>
    <w:pPr>
      <w:contextualSpacing/>
      <w:spacing w:before="300" w:after="200"/>
    </w:pPr>
    <w:rPr>
      <w:sz w:val="48"/>
      <w:szCs w:val="48"/>
    </w:rPr>
  </w:style>
  <w:style w:type="character" w:styleId="785" w:customStyle="1">
    <w:name w:val="标题 Char1"/>
    <w:link w:val="784"/>
    <w:uiPriority w:val="10"/>
    <w:qFormat/>
    <w:rPr>
      <w:sz w:val="48"/>
      <w:szCs w:val="48"/>
    </w:rPr>
  </w:style>
  <w:style w:type="paragraph" w:styleId="786" w:customStyle="1">
    <w:name w:val="批注主题11"/>
    <w:basedOn w:val="757"/>
    <w:next w:val="757"/>
    <w:link w:val="787"/>
    <w:uiPriority w:val="99"/>
    <w:unhideWhenUsed/>
    <w:qFormat/>
    <w:rPr>
      <w:b/>
      <w:bCs/>
    </w:rPr>
  </w:style>
  <w:style w:type="character" w:styleId="787" w:customStyle="1">
    <w:name w:val="批注主题 Char1"/>
    <w:link w:val="786"/>
    <w:uiPriority w:val="99"/>
    <w:semiHidden/>
    <w:qFormat/>
    <w:rPr>
      <w:b/>
      <w:bCs/>
      <w:sz w:val="21"/>
      <w:szCs w:val="21"/>
    </w:rPr>
  </w:style>
  <w:style w:type="paragraph" w:styleId="788" w:customStyle="1">
    <w:name w:val="正文首行缩进 211"/>
    <w:uiPriority w:val="99"/>
    <w:unhideWhenUsed/>
    <w:qFormat/>
    <w:pPr>
      <w:ind w:firstLine="420"/>
      <w:jc w:val="both"/>
      <w:spacing w:line="360" w:lineRule="auto"/>
      <w:widowControl w:val="off"/>
    </w:pPr>
    <w:rPr>
      <w:rFonts w:hint="default" w:ascii="宋体" w:hAnsi="宋体" w:eastAsia="宋体" w:cs="Times New Roman"/>
      <w:sz w:val="32"/>
      <w:szCs w:val="32"/>
      <w:lang w:val="en-US" w:eastAsia="zh-CN" w:bidi="ar-SA"/>
    </w:rPr>
  </w:style>
  <w:style w:type="table" w:styleId="789" w:customStyle="1">
    <w:name w:val="网格型111"/>
    <w:uiPriority w:val="59"/>
    <w:qFormat/>
    <w:rPr>
      <w:lang w:val="en-US" w:eastAsia="zh-CN" w:bidi="ar-SA"/>
    </w:rPr>
    <w:tblPr/>
  </w:style>
  <w:style w:type="character" w:styleId="790" w:customStyle="1">
    <w:name w:val="要点11"/>
    <w:link w:val="714"/>
    <w:uiPriority w:val="22"/>
    <w:qFormat/>
    <w:rPr>
      <w:b/>
    </w:rPr>
  </w:style>
  <w:style w:type="character" w:styleId="791" w:customStyle="1">
    <w:name w:val="尾注引用11"/>
    <w:link w:val="714"/>
    <w:uiPriority w:val="99"/>
    <w:unhideWhenUsed/>
    <w:qFormat/>
    <w:rPr>
      <w:vertAlign w:val="superscript"/>
    </w:rPr>
  </w:style>
  <w:style w:type="character" w:styleId="792" w:customStyle="1">
    <w:name w:val="超链接11"/>
    <w:link w:val="714"/>
    <w:uiPriority w:val="99"/>
    <w:unhideWhenUsed/>
    <w:qFormat/>
    <w:rPr>
      <w:color w:val="0000ff"/>
      <w:u w:val="single"/>
    </w:rPr>
  </w:style>
  <w:style w:type="character" w:styleId="793" w:customStyle="1">
    <w:name w:val="批注引用11"/>
    <w:link w:val="714"/>
    <w:uiPriority w:val="99"/>
    <w:unhideWhenUsed/>
    <w:qFormat/>
    <w:rPr>
      <w:sz w:val="21"/>
      <w:szCs w:val="21"/>
    </w:rPr>
  </w:style>
  <w:style w:type="character" w:styleId="794" w:customStyle="1">
    <w:name w:val="脚注引用11"/>
    <w:link w:val="714"/>
    <w:uiPriority w:val="99"/>
    <w:unhideWhenUsed/>
    <w:qFormat/>
    <w:rPr>
      <w:vertAlign w:val="superscript"/>
    </w:rPr>
  </w:style>
  <w:style w:type="paragraph" w:styleId="795" w:customStyle="1">
    <w:name w:val="正文文本11"/>
    <w:basedOn w:val="714"/>
    <w:uiPriority w:val="0"/>
    <w:qFormat/>
    <w:rPr>
      <w:rFonts w:ascii="仿宋_GB2312" w:eastAsia="仿宋_GB2312"/>
      <w:sz w:val="28"/>
      <w:szCs w:val="20"/>
    </w:rPr>
  </w:style>
  <w:style w:type="paragraph" w:styleId="796" w:customStyle="1">
    <w:name w:val="引文目录1"/>
    <w:basedOn w:val="714"/>
    <w:next w:val="714"/>
    <w:uiPriority w:val="0"/>
    <w:qFormat/>
    <w:pPr>
      <w:ind w:left="420" w:firstLine="883"/>
    </w:pPr>
    <w:rPr>
      <w:rFonts w:ascii="仿宋" w:hAnsi="仿宋" w:eastAsia="仿宋" w:cs="仿宋"/>
      <w:sz w:val="24"/>
      <w:szCs w:val="24"/>
    </w:rPr>
  </w:style>
  <w:style w:type="paragraph" w:styleId="797" w:customStyle="1">
    <w:name w:val="正文首行缩进 21"/>
    <w:basedOn w:val="798"/>
    <w:link w:val="801"/>
    <w:uiPriority w:val="0"/>
    <w:qFormat/>
    <w:pPr>
      <w:ind w:firstLine="420"/>
      <w:spacing w:line="360" w:lineRule="auto"/>
    </w:pPr>
    <w:rPr>
      <w:rFonts w:ascii="宋体" w:hAnsi="宋体" w:eastAsia="宋体"/>
      <w:szCs w:val="20"/>
    </w:rPr>
  </w:style>
  <w:style w:type="paragraph" w:styleId="798" w:customStyle="1">
    <w:name w:val="正文文本缩进1"/>
    <w:basedOn w:val="714"/>
    <w:next w:val="799"/>
    <w:link w:val="800"/>
    <w:uiPriority w:val="0"/>
    <w:qFormat/>
    <w:pPr>
      <w:ind w:firstLine="645"/>
    </w:pPr>
    <w:rPr>
      <w:rFonts w:ascii="楷体_GB2312" w:eastAsia="楷体_GB2312"/>
      <w:sz w:val="32"/>
      <w:szCs w:val="32"/>
    </w:rPr>
  </w:style>
  <w:style w:type="paragraph" w:styleId="799" w:customStyle="1">
    <w:name w:val="寄信人地址1"/>
    <w:basedOn w:val="714"/>
    <w:uiPriority w:val="99"/>
    <w:unhideWhenUsed/>
    <w:qFormat/>
    <w:rPr>
      <w:rFonts w:hint="eastAsia" w:ascii="Arial" w:hAnsi="Arial"/>
      <w:sz w:val="24"/>
    </w:rPr>
  </w:style>
  <w:style w:type="character" w:styleId="800" w:customStyle="1">
    <w:name w:val="正文文本缩进 Char"/>
    <w:link w:val="798"/>
    <w:uiPriority w:val="0"/>
    <w:qFormat/>
    <w:rPr>
      <w:rFonts w:ascii="楷体_GB2312" w:hAnsi="Times New Roman" w:eastAsia="楷体_GB2312" w:cs="Times New Roman"/>
      <w:sz w:val="32"/>
      <w:szCs w:val="32"/>
    </w:rPr>
  </w:style>
  <w:style w:type="character" w:styleId="801" w:customStyle="1">
    <w:name w:val="正文首行缩进 2 Char"/>
    <w:link w:val="797"/>
    <w:uiPriority w:val="0"/>
    <w:qFormat/>
    <w:rPr>
      <w:rFonts w:ascii="宋体" w:hAnsi="宋体" w:eastAsia="宋体" w:cs="Times New Roman"/>
      <w:sz w:val="32"/>
      <w:szCs w:val="20"/>
    </w:rPr>
  </w:style>
  <w:style w:type="character" w:styleId="802" w:customStyle="1">
    <w:name w:val="标题 4 Char1"/>
    <w:link w:val="718"/>
    <w:uiPriority w:val="9"/>
    <w:qFormat/>
    <w:rPr>
      <w:rFonts w:ascii="Arial" w:hAnsi="Arial" w:eastAsia="Arial" w:cs="Arial"/>
      <w:b/>
      <w:bCs/>
      <w:sz w:val="26"/>
      <w:szCs w:val="26"/>
    </w:rPr>
  </w:style>
  <w:style w:type="character" w:styleId="803" w:customStyle="1">
    <w:name w:val="Heading 1 Char"/>
    <w:link w:val="714"/>
    <w:uiPriority w:val="9"/>
    <w:rPr>
      <w:rFonts w:ascii="Arial" w:hAnsi="Arial" w:eastAsia="Arial" w:cs="Arial"/>
      <w:sz w:val="40"/>
      <w:szCs w:val="40"/>
    </w:rPr>
  </w:style>
  <w:style w:type="character" w:styleId="804" w:customStyle="1">
    <w:name w:val="Heading 2 Char"/>
    <w:link w:val="714"/>
    <w:uiPriority w:val="9"/>
    <w:rPr>
      <w:rFonts w:ascii="Arial" w:hAnsi="Arial" w:eastAsia="Arial" w:cs="Arial"/>
      <w:sz w:val="34"/>
    </w:rPr>
  </w:style>
  <w:style w:type="character" w:styleId="805" w:customStyle="1">
    <w:name w:val="Heading 3 Char"/>
    <w:link w:val="714"/>
    <w:uiPriority w:val="9"/>
    <w:rPr>
      <w:rFonts w:ascii="Arial" w:hAnsi="Arial" w:eastAsia="Arial" w:cs="Arial"/>
      <w:sz w:val="30"/>
      <w:szCs w:val="30"/>
    </w:rPr>
  </w:style>
  <w:style w:type="character" w:styleId="806" w:customStyle="1">
    <w:name w:val="Heading 4 Char"/>
    <w:link w:val="714"/>
    <w:uiPriority w:val="9"/>
    <w:rPr>
      <w:rFonts w:ascii="Arial" w:hAnsi="Arial" w:eastAsia="Arial" w:cs="Arial"/>
      <w:b/>
      <w:bCs/>
      <w:sz w:val="26"/>
      <w:szCs w:val="26"/>
    </w:rPr>
  </w:style>
  <w:style w:type="character" w:styleId="807" w:customStyle="1">
    <w:name w:val="Heading 5 Char"/>
    <w:link w:val="714"/>
    <w:uiPriority w:val="9"/>
    <w:rPr>
      <w:rFonts w:ascii="Arial" w:hAnsi="Arial" w:eastAsia="Arial" w:cs="Arial"/>
      <w:b/>
      <w:bCs/>
      <w:sz w:val="24"/>
      <w:szCs w:val="24"/>
    </w:rPr>
  </w:style>
  <w:style w:type="character" w:styleId="808" w:customStyle="1">
    <w:name w:val="Heading 6 Char"/>
    <w:link w:val="714"/>
    <w:uiPriority w:val="9"/>
    <w:rPr>
      <w:rFonts w:ascii="Arial" w:hAnsi="Arial" w:eastAsia="Arial" w:cs="Arial"/>
      <w:b/>
      <w:bCs/>
      <w:sz w:val="22"/>
      <w:szCs w:val="22"/>
    </w:rPr>
  </w:style>
  <w:style w:type="character" w:styleId="809" w:customStyle="1">
    <w:name w:val="Heading 7 Char"/>
    <w:link w:val="714"/>
    <w:uiPriority w:val="9"/>
    <w:rPr>
      <w:rFonts w:ascii="Arial" w:hAnsi="Arial" w:eastAsia="Arial" w:cs="Arial"/>
      <w:b/>
      <w:bCs/>
      <w:i/>
      <w:iCs/>
      <w:sz w:val="22"/>
      <w:szCs w:val="22"/>
    </w:rPr>
  </w:style>
  <w:style w:type="character" w:styleId="810" w:customStyle="1">
    <w:name w:val="Heading 8 Char"/>
    <w:link w:val="714"/>
    <w:uiPriority w:val="9"/>
    <w:rPr>
      <w:rFonts w:ascii="Arial" w:hAnsi="Arial" w:eastAsia="Arial" w:cs="Arial"/>
      <w:i/>
      <w:iCs/>
      <w:sz w:val="22"/>
      <w:szCs w:val="22"/>
    </w:rPr>
  </w:style>
  <w:style w:type="character" w:styleId="811" w:customStyle="1">
    <w:name w:val="Heading 9 Char"/>
    <w:link w:val="714"/>
    <w:uiPriority w:val="9"/>
    <w:rPr>
      <w:rFonts w:ascii="Arial" w:hAnsi="Arial" w:eastAsia="Arial" w:cs="Arial"/>
      <w:i/>
      <w:iCs/>
      <w:sz w:val="21"/>
      <w:szCs w:val="21"/>
    </w:rPr>
  </w:style>
  <w:style w:type="character" w:styleId="812" w:customStyle="1">
    <w:name w:val="Title Char"/>
    <w:link w:val="714"/>
    <w:uiPriority w:val="10"/>
    <w:rPr>
      <w:sz w:val="48"/>
      <w:szCs w:val="48"/>
    </w:rPr>
  </w:style>
  <w:style w:type="character" w:styleId="813" w:customStyle="1">
    <w:name w:val="Subtitle Char"/>
    <w:link w:val="714"/>
    <w:uiPriority w:val="11"/>
    <w:rPr>
      <w:sz w:val="24"/>
      <w:szCs w:val="24"/>
    </w:rPr>
  </w:style>
  <w:style w:type="character" w:styleId="814" w:customStyle="1">
    <w:name w:val="Quote Char"/>
    <w:link w:val="714"/>
    <w:uiPriority w:val="29"/>
    <w:rPr>
      <w:i/>
    </w:rPr>
  </w:style>
  <w:style w:type="character" w:styleId="815" w:customStyle="1">
    <w:name w:val="Intense Quote Char"/>
    <w:link w:val="714"/>
    <w:uiPriority w:val="30"/>
    <w:rPr>
      <w:i/>
    </w:rPr>
  </w:style>
  <w:style w:type="character" w:styleId="816" w:customStyle="1">
    <w:name w:val="Footnote Text Char"/>
    <w:link w:val="714"/>
    <w:uiPriority w:val="99"/>
    <w:rPr>
      <w:sz w:val="18"/>
    </w:rPr>
  </w:style>
  <w:style w:type="character" w:styleId="817" w:customStyle="1">
    <w:name w:val="Endnote Text Char"/>
    <w:link w:val="714"/>
    <w:uiPriority w:val="99"/>
    <w:rPr>
      <w:sz w:val="20"/>
    </w:rPr>
  </w:style>
  <w:style w:type="paragraph" w:styleId="818" w:customStyle="1">
    <w:name w:val="TOC 标题"/>
    <w:uiPriority w:val="39"/>
    <w:qFormat/>
    <w:rPr>
      <w:rFonts w:hint="default" w:ascii="Times New Roman" w:hAnsi="Times New Roman" w:eastAsia="宋体" w:cs="Times New Roman"/>
      <w:lang w:val="en-US" w:eastAsia="zh-CN" w:bidi="ar-SA"/>
    </w:rPr>
  </w:style>
  <w:style w:type="character" w:styleId="819" w:customStyle="1">
    <w:name w:val="标题 1 Char1"/>
    <w:link w:val="715"/>
    <w:uiPriority w:val="9"/>
    <w:qFormat/>
    <w:rPr>
      <w:rFonts w:ascii="Arial" w:hAnsi="Arial" w:eastAsia="Arial" w:cs="Arial"/>
      <w:sz w:val="40"/>
      <w:szCs w:val="40"/>
    </w:rPr>
  </w:style>
  <w:style w:type="character" w:styleId="820" w:customStyle="1">
    <w:name w:val="标题 2 Char1"/>
    <w:link w:val="716"/>
    <w:uiPriority w:val="9"/>
    <w:qFormat/>
    <w:rPr>
      <w:rFonts w:ascii="Arial" w:hAnsi="Arial" w:eastAsia="Arial" w:cs="Arial"/>
      <w:sz w:val="34"/>
    </w:rPr>
  </w:style>
  <w:style w:type="character" w:styleId="821" w:customStyle="1">
    <w:name w:val="标题 3 Char1"/>
    <w:link w:val="717"/>
    <w:uiPriority w:val="9"/>
    <w:qFormat/>
    <w:rPr>
      <w:rFonts w:ascii="Arial" w:hAnsi="Arial" w:eastAsia="Arial" w:cs="Arial"/>
      <w:sz w:val="30"/>
      <w:szCs w:val="30"/>
    </w:rPr>
  </w:style>
  <w:style w:type="character" w:styleId="822" w:customStyle="1">
    <w:name w:val="标题 5 Char1"/>
    <w:link w:val="719"/>
    <w:uiPriority w:val="9"/>
    <w:qFormat/>
    <w:rPr>
      <w:rFonts w:ascii="Arial" w:hAnsi="Arial" w:eastAsia="Arial" w:cs="Arial"/>
      <w:b/>
      <w:bCs/>
      <w:sz w:val="24"/>
      <w:szCs w:val="24"/>
    </w:rPr>
  </w:style>
  <w:style w:type="character" w:styleId="823" w:customStyle="1">
    <w:name w:val="标题 6 Char1"/>
    <w:link w:val="720"/>
    <w:uiPriority w:val="9"/>
    <w:qFormat/>
    <w:rPr>
      <w:rFonts w:ascii="Arial" w:hAnsi="Arial" w:eastAsia="Arial" w:cs="Arial"/>
      <w:b/>
      <w:bCs/>
      <w:sz w:val="22"/>
      <w:szCs w:val="22"/>
    </w:rPr>
  </w:style>
  <w:style w:type="character" w:styleId="824" w:customStyle="1">
    <w:name w:val="标题 7 Char1"/>
    <w:link w:val="721"/>
    <w:uiPriority w:val="9"/>
    <w:qFormat/>
    <w:rPr>
      <w:rFonts w:ascii="Arial" w:hAnsi="Arial" w:eastAsia="Arial" w:cs="Arial"/>
      <w:b/>
      <w:bCs/>
      <w:i/>
      <w:iCs/>
      <w:sz w:val="22"/>
      <w:szCs w:val="22"/>
    </w:rPr>
  </w:style>
  <w:style w:type="character" w:styleId="825" w:customStyle="1">
    <w:name w:val="标题 8 Char1"/>
    <w:link w:val="722"/>
    <w:uiPriority w:val="9"/>
    <w:qFormat/>
    <w:rPr>
      <w:rFonts w:ascii="Arial" w:hAnsi="Arial" w:eastAsia="Arial" w:cs="Arial"/>
      <w:i/>
      <w:iCs/>
      <w:sz w:val="22"/>
      <w:szCs w:val="22"/>
    </w:rPr>
  </w:style>
  <w:style w:type="character" w:styleId="826" w:customStyle="1">
    <w:name w:val="标题 9 Char1"/>
    <w:link w:val="723"/>
    <w:uiPriority w:val="9"/>
    <w:qFormat/>
    <w:rPr>
      <w:rFonts w:ascii="Arial" w:hAnsi="Arial" w:eastAsia="Arial" w:cs="Arial"/>
      <w:i/>
      <w:iCs/>
      <w:sz w:val="21"/>
      <w:szCs w:val="21"/>
    </w:rPr>
  </w:style>
  <w:style w:type="paragraph" w:styleId="827" w:customStyle="1">
    <w:name w:val="Caption1"/>
    <w:basedOn w:val="714"/>
    <w:next w:val="714"/>
    <w:uiPriority w:val="35"/>
    <w:unhideWhenUsed/>
    <w:qFormat/>
    <w:pPr>
      <w:spacing w:line="276" w:lineRule="auto"/>
    </w:pPr>
    <w:rPr>
      <w:b/>
      <w:bCs/>
      <w:color w:val="4f81bd"/>
      <w:sz w:val="18"/>
      <w:szCs w:val="18"/>
    </w:rPr>
  </w:style>
  <w:style w:type="paragraph" w:styleId="828" w:customStyle="1">
    <w:name w:val="Footer1"/>
    <w:basedOn w:val="714"/>
    <w:uiPriority w:val="99"/>
    <w:unhideWhenUsed/>
    <w:qFormat/>
    <w:pPr>
      <w:tabs>
        <w:tab w:val="center" w:pos="7143" w:leader="none"/>
        <w:tab w:val="right" w:pos="14287" w:leader="none"/>
      </w:tabs>
    </w:pPr>
  </w:style>
  <w:style w:type="paragraph" w:styleId="829" w:customStyle="1">
    <w:name w:val="Header1"/>
    <w:basedOn w:val="714"/>
    <w:uiPriority w:val="99"/>
    <w:unhideWhenUsed/>
    <w:qFormat/>
    <w:pPr>
      <w:tabs>
        <w:tab w:val="center" w:pos="7143" w:leader="none"/>
        <w:tab w:val="right" w:pos="14287" w:leader="none"/>
      </w:tabs>
    </w:pPr>
  </w:style>
  <w:style w:type="paragraph" w:styleId="830" w:customStyle="1">
    <w:name w:val="列出段落"/>
    <w:basedOn w:val="714"/>
    <w:uiPriority w:val="34"/>
    <w:qFormat/>
    <w:pPr>
      <w:contextualSpacing/>
      <w:ind w:left="720"/>
    </w:pPr>
  </w:style>
  <w:style w:type="paragraph" w:styleId="831" w:customStyle="1">
    <w:name w:val="无间隔"/>
    <w:uiPriority w:val="1"/>
    <w:qFormat/>
    <w:rPr>
      <w:rFonts w:hint="default" w:ascii="Times New Roman" w:hAnsi="Times New Roman" w:eastAsia="宋体" w:cs="Times New Roman"/>
      <w:lang w:val="en-US" w:eastAsia="zh-CN" w:bidi="ar-SA"/>
    </w:rPr>
  </w:style>
  <w:style w:type="paragraph" w:styleId="832" w:customStyle="1">
    <w:name w:val="引用"/>
    <w:basedOn w:val="714"/>
    <w:next w:val="714"/>
    <w:link w:val="833"/>
    <w:uiPriority w:val="29"/>
    <w:qFormat/>
    <w:pPr>
      <w:ind w:left="720" w:right="720"/>
    </w:pPr>
    <w:rPr>
      <w:i/>
    </w:rPr>
  </w:style>
  <w:style w:type="character" w:styleId="833" w:customStyle="1">
    <w:name w:val="引用 Char1"/>
    <w:link w:val="832"/>
    <w:uiPriority w:val="29"/>
    <w:qFormat/>
    <w:rPr>
      <w:i/>
    </w:rPr>
  </w:style>
  <w:style w:type="paragraph" w:styleId="834" w:customStyle="1">
    <w:name w:val="明显引用"/>
    <w:basedOn w:val="714"/>
    <w:next w:val="714"/>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1"/>
    <w:link w:val="834"/>
    <w:uiPriority w:val="30"/>
    <w:qFormat/>
    <w:rPr>
      <w:i/>
    </w:rPr>
  </w:style>
  <w:style w:type="paragraph" w:styleId="836" w:customStyle="1">
    <w:name w:val="TOC 标题1"/>
    <w:uiPriority w:val="39"/>
    <w:unhideWhenUsed/>
    <w:qFormat/>
    <w:rPr>
      <w:rFonts w:hint="default" w:ascii="Times New Roman" w:hAnsi="Times New Roman" w:eastAsia="宋体" w:cs="Times New Roman"/>
      <w:lang w:val="en-US" w:eastAsia="zh-CN" w:bidi="ar-SA"/>
    </w:rPr>
  </w:style>
  <w:style w:type="paragraph" w:styleId="837" w:customStyle="1">
    <w:name w:val="标题 11"/>
    <w:basedOn w:val="714"/>
    <w:next w:val="714"/>
    <w:link w:val="838"/>
    <w:uiPriority w:val="0"/>
    <w:qFormat/>
    <w:pPr>
      <w:jc w:val="center"/>
      <w:keepNext/>
      <w:outlineLvl w:val="0"/>
    </w:pPr>
    <w:rPr>
      <w:rFonts w:ascii="楷体_GB2312" w:eastAsia="楷体_GB2312"/>
      <w:sz w:val="28"/>
      <w:szCs w:val="28"/>
    </w:rPr>
  </w:style>
  <w:style w:type="character" w:styleId="838" w:customStyle="1">
    <w:name w:val="标题 1 Char"/>
    <w:link w:val="837"/>
    <w:uiPriority w:val="0"/>
    <w:qFormat/>
    <w:rPr>
      <w:rFonts w:ascii="楷体_GB2312" w:hAnsi="Times New Roman" w:eastAsia="楷体_GB2312" w:cs="Times New Roman"/>
      <w:sz w:val="28"/>
      <w:szCs w:val="28"/>
    </w:rPr>
  </w:style>
  <w:style w:type="paragraph" w:styleId="839" w:customStyle="1">
    <w:name w:val="标题 21"/>
    <w:basedOn w:val="714"/>
    <w:next w:val="840"/>
    <w:link w:val="841"/>
    <w:uiPriority w:val="0"/>
    <w:qFormat/>
    <w:pPr>
      <w:jc w:val="center"/>
      <w:keepLines/>
      <w:keepNext/>
      <w:spacing w:before="260" w:after="260" w:line="416" w:lineRule="auto"/>
      <w:outlineLvl w:val="1"/>
    </w:pPr>
    <w:rPr>
      <w:rFonts w:ascii="Arial" w:hAnsi="Arial" w:eastAsia="幼圆"/>
      <w:b/>
      <w:bCs/>
      <w:sz w:val="44"/>
      <w:szCs w:val="44"/>
    </w:rPr>
  </w:style>
  <w:style w:type="paragraph" w:styleId="840" w:customStyle="1">
    <w:name w:val="正文缩进1"/>
    <w:basedOn w:val="714"/>
    <w:link w:val="842"/>
    <w:uiPriority w:val="0"/>
    <w:qFormat/>
    <w:pPr>
      <w:ind w:firstLine="420"/>
    </w:pPr>
    <w:rPr>
      <w:sz w:val="20"/>
    </w:rPr>
  </w:style>
  <w:style w:type="character" w:styleId="841" w:customStyle="1">
    <w:name w:val="标题 2 Char"/>
    <w:link w:val="839"/>
    <w:uiPriority w:val="0"/>
    <w:qFormat/>
    <w:rPr>
      <w:rFonts w:ascii="Arial" w:hAnsi="Arial" w:eastAsia="幼圆" w:cs="Arial"/>
      <w:b/>
      <w:bCs/>
      <w:sz w:val="44"/>
      <w:szCs w:val="44"/>
    </w:rPr>
  </w:style>
  <w:style w:type="character" w:styleId="842" w:customStyle="1">
    <w:name w:val="正文缩进 Char"/>
    <w:link w:val="840"/>
    <w:uiPriority w:val="0"/>
    <w:qFormat/>
    <w:rPr>
      <w:rFonts w:ascii="Times New Roman" w:hAnsi="Times New Roman" w:eastAsia="宋体" w:cs="Times New Roman"/>
      <w:szCs w:val="21"/>
    </w:rPr>
  </w:style>
  <w:style w:type="paragraph" w:styleId="843" w:customStyle="1">
    <w:name w:val="标题 31"/>
    <w:basedOn w:val="714"/>
    <w:next w:val="840"/>
    <w:link w:val="844"/>
    <w:uiPriority w:val="0"/>
    <w:qFormat/>
    <w:pPr>
      <w:keepLines/>
      <w:keepNext/>
      <w:spacing w:before="260" w:after="260" w:line="416" w:lineRule="auto"/>
      <w:outlineLvl w:val="2"/>
    </w:pPr>
    <w:rPr>
      <w:b/>
      <w:bCs/>
      <w:sz w:val="32"/>
      <w:szCs w:val="32"/>
    </w:rPr>
  </w:style>
  <w:style w:type="character" w:styleId="844" w:customStyle="1">
    <w:name w:val="标题 3 Char"/>
    <w:link w:val="843"/>
    <w:uiPriority w:val="0"/>
    <w:qFormat/>
    <w:rPr>
      <w:rFonts w:ascii="Times New Roman" w:hAnsi="Times New Roman" w:eastAsia="宋体" w:cs="Times New Roman"/>
      <w:b/>
      <w:bCs/>
      <w:sz w:val="32"/>
      <w:szCs w:val="32"/>
    </w:rPr>
  </w:style>
  <w:style w:type="paragraph" w:styleId="845" w:customStyle="1">
    <w:name w:val="标题 41"/>
    <w:basedOn w:val="714"/>
    <w:next w:val="840"/>
    <w:link w:val="846"/>
    <w:uiPriority w:val="0"/>
    <w:qFormat/>
    <w:pPr>
      <w:keepLines/>
      <w:keepNext/>
      <w:spacing w:before="280" w:after="290" w:line="376" w:lineRule="auto"/>
      <w:outlineLvl w:val="3"/>
    </w:pPr>
    <w:rPr>
      <w:rFonts w:ascii="Arial" w:hAnsi="Arial" w:eastAsia="黑体"/>
      <w:b/>
      <w:bCs/>
      <w:sz w:val="28"/>
      <w:szCs w:val="28"/>
    </w:rPr>
  </w:style>
  <w:style w:type="character" w:styleId="846" w:customStyle="1">
    <w:name w:val="标题 4 Char"/>
    <w:link w:val="845"/>
    <w:uiPriority w:val="0"/>
    <w:qFormat/>
    <w:rPr>
      <w:rFonts w:ascii="Arial" w:hAnsi="Arial" w:eastAsia="黑体" w:cs="Arial"/>
      <w:b/>
      <w:bCs/>
      <w:sz w:val="28"/>
      <w:szCs w:val="28"/>
    </w:rPr>
  </w:style>
  <w:style w:type="paragraph" w:styleId="847" w:customStyle="1">
    <w:name w:val="标题 51"/>
    <w:basedOn w:val="714"/>
    <w:next w:val="840"/>
    <w:link w:val="848"/>
    <w:uiPriority w:val="0"/>
    <w:qFormat/>
    <w:pPr>
      <w:keepNext/>
      <w:outlineLvl w:val="4"/>
    </w:pPr>
    <w:rPr>
      <w:rFonts w:ascii="宋体"/>
      <w:color w:val="000000"/>
      <w:sz w:val="28"/>
      <w:szCs w:val="28"/>
    </w:rPr>
  </w:style>
  <w:style w:type="character" w:styleId="848" w:customStyle="1">
    <w:name w:val="标题 5 Char"/>
    <w:link w:val="847"/>
    <w:uiPriority w:val="0"/>
    <w:qFormat/>
    <w:rPr>
      <w:rFonts w:ascii="宋体" w:hAnsi="Times New Roman" w:eastAsia="宋体" w:cs="Times New Roman"/>
      <w:color w:val="000000"/>
      <w:sz w:val="28"/>
      <w:szCs w:val="28"/>
    </w:rPr>
  </w:style>
  <w:style w:type="paragraph" w:styleId="849" w:customStyle="1">
    <w:name w:val="标题 61"/>
    <w:basedOn w:val="714"/>
    <w:next w:val="714"/>
    <w:link w:val="85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50" w:customStyle="1">
    <w:name w:val="标题 6 Char"/>
    <w:link w:val="849"/>
    <w:uiPriority w:val="0"/>
    <w:qFormat/>
    <w:rPr>
      <w:rFonts w:ascii="Arial" w:hAnsi="Arial" w:eastAsia="黑体" w:cs="Times New Roman"/>
      <w:b/>
      <w:bCs/>
      <w:sz w:val="24"/>
      <w:szCs w:val="24"/>
    </w:rPr>
  </w:style>
  <w:style w:type="paragraph" w:styleId="851" w:customStyle="1">
    <w:name w:val="标题 71"/>
    <w:basedOn w:val="714"/>
    <w:next w:val="714"/>
    <w:link w:val="852"/>
    <w:uiPriority w:val="0"/>
    <w:qFormat/>
    <w:pPr>
      <w:numPr>
        <w:ilvl w:val="6"/>
        <w:numId w:val="1"/>
      </w:numPr>
      <w:keepLines/>
      <w:keepNext/>
      <w:spacing w:before="240" w:after="64" w:line="320" w:lineRule="auto"/>
      <w:outlineLvl w:val="6"/>
    </w:pPr>
    <w:rPr>
      <w:b/>
      <w:bCs/>
      <w:sz w:val="24"/>
      <w:szCs w:val="24"/>
    </w:rPr>
  </w:style>
  <w:style w:type="character" w:styleId="852" w:customStyle="1">
    <w:name w:val="标题 7 Char"/>
    <w:link w:val="851"/>
    <w:uiPriority w:val="0"/>
    <w:qFormat/>
    <w:rPr>
      <w:rFonts w:ascii="Times New Roman" w:hAnsi="Times New Roman" w:eastAsia="宋体" w:cs="Times New Roman"/>
      <w:b/>
      <w:bCs/>
      <w:sz w:val="24"/>
      <w:szCs w:val="24"/>
    </w:rPr>
  </w:style>
  <w:style w:type="paragraph" w:styleId="853" w:customStyle="1">
    <w:name w:val="标题 81"/>
    <w:basedOn w:val="714"/>
    <w:next w:val="714"/>
    <w:link w:val="85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54" w:customStyle="1">
    <w:name w:val="标题 8 Char"/>
    <w:link w:val="853"/>
    <w:uiPriority w:val="0"/>
    <w:qFormat/>
    <w:rPr>
      <w:rFonts w:ascii="Arial" w:hAnsi="Arial" w:eastAsia="黑体" w:cs="Times New Roman"/>
      <w:sz w:val="24"/>
      <w:szCs w:val="24"/>
    </w:rPr>
  </w:style>
  <w:style w:type="paragraph" w:styleId="855" w:customStyle="1">
    <w:name w:val="标题 91"/>
    <w:basedOn w:val="714"/>
    <w:next w:val="714"/>
    <w:link w:val="856"/>
    <w:uiPriority w:val="0"/>
    <w:qFormat/>
    <w:pPr>
      <w:numPr>
        <w:ilvl w:val="8"/>
        <w:numId w:val="1"/>
      </w:numPr>
      <w:keepLines/>
      <w:keepNext/>
      <w:spacing w:before="240" w:after="64" w:line="320" w:lineRule="auto"/>
      <w:outlineLvl w:val="8"/>
    </w:pPr>
    <w:rPr>
      <w:rFonts w:ascii="Arial" w:hAnsi="Arial" w:eastAsia="黑体"/>
      <w:sz w:val="20"/>
    </w:rPr>
  </w:style>
  <w:style w:type="character" w:styleId="856" w:customStyle="1">
    <w:name w:val="标题 9 Char"/>
    <w:link w:val="855"/>
    <w:uiPriority w:val="0"/>
    <w:qFormat/>
    <w:rPr>
      <w:rFonts w:ascii="Arial" w:hAnsi="Arial" w:eastAsia="黑体" w:cs="Times New Roman"/>
      <w:szCs w:val="21"/>
    </w:rPr>
  </w:style>
  <w:style w:type="character" w:styleId="857" w:customStyle="1">
    <w:name w:val="默认段落字体1"/>
    <w:link w:val="714"/>
    <w:uiPriority w:val="1"/>
    <w:unhideWhenUsed/>
    <w:qFormat/>
  </w:style>
  <w:style w:type="table" w:styleId="858" w:customStyle="1">
    <w:name w:val="普通表格1"/>
    <w:uiPriority w:val="99"/>
    <w:unhideWhenUsed/>
    <w:qFormat/>
    <w:rPr>
      <w:lang w:val="en-US" w:eastAsia="zh-CN" w:bidi="ar-SA"/>
    </w:rPr>
    <w:tblPr/>
  </w:style>
  <w:style w:type="paragraph" w:styleId="859" w:customStyle="1">
    <w:name w:val="列表 31"/>
    <w:basedOn w:val="714"/>
    <w:uiPriority w:val="0"/>
    <w:qFormat/>
    <w:pPr>
      <w:ind w:left="100" w:hanging="200"/>
    </w:pPr>
  </w:style>
  <w:style w:type="paragraph" w:styleId="860" w:customStyle="1">
    <w:name w:val="目录 71"/>
    <w:basedOn w:val="714"/>
    <w:next w:val="714"/>
    <w:uiPriority w:val="0"/>
    <w:semiHidden/>
    <w:qFormat/>
    <w:pPr>
      <w:ind w:left="1260"/>
      <w:jc w:val="left"/>
    </w:pPr>
  </w:style>
  <w:style w:type="paragraph" w:styleId="861" w:customStyle="1">
    <w:name w:val="文档结构图1"/>
    <w:basedOn w:val="714"/>
    <w:link w:val="862"/>
    <w:uiPriority w:val="0"/>
    <w:semiHidden/>
    <w:qFormat/>
    <w:pPr>
      <w:shd w:val="clear" w:color="auto" w:fill="000080"/>
    </w:pPr>
    <w:rPr>
      <w:sz w:val="20"/>
    </w:rPr>
  </w:style>
  <w:style w:type="character" w:styleId="862" w:customStyle="1">
    <w:name w:val="文档结构图 Char"/>
    <w:link w:val="861"/>
    <w:uiPriority w:val="0"/>
    <w:semiHidden/>
    <w:qFormat/>
    <w:rPr>
      <w:rFonts w:ascii="Times New Roman" w:hAnsi="Times New Roman" w:eastAsia="宋体" w:cs="Times New Roman"/>
      <w:szCs w:val="21"/>
      <w:shd w:val="clear" w:color="auto" w:fill="000080"/>
    </w:rPr>
  </w:style>
  <w:style w:type="paragraph" w:styleId="863" w:customStyle="1">
    <w:name w:val="批注文字1"/>
    <w:basedOn w:val="714"/>
    <w:link w:val="864"/>
    <w:uiPriority w:val="0"/>
    <w:qFormat/>
    <w:pPr>
      <w:jc w:val="left"/>
    </w:pPr>
    <w:rPr>
      <w:sz w:val="20"/>
    </w:rPr>
  </w:style>
  <w:style w:type="character" w:styleId="864" w:customStyle="1">
    <w:name w:val="批注文字 Char"/>
    <w:link w:val="863"/>
    <w:uiPriority w:val="0"/>
    <w:qFormat/>
    <w:rPr>
      <w:rFonts w:ascii="Times New Roman" w:hAnsi="Times New Roman" w:eastAsia="宋体" w:cs="Times New Roman"/>
      <w:szCs w:val="21"/>
    </w:rPr>
  </w:style>
  <w:style w:type="paragraph" w:styleId="865" w:customStyle="1">
    <w:name w:val="正文文本 31"/>
    <w:basedOn w:val="714"/>
    <w:link w:val="866"/>
    <w:uiPriority w:val="0"/>
    <w:qFormat/>
    <w:rPr>
      <w:rFonts w:ascii="仿宋_GB2312" w:hAnsi="Arial" w:eastAsia="仿宋_GB2312"/>
      <w:sz w:val="32"/>
      <w:szCs w:val="32"/>
    </w:rPr>
  </w:style>
  <w:style w:type="character" w:styleId="866" w:customStyle="1">
    <w:name w:val="正文文本 3 Char"/>
    <w:link w:val="865"/>
    <w:uiPriority w:val="0"/>
    <w:qFormat/>
    <w:rPr>
      <w:rFonts w:ascii="仿宋_GB2312" w:hAnsi="Arial" w:eastAsia="仿宋_GB2312" w:cs="Times New Roman"/>
      <w:sz w:val="32"/>
      <w:szCs w:val="32"/>
    </w:rPr>
  </w:style>
  <w:style w:type="paragraph" w:styleId="867" w:customStyle="1">
    <w:name w:val="正文文本12"/>
    <w:basedOn w:val="714"/>
    <w:link w:val="868"/>
    <w:uiPriority w:val="0"/>
    <w:qFormat/>
    <w:rPr>
      <w:rFonts w:ascii="楷体_GB2312" w:hAnsi="Arial" w:eastAsia="楷体_GB2312"/>
      <w:sz w:val="28"/>
      <w:szCs w:val="28"/>
    </w:rPr>
  </w:style>
  <w:style w:type="character" w:styleId="868" w:customStyle="1">
    <w:name w:val="正文文本 Char"/>
    <w:link w:val="867"/>
    <w:uiPriority w:val="0"/>
    <w:qFormat/>
    <w:rPr>
      <w:rFonts w:ascii="楷体_GB2312" w:hAnsi="Arial" w:eastAsia="楷体_GB2312" w:cs="Times New Roman"/>
      <w:sz w:val="28"/>
      <w:szCs w:val="28"/>
    </w:rPr>
  </w:style>
  <w:style w:type="paragraph" w:styleId="869" w:customStyle="1">
    <w:name w:val="列表 21"/>
    <w:basedOn w:val="714"/>
    <w:uiPriority w:val="0"/>
    <w:qFormat/>
    <w:pPr>
      <w:ind w:left="100" w:hanging="200"/>
    </w:pPr>
  </w:style>
  <w:style w:type="paragraph" w:styleId="870" w:customStyle="1">
    <w:name w:val="目录 51"/>
    <w:basedOn w:val="714"/>
    <w:next w:val="714"/>
    <w:uiPriority w:val="0"/>
    <w:semiHidden/>
    <w:qFormat/>
    <w:pPr>
      <w:ind w:left="840"/>
      <w:jc w:val="left"/>
    </w:pPr>
  </w:style>
  <w:style w:type="paragraph" w:styleId="871" w:customStyle="1">
    <w:name w:val="目录 31"/>
    <w:basedOn w:val="714"/>
    <w:next w:val="714"/>
    <w:uiPriority w:val="0"/>
    <w:semiHidden/>
    <w:qFormat/>
    <w:pPr>
      <w:ind w:left="420"/>
      <w:jc w:val="left"/>
    </w:pPr>
    <w:rPr>
      <w:i/>
      <w:iCs/>
      <w:szCs w:val="24"/>
    </w:rPr>
  </w:style>
  <w:style w:type="paragraph" w:styleId="872" w:customStyle="1">
    <w:name w:val="纯文本11"/>
    <w:basedOn w:val="714"/>
    <w:link w:val="873"/>
    <w:uiPriority w:val="0"/>
    <w:qFormat/>
    <w:rPr>
      <w:rFonts w:ascii="宋体" w:hAnsi="Courier New"/>
      <w:sz w:val="20"/>
    </w:rPr>
  </w:style>
  <w:style w:type="character" w:styleId="873" w:customStyle="1">
    <w:name w:val="纯文本 Char"/>
    <w:link w:val="872"/>
    <w:uiPriority w:val="0"/>
    <w:qFormat/>
    <w:rPr>
      <w:rFonts w:ascii="宋体" w:hAnsi="Courier New" w:eastAsia="宋体" w:cs="Courier New"/>
      <w:szCs w:val="21"/>
    </w:rPr>
  </w:style>
  <w:style w:type="paragraph" w:styleId="874" w:customStyle="1">
    <w:name w:val="目录 81"/>
    <w:basedOn w:val="714"/>
    <w:next w:val="714"/>
    <w:uiPriority w:val="0"/>
    <w:semiHidden/>
    <w:qFormat/>
    <w:pPr>
      <w:ind w:left="1470"/>
      <w:jc w:val="left"/>
    </w:pPr>
  </w:style>
  <w:style w:type="paragraph" w:styleId="875" w:customStyle="1">
    <w:name w:val="日期1"/>
    <w:basedOn w:val="714"/>
    <w:next w:val="714"/>
    <w:link w:val="876"/>
    <w:uiPriority w:val="0"/>
    <w:qFormat/>
    <w:rPr>
      <w:sz w:val="24"/>
      <w:szCs w:val="24"/>
    </w:rPr>
  </w:style>
  <w:style w:type="character" w:styleId="876" w:customStyle="1">
    <w:name w:val="日期 Char"/>
    <w:link w:val="875"/>
    <w:uiPriority w:val="0"/>
    <w:qFormat/>
    <w:rPr>
      <w:rFonts w:ascii="Times New Roman" w:hAnsi="Times New Roman" w:eastAsia="宋体" w:cs="Times New Roman"/>
      <w:sz w:val="24"/>
      <w:szCs w:val="24"/>
    </w:rPr>
  </w:style>
  <w:style w:type="paragraph" w:styleId="877" w:customStyle="1">
    <w:name w:val="正文文本缩进 21"/>
    <w:basedOn w:val="714"/>
    <w:link w:val="878"/>
    <w:uiPriority w:val="0"/>
    <w:qFormat/>
    <w:pPr>
      <w:ind w:left="630" w:firstLine="645"/>
    </w:pPr>
    <w:rPr>
      <w:rFonts w:ascii="Arial" w:hAnsi="Arial" w:eastAsia="仿宋_GB2312"/>
      <w:sz w:val="32"/>
      <w:szCs w:val="32"/>
    </w:rPr>
  </w:style>
  <w:style w:type="character" w:styleId="878" w:customStyle="1">
    <w:name w:val="正文文本缩进 2 Char"/>
    <w:link w:val="877"/>
    <w:uiPriority w:val="0"/>
    <w:qFormat/>
    <w:rPr>
      <w:rFonts w:ascii="Arial" w:hAnsi="Arial" w:eastAsia="仿宋_GB2312" w:cs="Arial"/>
      <w:sz w:val="32"/>
      <w:szCs w:val="32"/>
    </w:rPr>
  </w:style>
  <w:style w:type="paragraph" w:styleId="879" w:customStyle="1">
    <w:name w:val="尾注文本1"/>
    <w:basedOn w:val="714"/>
    <w:link w:val="880"/>
    <w:uiPriority w:val="99"/>
    <w:unhideWhenUsed/>
    <w:qFormat/>
    <w:rPr>
      <w:sz w:val="20"/>
      <w:szCs w:val="20"/>
    </w:rPr>
  </w:style>
  <w:style w:type="character" w:styleId="880" w:customStyle="1">
    <w:name w:val="尾注文本 Char"/>
    <w:link w:val="879"/>
    <w:uiPriority w:val="99"/>
    <w:qFormat/>
    <w:rPr>
      <w:sz w:val="20"/>
    </w:rPr>
  </w:style>
  <w:style w:type="paragraph" w:styleId="881" w:customStyle="1">
    <w:name w:val="批注框文本1"/>
    <w:basedOn w:val="714"/>
    <w:link w:val="882"/>
    <w:uiPriority w:val="0"/>
    <w:semiHidden/>
    <w:qFormat/>
    <w:rPr>
      <w:sz w:val="18"/>
      <w:szCs w:val="18"/>
    </w:rPr>
  </w:style>
  <w:style w:type="character" w:styleId="882" w:customStyle="1">
    <w:name w:val="批注框文本 Char"/>
    <w:link w:val="881"/>
    <w:uiPriority w:val="0"/>
    <w:semiHidden/>
    <w:qFormat/>
    <w:rPr>
      <w:rFonts w:ascii="Times New Roman" w:hAnsi="Times New Roman" w:eastAsia="宋体" w:cs="Times New Roman"/>
      <w:sz w:val="18"/>
      <w:szCs w:val="18"/>
    </w:rPr>
  </w:style>
  <w:style w:type="paragraph" w:styleId="883" w:customStyle="1">
    <w:name w:val="页脚1"/>
    <w:basedOn w:val="714"/>
    <w:link w:val="884"/>
    <w:uiPriority w:val="0"/>
    <w:qFormat/>
    <w:pPr>
      <w:jc w:val="left"/>
      <w:tabs>
        <w:tab w:val="center" w:pos="4153" w:leader="none"/>
        <w:tab w:val="right" w:pos="8306" w:leader="none"/>
      </w:tabs>
    </w:pPr>
    <w:rPr>
      <w:sz w:val="18"/>
      <w:szCs w:val="18"/>
    </w:rPr>
  </w:style>
  <w:style w:type="character" w:styleId="884" w:customStyle="1">
    <w:name w:val="页脚 Char"/>
    <w:link w:val="883"/>
    <w:uiPriority w:val="0"/>
    <w:qFormat/>
    <w:rPr>
      <w:rFonts w:ascii="Times New Roman" w:hAnsi="Times New Roman" w:eastAsia="宋体" w:cs="Times New Roman"/>
      <w:sz w:val="18"/>
      <w:szCs w:val="18"/>
    </w:rPr>
  </w:style>
  <w:style w:type="paragraph" w:styleId="885" w:customStyle="1">
    <w:name w:val="页眉11"/>
    <w:basedOn w:val="714"/>
    <w:link w:val="886"/>
    <w:uiPriority w:val="99"/>
    <w:qFormat/>
    <w:pPr>
      <w:jc w:val="center"/>
      <w:tabs>
        <w:tab w:val="center" w:pos="4153" w:leader="none"/>
        <w:tab w:val="right" w:pos="8306" w:leader="none"/>
      </w:tabs>
      <w:pBdr>
        <w:bottom w:val="single" w:color="000000" w:sz="6" w:space="1"/>
      </w:pBdr>
    </w:pPr>
    <w:rPr>
      <w:sz w:val="18"/>
      <w:szCs w:val="18"/>
    </w:rPr>
  </w:style>
  <w:style w:type="character" w:styleId="886" w:customStyle="1">
    <w:name w:val="页眉 Char"/>
    <w:link w:val="885"/>
    <w:uiPriority w:val="99"/>
    <w:qFormat/>
    <w:rPr>
      <w:rFonts w:ascii="Times New Roman" w:hAnsi="Times New Roman" w:eastAsia="宋体" w:cs="Times New Roman"/>
      <w:sz w:val="18"/>
      <w:szCs w:val="18"/>
    </w:rPr>
  </w:style>
  <w:style w:type="paragraph" w:styleId="887" w:customStyle="1">
    <w:name w:val="目录 11"/>
    <w:basedOn w:val="714"/>
    <w:next w:val="714"/>
    <w:uiPriority w:val="0"/>
    <w:semiHidden/>
    <w:qFormat/>
    <w:pPr>
      <w:jc w:val="left"/>
      <w:spacing w:before="120" w:after="120" w:line="400" w:lineRule="exact"/>
      <w:tabs>
        <w:tab w:val="right" w:pos="8720" w:leader="dot"/>
      </w:tabs>
    </w:pPr>
    <w:rPr>
      <w:rFonts w:ascii="宋体" w:hAnsi="宋体"/>
      <w:caps/>
      <w:sz w:val="24"/>
      <w:szCs w:val="24"/>
    </w:rPr>
  </w:style>
  <w:style w:type="paragraph" w:styleId="888" w:customStyle="1">
    <w:name w:val="目录 41"/>
    <w:basedOn w:val="714"/>
    <w:next w:val="714"/>
    <w:uiPriority w:val="0"/>
    <w:semiHidden/>
    <w:qFormat/>
    <w:pPr>
      <w:ind w:left="630"/>
      <w:jc w:val="left"/>
    </w:pPr>
  </w:style>
  <w:style w:type="paragraph" w:styleId="889" w:customStyle="1">
    <w:name w:val="副标题1"/>
    <w:basedOn w:val="714"/>
    <w:next w:val="714"/>
    <w:link w:val="890"/>
    <w:uiPriority w:val="11"/>
    <w:qFormat/>
    <w:pPr>
      <w:spacing w:before="200" w:after="200"/>
    </w:pPr>
    <w:rPr>
      <w:sz w:val="24"/>
      <w:szCs w:val="24"/>
    </w:rPr>
  </w:style>
  <w:style w:type="character" w:styleId="890" w:customStyle="1">
    <w:name w:val="副标题 Char"/>
    <w:link w:val="889"/>
    <w:uiPriority w:val="11"/>
    <w:qFormat/>
    <w:rPr>
      <w:sz w:val="24"/>
      <w:szCs w:val="24"/>
    </w:rPr>
  </w:style>
  <w:style w:type="paragraph" w:styleId="891" w:customStyle="1">
    <w:name w:val="列表11"/>
    <w:basedOn w:val="714"/>
    <w:uiPriority w:val="0"/>
    <w:qFormat/>
    <w:pPr>
      <w:ind w:left="200" w:hanging="200"/>
    </w:pPr>
  </w:style>
  <w:style w:type="paragraph" w:styleId="892" w:customStyle="1">
    <w:name w:val="脚注文本1"/>
    <w:basedOn w:val="714"/>
    <w:link w:val="893"/>
    <w:uiPriority w:val="99"/>
    <w:unhideWhenUsed/>
    <w:qFormat/>
    <w:pPr>
      <w:spacing w:after="40"/>
    </w:pPr>
    <w:rPr>
      <w:sz w:val="18"/>
      <w:szCs w:val="20"/>
    </w:rPr>
  </w:style>
  <w:style w:type="character" w:styleId="893" w:customStyle="1">
    <w:name w:val="脚注文本 Char"/>
    <w:link w:val="892"/>
    <w:uiPriority w:val="99"/>
    <w:qFormat/>
    <w:rPr>
      <w:sz w:val="18"/>
    </w:rPr>
  </w:style>
  <w:style w:type="paragraph" w:styleId="894" w:customStyle="1">
    <w:name w:val="目录 61"/>
    <w:basedOn w:val="714"/>
    <w:next w:val="714"/>
    <w:uiPriority w:val="0"/>
    <w:semiHidden/>
    <w:qFormat/>
    <w:pPr>
      <w:ind w:left="1050"/>
      <w:jc w:val="left"/>
    </w:pPr>
  </w:style>
  <w:style w:type="paragraph" w:styleId="895" w:customStyle="1">
    <w:name w:val="正文文本缩进 31"/>
    <w:basedOn w:val="714"/>
    <w:link w:val="896"/>
    <w:uiPriority w:val="0"/>
    <w:qFormat/>
    <w:pPr>
      <w:ind w:left="645" w:firstLine="645"/>
    </w:pPr>
    <w:rPr>
      <w:rFonts w:ascii="Arial" w:hAnsi="Arial" w:eastAsia="仿宋_GB2312"/>
      <w:color w:val="ffff00"/>
      <w:sz w:val="32"/>
      <w:szCs w:val="32"/>
    </w:rPr>
  </w:style>
  <w:style w:type="character" w:styleId="896" w:customStyle="1">
    <w:name w:val="正文文本缩进 3 Char"/>
    <w:link w:val="895"/>
    <w:uiPriority w:val="0"/>
    <w:qFormat/>
    <w:rPr>
      <w:rFonts w:ascii="Arial" w:hAnsi="Arial" w:eastAsia="仿宋_GB2312" w:cs="Arial"/>
      <w:color w:val="ffff00"/>
      <w:sz w:val="32"/>
      <w:szCs w:val="32"/>
    </w:rPr>
  </w:style>
  <w:style w:type="paragraph" w:styleId="897" w:customStyle="1">
    <w:name w:val="图表目录1"/>
    <w:basedOn w:val="714"/>
    <w:next w:val="714"/>
    <w:uiPriority w:val="0"/>
    <w:semiHidden/>
    <w:qFormat/>
    <w:pPr>
      <w:ind w:left="840" w:hanging="420"/>
    </w:pPr>
  </w:style>
  <w:style w:type="paragraph" w:styleId="898" w:customStyle="1">
    <w:name w:val="目录 21"/>
    <w:basedOn w:val="714"/>
    <w:next w:val="714"/>
    <w:uiPriority w:val="0"/>
    <w:semiHidden/>
    <w:qFormat/>
    <w:pPr>
      <w:ind w:left="210"/>
      <w:jc w:val="left"/>
    </w:pPr>
    <w:rPr>
      <w:smallCaps/>
      <w:szCs w:val="24"/>
    </w:rPr>
  </w:style>
  <w:style w:type="paragraph" w:styleId="899" w:customStyle="1">
    <w:name w:val="目录 91"/>
    <w:basedOn w:val="714"/>
    <w:next w:val="714"/>
    <w:uiPriority w:val="0"/>
    <w:semiHidden/>
    <w:qFormat/>
    <w:pPr>
      <w:ind w:left="1680"/>
      <w:jc w:val="left"/>
    </w:pPr>
  </w:style>
  <w:style w:type="paragraph" w:styleId="900" w:customStyle="1">
    <w:name w:val="正文文本 21"/>
    <w:basedOn w:val="714"/>
    <w:link w:val="901"/>
    <w:uiPriority w:val="0"/>
    <w:qFormat/>
    <w:pPr>
      <w:jc w:val="center"/>
      <w:widowControl/>
    </w:pPr>
    <w:rPr>
      <w:rFonts w:ascii="楷体_GB2312" w:eastAsia="楷体_GB2312"/>
      <w:sz w:val="28"/>
      <w:szCs w:val="28"/>
    </w:rPr>
  </w:style>
  <w:style w:type="character" w:styleId="901" w:customStyle="1">
    <w:name w:val="正文文本 2 Char"/>
    <w:link w:val="900"/>
    <w:uiPriority w:val="0"/>
    <w:qFormat/>
    <w:rPr>
      <w:rFonts w:ascii="楷体_GB2312" w:hAnsi="Times New Roman" w:eastAsia="楷体_GB2312" w:cs="Times New Roman"/>
      <w:sz w:val="28"/>
      <w:szCs w:val="28"/>
    </w:rPr>
  </w:style>
  <w:style w:type="paragraph" w:styleId="902" w:customStyle="1">
    <w:name w:val="普通(网站)1"/>
    <w:basedOn w:val="714"/>
    <w:uiPriority w:val="0"/>
    <w:qFormat/>
    <w:pPr>
      <w:jc w:val="left"/>
      <w:spacing w:before="100" w:beforeAutospacing="1" w:after="100" w:afterAutospacing="1"/>
      <w:widowControl/>
    </w:pPr>
    <w:rPr>
      <w:rFonts w:ascii="宋体" w:hAnsi="宋体" w:cs="宋体"/>
      <w:sz w:val="24"/>
      <w:szCs w:val="24"/>
    </w:rPr>
  </w:style>
  <w:style w:type="paragraph" w:styleId="903" w:customStyle="1">
    <w:name w:val="索引 11"/>
    <w:basedOn w:val="714"/>
    <w:next w:val="714"/>
    <w:uiPriority w:val="0"/>
    <w:semiHidden/>
    <w:qFormat/>
    <w:pPr>
      <w:spacing w:line="240" w:lineRule="atLeast"/>
    </w:pPr>
    <w:rPr>
      <w:b/>
      <w:bCs/>
    </w:rPr>
  </w:style>
  <w:style w:type="paragraph" w:styleId="904" w:customStyle="1">
    <w:name w:val="标题11"/>
    <w:basedOn w:val="714"/>
    <w:next w:val="714"/>
    <w:link w:val="905"/>
    <w:uiPriority w:val="10"/>
    <w:qFormat/>
    <w:pPr>
      <w:contextualSpacing/>
      <w:spacing w:before="300" w:after="200"/>
    </w:pPr>
    <w:rPr>
      <w:sz w:val="48"/>
      <w:szCs w:val="48"/>
    </w:rPr>
  </w:style>
  <w:style w:type="character" w:styleId="905" w:customStyle="1">
    <w:name w:val="标题 Char"/>
    <w:link w:val="904"/>
    <w:uiPriority w:val="10"/>
    <w:qFormat/>
    <w:rPr>
      <w:sz w:val="48"/>
      <w:szCs w:val="48"/>
    </w:rPr>
  </w:style>
  <w:style w:type="paragraph" w:styleId="906" w:customStyle="1">
    <w:name w:val="批注主题1"/>
    <w:basedOn w:val="863"/>
    <w:next w:val="863"/>
    <w:link w:val="907"/>
    <w:uiPriority w:val="0"/>
    <w:semiHidden/>
    <w:qFormat/>
    <w:rPr>
      <w:b/>
      <w:bCs/>
    </w:rPr>
  </w:style>
  <w:style w:type="character" w:styleId="907" w:customStyle="1">
    <w:name w:val="批注主题 Char"/>
    <w:link w:val="906"/>
    <w:uiPriority w:val="0"/>
    <w:semiHidden/>
    <w:qFormat/>
    <w:rPr>
      <w:rFonts w:ascii="Times New Roman" w:hAnsi="Times New Roman" w:eastAsia="宋体" w:cs="Times New Roman"/>
      <w:b/>
      <w:bCs/>
      <w:szCs w:val="21"/>
    </w:rPr>
  </w:style>
  <w:style w:type="paragraph" w:styleId="908" w:customStyle="1">
    <w:name w:val="正文首行缩进1"/>
    <w:basedOn w:val="714"/>
    <w:link w:val="909"/>
    <w:uiPriority w:val="0"/>
    <w:qFormat/>
    <w:pPr>
      <w:ind w:firstLine="200"/>
      <w:spacing w:line="360" w:lineRule="auto"/>
    </w:pPr>
    <w:rPr>
      <w:rFonts w:ascii="仿宋_GB2312" w:eastAsia="仿宋_GB2312"/>
      <w:sz w:val="30"/>
      <w:szCs w:val="30"/>
    </w:rPr>
  </w:style>
  <w:style w:type="character" w:styleId="909" w:customStyle="1">
    <w:name w:val="正文首行缩进 Char"/>
    <w:link w:val="908"/>
    <w:uiPriority w:val="0"/>
    <w:qFormat/>
    <w:rPr>
      <w:rFonts w:ascii="仿宋_GB2312" w:hAnsi="Times New Roman" w:eastAsia="仿宋_GB2312" w:cs="Times New Roman"/>
      <w:sz w:val="30"/>
      <w:szCs w:val="30"/>
    </w:rPr>
  </w:style>
  <w:style w:type="table" w:styleId="910" w:customStyle="1">
    <w:name w:val="网格型1"/>
    <w:basedOn w:val="858"/>
    <w:uiPriority w:val="0"/>
    <w:qFormat/>
    <w:pPr>
      <w:jc w:val="both"/>
      <w:widowControl w:val="off"/>
    </w:pPr>
    <w:tblPr/>
  </w:style>
  <w:style w:type="character" w:styleId="911" w:customStyle="1">
    <w:name w:val="要点1"/>
    <w:link w:val="714"/>
    <w:uiPriority w:val="0"/>
    <w:qFormat/>
    <w:rPr>
      <w:b/>
      <w:bCs/>
    </w:rPr>
  </w:style>
  <w:style w:type="character" w:styleId="912" w:customStyle="1">
    <w:name w:val="尾注引用1"/>
    <w:link w:val="714"/>
    <w:uiPriority w:val="99"/>
    <w:unhideWhenUsed/>
    <w:qFormat/>
    <w:rPr>
      <w:vertAlign w:val="superscript"/>
    </w:rPr>
  </w:style>
  <w:style w:type="character" w:styleId="913" w:customStyle="1">
    <w:name w:val="页码1"/>
    <w:link w:val="714"/>
    <w:uiPriority w:val="0"/>
    <w:qFormat/>
  </w:style>
  <w:style w:type="character" w:styleId="914" w:customStyle="1">
    <w:name w:val="已访问的超链接1"/>
    <w:link w:val="714"/>
    <w:uiPriority w:val="0"/>
    <w:qFormat/>
    <w:rPr>
      <w:color w:val="800080"/>
      <w:u w:val="single"/>
    </w:rPr>
  </w:style>
  <w:style w:type="character" w:styleId="915" w:customStyle="1">
    <w:name w:val="HTML 打字机1"/>
    <w:link w:val="714"/>
    <w:uiPriority w:val="99"/>
    <w:qFormat/>
    <w:rPr>
      <w:rFonts w:ascii="宋体" w:hAnsi="宋体" w:eastAsia="宋体" w:cs="宋体"/>
      <w:sz w:val="24"/>
      <w:szCs w:val="24"/>
    </w:rPr>
  </w:style>
  <w:style w:type="character" w:styleId="916" w:customStyle="1">
    <w:name w:val="超链接1"/>
    <w:link w:val="714"/>
    <w:uiPriority w:val="0"/>
    <w:qFormat/>
    <w:rPr>
      <w:color w:val="0000ff"/>
      <w:u w:val="single"/>
    </w:rPr>
  </w:style>
  <w:style w:type="character" w:styleId="917" w:customStyle="1">
    <w:name w:val="批注引用1"/>
    <w:link w:val="714"/>
    <w:uiPriority w:val="0"/>
    <w:qFormat/>
    <w:rPr>
      <w:sz w:val="21"/>
      <w:szCs w:val="21"/>
    </w:rPr>
  </w:style>
  <w:style w:type="character" w:styleId="918" w:customStyle="1">
    <w:name w:val="脚注引用1"/>
    <w:link w:val="714"/>
    <w:uiPriority w:val="99"/>
    <w:unhideWhenUsed/>
    <w:qFormat/>
    <w:rPr>
      <w:vertAlign w:val="superscript"/>
    </w:rPr>
  </w:style>
  <w:style w:type="paragraph" w:styleId="919" w:customStyle="1">
    <w:name w:val="列出段落1"/>
    <w:basedOn w:val="714"/>
    <w:uiPriority w:val="34"/>
    <w:qFormat/>
    <w:pPr>
      <w:contextualSpacing/>
      <w:ind w:left="720"/>
      <w:jc w:val="left"/>
      <w:widowControl/>
    </w:pPr>
    <w:rPr>
      <w:rFonts w:ascii="Calibri" w:hAnsi="Calibri"/>
      <w:sz w:val="24"/>
      <w:szCs w:val="24"/>
      <w:lang w:eastAsia="en-US" w:bidi="en-US"/>
    </w:rPr>
  </w:style>
  <w:style w:type="paragraph" w:styleId="92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21" w:customStyle="1">
    <w:name w:val="引用1"/>
    <w:basedOn w:val="714"/>
    <w:next w:val="714"/>
    <w:link w:val="922"/>
    <w:uiPriority w:val="29"/>
    <w:qFormat/>
    <w:pPr>
      <w:ind w:left="720" w:right="720"/>
    </w:pPr>
    <w:rPr>
      <w:i/>
      <w:sz w:val="20"/>
      <w:szCs w:val="20"/>
    </w:rPr>
  </w:style>
  <w:style w:type="character" w:styleId="922" w:customStyle="1">
    <w:name w:val="引用 Char"/>
    <w:link w:val="921"/>
    <w:uiPriority w:val="29"/>
    <w:qFormat/>
    <w:rPr>
      <w:i/>
    </w:rPr>
  </w:style>
  <w:style w:type="paragraph" w:styleId="923" w:customStyle="1">
    <w:name w:val="明显引用1"/>
    <w:basedOn w:val="714"/>
    <w:next w:val="714"/>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24" w:customStyle="1">
    <w:name w:val="明显引用 Char"/>
    <w:link w:val="923"/>
    <w:uiPriority w:val="30"/>
    <w:qFormat/>
    <w:rPr>
      <w:i/>
    </w:rPr>
  </w:style>
  <w:style w:type="paragraph" w:styleId="925" w:customStyle="1">
    <w:name w:val="Header11"/>
    <w:basedOn w:val="714"/>
    <w:link w:val="926"/>
    <w:uiPriority w:val="99"/>
    <w:unhideWhenUsed/>
    <w:qFormat/>
    <w:pPr>
      <w:tabs>
        <w:tab w:val="center" w:pos="7143" w:leader="none"/>
        <w:tab w:val="right" w:pos="14287" w:leader="none"/>
      </w:tabs>
    </w:pPr>
  </w:style>
  <w:style w:type="character" w:styleId="926" w:customStyle="1">
    <w:name w:val="Header Char"/>
    <w:link w:val="925"/>
    <w:uiPriority w:val="99"/>
    <w:qFormat/>
  </w:style>
  <w:style w:type="paragraph" w:styleId="927" w:customStyle="1">
    <w:name w:val="Footer11"/>
    <w:basedOn w:val="714"/>
    <w:link w:val="928"/>
    <w:uiPriority w:val="99"/>
    <w:unhideWhenUsed/>
    <w:qFormat/>
    <w:pPr>
      <w:tabs>
        <w:tab w:val="center" w:pos="7143" w:leader="none"/>
        <w:tab w:val="right" w:pos="14287" w:leader="none"/>
      </w:tabs>
    </w:pPr>
  </w:style>
  <w:style w:type="character" w:styleId="928" w:customStyle="1">
    <w:name w:val="Caption Char"/>
    <w:link w:val="927"/>
    <w:uiPriority w:val="99"/>
    <w:qFormat/>
  </w:style>
  <w:style w:type="character" w:styleId="929" w:customStyle="1">
    <w:name w:val="Footer Char"/>
    <w:link w:val="714"/>
    <w:uiPriority w:val="99"/>
    <w:qFormat/>
  </w:style>
  <w:style w:type="paragraph" w:styleId="930" w:customStyle="1">
    <w:name w:val="Caption11"/>
    <w:basedOn w:val="714"/>
    <w:next w:val="714"/>
    <w:uiPriority w:val="35"/>
    <w:unhideWhenUsed/>
    <w:qFormat/>
    <w:pPr>
      <w:spacing w:line="276" w:lineRule="auto"/>
    </w:pPr>
    <w:rPr>
      <w:b/>
      <w:bCs/>
      <w:color w:val="4f81bd"/>
      <w:sz w:val="18"/>
      <w:szCs w:val="18"/>
    </w:rPr>
  </w:style>
  <w:style w:type="table" w:styleId="931" w:customStyle="1">
    <w:name w:val="Table Grid Light"/>
    <w:uiPriority w:val="59"/>
    <w:qFormat/>
    <w:rPr>
      <w:lang w:val="en-US" w:eastAsia="zh-CN" w:bidi="ar-SA"/>
    </w:rPr>
    <w:tblPr/>
  </w:style>
  <w:style w:type="table" w:styleId="932" w:customStyle="1">
    <w:name w:val="Plain Table 1"/>
    <w:uiPriority w:val="59"/>
    <w:qFormat/>
    <w:rPr>
      <w:lang w:val="en-US" w:eastAsia="zh-CN" w:bidi="ar-SA"/>
    </w:rPr>
    <w:tblPr/>
  </w:style>
  <w:style w:type="table" w:styleId="933" w:customStyle="1">
    <w:name w:val="Plain Table 2"/>
    <w:uiPriority w:val="59"/>
    <w:qFormat/>
    <w:rPr>
      <w:lang w:val="en-US" w:eastAsia="zh-CN" w:bidi="ar-SA"/>
    </w:rPr>
    <w:tblPr/>
  </w:style>
  <w:style w:type="table" w:styleId="934" w:customStyle="1">
    <w:name w:val="Plain Table 3"/>
    <w:uiPriority w:val="99"/>
    <w:qFormat/>
    <w:rPr>
      <w:lang w:val="en-US" w:eastAsia="zh-CN" w:bidi="ar-SA"/>
    </w:rPr>
    <w:tblPr/>
  </w:style>
  <w:style w:type="table" w:styleId="935" w:customStyle="1">
    <w:name w:val="Plain Table 4"/>
    <w:uiPriority w:val="99"/>
    <w:qFormat/>
    <w:rPr>
      <w:lang w:val="en-US" w:eastAsia="zh-CN" w:bidi="ar-SA"/>
    </w:rPr>
    <w:tblPr/>
  </w:style>
  <w:style w:type="table" w:styleId="936" w:customStyle="1">
    <w:name w:val="Plain Table 5"/>
    <w:uiPriority w:val="99"/>
    <w:qFormat/>
    <w:rPr>
      <w:lang w:val="en-US" w:eastAsia="zh-CN" w:bidi="ar-SA"/>
    </w:rPr>
    <w:tblPr/>
  </w:style>
  <w:style w:type="table" w:styleId="937" w:customStyle="1">
    <w:name w:val="Grid Table 1 Light"/>
    <w:uiPriority w:val="99"/>
    <w:qFormat/>
    <w:rPr>
      <w:lang w:val="en-US" w:eastAsia="zh-CN" w:bidi="ar-SA"/>
    </w:rPr>
    <w:tblPr/>
  </w:style>
  <w:style w:type="table" w:styleId="938" w:customStyle="1">
    <w:name w:val="Grid Table 1 Light - Accent 1"/>
    <w:uiPriority w:val="99"/>
    <w:qFormat/>
    <w:rPr>
      <w:lang w:val="en-US" w:eastAsia="zh-CN" w:bidi="ar-SA"/>
    </w:rPr>
    <w:tblPr/>
  </w:style>
  <w:style w:type="table" w:styleId="939" w:customStyle="1">
    <w:name w:val="Grid Table 1 Light - Accent 2"/>
    <w:uiPriority w:val="99"/>
    <w:qFormat/>
    <w:rPr>
      <w:lang w:val="en-US" w:eastAsia="zh-CN" w:bidi="ar-SA"/>
    </w:rPr>
    <w:tblPr/>
  </w:style>
  <w:style w:type="table" w:styleId="940" w:customStyle="1">
    <w:name w:val="Grid Table 1 Light - Accent 3"/>
    <w:uiPriority w:val="99"/>
    <w:qFormat/>
    <w:rPr>
      <w:lang w:val="en-US" w:eastAsia="zh-CN" w:bidi="ar-SA"/>
    </w:rPr>
    <w:tblPr/>
  </w:style>
  <w:style w:type="table" w:styleId="941" w:customStyle="1">
    <w:name w:val="Grid Table 1 Light - Accent 4"/>
    <w:uiPriority w:val="99"/>
    <w:qFormat/>
    <w:rPr>
      <w:lang w:val="en-US" w:eastAsia="zh-CN" w:bidi="ar-SA"/>
    </w:rPr>
    <w:tblPr/>
  </w:style>
  <w:style w:type="table" w:styleId="942" w:customStyle="1">
    <w:name w:val="Grid Table 1 Light - Accent 5"/>
    <w:uiPriority w:val="99"/>
    <w:qFormat/>
    <w:rPr>
      <w:lang w:val="en-US" w:eastAsia="zh-CN" w:bidi="ar-SA"/>
    </w:rPr>
    <w:tblPr/>
  </w:style>
  <w:style w:type="table" w:styleId="943" w:customStyle="1">
    <w:name w:val="Grid Table 1 Light - Accent 6"/>
    <w:uiPriority w:val="99"/>
    <w:qFormat/>
    <w:rPr>
      <w:lang w:val="en-US" w:eastAsia="zh-CN" w:bidi="ar-SA"/>
    </w:rPr>
    <w:tblPr/>
  </w:style>
  <w:style w:type="table" w:styleId="944" w:customStyle="1">
    <w:name w:val="Grid Table 2"/>
    <w:uiPriority w:val="99"/>
    <w:qFormat/>
    <w:rPr>
      <w:lang w:val="en-US" w:eastAsia="zh-CN" w:bidi="ar-SA"/>
    </w:rPr>
    <w:tblPr/>
  </w:style>
  <w:style w:type="table" w:styleId="945" w:customStyle="1">
    <w:name w:val="Grid Table 2 - Accent 1"/>
    <w:uiPriority w:val="99"/>
    <w:qFormat/>
    <w:rPr>
      <w:lang w:val="en-US" w:eastAsia="zh-CN" w:bidi="ar-SA"/>
    </w:rPr>
    <w:tblPr/>
  </w:style>
  <w:style w:type="table" w:styleId="946" w:customStyle="1">
    <w:name w:val="Grid Table 2 - Accent 2"/>
    <w:uiPriority w:val="99"/>
    <w:qFormat/>
    <w:rPr>
      <w:lang w:val="en-US" w:eastAsia="zh-CN" w:bidi="ar-SA"/>
    </w:rPr>
    <w:tblPr/>
  </w:style>
  <w:style w:type="table" w:styleId="947" w:customStyle="1">
    <w:name w:val="Grid Table 2 - Accent 3"/>
    <w:uiPriority w:val="99"/>
    <w:qFormat/>
    <w:rPr>
      <w:lang w:val="en-US" w:eastAsia="zh-CN" w:bidi="ar-SA"/>
    </w:rPr>
    <w:tblPr/>
  </w:style>
  <w:style w:type="table" w:styleId="948" w:customStyle="1">
    <w:name w:val="Grid Table 2 - Accent 4"/>
    <w:uiPriority w:val="99"/>
    <w:qFormat/>
    <w:rPr>
      <w:lang w:val="en-US" w:eastAsia="zh-CN" w:bidi="ar-SA"/>
    </w:rPr>
    <w:tblPr/>
  </w:style>
  <w:style w:type="table" w:styleId="949" w:customStyle="1">
    <w:name w:val="Grid Table 2 - Accent 5"/>
    <w:uiPriority w:val="99"/>
    <w:qFormat/>
    <w:rPr>
      <w:lang w:val="en-US" w:eastAsia="zh-CN" w:bidi="ar-SA"/>
    </w:rPr>
    <w:tblPr/>
  </w:style>
  <w:style w:type="table" w:styleId="950" w:customStyle="1">
    <w:name w:val="Grid Table 2 - Accent 6"/>
    <w:uiPriority w:val="99"/>
    <w:qFormat/>
    <w:rPr>
      <w:lang w:val="en-US" w:eastAsia="zh-CN" w:bidi="ar-SA"/>
    </w:rPr>
    <w:tblPr/>
  </w:style>
  <w:style w:type="table" w:styleId="951" w:customStyle="1">
    <w:name w:val="Grid Table 3"/>
    <w:uiPriority w:val="99"/>
    <w:qFormat/>
    <w:rPr>
      <w:lang w:val="en-US" w:eastAsia="zh-CN" w:bidi="ar-SA"/>
    </w:rPr>
    <w:tblPr/>
  </w:style>
  <w:style w:type="table" w:styleId="952" w:customStyle="1">
    <w:name w:val="Grid Table 3 - Accent 1"/>
    <w:uiPriority w:val="99"/>
    <w:qFormat/>
    <w:rPr>
      <w:lang w:val="en-US" w:eastAsia="zh-CN" w:bidi="ar-SA"/>
    </w:rPr>
    <w:tblPr/>
  </w:style>
  <w:style w:type="table" w:styleId="953" w:customStyle="1">
    <w:name w:val="Grid Table 3 - Accent 2"/>
    <w:uiPriority w:val="99"/>
    <w:qFormat/>
    <w:rPr>
      <w:lang w:val="en-US" w:eastAsia="zh-CN" w:bidi="ar-SA"/>
    </w:rPr>
    <w:tblPr/>
  </w:style>
  <w:style w:type="table" w:styleId="954" w:customStyle="1">
    <w:name w:val="Grid Table 3 - Accent 3"/>
    <w:uiPriority w:val="99"/>
    <w:qFormat/>
    <w:rPr>
      <w:lang w:val="en-US" w:eastAsia="zh-CN" w:bidi="ar-SA"/>
    </w:rPr>
    <w:tblPr/>
  </w:style>
  <w:style w:type="table" w:styleId="955" w:customStyle="1">
    <w:name w:val="Grid Table 3 - Accent 4"/>
    <w:uiPriority w:val="99"/>
    <w:qFormat/>
    <w:rPr>
      <w:lang w:val="en-US" w:eastAsia="zh-CN" w:bidi="ar-SA"/>
    </w:rPr>
    <w:tblPr/>
  </w:style>
  <w:style w:type="table" w:styleId="956" w:customStyle="1">
    <w:name w:val="Grid Table 3 - Accent 5"/>
    <w:uiPriority w:val="99"/>
    <w:qFormat/>
    <w:rPr>
      <w:lang w:val="en-US" w:eastAsia="zh-CN" w:bidi="ar-SA"/>
    </w:rPr>
    <w:tblPr/>
  </w:style>
  <w:style w:type="table" w:styleId="957" w:customStyle="1">
    <w:name w:val="Grid Table 3 - Accent 6"/>
    <w:uiPriority w:val="99"/>
    <w:qFormat/>
    <w:rPr>
      <w:lang w:val="en-US" w:eastAsia="zh-CN" w:bidi="ar-SA"/>
    </w:rPr>
    <w:tblPr/>
  </w:style>
  <w:style w:type="table" w:styleId="958" w:customStyle="1">
    <w:name w:val="Grid Table 4"/>
    <w:uiPriority w:val="59"/>
    <w:qFormat/>
    <w:rPr>
      <w:lang w:val="en-US" w:eastAsia="zh-CN" w:bidi="ar-SA"/>
    </w:rPr>
    <w:tblPr/>
  </w:style>
  <w:style w:type="table" w:styleId="959" w:customStyle="1">
    <w:name w:val="Grid Table 4 - Accent 1"/>
    <w:uiPriority w:val="59"/>
    <w:qFormat/>
    <w:rPr>
      <w:lang w:val="en-US" w:eastAsia="zh-CN" w:bidi="ar-SA"/>
    </w:rPr>
    <w:tblPr/>
  </w:style>
  <w:style w:type="table" w:styleId="960" w:customStyle="1">
    <w:name w:val="Grid Table 4 - Accent 2"/>
    <w:uiPriority w:val="59"/>
    <w:qFormat/>
    <w:rPr>
      <w:lang w:val="en-US" w:eastAsia="zh-CN" w:bidi="ar-SA"/>
    </w:rPr>
    <w:tblPr/>
  </w:style>
  <w:style w:type="table" w:styleId="961" w:customStyle="1">
    <w:name w:val="Grid Table 4 - Accent 3"/>
    <w:uiPriority w:val="59"/>
    <w:qFormat/>
    <w:rPr>
      <w:lang w:val="en-US" w:eastAsia="zh-CN" w:bidi="ar-SA"/>
    </w:rPr>
    <w:tblPr/>
  </w:style>
  <w:style w:type="table" w:styleId="962" w:customStyle="1">
    <w:name w:val="Grid Table 4 - Accent 4"/>
    <w:uiPriority w:val="59"/>
    <w:qFormat/>
    <w:rPr>
      <w:lang w:val="en-US" w:eastAsia="zh-CN" w:bidi="ar-SA"/>
    </w:rPr>
    <w:tblPr/>
  </w:style>
  <w:style w:type="table" w:styleId="963" w:customStyle="1">
    <w:name w:val="Grid Table 4 - Accent 5"/>
    <w:uiPriority w:val="59"/>
    <w:qFormat/>
    <w:rPr>
      <w:lang w:val="en-US" w:eastAsia="zh-CN" w:bidi="ar-SA"/>
    </w:rPr>
    <w:tblPr/>
  </w:style>
  <w:style w:type="table" w:styleId="964" w:customStyle="1">
    <w:name w:val="Grid Table 4 - Accent 6"/>
    <w:uiPriority w:val="59"/>
    <w:qFormat/>
    <w:rPr>
      <w:lang w:val="en-US" w:eastAsia="zh-CN" w:bidi="ar-SA"/>
    </w:rPr>
    <w:tblPr/>
  </w:style>
  <w:style w:type="table" w:styleId="965" w:customStyle="1">
    <w:name w:val="Grid Table 5 Dark"/>
    <w:uiPriority w:val="99"/>
    <w:qFormat/>
    <w:rPr>
      <w:lang w:val="en-US" w:eastAsia="zh-CN" w:bidi="ar-SA"/>
    </w:rPr>
    <w:tblPr/>
  </w:style>
  <w:style w:type="table" w:styleId="966" w:customStyle="1">
    <w:name w:val="Grid Table 5 Dark- Accent 1"/>
    <w:uiPriority w:val="99"/>
    <w:qFormat/>
    <w:rPr>
      <w:lang w:val="en-US" w:eastAsia="zh-CN" w:bidi="ar-SA"/>
    </w:rPr>
    <w:tblPr/>
  </w:style>
  <w:style w:type="table" w:styleId="967" w:customStyle="1">
    <w:name w:val="Grid Table 5 Dark - Accent 2"/>
    <w:uiPriority w:val="99"/>
    <w:qFormat/>
    <w:rPr>
      <w:lang w:val="en-US" w:eastAsia="zh-CN" w:bidi="ar-SA"/>
    </w:rPr>
    <w:tblPr/>
  </w:style>
  <w:style w:type="table" w:styleId="968" w:customStyle="1">
    <w:name w:val="Grid Table 5 Dark - Accent 3"/>
    <w:uiPriority w:val="99"/>
    <w:qFormat/>
    <w:rPr>
      <w:lang w:val="en-US" w:eastAsia="zh-CN" w:bidi="ar-SA"/>
    </w:rPr>
    <w:tblPr/>
  </w:style>
  <w:style w:type="table" w:styleId="969" w:customStyle="1">
    <w:name w:val="Grid Table 5 Dark- Accent 4"/>
    <w:uiPriority w:val="99"/>
    <w:qFormat/>
    <w:rPr>
      <w:lang w:val="en-US" w:eastAsia="zh-CN" w:bidi="ar-SA"/>
    </w:rPr>
    <w:tblPr/>
  </w:style>
  <w:style w:type="table" w:styleId="970" w:customStyle="1">
    <w:name w:val="Grid Table 5 Dark - Accent 5"/>
    <w:uiPriority w:val="99"/>
    <w:qFormat/>
    <w:rPr>
      <w:lang w:val="en-US" w:eastAsia="zh-CN" w:bidi="ar-SA"/>
    </w:rPr>
    <w:tblPr/>
  </w:style>
  <w:style w:type="table" w:styleId="971" w:customStyle="1">
    <w:name w:val="Grid Table 5 Dark - Accent 6"/>
    <w:uiPriority w:val="99"/>
    <w:qFormat/>
    <w:rPr>
      <w:lang w:val="en-US" w:eastAsia="zh-CN" w:bidi="ar-SA"/>
    </w:rPr>
    <w:tblPr/>
  </w:style>
  <w:style w:type="table" w:styleId="972" w:customStyle="1">
    <w:name w:val="Grid Table 6 Colorful"/>
    <w:uiPriority w:val="99"/>
    <w:qFormat/>
    <w:rPr>
      <w:lang w:val="en-US" w:eastAsia="zh-CN" w:bidi="ar-SA"/>
    </w:rPr>
    <w:tblPr/>
  </w:style>
  <w:style w:type="table" w:styleId="973" w:customStyle="1">
    <w:name w:val="Grid Table 6 Colorful - Accent 1"/>
    <w:uiPriority w:val="99"/>
    <w:qFormat/>
    <w:rPr>
      <w:lang w:val="en-US" w:eastAsia="zh-CN" w:bidi="ar-SA"/>
    </w:rPr>
    <w:tblPr/>
  </w:style>
  <w:style w:type="table" w:styleId="974" w:customStyle="1">
    <w:name w:val="Grid Table 6 Colorful - Accent 2"/>
    <w:uiPriority w:val="99"/>
    <w:qFormat/>
    <w:rPr>
      <w:lang w:val="en-US" w:eastAsia="zh-CN" w:bidi="ar-SA"/>
    </w:rPr>
    <w:tblPr/>
  </w:style>
  <w:style w:type="table" w:styleId="975" w:customStyle="1">
    <w:name w:val="Grid Table 6 Colorful - Accent 3"/>
    <w:uiPriority w:val="99"/>
    <w:qFormat/>
    <w:rPr>
      <w:lang w:val="en-US" w:eastAsia="zh-CN" w:bidi="ar-SA"/>
    </w:rPr>
    <w:tblPr/>
  </w:style>
  <w:style w:type="table" w:styleId="976" w:customStyle="1">
    <w:name w:val="Grid Table 6 Colorful - Accent 4"/>
    <w:uiPriority w:val="99"/>
    <w:qFormat/>
    <w:rPr>
      <w:lang w:val="en-US" w:eastAsia="zh-CN" w:bidi="ar-SA"/>
    </w:rPr>
    <w:tblPr/>
  </w:style>
  <w:style w:type="table" w:styleId="977" w:customStyle="1">
    <w:name w:val="Grid Table 6 Colorful - Accent 5"/>
    <w:uiPriority w:val="99"/>
    <w:qFormat/>
    <w:rPr>
      <w:lang w:val="en-US" w:eastAsia="zh-CN" w:bidi="ar-SA"/>
    </w:rPr>
    <w:tblPr/>
  </w:style>
  <w:style w:type="table" w:styleId="978" w:customStyle="1">
    <w:name w:val="Grid Table 6 Colorful - Accent 6"/>
    <w:uiPriority w:val="99"/>
    <w:qFormat/>
    <w:rPr>
      <w:lang w:val="en-US" w:eastAsia="zh-CN" w:bidi="ar-SA"/>
    </w:rPr>
    <w:tblPr/>
  </w:style>
  <w:style w:type="table" w:styleId="979" w:customStyle="1">
    <w:name w:val="Grid Table 7 Colorful"/>
    <w:uiPriority w:val="99"/>
    <w:qFormat/>
    <w:rPr>
      <w:lang w:val="en-US" w:eastAsia="zh-CN" w:bidi="ar-SA"/>
    </w:rPr>
    <w:tblPr/>
  </w:style>
  <w:style w:type="table" w:styleId="980" w:customStyle="1">
    <w:name w:val="Grid Table 7 Colorful - Accent 1"/>
    <w:uiPriority w:val="99"/>
    <w:qFormat/>
    <w:rPr>
      <w:lang w:val="en-US" w:eastAsia="zh-CN" w:bidi="ar-SA"/>
    </w:rPr>
    <w:tblPr/>
  </w:style>
  <w:style w:type="table" w:styleId="981" w:customStyle="1">
    <w:name w:val="Grid Table 7 Colorful - Accent 2"/>
    <w:uiPriority w:val="99"/>
    <w:qFormat/>
    <w:rPr>
      <w:lang w:val="en-US" w:eastAsia="zh-CN" w:bidi="ar-SA"/>
    </w:rPr>
    <w:tblPr/>
  </w:style>
  <w:style w:type="table" w:styleId="982" w:customStyle="1">
    <w:name w:val="Grid Table 7 Colorful - Accent 3"/>
    <w:uiPriority w:val="99"/>
    <w:qFormat/>
    <w:rPr>
      <w:lang w:val="en-US" w:eastAsia="zh-CN" w:bidi="ar-SA"/>
    </w:rPr>
    <w:tblPr/>
  </w:style>
  <w:style w:type="table" w:styleId="983" w:customStyle="1">
    <w:name w:val="Grid Table 7 Colorful - Accent 4"/>
    <w:uiPriority w:val="99"/>
    <w:qFormat/>
    <w:rPr>
      <w:lang w:val="en-US" w:eastAsia="zh-CN" w:bidi="ar-SA"/>
    </w:rPr>
    <w:tblPr/>
  </w:style>
  <w:style w:type="table" w:styleId="984" w:customStyle="1">
    <w:name w:val="Grid Table 7 Colorful - Accent 5"/>
    <w:uiPriority w:val="99"/>
    <w:qFormat/>
    <w:rPr>
      <w:lang w:val="en-US" w:eastAsia="zh-CN" w:bidi="ar-SA"/>
    </w:rPr>
    <w:tblPr/>
  </w:style>
  <w:style w:type="table" w:styleId="985" w:customStyle="1">
    <w:name w:val="Grid Table 7 Colorful - Accent 6"/>
    <w:uiPriority w:val="99"/>
    <w:qFormat/>
    <w:rPr>
      <w:lang w:val="en-US" w:eastAsia="zh-CN" w:bidi="ar-SA"/>
    </w:rPr>
    <w:tblPr/>
  </w:style>
  <w:style w:type="table" w:styleId="986" w:customStyle="1">
    <w:name w:val="List Table 1 Light"/>
    <w:uiPriority w:val="99"/>
    <w:qFormat/>
    <w:rPr>
      <w:lang w:val="en-US" w:eastAsia="zh-CN" w:bidi="ar-SA"/>
    </w:rPr>
    <w:tblPr/>
  </w:style>
  <w:style w:type="table" w:styleId="987" w:customStyle="1">
    <w:name w:val="List Table 1 Light - Accent 1"/>
    <w:uiPriority w:val="99"/>
    <w:qFormat/>
    <w:rPr>
      <w:lang w:val="en-US" w:eastAsia="zh-CN" w:bidi="ar-SA"/>
    </w:rPr>
    <w:tblPr/>
  </w:style>
  <w:style w:type="table" w:styleId="988" w:customStyle="1">
    <w:name w:val="List Table 1 Light - Accent 2"/>
    <w:uiPriority w:val="99"/>
    <w:qFormat/>
    <w:rPr>
      <w:lang w:val="en-US" w:eastAsia="zh-CN" w:bidi="ar-SA"/>
    </w:rPr>
    <w:tblPr/>
  </w:style>
  <w:style w:type="table" w:styleId="989" w:customStyle="1">
    <w:name w:val="List Table 1 Light - Accent 3"/>
    <w:uiPriority w:val="99"/>
    <w:qFormat/>
    <w:rPr>
      <w:lang w:val="en-US" w:eastAsia="zh-CN" w:bidi="ar-SA"/>
    </w:rPr>
    <w:tblPr/>
  </w:style>
  <w:style w:type="table" w:styleId="990" w:customStyle="1">
    <w:name w:val="List Table 1 Light - Accent 4"/>
    <w:uiPriority w:val="99"/>
    <w:qFormat/>
    <w:rPr>
      <w:lang w:val="en-US" w:eastAsia="zh-CN" w:bidi="ar-SA"/>
    </w:rPr>
    <w:tblPr/>
  </w:style>
  <w:style w:type="table" w:styleId="991" w:customStyle="1">
    <w:name w:val="List Table 1 Light - Accent 5"/>
    <w:uiPriority w:val="99"/>
    <w:qFormat/>
    <w:rPr>
      <w:lang w:val="en-US" w:eastAsia="zh-CN" w:bidi="ar-SA"/>
    </w:rPr>
    <w:tblPr/>
  </w:style>
  <w:style w:type="table" w:styleId="992" w:customStyle="1">
    <w:name w:val="List Table 1 Light - Accent 6"/>
    <w:uiPriority w:val="99"/>
    <w:qFormat/>
    <w:rPr>
      <w:lang w:val="en-US" w:eastAsia="zh-CN" w:bidi="ar-SA"/>
    </w:rPr>
    <w:tblPr/>
  </w:style>
  <w:style w:type="table" w:styleId="993" w:customStyle="1">
    <w:name w:val="List Table 2"/>
    <w:uiPriority w:val="99"/>
    <w:qFormat/>
    <w:rPr>
      <w:lang w:val="en-US" w:eastAsia="zh-CN" w:bidi="ar-SA"/>
    </w:rPr>
    <w:tblPr/>
  </w:style>
  <w:style w:type="table" w:styleId="994" w:customStyle="1">
    <w:name w:val="List Table 2 - Accent 1"/>
    <w:uiPriority w:val="99"/>
    <w:qFormat/>
    <w:rPr>
      <w:lang w:val="en-US" w:eastAsia="zh-CN" w:bidi="ar-SA"/>
    </w:rPr>
    <w:tblPr/>
  </w:style>
  <w:style w:type="table" w:styleId="995" w:customStyle="1">
    <w:name w:val="List Table 2 - Accent 2"/>
    <w:uiPriority w:val="99"/>
    <w:qFormat/>
    <w:rPr>
      <w:lang w:val="en-US" w:eastAsia="zh-CN" w:bidi="ar-SA"/>
    </w:rPr>
    <w:tblPr/>
  </w:style>
  <w:style w:type="table" w:styleId="996" w:customStyle="1">
    <w:name w:val="List Table 2 - Accent 3"/>
    <w:uiPriority w:val="99"/>
    <w:qFormat/>
    <w:rPr>
      <w:lang w:val="en-US" w:eastAsia="zh-CN" w:bidi="ar-SA"/>
    </w:rPr>
    <w:tblPr/>
  </w:style>
  <w:style w:type="table" w:styleId="997" w:customStyle="1">
    <w:name w:val="List Table 2 - Accent 4"/>
    <w:uiPriority w:val="99"/>
    <w:qFormat/>
    <w:rPr>
      <w:lang w:val="en-US" w:eastAsia="zh-CN" w:bidi="ar-SA"/>
    </w:rPr>
    <w:tblPr/>
  </w:style>
  <w:style w:type="table" w:styleId="998" w:customStyle="1">
    <w:name w:val="List Table 2 - Accent 5"/>
    <w:uiPriority w:val="99"/>
    <w:qFormat/>
    <w:rPr>
      <w:lang w:val="en-US" w:eastAsia="zh-CN" w:bidi="ar-SA"/>
    </w:rPr>
    <w:tblPr/>
  </w:style>
  <w:style w:type="table" w:styleId="999" w:customStyle="1">
    <w:name w:val="List Table 2 - Accent 6"/>
    <w:uiPriority w:val="99"/>
    <w:qFormat/>
    <w:rPr>
      <w:lang w:val="en-US" w:eastAsia="zh-CN" w:bidi="ar-SA"/>
    </w:rPr>
    <w:tblPr/>
  </w:style>
  <w:style w:type="table" w:styleId="1000" w:customStyle="1">
    <w:name w:val="List Table 3"/>
    <w:uiPriority w:val="99"/>
    <w:qFormat/>
    <w:rPr>
      <w:lang w:val="en-US" w:eastAsia="zh-CN" w:bidi="ar-SA"/>
    </w:rPr>
    <w:tblPr/>
  </w:style>
  <w:style w:type="table" w:styleId="1001" w:customStyle="1">
    <w:name w:val="List Table 3 - Accent 1"/>
    <w:uiPriority w:val="99"/>
    <w:qFormat/>
    <w:rPr>
      <w:lang w:val="en-US" w:eastAsia="zh-CN" w:bidi="ar-SA"/>
    </w:rPr>
    <w:tblPr/>
  </w:style>
  <w:style w:type="table" w:styleId="1002" w:customStyle="1">
    <w:name w:val="List Table 3 - Accent 2"/>
    <w:uiPriority w:val="99"/>
    <w:qFormat/>
    <w:rPr>
      <w:lang w:val="en-US" w:eastAsia="zh-CN" w:bidi="ar-SA"/>
    </w:rPr>
    <w:tblPr/>
  </w:style>
  <w:style w:type="table" w:styleId="1003" w:customStyle="1">
    <w:name w:val="List Table 3 - Accent 3"/>
    <w:uiPriority w:val="99"/>
    <w:qFormat/>
    <w:rPr>
      <w:lang w:val="en-US" w:eastAsia="zh-CN" w:bidi="ar-SA"/>
    </w:rPr>
    <w:tblPr/>
  </w:style>
  <w:style w:type="table" w:styleId="1004" w:customStyle="1">
    <w:name w:val="List Table 3 - Accent 4"/>
    <w:uiPriority w:val="99"/>
    <w:qFormat/>
    <w:rPr>
      <w:lang w:val="en-US" w:eastAsia="zh-CN" w:bidi="ar-SA"/>
    </w:rPr>
    <w:tblPr/>
  </w:style>
  <w:style w:type="table" w:styleId="1005" w:customStyle="1">
    <w:name w:val="List Table 3 - Accent 5"/>
    <w:uiPriority w:val="99"/>
    <w:qFormat/>
    <w:rPr>
      <w:lang w:val="en-US" w:eastAsia="zh-CN" w:bidi="ar-SA"/>
    </w:rPr>
    <w:tblPr/>
  </w:style>
  <w:style w:type="table" w:styleId="1006" w:customStyle="1">
    <w:name w:val="List Table 3 - Accent 6"/>
    <w:uiPriority w:val="99"/>
    <w:qFormat/>
    <w:rPr>
      <w:lang w:val="en-US" w:eastAsia="zh-CN" w:bidi="ar-SA"/>
    </w:rPr>
    <w:tblPr/>
  </w:style>
  <w:style w:type="table" w:styleId="1007" w:customStyle="1">
    <w:name w:val="List Table 4"/>
    <w:uiPriority w:val="99"/>
    <w:qFormat/>
    <w:rPr>
      <w:lang w:val="en-US" w:eastAsia="zh-CN" w:bidi="ar-SA"/>
    </w:rPr>
    <w:tblPr/>
  </w:style>
  <w:style w:type="table" w:styleId="1008" w:customStyle="1">
    <w:name w:val="List Table 4 - Accent 1"/>
    <w:uiPriority w:val="99"/>
    <w:qFormat/>
    <w:rPr>
      <w:lang w:val="en-US" w:eastAsia="zh-CN" w:bidi="ar-SA"/>
    </w:rPr>
    <w:tblPr/>
  </w:style>
  <w:style w:type="table" w:styleId="1009" w:customStyle="1">
    <w:name w:val="List Table 4 - Accent 2"/>
    <w:uiPriority w:val="99"/>
    <w:qFormat/>
    <w:rPr>
      <w:lang w:val="en-US" w:eastAsia="zh-CN" w:bidi="ar-SA"/>
    </w:rPr>
    <w:tblPr/>
  </w:style>
  <w:style w:type="table" w:styleId="1010" w:customStyle="1">
    <w:name w:val="List Table 4 - Accent 3"/>
    <w:uiPriority w:val="99"/>
    <w:qFormat/>
    <w:rPr>
      <w:lang w:val="en-US" w:eastAsia="zh-CN" w:bidi="ar-SA"/>
    </w:rPr>
    <w:tblPr/>
  </w:style>
  <w:style w:type="table" w:styleId="1011" w:customStyle="1">
    <w:name w:val="List Table 4 - Accent 4"/>
    <w:uiPriority w:val="99"/>
    <w:qFormat/>
    <w:rPr>
      <w:lang w:val="en-US" w:eastAsia="zh-CN" w:bidi="ar-SA"/>
    </w:rPr>
    <w:tblPr/>
  </w:style>
  <w:style w:type="table" w:styleId="1012" w:customStyle="1">
    <w:name w:val="List Table 4 - Accent 5"/>
    <w:uiPriority w:val="99"/>
    <w:qFormat/>
    <w:rPr>
      <w:lang w:val="en-US" w:eastAsia="zh-CN" w:bidi="ar-SA"/>
    </w:rPr>
    <w:tblPr/>
  </w:style>
  <w:style w:type="table" w:styleId="1013" w:customStyle="1">
    <w:name w:val="List Table 4 - Accent 6"/>
    <w:uiPriority w:val="99"/>
    <w:qFormat/>
    <w:rPr>
      <w:lang w:val="en-US" w:eastAsia="zh-CN" w:bidi="ar-SA"/>
    </w:rPr>
    <w:tblPr/>
  </w:style>
  <w:style w:type="table" w:styleId="1014" w:customStyle="1">
    <w:name w:val="List Table 5 Dark"/>
    <w:uiPriority w:val="99"/>
    <w:qFormat/>
    <w:rPr>
      <w:lang w:val="en-US" w:eastAsia="zh-CN" w:bidi="ar-SA"/>
    </w:rPr>
    <w:tblPr/>
  </w:style>
  <w:style w:type="table" w:styleId="1015" w:customStyle="1">
    <w:name w:val="List Table 5 Dark - Accent 1"/>
    <w:uiPriority w:val="99"/>
    <w:qFormat/>
    <w:rPr>
      <w:lang w:val="en-US" w:eastAsia="zh-CN" w:bidi="ar-SA"/>
    </w:rPr>
    <w:tblPr/>
  </w:style>
  <w:style w:type="table" w:styleId="1016" w:customStyle="1">
    <w:name w:val="List Table 5 Dark - Accent 2"/>
    <w:uiPriority w:val="99"/>
    <w:qFormat/>
    <w:rPr>
      <w:lang w:val="en-US" w:eastAsia="zh-CN" w:bidi="ar-SA"/>
    </w:rPr>
    <w:tblPr/>
  </w:style>
  <w:style w:type="table" w:styleId="1017" w:customStyle="1">
    <w:name w:val="List Table 5 Dark - Accent 3"/>
    <w:uiPriority w:val="99"/>
    <w:qFormat/>
    <w:rPr>
      <w:lang w:val="en-US" w:eastAsia="zh-CN" w:bidi="ar-SA"/>
    </w:rPr>
    <w:tblPr/>
  </w:style>
  <w:style w:type="table" w:styleId="1018" w:customStyle="1">
    <w:name w:val="List Table 5 Dark - Accent 4"/>
    <w:uiPriority w:val="99"/>
    <w:qFormat/>
    <w:rPr>
      <w:lang w:val="en-US" w:eastAsia="zh-CN" w:bidi="ar-SA"/>
    </w:rPr>
    <w:tblPr/>
  </w:style>
  <w:style w:type="table" w:styleId="1019" w:customStyle="1">
    <w:name w:val="List Table 5 Dark - Accent 5"/>
    <w:uiPriority w:val="99"/>
    <w:qFormat/>
    <w:rPr>
      <w:lang w:val="en-US" w:eastAsia="zh-CN" w:bidi="ar-SA"/>
    </w:rPr>
    <w:tblPr/>
  </w:style>
  <w:style w:type="table" w:styleId="1020" w:customStyle="1">
    <w:name w:val="List Table 5 Dark - Accent 6"/>
    <w:uiPriority w:val="99"/>
    <w:qFormat/>
    <w:rPr>
      <w:lang w:val="en-US" w:eastAsia="zh-CN" w:bidi="ar-SA"/>
    </w:rPr>
    <w:tblPr/>
  </w:style>
  <w:style w:type="table" w:styleId="1021" w:customStyle="1">
    <w:name w:val="List Table 6 Colorful"/>
    <w:uiPriority w:val="99"/>
    <w:qFormat/>
    <w:rPr>
      <w:lang w:val="en-US" w:eastAsia="zh-CN" w:bidi="ar-SA"/>
    </w:rPr>
    <w:tblPr/>
  </w:style>
  <w:style w:type="table" w:styleId="1022" w:customStyle="1">
    <w:name w:val="List Table 6 Colorful - Accent 1"/>
    <w:uiPriority w:val="99"/>
    <w:qFormat/>
    <w:rPr>
      <w:lang w:val="en-US" w:eastAsia="zh-CN" w:bidi="ar-SA"/>
    </w:rPr>
    <w:tblPr/>
  </w:style>
  <w:style w:type="table" w:styleId="1023" w:customStyle="1">
    <w:name w:val="List Table 6 Colorful - Accent 2"/>
    <w:uiPriority w:val="99"/>
    <w:qFormat/>
    <w:rPr>
      <w:lang w:val="en-US" w:eastAsia="zh-CN" w:bidi="ar-SA"/>
    </w:rPr>
    <w:tblPr/>
  </w:style>
  <w:style w:type="table" w:styleId="1024" w:customStyle="1">
    <w:name w:val="List Table 6 Colorful - Accent 3"/>
    <w:uiPriority w:val="99"/>
    <w:qFormat/>
    <w:rPr>
      <w:lang w:val="en-US" w:eastAsia="zh-CN" w:bidi="ar-SA"/>
    </w:rPr>
    <w:tblPr/>
  </w:style>
  <w:style w:type="table" w:styleId="1025" w:customStyle="1">
    <w:name w:val="List Table 6 Colorful - Accent 4"/>
    <w:uiPriority w:val="99"/>
    <w:qFormat/>
    <w:rPr>
      <w:lang w:val="en-US" w:eastAsia="zh-CN" w:bidi="ar-SA"/>
    </w:rPr>
    <w:tblPr/>
  </w:style>
  <w:style w:type="table" w:styleId="1026" w:customStyle="1">
    <w:name w:val="List Table 6 Colorful - Accent 5"/>
    <w:uiPriority w:val="99"/>
    <w:qFormat/>
    <w:rPr>
      <w:lang w:val="en-US" w:eastAsia="zh-CN" w:bidi="ar-SA"/>
    </w:rPr>
    <w:tblPr/>
  </w:style>
  <w:style w:type="table" w:styleId="1027" w:customStyle="1">
    <w:name w:val="List Table 6 Colorful - Accent 6"/>
    <w:uiPriority w:val="99"/>
    <w:qFormat/>
    <w:rPr>
      <w:lang w:val="en-US" w:eastAsia="zh-CN" w:bidi="ar-SA"/>
    </w:rPr>
    <w:tblPr/>
  </w:style>
  <w:style w:type="table" w:styleId="1028" w:customStyle="1">
    <w:name w:val="List Table 7 Colorful"/>
    <w:uiPriority w:val="99"/>
    <w:qFormat/>
    <w:rPr>
      <w:lang w:val="en-US" w:eastAsia="zh-CN" w:bidi="ar-SA"/>
    </w:rPr>
    <w:tblPr/>
  </w:style>
  <w:style w:type="table" w:styleId="1029" w:customStyle="1">
    <w:name w:val="List Table 7 Colorful - Accent 1"/>
    <w:uiPriority w:val="99"/>
    <w:qFormat/>
    <w:rPr>
      <w:lang w:val="en-US" w:eastAsia="zh-CN" w:bidi="ar-SA"/>
    </w:rPr>
    <w:tblPr/>
  </w:style>
  <w:style w:type="table" w:styleId="1030" w:customStyle="1">
    <w:name w:val="List Table 7 Colorful - Accent 2"/>
    <w:uiPriority w:val="99"/>
    <w:qFormat/>
    <w:rPr>
      <w:lang w:val="en-US" w:eastAsia="zh-CN" w:bidi="ar-SA"/>
    </w:rPr>
    <w:tblPr/>
  </w:style>
  <w:style w:type="table" w:styleId="1031" w:customStyle="1">
    <w:name w:val="List Table 7 Colorful - Accent 3"/>
    <w:uiPriority w:val="99"/>
    <w:qFormat/>
    <w:rPr>
      <w:lang w:val="en-US" w:eastAsia="zh-CN" w:bidi="ar-SA"/>
    </w:rPr>
    <w:tblPr/>
  </w:style>
  <w:style w:type="table" w:styleId="1032" w:customStyle="1">
    <w:name w:val="List Table 7 Colorful - Accent 4"/>
    <w:uiPriority w:val="99"/>
    <w:qFormat/>
    <w:rPr>
      <w:lang w:val="en-US" w:eastAsia="zh-CN" w:bidi="ar-SA"/>
    </w:rPr>
    <w:tblPr/>
  </w:style>
  <w:style w:type="table" w:styleId="1033" w:customStyle="1">
    <w:name w:val="List Table 7 Colorful - Accent 5"/>
    <w:uiPriority w:val="99"/>
    <w:qFormat/>
    <w:rPr>
      <w:lang w:val="en-US" w:eastAsia="zh-CN" w:bidi="ar-SA"/>
    </w:rPr>
    <w:tblPr/>
  </w:style>
  <w:style w:type="table" w:styleId="1034" w:customStyle="1">
    <w:name w:val="List Table 7 Colorful - Accent 6"/>
    <w:uiPriority w:val="99"/>
    <w:qFormat/>
    <w:rPr>
      <w:lang w:val="en-US" w:eastAsia="zh-CN" w:bidi="ar-SA"/>
    </w:rPr>
    <w:tblPr/>
  </w:style>
  <w:style w:type="table" w:styleId="1035" w:customStyle="1">
    <w:name w:val="Lined - Accent"/>
    <w:uiPriority w:val="99"/>
    <w:qFormat/>
    <w:rPr>
      <w:color w:val="404040"/>
      <w:lang w:val="en-US" w:eastAsia="zh-CN" w:bidi="ar-SA"/>
    </w:rPr>
    <w:tblPr/>
  </w:style>
  <w:style w:type="table" w:styleId="1036" w:customStyle="1">
    <w:name w:val="Lined - Accent 1"/>
    <w:uiPriority w:val="99"/>
    <w:qFormat/>
    <w:rPr>
      <w:color w:val="404040"/>
      <w:lang w:val="en-US" w:eastAsia="zh-CN" w:bidi="ar-SA"/>
    </w:rPr>
    <w:tblPr/>
  </w:style>
  <w:style w:type="table" w:styleId="1037" w:customStyle="1">
    <w:name w:val="Lined - Accent 2"/>
    <w:uiPriority w:val="99"/>
    <w:qFormat/>
    <w:rPr>
      <w:color w:val="404040"/>
      <w:lang w:val="en-US" w:eastAsia="zh-CN" w:bidi="ar-SA"/>
    </w:rPr>
    <w:tblPr/>
  </w:style>
  <w:style w:type="table" w:styleId="1038" w:customStyle="1">
    <w:name w:val="Lined - Accent 3"/>
    <w:uiPriority w:val="99"/>
    <w:qFormat/>
    <w:rPr>
      <w:color w:val="404040"/>
      <w:lang w:val="en-US" w:eastAsia="zh-CN" w:bidi="ar-SA"/>
    </w:rPr>
    <w:tblPr/>
  </w:style>
  <w:style w:type="table" w:styleId="1039" w:customStyle="1">
    <w:name w:val="Lined - Accent 4"/>
    <w:uiPriority w:val="99"/>
    <w:qFormat/>
    <w:rPr>
      <w:color w:val="404040"/>
      <w:lang w:val="en-US" w:eastAsia="zh-CN" w:bidi="ar-SA"/>
    </w:rPr>
    <w:tblPr/>
  </w:style>
  <w:style w:type="table" w:styleId="1040" w:customStyle="1">
    <w:name w:val="Lined - Accent 5"/>
    <w:uiPriority w:val="99"/>
    <w:qFormat/>
    <w:rPr>
      <w:color w:val="404040"/>
      <w:lang w:val="en-US" w:eastAsia="zh-CN" w:bidi="ar-SA"/>
    </w:rPr>
    <w:tblPr/>
  </w:style>
  <w:style w:type="table" w:styleId="1041" w:customStyle="1">
    <w:name w:val="Lined - Accent 6"/>
    <w:uiPriority w:val="99"/>
    <w:qFormat/>
    <w:rPr>
      <w:color w:val="404040"/>
      <w:lang w:val="en-US" w:eastAsia="zh-CN" w:bidi="ar-SA"/>
    </w:rPr>
    <w:tblPr/>
  </w:style>
  <w:style w:type="table" w:styleId="1042" w:customStyle="1">
    <w:name w:val="Bordered &amp; Lined - Accent"/>
    <w:uiPriority w:val="99"/>
    <w:qFormat/>
    <w:rPr>
      <w:color w:val="404040"/>
      <w:lang w:val="en-US" w:eastAsia="zh-CN" w:bidi="ar-SA"/>
    </w:rPr>
    <w:tblPr/>
  </w:style>
  <w:style w:type="table" w:styleId="1043" w:customStyle="1">
    <w:name w:val="Bordered &amp; Lined - Accent 1"/>
    <w:uiPriority w:val="99"/>
    <w:qFormat/>
    <w:rPr>
      <w:color w:val="404040"/>
      <w:lang w:val="en-US" w:eastAsia="zh-CN" w:bidi="ar-SA"/>
    </w:rPr>
    <w:tblPr/>
  </w:style>
  <w:style w:type="table" w:styleId="1044" w:customStyle="1">
    <w:name w:val="Bordered &amp; Lined - Accent 2"/>
    <w:uiPriority w:val="99"/>
    <w:qFormat/>
    <w:rPr>
      <w:color w:val="404040"/>
      <w:lang w:val="en-US" w:eastAsia="zh-CN" w:bidi="ar-SA"/>
    </w:rPr>
    <w:tblPr/>
  </w:style>
  <w:style w:type="table" w:styleId="1045" w:customStyle="1">
    <w:name w:val="Bordered &amp; Lined - Accent 3"/>
    <w:uiPriority w:val="99"/>
    <w:qFormat/>
    <w:rPr>
      <w:color w:val="404040"/>
      <w:lang w:val="en-US" w:eastAsia="zh-CN" w:bidi="ar-SA"/>
    </w:rPr>
    <w:tblPr/>
  </w:style>
  <w:style w:type="table" w:styleId="1046" w:customStyle="1">
    <w:name w:val="Bordered &amp; Lined - Accent 4"/>
    <w:uiPriority w:val="99"/>
    <w:qFormat/>
    <w:rPr>
      <w:color w:val="404040"/>
      <w:lang w:val="en-US" w:eastAsia="zh-CN" w:bidi="ar-SA"/>
    </w:rPr>
    <w:tblPr/>
  </w:style>
  <w:style w:type="table" w:styleId="1047" w:customStyle="1">
    <w:name w:val="Bordered &amp; Lined - Accent 5"/>
    <w:uiPriority w:val="99"/>
    <w:qFormat/>
    <w:rPr>
      <w:color w:val="404040"/>
      <w:lang w:val="en-US" w:eastAsia="zh-CN" w:bidi="ar-SA"/>
    </w:rPr>
    <w:tblPr/>
  </w:style>
  <w:style w:type="table" w:styleId="1048" w:customStyle="1">
    <w:name w:val="Bordered &amp; Lined - Accent 6"/>
    <w:uiPriority w:val="99"/>
    <w:qFormat/>
    <w:rPr>
      <w:color w:val="404040"/>
      <w:lang w:val="en-US" w:eastAsia="zh-CN" w:bidi="ar-SA"/>
    </w:rPr>
    <w:tblPr/>
  </w:style>
  <w:style w:type="table" w:styleId="1049" w:customStyle="1">
    <w:name w:val="Bordered"/>
    <w:uiPriority w:val="99"/>
    <w:qFormat/>
    <w:rPr>
      <w:lang w:val="en-US" w:eastAsia="zh-CN" w:bidi="ar-SA"/>
    </w:rPr>
    <w:tblPr/>
  </w:style>
  <w:style w:type="table" w:styleId="1050" w:customStyle="1">
    <w:name w:val="Bordered - Accent 1"/>
    <w:uiPriority w:val="99"/>
    <w:qFormat/>
    <w:rPr>
      <w:lang w:val="en-US" w:eastAsia="zh-CN" w:bidi="ar-SA"/>
    </w:rPr>
    <w:tblPr/>
  </w:style>
  <w:style w:type="table" w:styleId="1051" w:customStyle="1">
    <w:name w:val="Bordered - Accent 2"/>
    <w:uiPriority w:val="99"/>
    <w:qFormat/>
    <w:rPr>
      <w:lang w:val="en-US" w:eastAsia="zh-CN" w:bidi="ar-SA"/>
    </w:rPr>
    <w:tblPr/>
  </w:style>
  <w:style w:type="table" w:styleId="1052" w:customStyle="1">
    <w:name w:val="Bordered - Accent 3"/>
    <w:uiPriority w:val="99"/>
    <w:qFormat/>
    <w:rPr>
      <w:lang w:val="en-US" w:eastAsia="zh-CN" w:bidi="ar-SA"/>
    </w:rPr>
    <w:tblPr/>
  </w:style>
  <w:style w:type="table" w:styleId="1053" w:customStyle="1">
    <w:name w:val="Bordered - Accent 4"/>
    <w:uiPriority w:val="99"/>
    <w:qFormat/>
    <w:rPr>
      <w:lang w:val="en-US" w:eastAsia="zh-CN" w:bidi="ar-SA"/>
    </w:rPr>
    <w:tblPr/>
  </w:style>
  <w:style w:type="table" w:styleId="1054" w:customStyle="1">
    <w:name w:val="Bordered - Accent 5"/>
    <w:uiPriority w:val="99"/>
    <w:qFormat/>
    <w:rPr>
      <w:lang w:val="en-US" w:eastAsia="zh-CN" w:bidi="ar-SA"/>
    </w:rPr>
    <w:tblPr/>
  </w:style>
  <w:style w:type="table" w:styleId="1055" w:customStyle="1">
    <w:name w:val="Bordered - Accent 6"/>
    <w:uiPriority w:val="99"/>
    <w:qFormat/>
    <w:rPr>
      <w:lang w:val="en-US" w:eastAsia="zh-CN" w:bidi="ar-SA"/>
    </w:rPr>
    <w:tblPr/>
  </w:style>
  <w:style w:type="paragraph" w:styleId="1056" w:customStyle="1">
    <w:name w:val="TOC 标题2"/>
    <w:uiPriority w:val="39"/>
    <w:qFormat/>
    <w:rPr>
      <w:rFonts w:hint="default" w:ascii="Times New Roman" w:hAnsi="Times New Roman" w:eastAsia="宋体" w:cs="Times New Roman"/>
      <w:lang w:val="en-US" w:eastAsia="zh-CN" w:bidi="ar-SA"/>
    </w:rPr>
  </w:style>
  <w:style w:type="character" w:styleId="1057" w:customStyle="1">
    <w:name w:val="font5 Char"/>
    <w:link w:val="714"/>
    <w:uiPriority w:val="0"/>
    <w:qFormat/>
    <w:rPr>
      <w:rFonts w:ascii="宋体" w:hAnsi="宋体" w:eastAsia="宋体"/>
      <w:sz w:val="28"/>
      <w:szCs w:val="28"/>
      <w:lang w:val="en-US" w:eastAsia="zh-CN" w:bidi="ar-SA"/>
    </w:rPr>
  </w:style>
  <w:style w:type="character" w:styleId="1058" w:customStyle="1">
    <w:name w:val="二级目录 Char"/>
    <w:link w:val="1059"/>
    <w:uiPriority w:val="0"/>
    <w:qFormat/>
    <w:rPr>
      <w:b/>
      <w:sz w:val="30"/>
      <w:szCs w:val="28"/>
      <w:lang w:val="en-US" w:eastAsia="zh-CN" w:bidi="ar-SA"/>
    </w:rPr>
  </w:style>
  <w:style w:type="paragraph" w:styleId="1059" w:customStyle="1">
    <w:name w:val="二级目录"/>
    <w:next w:val="714"/>
    <w:link w:val="105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60" w:customStyle="1">
    <w:name w:val="列出段落 Char"/>
    <w:link w:val="1061"/>
    <w:uiPriority w:val="0"/>
    <w:qFormat/>
    <w:rPr>
      <w:rFonts w:ascii="Calibri" w:hAnsi="Calibri"/>
      <w:sz w:val="24"/>
      <w:szCs w:val="24"/>
      <w:lang w:eastAsia="en-US" w:bidi="en-US"/>
    </w:rPr>
  </w:style>
  <w:style w:type="paragraph" w:styleId="1061" w:customStyle="1">
    <w:name w:val="列出段落11"/>
    <w:basedOn w:val="714"/>
    <w:link w:val="1060"/>
    <w:uiPriority w:val="0"/>
    <w:qFormat/>
    <w:pPr>
      <w:contextualSpacing/>
      <w:ind w:left="720"/>
      <w:jc w:val="left"/>
      <w:widowControl/>
    </w:pPr>
    <w:rPr>
      <w:rFonts w:ascii="Calibri" w:hAnsi="Calibri"/>
      <w:sz w:val="24"/>
      <w:szCs w:val="24"/>
      <w:lang w:eastAsia="en-US" w:bidi="en-US"/>
    </w:rPr>
  </w:style>
  <w:style w:type="paragraph" w:styleId="1062" w:customStyle="1">
    <w:name w:val="Body Text(ch)"/>
    <w:basedOn w:val="714"/>
    <w:next w:val="867"/>
    <w:uiPriority w:val="0"/>
    <w:qFormat/>
    <w:pPr>
      <w:spacing w:after="120"/>
    </w:pPr>
    <w:rPr>
      <w:rFonts w:ascii="宋体" w:hAnsi="Arial"/>
      <w:bCs/>
      <w:iCs/>
      <w:szCs w:val="24"/>
    </w:rPr>
  </w:style>
  <w:style w:type="paragraph" w:styleId="1063" w:customStyle="1">
    <w:name w:val="xl27"/>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4" w:customStyle="1">
    <w:name w:val="xl26"/>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5" w:customStyle="1">
    <w:name w:val="Char"/>
    <w:basedOn w:val="714"/>
    <w:uiPriority w:val="0"/>
    <w:qFormat/>
    <w:pPr>
      <w:ind w:firstLine="200"/>
      <w:tabs>
        <w:tab w:val="left" w:pos="360" w:leader="none"/>
      </w:tabs>
    </w:pPr>
    <w:rPr>
      <w:sz w:val="28"/>
      <w:szCs w:val="30"/>
    </w:rPr>
  </w:style>
  <w:style w:type="paragraph" w:styleId="1066" w:customStyle="1">
    <w:name w:val="Char1"/>
    <w:basedOn w:val="861"/>
    <w:uiPriority w:val="0"/>
    <w:qFormat/>
    <w:rPr>
      <w:rFonts w:ascii="Tahoma" w:hAnsi="Tahoma"/>
      <w:sz w:val="24"/>
      <w:szCs w:val="24"/>
    </w:rPr>
  </w:style>
  <w:style w:type="paragraph" w:styleId="1067"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1068" w:customStyle="1">
    <w:name w:val="table_lines"/>
    <w:basedOn w:val="714"/>
    <w:uiPriority w:val="0"/>
    <w:qFormat/>
    <w:pPr>
      <w:jc w:val="left"/>
      <w:widowControl/>
    </w:pPr>
    <w:rPr>
      <w:sz w:val="20"/>
      <w:szCs w:val="20"/>
      <w:lang w:val="de-DE" w:eastAsia="de-DE"/>
    </w:rPr>
  </w:style>
  <w:style w:type="paragraph" w:styleId="106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70" w:customStyle="1">
    <w:name w:val="font7"/>
    <w:basedOn w:val="714"/>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Char Char Char Char"/>
    <w:basedOn w:val="861"/>
    <w:uiPriority w:val="0"/>
    <w:qFormat/>
    <w:pPr>
      <w:spacing w:line="360" w:lineRule="auto"/>
    </w:pPr>
    <w:rPr>
      <w:rFonts w:ascii="Tahoma" w:hAnsi="Tahoma"/>
      <w:sz w:val="24"/>
      <w:szCs w:val="24"/>
    </w:rPr>
  </w:style>
  <w:style w:type="paragraph" w:styleId="1072" w:customStyle="1">
    <w:name w:val="4"/>
    <w:basedOn w:val="714"/>
    <w:next w:val="895"/>
    <w:uiPriority w:val="0"/>
    <w:qFormat/>
    <w:pPr>
      <w:ind w:firstLine="420"/>
      <w:spacing w:line="360" w:lineRule="auto"/>
    </w:pPr>
    <w:rPr>
      <w:color w:val="ff0000"/>
      <w:sz w:val="24"/>
      <w:szCs w:val="24"/>
    </w:rPr>
  </w:style>
  <w:style w:type="paragraph" w:styleId="1073" w:customStyle="1">
    <w:name w:val="普通 (Web)"/>
    <w:basedOn w:val="714"/>
    <w:uiPriority w:val="0"/>
    <w:qFormat/>
    <w:pPr>
      <w:jc w:val="left"/>
      <w:spacing w:before="100" w:beforeAutospacing="1" w:after="100" w:afterAutospacing="1"/>
      <w:widowControl/>
    </w:pPr>
    <w:rPr>
      <w:rFonts w:ascii="宋体" w:hAnsi="宋体"/>
      <w:sz w:val="24"/>
      <w:szCs w:val="24"/>
    </w:rPr>
  </w:style>
  <w:style w:type="paragraph" w:styleId="1074" w:customStyle="1">
    <w:name w:val="Char Char Char Char Char Char Char Char Char Char"/>
    <w:basedOn w:val="714"/>
    <w:uiPriority w:val="0"/>
    <w:qFormat/>
    <w:pPr>
      <w:spacing w:line="360" w:lineRule="auto"/>
    </w:pPr>
    <w:rPr>
      <w:sz w:val="24"/>
      <w:szCs w:val="20"/>
    </w:rPr>
  </w:style>
  <w:style w:type="paragraph" w:styleId="1075" w:customStyle="1">
    <w:name w:val="样式1"/>
    <w:basedOn w:val="714"/>
    <w:uiPriority w:val="0"/>
    <w:qFormat/>
    <w:pPr>
      <w:numPr>
        <w:ilvl w:val="0"/>
        <w:numId w:val="3"/>
      </w:numPr>
    </w:pPr>
    <w:rPr>
      <w:rFonts w:ascii="宋体" w:hAnsi="宋体"/>
    </w:rPr>
  </w:style>
  <w:style w:type="paragraph" w:styleId="1076" w:customStyle="1">
    <w:name w:val="font6"/>
    <w:basedOn w:val="714"/>
    <w:uiPriority w:val="0"/>
    <w:qFormat/>
    <w:pPr>
      <w:jc w:val="left"/>
      <w:spacing w:before="100" w:beforeAutospacing="1" w:after="100" w:afterAutospacing="1"/>
      <w:widowControl/>
    </w:pPr>
    <w:rPr>
      <w:rFonts w:hint="eastAsia" w:ascii="宋体" w:hAnsi="宋体"/>
      <w:sz w:val="28"/>
      <w:szCs w:val="28"/>
      <w:u w:val="single"/>
    </w:rPr>
  </w:style>
  <w:style w:type="paragraph" w:styleId="1077" w:customStyle="1">
    <w:name w:val="xl25"/>
    <w:basedOn w:val="7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customStyle="1">
    <w:name w:val="图标"/>
    <w:basedOn w:val="714"/>
    <w:next w:val="7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customStyle="1">
    <w:name w:val="标题3"/>
    <w:basedOn w:val="714"/>
    <w:next w:val="714"/>
    <w:uiPriority w:val="0"/>
    <w:qFormat/>
    <w:pPr>
      <w:ind w:firstLine="624"/>
      <w:spacing w:line="590" w:lineRule="atLeast"/>
    </w:pPr>
    <w:rPr>
      <w:rFonts w:ascii="方正黑体_GBK" w:eastAsia="方正黑体_GBK"/>
      <w:sz w:val="32"/>
      <w:szCs w:val="32"/>
    </w:rPr>
  </w:style>
  <w:style w:type="paragraph" w:styleId="1080" w:customStyle="1">
    <w:name w:val="xl24"/>
    <w:basedOn w:val="7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xl29"/>
    <w:basedOn w:val="7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customStyle="1">
    <w:name w:val="Char Char Char Char Char Char Char Char"/>
    <w:basedOn w:val="714"/>
    <w:uiPriority w:val="0"/>
    <w:qFormat/>
    <w:pPr>
      <w:jc w:val="left"/>
      <w:spacing w:after="160" w:line="240" w:lineRule="exact"/>
      <w:widowControl/>
    </w:pPr>
    <w:rPr>
      <w:rFonts w:ascii="Verdana" w:hAnsi="Verdana"/>
      <w:sz w:val="20"/>
      <w:szCs w:val="20"/>
      <w:lang w:eastAsia="en-US"/>
    </w:rPr>
  </w:style>
  <w:style w:type="paragraph" w:styleId="1083" w:customStyle="1">
    <w:name w:val="xl28"/>
    <w:basedOn w:val="7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4" w:customStyle="1">
    <w:name w:val="Char Char Char Char Char Char Char Char1"/>
    <w:basedOn w:val="714"/>
    <w:uiPriority w:val="0"/>
    <w:qFormat/>
    <w:pPr>
      <w:jc w:val="left"/>
      <w:spacing w:after="160" w:line="240" w:lineRule="exact"/>
      <w:widowControl/>
    </w:pPr>
    <w:rPr>
      <w:rFonts w:ascii="Verdana" w:hAnsi="Verdana"/>
      <w:sz w:val="20"/>
      <w:szCs w:val="20"/>
      <w:lang w:eastAsia="en-US"/>
    </w:rPr>
  </w:style>
  <w:style w:type="paragraph" w:styleId="1085" w:customStyle="1">
    <w:name w:val="xl30"/>
    <w:basedOn w:val="714"/>
    <w:uiPriority w:val="0"/>
    <w:qFormat/>
    <w:pPr>
      <w:jc w:val="center"/>
      <w:spacing w:before="100" w:beforeAutospacing="1" w:after="100" w:afterAutospacing="1"/>
      <w:widowControl/>
    </w:pPr>
    <w:rPr>
      <w:rFonts w:ascii="宋体" w:hAnsi="宋体"/>
      <w:b/>
      <w:bCs/>
      <w:sz w:val="36"/>
      <w:szCs w:val="36"/>
    </w:rPr>
  </w:style>
  <w:style w:type="paragraph" w:styleId="1086" w:customStyle="1">
    <w:name w:val="Char Char Char Char1"/>
    <w:basedOn w:val="861"/>
    <w:uiPriority w:val="0"/>
    <w:qFormat/>
    <w:pPr>
      <w:spacing w:line="360" w:lineRule="auto"/>
    </w:pPr>
    <w:rPr>
      <w:rFonts w:ascii="Tahoma" w:hAnsi="Tahoma"/>
      <w:sz w:val="24"/>
      <w:szCs w:val="24"/>
    </w:rPr>
  </w:style>
  <w:style w:type="paragraph" w:styleId="1087" w:customStyle="1">
    <w:name w:val="table_1stline"/>
    <w:basedOn w:val="714"/>
    <w:uiPriority w:val="0"/>
    <w:qFormat/>
    <w:pPr>
      <w:jc w:val="left"/>
      <w:spacing w:before="120"/>
      <w:widowControl/>
    </w:pPr>
    <w:rPr>
      <w:bCs/>
      <w:sz w:val="20"/>
      <w:szCs w:val="20"/>
      <w:lang w:val="de-DE" w:eastAsia="de-DE"/>
    </w:rPr>
  </w:style>
  <w:style w:type="paragraph" w:styleId="1088" w:customStyle="1">
    <w:name w:val="font5"/>
    <w:basedOn w:val="714"/>
    <w:uiPriority w:val="0"/>
    <w:qFormat/>
    <w:pPr>
      <w:jc w:val="left"/>
      <w:spacing w:before="100" w:beforeAutospacing="1" w:after="100" w:afterAutospacing="1"/>
      <w:widowControl/>
    </w:pPr>
    <w:rPr>
      <w:rFonts w:hint="eastAsia" w:ascii="宋体" w:hAnsi="宋体"/>
      <w:sz w:val="28"/>
      <w:szCs w:val="28"/>
    </w:rPr>
  </w:style>
  <w:style w:type="paragraph" w:styleId="1089"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1" w:customStyle="1">
    <w:name w:val="普通文字"/>
    <w:basedOn w:val="714"/>
    <w:next w:val="714"/>
    <w:uiPriority w:val="99"/>
    <w:qFormat/>
    <w:rPr>
      <w:rFonts w:ascii="宋体"/>
      <w:sz w:val="24"/>
      <w:szCs w:val="20"/>
    </w:rPr>
  </w:style>
  <w:style w:type="paragraph" w:styleId="1092" w:customStyle="1">
    <w:name w:val="目录 111"/>
    <w:basedOn w:val="714"/>
    <w:next w:val="714"/>
    <w:uiPriority w:val="39"/>
    <w:unhideWhenUsed/>
    <w:qFormat/>
    <w:pPr>
      <w:jc w:val="left"/>
      <w:spacing w:after="100" w:line="259" w:lineRule="auto"/>
      <w:widowControl/>
    </w:pPr>
    <w:rPr>
      <w:rFonts w:ascii="Calibri" w:hAnsi="Calibri"/>
      <w:sz w:val="22"/>
      <w:szCs w:val="22"/>
    </w:rPr>
  </w:style>
  <w:style w:type="paragraph" w:styleId="1093" w:customStyle="1">
    <w:name w:val="表格文字"/>
    <w:basedOn w:val="714"/>
    <w:uiPriority w:val="0"/>
    <w:qFormat/>
    <w:pPr>
      <w:jc w:val="center"/>
    </w:pPr>
    <w:rPr>
      <w:rFonts w:ascii="宋体" w:hAnsi="宋体" w:cs="宋体"/>
      <w:szCs w:val="20"/>
    </w:rPr>
  </w:style>
  <w:style w:type="paragraph" w:styleId="1094" w:customStyle="1">
    <w:name w:val="p0"/>
    <w:basedOn w:val="714"/>
    <w:uiPriority w:val="0"/>
    <w:qFormat/>
    <w:pPr>
      <w:jc w:val="left"/>
      <w:spacing w:before="100" w:beforeAutospacing="1" w:after="100" w:afterAutospacing="1"/>
      <w:widowControl/>
    </w:pPr>
    <w:rPr>
      <w:rFonts w:ascii="宋体" w:hAnsi="宋体" w:cs="宋体"/>
      <w:sz w:val="24"/>
      <w:szCs w:val="24"/>
    </w:rPr>
  </w:style>
  <w:style w:type="paragraph" w:styleId="1095" w:customStyle="1">
    <w:name w:val="普通(网站) New"/>
    <w:basedOn w:val="714"/>
    <w:uiPriority w:val="0"/>
    <w:qFormat/>
    <w:pPr>
      <w:jc w:val="left"/>
      <w:spacing w:before="100" w:beforeAutospacing="1" w:after="100" w:afterAutospacing="1"/>
      <w:widowControl/>
    </w:pPr>
    <w:rPr>
      <w:rFonts w:ascii="宋体" w:hAnsi="宋体" w:cs="宋体"/>
      <w:sz w:val="24"/>
      <w:szCs w:val="24"/>
    </w:rPr>
  </w:style>
  <w:style w:type="character" w:styleId="1096" w:customStyle="1">
    <w:name w:val="NormalCharacter1"/>
    <w:link w:val="714"/>
    <w:uiPriority w:val="0"/>
    <w:semiHidden/>
    <w:qFormat/>
  </w:style>
  <w:style w:type="character" w:styleId="1097" w:customStyle="1">
    <w:name w:val="font41"/>
    <w:link w:val="714"/>
    <w:uiPriority w:val="0"/>
    <w:qFormat/>
    <w:rPr>
      <w:rFonts w:hint="eastAsia" w:ascii="宋体" w:hAnsi="宋体" w:eastAsia="宋体" w:cs="宋体"/>
      <w:color w:val="000000"/>
      <w:sz w:val="20"/>
      <w:szCs w:val="20"/>
      <w:u w:val="none"/>
    </w:rPr>
  </w:style>
  <w:style w:type="character" w:styleId="1098" w:customStyle="1">
    <w:name w:val="font31"/>
    <w:link w:val="714"/>
    <w:uiPriority w:val="0"/>
    <w:qFormat/>
    <w:rPr>
      <w:rFonts w:hint="eastAsia" w:ascii="宋体" w:hAnsi="宋体" w:eastAsia="宋体" w:cs="宋体"/>
      <w:color w:val="000000"/>
      <w:sz w:val="20"/>
      <w:szCs w:val="20"/>
      <w:u w:val="none"/>
    </w:rPr>
  </w:style>
  <w:style w:type="character" w:styleId="1099" w:customStyle="1">
    <w:name w:val="font51"/>
    <w:link w:val="714"/>
    <w:uiPriority w:val="0"/>
    <w:qFormat/>
    <w:rPr>
      <w:rFonts w:hint="eastAsia" w:ascii="宋体" w:hAnsi="宋体" w:eastAsia="宋体" w:cs="宋体"/>
      <w:color w:val="000000"/>
      <w:sz w:val="21"/>
      <w:szCs w:val="21"/>
      <w:u w:val="none"/>
    </w:rPr>
  </w:style>
  <w:style w:type="character" w:styleId="1100" w:customStyle="1">
    <w:name w:val="font81"/>
    <w:link w:val="714"/>
    <w:uiPriority w:val="0"/>
    <w:qFormat/>
    <w:rPr>
      <w:rFonts w:hint="eastAsia" w:ascii="宋体" w:hAnsi="宋体" w:eastAsia="宋体" w:cs="宋体"/>
      <w:color w:val="000000"/>
      <w:sz w:val="18"/>
      <w:szCs w:val="18"/>
      <w:u w:val="none"/>
    </w:rPr>
  </w:style>
  <w:style w:type="character" w:styleId="1101" w:customStyle="1">
    <w:name w:val="font112"/>
    <w:link w:val="714"/>
    <w:uiPriority w:val="0"/>
    <w:qFormat/>
    <w:rPr>
      <w:rFonts w:hint="eastAsia" w:ascii="宋体" w:hAnsi="宋体" w:eastAsia="宋体" w:cs="宋体"/>
      <w:color w:val="000000"/>
      <w:sz w:val="18"/>
      <w:szCs w:val="18"/>
      <w:u w:val="single"/>
    </w:rPr>
  </w:style>
  <w:style w:type="character" w:styleId="1102" w:customStyle="1">
    <w:name w:val="font61"/>
    <w:link w:val="714"/>
    <w:uiPriority w:val="0"/>
    <w:qFormat/>
    <w:rPr>
      <w:rFonts w:hint="eastAsia" w:ascii="宋体" w:hAnsi="宋体" w:eastAsia="宋体" w:cs="宋体"/>
      <w:color w:val="000000"/>
      <w:sz w:val="21"/>
      <w:szCs w:val="21"/>
      <w:u w:val="none"/>
    </w:rPr>
  </w:style>
  <w:style w:type="paragraph" w:styleId="1103" w:customStyle="1">
    <w:name w:val="列表1"/>
    <w:basedOn w:val="714"/>
    <w:uiPriority w:val="0"/>
    <w:qFormat/>
    <w:pPr>
      <w:numPr>
        <w:ilvl w:val="0"/>
        <w:numId w:val="4"/>
      </w:numPr>
      <w:spacing w:after="20" w:line="288" w:lineRule="auto"/>
    </w:pPr>
    <w:rPr>
      <w:szCs w:val="20"/>
      <w:lang w:val="en-GB"/>
    </w:rPr>
  </w:style>
  <w:style w:type="paragraph" w:styleId="1104" w:customStyle="1">
    <w:name w:val="列表段落"/>
    <w:basedOn w:val="714"/>
    <w:uiPriority w:val="34"/>
    <w:qFormat/>
    <w:pPr>
      <w:ind w:firstLine="420"/>
    </w:pPr>
  </w:style>
  <w:style w:type="paragraph" w:styleId="1105" w:customStyle="1">
    <w:name w:val="纯文本1"/>
    <w:basedOn w:val="714"/>
    <w:next w:val="714"/>
    <w:uiPriority w:val="0"/>
    <w:qFormat/>
    <w:rPr>
      <w:rFonts w:ascii="宋体" w:hAnsi="Courier New"/>
    </w:rPr>
  </w:style>
  <w:style w:type="paragraph" w:styleId="1106" w:customStyle="1">
    <w:name w:val="页眉1"/>
    <w:basedOn w:val="714"/>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107" w:customStyle="1">
    <w:name w:val="font21"/>
    <w:link w:val="714"/>
    <w:uiPriority w:val="0"/>
    <w:qFormat/>
    <w:rPr>
      <w:rFonts w:ascii="Times New Roman" w:hAnsi="Times New Roman" w:cs="Times New Roman"/>
      <w:b/>
      <w:bCs/>
      <w:color w:val="000000"/>
      <w:sz w:val="18"/>
      <w:szCs w:val="18"/>
      <w:u w:val="none"/>
    </w:rPr>
  </w:style>
  <w:style w:type="character" w:styleId="1108" w:customStyle="1">
    <w:name w:val="font71"/>
    <w:link w:val="714"/>
    <w:uiPriority w:val="0"/>
    <w:qFormat/>
    <w:rPr>
      <w:rFonts w:hint="eastAsia" w:ascii="宋体" w:hAnsi="宋体" w:eastAsia="宋体" w:cs="宋体"/>
      <w:color w:val="000000"/>
      <w:sz w:val="20"/>
      <w:szCs w:val="20"/>
      <w:u w:val="none"/>
    </w:rPr>
  </w:style>
  <w:style w:type="paragraph" w:styleId="1109" w:customStyle="1">
    <w:name w:val="正文文本1"/>
    <w:basedOn w:val="714"/>
    <w:next w:val="1103"/>
    <w:uiPriority w:val="0"/>
    <w:qFormat/>
    <w:rPr>
      <w:rFonts w:ascii="楷体_GB2312" w:hAnsi="Arial" w:eastAsia="楷体_GB2312"/>
      <w:sz w:val="28"/>
      <w:szCs w:val="28"/>
    </w:rPr>
  </w:style>
  <w:style w:type="character" w:styleId="1110" w:customStyle="1">
    <w:name w:val="15"/>
    <w:link w:val="714"/>
    <w:uiPriority w:val="0"/>
    <w:qFormat/>
    <w:rPr>
      <w:rFonts w:ascii="Times New Roman" w:hAnsi="Times New Roman" w:cs="Times New Roman"/>
    </w:rPr>
  </w:style>
  <w:style w:type="character" w:styleId="1111" w:customStyle="1">
    <w:name w:val="font141"/>
    <w:link w:val="714"/>
    <w:uiPriority w:val="0"/>
    <w:qFormat/>
    <w:rPr>
      <w:rFonts w:hint="eastAsia" w:ascii="宋体" w:hAnsi="宋体" w:eastAsia="宋体" w:cs="宋体"/>
      <w:color w:val="000000"/>
      <w:sz w:val="20"/>
      <w:szCs w:val="20"/>
      <w:u w:val="none"/>
    </w:rPr>
  </w:style>
  <w:style w:type="character" w:styleId="1112" w:customStyle="1">
    <w:name w:val="font212"/>
    <w:link w:val="714"/>
    <w:uiPriority w:val="0"/>
    <w:qFormat/>
    <w:rPr>
      <w:rFonts w:hint="eastAsia" w:ascii="宋体" w:hAnsi="宋体" w:eastAsia="宋体" w:cs="宋体"/>
      <w:i/>
      <w:iCs/>
      <w:color w:val="000000"/>
      <w:sz w:val="20"/>
      <w:szCs w:val="20"/>
      <w:u w:val="none"/>
    </w:rPr>
  </w:style>
  <w:style w:type="character" w:styleId="1113" w:customStyle="1">
    <w:name w:val="font221"/>
    <w:link w:val="714"/>
    <w:uiPriority w:val="0"/>
    <w:qFormat/>
    <w:rPr>
      <w:rFonts w:hint="eastAsia" w:ascii="宋体" w:hAnsi="宋体" w:eastAsia="宋体" w:cs="宋体"/>
      <w:color w:val="000000"/>
      <w:sz w:val="20"/>
      <w:szCs w:val="20"/>
      <w:u w:val="none"/>
      <w:vertAlign w:val="superscript"/>
    </w:rPr>
  </w:style>
  <w:style w:type="character" w:styleId="1114" w:customStyle="1">
    <w:name w:val="font131"/>
    <w:link w:val="714"/>
    <w:uiPriority w:val="0"/>
    <w:qFormat/>
    <w:rPr>
      <w:rFonts w:hint="eastAsia" w:ascii="宋体" w:hAnsi="宋体" w:eastAsia="宋体" w:cs="宋体"/>
      <w:color w:val="000000"/>
      <w:sz w:val="20"/>
      <w:szCs w:val="20"/>
      <w:u w:val="none"/>
    </w:rPr>
  </w:style>
  <w:style w:type="character" w:styleId="1115" w:customStyle="1">
    <w:name w:val="font231"/>
    <w:link w:val="714"/>
    <w:uiPriority w:val="0"/>
    <w:qFormat/>
    <w:rPr>
      <w:rFonts w:ascii="Times New Roman" w:hAnsi="Times New Roman" w:cs="Times New Roman"/>
      <w:color w:val="000000"/>
      <w:sz w:val="20"/>
      <w:szCs w:val="20"/>
      <w:u w:val="none"/>
    </w:rPr>
  </w:style>
  <w:style w:type="character" w:styleId="1116" w:customStyle="1">
    <w:name w:val="font121"/>
    <w:link w:val="714"/>
    <w:uiPriority w:val="0"/>
    <w:qFormat/>
    <w:rPr>
      <w:rFonts w:ascii="Times New Roman" w:hAnsi="Times New Roman" w:cs="Times New Roman"/>
      <w:color w:val="000000"/>
      <w:sz w:val="22"/>
      <w:szCs w:val="22"/>
      <w:u w:val="none"/>
    </w:rPr>
  </w:style>
  <w:style w:type="paragraph" w:styleId="1117" w:customStyle="1">
    <w:name w:val="正文文本2"/>
    <w:basedOn w:val="714"/>
    <w:uiPriority w:val="0"/>
    <w:qFormat/>
    <w:rPr>
      <w:rFonts w:ascii="仿宋_GB2312" w:eastAsia="仿宋_GB2312"/>
      <w:sz w:val="28"/>
      <w:szCs w:val="20"/>
    </w:rPr>
  </w:style>
  <w:style w:type="paragraph" w:styleId="1118" w:customStyle="1">
    <w:name w:val="彩色列表1"/>
    <w:basedOn w:val="714"/>
    <w:uiPriority w:val="99"/>
    <w:qFormat/>
    <w:pPr>
      <w:ind w:firstLine="420"/>
    </w:pPr>
    <w:rPr>
      <w:szCs w:val="24"/>
    </w:rPr>
  </w:style>
  <w:style w:type="table" w:styleId="1119" w:customStyle="1">
    <w:name w:val="网格型11"/>
    <w:uiPriority w:val="59"/>
    <w:qFormat/>
    <w:pPr>
      <w:spacing w:after="0" w:line="240" w:lineRule="auto"/>
    </w:pPr>
    <w:tblPr/>
  </w:style>
  <w:style w:type="paragraph" w:styleId="1120" w:customStyle="1">
    <w:name w:val="标题 411"/>
    <w:basedOn w:val="714"/>
    <w:next w:val="714"/>
    <w:uiPriority w:val="9"/>
    <w:unhideWhenUsed/>
    <w:qFormat/>
    <w:pPr>
      <w:keepLines/>
      <w:keepNext/>
      <w:spacing w:before="320" w:after="200"/>
      <w:outlineLvl w:val="3"/>
    </w:pPr>
    <w:rPr>
      <w:rFonts w:ascii="Arial" w:hAnsi="Arial" w:eastAsia="Arial" w:cs="Arial"/>
      <w:b/>
      <w:bCs/>
      <w:sz w:val="26"/>
      <w:szCs w:val="26"/>
    </w:rPr>
  </w:style>
  <w:style w:type="numbering" w:styleId="1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383fbc0c-d0cd-4c6f-b215-c7afc46c48e6</errorID>
      <errorWord>.</errorWord>
      <group>L1_Format</group>
      <groupName>格式问题</groupName>
      <ability>L2_HalfPunc_CN</ability>
      <abilityName>全半角问题</abilityName>
      <candidateList>
        <item>。</item>
      </candidateList>
      <explain>文本全半角错误。</explain>
      <paraID> 2F9A1AE</paraID>
      <start>1</start>
      <end>2</end>
      <status>unmodified</status>
      <modifiedWord/>
      <trackRevisions>false</trackRevisions>
    </reviewItem>
    <reviewItem>
      <errorID>e2b63eef-c116-4417-9474-230b0cd2f61a</errorID>
      <errorWord>位</errorWord>
      <group>L1_Word</group>
      <groupName>字词问题</groupName>
      <ability>L2_Typo</ability>
      <abilityName>字词错误</abilityName>
      <candidateList>
        <item>位在</item>
      </candidateList>
      <explain/>
      <paraID>77655229</paraID>
      <start>161</start>
      <end>162</end>
      <status>unmodified</status>
      <modifiedWord/>
      <trackRevisions>false</trackRevisions>
    </reviewItem>
    <reviewItem>
      <errorID>b6ca4879-73a7-42ab-9a4e-0e4fa2e48838</errorID>
      <errorWord>（</errorWord>
      <group>L1_Punc</group>
      <groupName>标点问题</groupName>
      <ability>L2_Punc_CN</ability>
      <abilityName>标点符号问题</abilityName>
      <candidateList/>
      <explain>同一形式括号套用。</explain>
      <paraID>5C0402AE</paraID>
      <start>72</start>
      <end>73</end>
      <status>unmodified</status>
      <modifiedWord/>
      <trackRevisions>false</trackRevisions>
    </reviewItem>
    <reviewItem>
      <errorID>dd5c13a7-e85e-42df-8540-51fe464b8dbd</errorID>
      <errorWord>）</errorWord>
      <group>L1_Punc</group>
      <groupName>标点问题</groupName>
      <ability>L2_Punc_CN</ability>
      <abilityName>标点符号问题</abilityName>
      <candidateList/>
      <explain>同一形式括号套用。</explain>
      <paraID>5C0402AE</paraID>
      <start>76</start>
      <end>77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6E9EBF1-C025-4099-864B-BB24F62AB7E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dc:creator>
  <cp:lastModifiedBy>王勇</cp:lastModifiedBy>
  <cp:revision>9</cp:revision>
  <dcterms:created xsi:type="dcterms:W3CDTF">2026-03-11T08:51:00Z</dcterms:created>
  <dcterms:modified xsi:type="dcterms:W3CDTF">2026-09-17T05:48:42Z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eyJoZGlkIjoiODg4N2U0MDZmMmIxYjcxMDE0YjQ5YmE4OWZiZTkwN2QiLCJ1c2VySWQiOiIxMjc3MTEyOTUzIn0=</vt:lpwstr>
  </property>
  <property fmtid="{D5CDD505-2E9C-101B-9397-08002B2CF9AE}" pid="3" name="KSOProductBuildVer">
    <vt:lpwstr>2052-12.1.0.28505</vt:lpwstr>
  </property>
  <property fmtid="{D5CDD505-2E9C-101B-9397-08002B2CF9AE}" pid="4" name="ICV">
    <vt:lpwstr>9DD8315BA8434326808AB3A93B640891_12</vt:lpwstr>
  </property>
</Properties>
</file>