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rFonts w:hint="eastAsia"/>
          <w:b/>
          <w:bCs/>
          <w:color w:val="auto"/>
          <w:sz w:val="56"/>
          <w:szCs w:val="56"/>
          <w:highlight w:val="none"/>
          <w:lang w:eastAsia="zh-CN"/>
        </w:rPr>
      </w:pPr>
      <w:r>
        <w:rPr>
          <w:rFonts w:hint="eastAsia"/>
          <w:b/>
          <w:bCs/>
          <w:color w:val="auto"/>
          <w:sz w:val="56"/>
          <w:szCs w:val="56"/>
          <w:highlight w:val="none"/>
          <w:lang w:eastAsia="zh-CN"/>
        </w:rPr>
        <w:t xml:space="preserve">罗溪镇S239省道、沪宁高速绿化一期、二期拓宽段绿化养护服务项目</w:t>
      </w:r>
      <w:r/>
    </w:p>
    <w:p>
      <w:pPr>
        <w:jc w:val="center"/>
        <w:rPr>
          <w:b/>
          <w:bCs/>
          <w:color w:val="auto"/>
          <w:sz w:val="60"/>
          <w:szCs w:val="60"/>
          <w:highlight w:val="none"/>
        </w:rPr>
      </w:pPr>
      <w:r>
        <w:rPr>
          <w:rFonts w:hint="eastAsia"/>
          <w:b/>
          <w:bCs/>
          <w:color w:val="auto"/>
          <w:sz w:val="60"/>
          <w:szCs w:val="60"/>
          <w:highlight w:val="none"/>
        </w:rPr>
        <w:t xml:space="preserve">公开招标文件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罗溪镇S239省道、沪宁高速绿化一期、二期拓宽段绿化养护服务项目</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JSZC-320411004-SYZB-G2026-0062</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常州市新北区罗溪镇人民政府</w:t>
      </w:r>
      <w:r/>
    </w:p>
    <w:p>
      <w:pPr>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line="360" w:lineRule="auto"/>
        <w:rPr>
          <w:b/>
          <w:bCs/>
          <w:color w:val="auto"/>
          <w:sz w:val="44"/>
          <w:highlight w:val="none"/>
        </w:rPr>
      </w:pPr>
      <w:r>
        <w:rPr>
          <w:b/>
          <w:bCs/>
          <w:color w:val="auto"/>
          <w:sz w:val="44"/>
          <w:highlight w:val="none"/>
        </w:rPr>
        <w:br w:type="page" w:clear="all"/>
      </w:r>
      <w:bookmarkStart w:id="0" w:name="_Toc99301418"/>
      <w:r/>
      <w:r/>
    </w:p>
    <w:p>
      <w:pPr>
        <w:jc w:val="center"/>
        <w:spacing w:line="360" w:lineRule="auto"/>
        <w:rPr>
          <w:b/>
          <w:bCs/>
          <w:color w:val="auto"/>
          <w:sz w:val="44"/>
          <w:highlight w:val="none"/>
        </w:rPr>
      </w:pPr>
      <w:r>
        <w:rPr>
          <w:b/>
          <w:bCs/>
          <w:color w:val="auto"/>
          <w:sz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143"/>
        <w:spacing w:line="360" w:lineRule="auto"/>
        <w:rPr>
          <w:b w:val="0"/>
          <w:bCs/>
          <w:color w:val="auto"/>
          <w:sz w:val="44"/>
          <w:highlight w:val="none"/>
        </w:rPr>
      </w:pPr>
      <w:r>
        <w:rPr>
          <w:b w:val="0"/>
          <w:bCs/>
          <w:color w:val="auto"/>
          <w:sz w:val="44"/>
          <w:highlight w:val="none"/>
        </w:rPr>
      </w:r>
      <w:r/>
    </w:p>
    <w:p>
      <w:pPr>
        <w:pStyle w:val="1143"/>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 xml:space="preserve">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 xml:space="preserve">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7</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 xml:space="preserve">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 xml:space="preserve">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25</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 xml:space="preserve">第五章   采购需求</w:t>
      </w:r>
      <w:r>
        <w:rPr>
          <w:rFonts w:hint="eastAsia" w:cs="宋体"/>
          <w:color w:val="auto"/>
          <w:sz w:val="32"/>
          <w:szCs w:val="32"/>
          <w:highlight w:val="none"/>
        </w:rPr>
        <w:tab/>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t xml:space="preserve">2</w:t>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 xml:space="preserve">第六章   拟签订的合同文本</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1</w:t>
      </w:r>
      <w:r/>
    </w:p>
    <w:p>
      <w:pPr>
        <w:pStyle w:val="114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 xml:space="preserve">第七章   投标文件格式</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4</w:t>
      </w:r>
      <w:r/>
    </w:p>
    <w:p>
      <w:pPr>
        <w:pStyle w:val="1143"/>
        <w:spacing w:line="360" w:lineRule="auto"/>
        <w:rPr>
          <w:rFonts w:cs="宋体"/>
          <w:color w:val="auto"/>
          <w:sz w:val="32"/>
          <w:szCs w:val="32"/>
          <w:highlight w:val="none"/>
        </w:rPr>
      </w:pPr>
      <w:r>
        <w:rPr>
          <w:rFonts w:hint="eastAsia" w:cs="宋体"/>
          <w:color w:val="auto"/>
          <w:sz w:val="32"/>
          <w:szCs w:val="32"/>
          <w:highlight w:val="none"/>
        </w:rPr>
        <w:fldChar w:fldCharType="end"/>
      </w:r>
      <w:r/>
    </w:p>
    <w:p>
      <w:pPr>
        <w:pStyle w:val="1143"/>
        <w:jc w:val="center"/>
        <w:spacing w:line="360" w:lineRule="auto"/>
        <w:rPr>
          <w:color w:val="auto"/>
          <w:sz w:val="36"/>
          <w:szCs w:val="36"/>
          <w:highlight w:val="none"/>
        </w:rPr>
      </w:pPr>
      <w:r>
        <w:rPr>
          <w:rFonts w:hint="eastAsia" w:cs="宋体"/>
          <w:color w:val="auto"/>
          <w:sz w:val="32"/>
          <w:szCs w:val="32"/>
          <w:highlight w:val="none"/>
        </w:rPr>
        <w:br w:type="page" w:clear="all"/>
      </w:r>
      <w:bookmarkStart w:id="1" w:name="_Toc15932"/>
      <w:r/>
      <w:bookmarkStart w:id="2" w:name="_Toc99301419"/>
      <w:r>
        <w:rPr>
          <w:color w:val="auto"/>
          <w:sz w:val="36"/>
          <w:szCs w:val="36"/>
          <w:highlight w:val="none"/>
        </w:rPr>
        <w:t xml:space="preserve">第一章   投标邀请</w:t>
      </w:r>
      <w:bookmarkEnd w:id="1"/>
      <w:r/>
      <w:bookmarkEnd w:id="2"/>
      <w:r/>
      <w:r/>
    </w:p>
    <w:p>
      <w:pPr>
        <w:spacing w:line="360" w:lineRule="auto"/>
        <w:rPr>
          <w:rFonts w:ascii="宋体" w:hAnsi="宋体"/>
          <w:b/>
          <w:bCs/>
          <w:color w:val="auto"/>
          <w:sz w:val="24"/>
          <w:highlight w:val="none"/>
        </w:rPr>
      </w:pPr>
      <w:r/>
      <w:bookmarkStart w:id="3" w:name="_Toc28359002"/>
      <w:r/>
      <w:bookmarkStart w:id="4" w:name="_Toc35393621"/>
      <w:r/>
      <w:bookmarkStart w:id="5" w:name="_Toc28359079"/>
      <w:r/>
      <w:bookmarkStart w:id="6" w:name="_Toc35393790"/>
      <w:r/>
      <w:bookmarkStart w:id="7" w:name="_Hlk24379207"/>
      <w:r>
        <w:rPr>
          <w:rFonts w:hint="eastAsia" w:ascii="宋体" w:hAnsi="宋体"/>
          <w:b/>
          <w:bCs/>
          <w:color w:val="auto"/>
          <w:sz w:val="24"/>
          <w:highlight w:val="none"/>
        </w:rPr>
        <w:t xml:space="preserve">一、项目基本情况</w:t>
      </w:r>
      <w:bookmarkEnd w:id="3"/>
      <w:r/>
      <w:bookmarkEnd w:id="4"/>
      <w:r/>
      <w:bookmarkEnd w:id="5"/>
      <w:r/>
      <w:bookmarkEnd w:id="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JSZC-320411004-SYZB-G2026-0062</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罗溪镇S239省道、沪宁高速绿化一期、二期拓宽段绿化养护服务项目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cs="宋体"/>
          <w:color w:val="auto"/>
          <w:sz w:val="24"/>
          <w:szCs w:val="24"/>
          <w:highlight w:val="none"/>
          <w:u w:val="single"/>
          <w:lang w:val="en-US" w:eastAsia="zh-CN"/>
        </w:rPr>
        <w:t xml:space="preserve">308.088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、项目最高限价：</w:t>
      </w:r>
      <w:r>
        <w:rPr>
          <w:rFonts w:hint="eastAsia" w:ascii="宋体" w:hAnsi="宋体" w:cs="宋体"/>
          <w:color w:val="auto"/>
          <w:sz w:val="24"/>
          <w:szCs w:val="24"/>
          <w:highlight w:val="none"/>
          <w:u w:val="single"/>
          <w:lang w:val="en-US" w:eastAsia="zh-CN"/>
        </w:rPr>
        <w:t xml:space="preserve">154.044</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bookmarkEnd w:id="7"/>
      <w:r/>
    </w:p>
    <w:tbl>
      <w:tblPr>
        <w:tblStyle w:val="1119"/>
        <w:tblW w:w="5361" w:type="pct"/>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1853"/>
        <w:gridCol w:w="1409"/>
        <w:gridCol w:w="4648"/>
      </w:tblGrid>
      <w:tr>
        <w:trPr>
          <w:trHeight w:val="454"/>
        </w:trPr>
        <w:tc>
          <w:tcPr>
            <w:tcW w:w="929"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标的名称</w:t>
            </w:r>
            <w:r/>
          </w:p>
        </w:tc>
        <w:tc>
          <w:tcPr>
            <w:tcW w:w="953"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预算金额</w:t>
            </w:r>
            <w:r/>
          </w:p>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w:t>
            </w:r>
            <w:r/>
          </w:p>
        </w:tc>
        <w:tc>
          <w:tcPr>
            <w:tcW w:w="72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数量</w:t>
            </w:r>
            <w:r/>
          </w:p>
        </w:tc>
        <w:tc>
          <w:tcPr>
            <w:tcW w:w="2391"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简要技术需求或服务要求</w:t>
            </w:r>
            <w:r/>
          </w:p>
        </w:tc>
      </w:tr>
      <w:tr>
        <w:trPr>
          <w:trHeight w:val="434"/>
        </w:trPr>
        <w:tc>
          <w:tcPr>
            <w:shd w:val="clear" w:color="auto" w:fill="auto"/>
            <w:tcW w:w="929"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default" w:ascii="宋体" w:hAnsi="宋体" w:eastAsia="宋体" w:cs="宋体"/>
                <w:bCs/>
                <w:color w:val="auto"/>
                <w:sz w:val="24"/>
                <w:szCs w:val="24"/>
                <w:highlight w:val="none"/>
                <w:lang w:val="en-US" w:eastAsia="zh-CN"/>
              </w:rPr>
              <w:t xml:space="preserve">罗溪镇S239省道、沪宁高速绿化一期、二期、拓宽段绿化养护服务</w:t>
            </w:r>
            <w:r/>
          </w:p>
        </w:tc>
        <w:tc>
          <w:tcPr>
            <w:shd w:val="clear" w:color="auto" w:fill="auto"/>
            <w:tcW w:w="953"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default" w:ascii="宋体" w:hAnsi="宋体" w:eastAsia="宋体" w:cs="宋体"/>
                <w:bCs/>
                <w:color w:val="auto"/>
                <w:sz w:val="24"/>
                <w:szCs w:val="24"/>
                <w:highlight w:val="none"/>
                <w:lang w:val="en-US" w:eastAsia="zh-CN"/>
              </w:rPr>
              <w:t xml:space="preserve">308.088</w:t>
            </w:r>
            <w:r/>
          </w:p>
        </w:tc>
        <w:tc>
          <w:tcPr>
            <w:shd w:val="clear" w:color="auto" w:fill="auto"/>
            <w:tcW w:w="72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rPr>
              <w:t xml:space="preserve">1</w:t>
            </w:r>
            <w:r/>
          </w:p>
        </w:tc>
        <w:tc>
          <w:tcPr>
            <w:shd w:val="clear" w:color="auto" w:fill="auto"/>
            <w:tcW w:w="2391"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本项目是罗溪镇S239省道、沪宁高速绿化一期、二期拓宽段绿化养护服务项目，总面积约1925.55亩。服务内容：包括但不限于苗木养护、保洁、违规占用行为管理、极端天气应急措施、台账记录等</w:t>
            </w:r>
            <w:r>
              <w:rPr>
                <w:rFonts w:hint="eastAsia" w:ascii="宋体" w:hAnsi="宋体" w:cs="宋体"/>
                <w:color w:val="auto"/>
                <w:sz w:val="24"/>
                <w:szCs w:val="24"/>
                <w:highlight w:val="none"/>
                <w:lang w:val="en-US" w:eastAsia="zh-CN"/>
              </w:rPr>
              <w:t xml:space="preserve">。</w:t>
            </w:r>
            <w:r/>
          </w:p>
        </w:tc>
      </w:tr>
    </w:tbl>
    <w:p>
      <w:pPr>
        <w:ind w:firstLine="488"/>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5.合同履行期限：</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（1）</w:t>
      </w:r>
      <w:r>
        <w:rPr>
          <w:rFonts w:hint="eastAsia" w:ascii="宋体" w:hAnsi="宋体" w:eastAsia="宋体" w:cs="宋体"/>
          <w:color w:val="auto"/>
          <w:sz w:val="24"/>
          <w:highlight w:val="none"/>
          <w:u w:val="none"/>
          <w:lang w:val="en-US" w:eastAsia="zh-CN"/>
        </w:rPr>
        <w:t xml:space="preserve">项目服务总期限暂定贰年，实行一年一签的签约方式，</w:t>
      </w:r>
      <w:r>
        <w:rPr>
          <w:rFonts w:hint="eastAsia" w:ascii="宋体" w:hAnsi="宋体" w:cs="宋体"/>
          <w:color w:val="auto"/>
          <w:sz w:val="24"/>
          <w:highlight w:val="none"/>
          <w:u w:val="none"/>
          <w:lang w:val="en-US" w:eastAsia="zh-CN"/>
        </w:rPr>
        <w:t xml:space="preserve">第一年的前三个月为试用期，试用期满经招标人考核合格后，本合同有效</w:t>
      </w:r>
      <w:r>
        <w:rPr>
          <w:rFonts w:hint="eastAsia" w:ascii="宋体" w:hAnsi="宋体" w:eastAsia="宋体" w:cs="宋体"/>
          <w:color w:val="auto"/>
          <w:sz w:val="24"/>
          <w:highlight w:val="none"/>
          <w:u w:val="none"/>
          <w:lang w:val="en-US" w:eastAsia="zh-CN"/>
        </w:rPr>
        <w:t xml:space="preserve">。每一合同年度期满，采购人结合镇级季度考核、区级年度考核综合评定续签资格，满足下列任一条件，采购人有权单方决定不予续签次年合同：</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1</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当年度镇级考核内，有两个季度考核平均得分低于 85 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当年度区级综合考核得分不足70分。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经采购人年度综合考核评定为合格的，双方可协商签订下一年度服务合同。</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6.本项目是否接受联合体：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  ■否。</w:t>
      </w:r>
      <w:r/>
    </w:p>
    <w:p>
      <w:pPr>
        <w:spacing w:line="360" w:lineRule="auto"/>
        <w:rPr>
          <w:rFonts w:ascii="宋体" w:hAnsi="宋体"/>
          <w:b/>
          <w:bCs/>
          <w:color w:val="auto"/>
          <w:sz w:val="24"/>
          <w:highlight w:val="none"/>
        </w:rPr>
      </w:pPr>
      <w:r/>
      <w:bookmarkStart w:id="8" w:name="_Toc28359080"/>
      <w:r/>
      <w:bookmarkStart w:id="9" w:name="_Toc28359003"/>
      <w:r/>
      <w:bookmarkStart w:id="10" w:name="_Toc35393791"/>
      <w:r/>
      <w:bookmarkStart w:id="11" w:name="_Toc35393622"/>
      <w:r>
        <w:rPr>
          <w:rFonts w:hint="eastAsia" w:ascii="宋体" w:hAnsi="宋体"/>
          <w:b/>
          <w:bCs/>
          <w:color w:val="auto"/>
          <w:sz w:val="24"/>
          <w:highlight w:val="none"/>
        </w:rPr>
        <w:t xml:space="preserve">二、申请人的资格要求（须同时满足）</w:t>
      </w:r>
      <w:bookmarkEnd w:id="8"/>
      <w:r/>
      <w:bookmarkEnd w:id="9"/>
      <w:r/>
      <w:bookmarkEnd w:id="10"/>
      <w:r/>
      <w:bookmarkEnd w:id="1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bookmarkStart w:id="12" w:name="_Toc28359004"/>
      <w:r/>
      <w:bookmarkStart w:id="13" w:name="_Toc28359081"/>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小微企业  采购。即：提供的服务全部由符合政策要求的中小企业承接。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w:t>
      </w:r>
      <w:bookmarkStart w:id="913" w:name="_GoBack"/>
      <w:r/>
      <w:bookmarkEnd w:id="913"/>
      <w:r>
        <w:rPr>
          <w:rFonts w:hint="eastAsia" w:ascii="宋体" w:hAnsi="宋体" w:cs="宋体"/>
          <w:color w:val="auto"/>
          <w:sz w:val="24"/>
          <w:highlight w:val="none"/>
        </w:rPr>
        <w:t xml:space="preserve">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12"/>
      <w:bookmarkEnd w:id="13"/>
      <w:r/>
    </w:p>
    <w:p>
      <w:pPr>
        <w:spacing w:line="360" w:lineRule="auto"/>
        <w:rPr>
          <w:rFonts w:ascii="宋体" w:hAnsi="宋体"/>
          <w:b/>
          <w:bCs/>
          <w:color w:val="auto"/>
          <w:sz w:val="24"/>
          <w:highlight w:val="none"/>
        </w:rPr>
      </w:pPr>
      <w:r/>
      <w:bookmarkStart w:id="14" w:name="_Toc35393792"/>
      <w:r/>
      <w:bookmarkStart w:id="15" w:name="_Toc35393623"/>
      <w:r>
        <w:rPr>
          <w:rFonts w:hint="eastAsia" w:ascii="宋体" w:hAnsi="宋体"/>
          <w:b/>
          <w:bCs/>
          <w:color w:val="auto"/>
          <w:sz w:val="24"/>
          <w:highlight w:val="none"/>
        </w:rPr>
        <w:t xml:space="preserve">三、获取招标文件</w:t>
      </w:r>
      <w:bookmarkEnd w:id="14"/>
      <w:r/>
      <w:bookmarkEnd w:id="15"/>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bookmarkStart w:id="16" w:name="_Toc28359005"/>
      <w:r/>
      <w:bookmarkStart w:id="17" w:name="_Toc28359082"/>
      <w:r/>
      <w:bookmarkStart w:id="18" w:name="_Toc35393793"/>
      <w:r/>
      <w:bookmarkStart w:id="19" w:name="_Toc35393624"/>
      <w:r>
        <w:rPr>
          <w:rFonts w:hint="eastAsia" w:ascii="宋体" w:hAnsi="宋体" w:eastAsia="宋体" w:cs="宋体"/>
          <w:color w:val="auto"/>
          <w:sz w:val="24"/>
          <w:highlight w:val="none"/>
          <w:lang w:bidi="ar"/>
        </w:rPr>
        <w:t xml:space="preserve">1.时间：自招标文件公告发布之日起5个工作日。</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u w:val="single"/>
          <w:lang w:bidi="ar"/>
        </w:rPr>
        <w:t xml:space="preserve">投标人</w:t>
      </w:r>
      <w:r>
        <w:rPr>
          <w:rFonts w:hint="eastAsia" w:ascii="宋体" w:hAnsi="宋体" w:cs="宋体"/>
          <w:color w:val="auto"/>
          <w:sz w:val="24"/>
          <w:highlight w:val="none"/>
          <w:u w:val="single"/>
          <w:lang w:val="en-US" w:eastAsia="zh-CN" w:bidi="ar"/>
        </w:rPr>
        <w:t xml:space="preserve">登录</w:t>
      </w:r>
      <w:r>
        <w:rPr>
          <w:rFonts w:hint="eastAsia" w:ascii="宋体" w:hAnsi="宋体" w:cs="宋体"/>
          <w:color w:val="auto"/>
          <w:sz w:val="24"/>
          <w:highlight w:val="none"/>
          <w:u w:val="singl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四、提交投标文件</w:t>
      </w:r>
      <w:bookmarkEnd w:id="16"/>
      <w:r/>
      <w:bookmarkEnd w:id="17"/>
      <w:r>
        <w:rPr>
          <w:rFonts w:hint="eastAsia" w:ascii="宋体" w:hAnsi="宋体"/>
          <w:b/>
          <w:bCs/>
          <w:color w:val="auto"/>
          <w:sz w:val="24"/>
          <w:highlight w:val="none"/>
        </w:rPr>
        <w:t xml:space="preserve">截止时间、开标时间和地点</w:t>
      </w:r>
      <w:bookmarkEnd w:id="18"/>
      <w:r/>
      <w:bookmarkEnd w:id="19"/>
      <w:r/>
      <w:r/>
    </w:p>
    <w:p>
      <w:pPr>
        <w:ind w:firstLine="480"/>
        <w:spacing w:line="360" w:lineRule="auto"/>
        <w:rPr>
          <w:rFonts w:ascii="宋体" w:hAnsi="宋体" w:cs="宋体"/>
          <w:iCs/>
          <w:color w:val="auto"/>
          <w:sz w:val="24"/>
          <w:highlight w:val="none"/>
          <w:lang w:bidi="ar"/>
        </w:rPr>
      </w:pPr>
      <w:r>
        <w:rPr>
          <w:color w:val="auto"/>
          <w:sz w:val="24"/>
          <w:highlight w:val="none"/>
          <w:lang w:bidi="ar"/>
        </w:rPr>
        <w:t xml:space="preserve">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val="en-US" w:eastAsia="zh-CN" w:bidi="ar"/>
        </w:rPr>
        <w:t xml:space="preserve">8</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lang w:val="en-US" w:eastAsia="zh-CN"/>
        </w:rPr>
        <w:t xml:space="preserve">09</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lang w:val="en-US" w:eastAsia="zh-CN"/>
        </w:rPr>
        <w:t xml:space="preserve">00</w:t>
      </w:r>
      <w:r>
        <w:rPr>
          <w:rFonts w:hint="eastAsia" w:ascii="宋体" w:hAnsi="宋体" w:cs="宋体"/>
          <w:color w:val="auto"/>
          <w:sz w:val="24"/>
          <w:highlight w:val="none"/>
          <w:lang w:bidi="ar"/>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u w:val="single"/>
          <w:lang w:bidi="ar"/>
        </w:rPr>
      </w:pPr>
      <w:r/>
      <w:bookmarkStart w:id="20" w:name="_Toc28359084"/>
      <w:r/>
      <w:bookmarkStart w:id="21" w:name="_Toc35393794"/>
      <w:r/>
      <w:bookmarkStart w:id="22" w:name="_Toc35393625"/>
      <w:r/>
      <w:bookmarkStart w:id="23" w:name="_Toc28359007"/>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lang w:bidi="ar"/>
        </w:rPr>
        <w:t xml:space="preserve">“苏采云”政府采购</w:t>
      </w:r>
      <w:r>
        <w:rPr>
          <w:rFonts w:hint="eastAsia" w:ascii="宋体" w:hAnsi="宋体" w:cs="宋体"/>
          <w:color w:val="auto"/>
          <w:sz w:val="24"/>
          <w:highlight w:val="none"/>
          <w:u w:val="single"/>
        </w:rPr>
        <w:t xml:space="preserve">一体化平台</w:t>
      </w:r>
      <w:r>
        <w:rPr>
          <w:rFonts w:hint="eastAsia" w:ascii="宋体" w:hAnsi="宋体" w:cs="宋体"/>
          <w:color w:val="auto"/>
          <w:sz w:val="24"/>
          <w:highlight w:val="none"/>
          <w:u w:val="single"/>
          <w:lang w:bidi="ar"/>
        </w:rPr>
        <w:t xml:space="preserve">网上开标大厅</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自本公告发布之日起5个工作日。</w:t>
      </w:r>
      <w:r/>
    </w:p>
    <w:p>
      <w:pPr>
        <w:spacing w:line="360" w:lineRule="auto"/>
        <w:rPr>
          <w:rFonts w:ascii="宋体" w:hAnsi="宋体"/>
          <w:b/>
          <w:bCs/>
          <w:color w:val="auto"/>
          <w:sz w:val="24"/>
          <w:highlight w:val="none"/>
        </w:rPr>
      </w:pPr>
      <w:r/>
      <w:bookmarkStart w:id="24" w:name="_Toc35393626"/>
      <w:r/>
      <w:bookmarkStart w:id="25" w:name="_Toc35393795"/>
      <w:r>
        <w:rPr>
          <w:rFonts w:hint="eastAsia" w:ascii="宋体" w:hAnsi="宋体"/>
          <w:b/>
          <w:bCs/>
          <w:color w:val="auto"/>
          <w:sz w:val="24"/>
          <w:highlight w:val="none"/>
        </w:rPr>
        <w:t xml:space="preserve">六、其他补充事宜</w:t>
      </w:r>
      <w:bookmarkEnd w:id="24"/>
      <w:r/>
      <w:bookmarkEnd w:id="25"/>
      <w:r/>
      <w:r/>
    </w:p>
    <w:p>
      <w:pPr>
        <w:ind w:firstLine="480"/>
        <w:spacing w:line="360" w:lineRule="auto"/>
        <w:rPr>
          <w:rFonts w:ascii="宋体" w:hAnsi="宋体" w:cs="宋体"/>
          <w:color w:val="auto"/>
          <w:sz w:val="24"/>
          <w:highlight w:val="none"/>
          <w:u w:val="single"/>
        </w:rPr>
      </w:pPr>
      <w:r/>
      <w:bookmarkStart w:id="26" w:name="_Toc35393796"/>
      <w:r/>
      <w:bookmarkStart w:id="27" w:name="_Toc28359008"/>
      <w:r/>
      <w:bookmarkStart w:id="28" w:name="_Toc35393627"/>
      <w:r/>
      <w:bookmarkStart w:id="29" w:name="_Toc28359085"/>
      <w:r>
        <w:rPr>
          <w:rFonts w:hint="eastAsia" w:ascii="宋体" w:hAnsi="宋体" w:cs="宋体"/>
          <w:color w:val="auto"/>
          <w:sz w:val="24"/>
          <w:highlight w:val="none"/>
        </w:rPr>
        <w:t xml:space="preserve">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 xml:space="preserve">。</w:t>
      </w:r>
      <w:r/>
    </w:p>
    <w:p>
      <w:pPr>
        <w:ind w:left="239" w:firstLine="24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2.本项目的采购年限为</w:t>
      </w:r>
      <w:r>
        <w:rPr>
          <w:rFonts w:hint="eastAsia" w:ascii="宋体" w:hAnsi="宋体" w:cs="宋体"/>
          <w:color w:val="auto"/>
          <w:sz w:val="24"/>
          <w:highlight w:val="none"/>
          <w:u w:val="single"/>
          <w:lang w:val="en-US" w:eastAsia="zh-CN"/>
        </w:rPr>
        <w:t xml:space="preserve"> 2 </w:t>
      </w:r>
      <w:r>
        <w:rPr>
          <w:rFonts w:hint="eastAsia" w:ascii="宋体" w:hAnsi="宋体" w:cs="宋体"/>
          <w:color w:val="auto"/>
          <w:sz w:val="24"/>
          <w:highlight w:val="none"/>
          <w:lang w:val="en-US" w:eastAsia="zh-CN"/>
        </w:rPr>
        <w:t xml:space="preserve">年、预算金额为</w:t>
      </w:r>
      <w:r>
        <w:rPr>
          <w:rFonts w:hint="eastAsia" w:ascii="宋体" w:hAnsi="宋体" w:cs="宋体"/>
          <w:color w:val="auto"/>
          <w:sz w:val="24"/>
          <w:highlight w:val="none"/>
          <w:u w:val="single"/>
          <w:lang w:val="en-US" w:eastAsia="zh-CN"/>
        </w:rPr>
        <w:t xml:space="preserve">308.088</w:t>
      </w:r>
      <w:r>
        <w:rPr>
          <w:rFonts w:hint="eastAsia" w:ascii="宋体" w:hAnsi="宋体" w:cs="宋体"/>
          <w:color w:val="auto"/>
          <w:sz w:val="24"/>
          <w:highlight w:val="none"/>
          <w:lang w:val="en-US" w:eastAsia="zh-CN"/>
        </w:rPr>
        <w:t xml:space="preserve">万元、当年安排数为</w:t>
      </w:r>
      <w:r>
        <w:rPr>
          <w:rFonts w:hint="eastAsia" w:ascii="宋体" w:hAnsi="宋体" w:cs="宋体"/>
          <w:color w:val="auto"/>
          <w:sz w:val="24"/>
          <w:highlight w:val="none"/>
          <w:u w:val="single"/>
          <w:lang w:val="en-US" w:eastAsia="zh-CN"/>
        </w:rPr>
        <w:t xml:space="preserve">154.044</w:t>
      </w:r>
      <w:r>
        <w:rPr>
          <w:rFonts w:hint="eastAsia" w:ascii="宋体" w:hAnsi="宋体" w:cs="宋体"/>
          <w:color w:val="auto"/>
          <w:sz w:val="24"/>
          <w:highlight w:val="none"/>
          <w:lang w:val="en-US" w:eastAsia="zh-CN"/>
        </w:rPr>
        <w:t xml:space="preserve">万元。</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.本项目采用远程“不见面”交易方式，无需到现场提交，请</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在提交时间截止前提前登入“苏采云”，通过系统在线提交电子投标文件。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.本项目不收取投标保证金。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确认函”，质疑时“</w:t>
      </w: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确认函”与质疑函一并提交；未依照招标公告要求实行网上报名的</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，视为未参与该项政府采购活动，不具备对该政府采购项目提出质疑的法定权利，但因</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资格条件或报名时间设定不符合有关法律法规规定等原因使</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.如潜在</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.关于常州市中小企业政府采购信用融资：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.关于深入开展常州市政府采购线上合同信用融资：</w:t>
      </w:r>
      <w:r/>
    </w:p>
    <w:p>
      <w:pPr>
        <w:ind w:firstLine="480"/>
        <w:spacing w:line="360" w:lineRule="auto"/>
        <w:rPr>
          <w:color w:val="auto"/>
          <w:sz w:val="24"/>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七、对本次招标提出询问，请按以下方式联系。</w:t>
      </w:r>
      <w:bookmarkEnd w:id="26"/>
      <w:r/>
      <w:bookmarkEnd w:id="27"/>
      <w:r/>
      <w:bookmarkEnd w:id="28"/>
      <w:r/>
      <w:bookmarkEnd w:id="29"/>
      <w:r/>
      <w:r/>
    </w:p>
    <w:p>
      <w:pPr>
        <w:ind w:firstLine="482"/>
        <w:jc w:val="left"/>
        <w:spacing w:line="360" w:lineRule="auto"/>
        <w:widowControl/>
        <w:rPr>
          <w:rFonts w:ascii="宋体" w:hAnsi="宋体" w:cs="宋体"/>
          <w:b/>
          <w:bCs/>
          <w:color w:val="auto"/>
          <w:sz w:val="24"/>
          <w:highlight w:val="none"/>
          <w:lang w:val="zh-TW" w:bidi="ar"/>
        </w:rPr>
      </w:pPr>
      <w:r/>
      <w:bookmarkStart w:id="30" w:name="_Toc226965856"/>
      <w:r/>
      <w:bookmarkStart w:id="31" w:name="_Toc265228423"/>
      <w:r/>
      <w:bookmarkStart w:id="32" w:name="_Toc195842950"/>
      <w:r/>
      <w:bookmarkStart w:id="33" w:name="_Toc99301420"/>
      <w:r/>
      <w:bookmarkStart w:id="34" w:name="_Toc264969275"/>
      <w:r/>
      <w:bookmarkStart w:id="35" w:name="_Toc305158928"/>
      <w:r/>
      <w:bookmarkStart w:id="36" w:name="_Toc127161488"/>
      <w:r/>
      <w:bookmarkStart w:id="37" w:name="_Toc150774783"/>
      <w:r/>
      <w:bookmarkStart w:id="38" w:name="_Toc353825548"/>
      <w:r/>
      <w:bookmarkStart w:id="39" w:name="_Toc353873938"/>
      <w:r/>
      <w:bookmarkStart w:id="40" w:name="_Toc512937850"/>
      <w:r/>
      <w:bookmarkStart w:id="41" w:name="_Toc127151777"/>
      <w:r/>
      <w:bookmarkStart w:id="42" w:name="_Toc305158854"/>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 xml:space="preserve">常州市新北区罗溪镇人民政府</w:t>
      </w:r>
      <w:r>
        <w:rPr>
          <w:rFonts w:hint="eastAsia" w:ascii="宋体" w:hAnsi="宋体" w:cs="宋体"/>
          <w:color w:val="auto"/>
          <w:sz w:val="24"/>
          <w:highlight w:val="none"/>
          <w:u w:val="single"/>
          <w:lang w:bidi="ar"/>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常州市新北区罗溪镇通达路99号</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cs="宋体"/>
          <w:color w:val="auto"/>
          <w:sz w:val="24"/>
          <w:highlight w:val="none"/>
          <w:u w:val="single"/>
          <w:lang w:val="en-US" w:eastAsia="zh-CN" w:bidi="ar"/>
        </w:rPr>
        <w:t xml:space="preserve">姚</w:t>
      </w:r>
      <w:r>
        <w:rPr>
          <w:rFonts w:hint="eastAsia" w:ascii="宋体" w:hAnsi="宋体" w:eastAsia="宋体" w:cs="宋体"/>
          <w:color w:val="auto"/>
          <w:sz w:val="24"/>
          <w:highlight w:val="none"/>
          <w:u w:val="single"/>
          <w:lang w:val="zh-TW" w:bidi="ar"/>
        </w:rPr>
        <w:t xml:space="preserve">先生、0519-83815802</w:t>
      </w:r>
      <w:r>
        <w:rPr>
          <w:rFonts w:hint="eastAsia" w:ascii="宋体" w:hAnsi="宋体" w:eastAsia="宋体" w:cs="宋体"/>
          <w:color w:val="auto"/>
          <w:sz w:val="24"/>
          <w:highlight w:val="none"/>
          <w:lang w:val="zh-TW"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单馨莹</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 xml:space="preserve">1</w:t>
      </w:r>
      <w:r>
        <w:rPr>
          <w:rFonts w:hint="eastAsia" w:ascii="宋体" w:hAnsi="宋体" w:cs="宋体"/>
          <w:color w:val="auto"/>
          <w:sz w:val="24"/>
          <w:highlight w:val="none"/>
          <w:u w:val="single"/>
          <w:lang w:val="zh-TW" w:bidi="ar"/>
        </w:rPr>
        <w:t xml:space="preserve">）</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ascii="宋体" w:hAnsi="宋体" w:cs="宋体"/>
          <w:color w:val="auto"/>
          <w:sz w:val="24"/>
          <w:highlight w:val="none"/>
          <w:lang w:val="zh-TW" w:bidi="ar"/>
        </w:rPr>
      </w:r>
      <w:r/>
    </w:p>
    <w:p>
      <w:pPr>
        <w:jc w:val="center"/>
        <w:spacing w:line="360" w:lineRule="auto"/>
        <w:rPr>
          <w:rFonts w:ascii="宋体" w:hAnsi="宋体" w:cs="宋体"/>
          <w:color w:val="auto"/>
          <w:sz w:val="24"/>
          <w:highlight w:val="none"/>
        </w:rPr>
        <w:sectPr>
          <w:headerReference w:type="default" r:id="rId9"/>
          <w:headerReference w:type="first" r:id="rId10"/>
          <w:footerReference w:type="default" r:id="rId19"/>
          <w:footerReference w:type="first" r:id="rId20"/>
          <w:footnotePr/>
          <w:endnotePr/>
          <w:type w:val="nextColumn"/>
          <w:pgSz w:w="11907" w:h="16840" w:orient="portrait"/>
          <w:pgMar w:top="1418" w:right="1134" w:bottom="1418" w:left="1701" w:header="851" w:footer="851" w:gutter="0"/>
          <w:pgNumType w:start="1"/>
          <w:cols w:num="1" w:sep="0" w:space="720" w:equalWidth="1"/>
          <w:docGrid w:linePitch="360"/>
          <w:titlePg/>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43" w:name="_Toc11085"/>
      <w:r>
        <w:rPr>
          <w:b/>
          <w:color w:val="auto"/>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ascii="宋体" w:hAnsi="宋体"/>
          <w:b/>
          <w:bCs/>
          <w:color w:val="auto"/>
          <w:sz w:val="28"/>
          <w:szCs w:val="28"/>
          <w:highlight w:val="none"/>
        </w:rPr>
      </w:pPr>
      <w:r/>
      <w:bookmarkStart w:id="44" w:name="_Toc151190146"/>
      <w:r/>
      <w:bookmarkStart w:id="45" w:name="_Toc164229214"/>
      <w:r/>
      <w:bookmarkStart w:id="46" w:name="_Toc149720812"/>
      <w:r/>
      <w:bookmarkStart w:id="47" w:name="_Toc226337215"/>
      <w:r/>
      <w:bookmarkStart w:id="48" w:name="_Toc226965792"/>
      <w:r/>
      <w:bookmarkStart w:id="49" w:name="_Toc164608788"/>
      <w:r/>
      <w:bookmarkStart w:id="50" w:name="_Toc127151519"/>
      <w:r/>
      <w:bookmarkStart w:id="51" w:name="_Toc150774619"/>
      <w:r/>
      <w:bookmarkStart w:id="52" w:name="_Toc150509270"/>
      <w:r/>
      <w:bookmarkStart w:id="53" w:name="_Toc164608633"/>
      <w:r/>
      <w:bookmarkStart w:id="54" w:name="_Toc151193907"/>
      <w:r/>
      <w:bookmarkStart w:id="55" w:name="_Toc520356144"/>
      <w:r/>
      <w:bookmarkStart w:id="56" w:name="_Toc142311021"/>
      <w:r/>
      <w:bookmarkStart w:id="57" w:name="_Toc195842884"/>
      <w:r/>
      <w:bookmarkStart w:id="58" w:name="_Toc226309763"/>
      <w:r/>
      <w:bookmarkStart w:id="59" w:name="_Toc164229360"/>
      <w:r/>
      <w:bookmarkStart w:id="60" w:name="_Toc151193833"/>
      <w:r/>
      <w:bookmarkStart w:id="61" w:name="_Toc127151720"/>
      <w:r/>
      <w:bookmarkStart w:id="62" w:name="_Toc151193689"/>
      <w:r/>
      <w:bookmarkStart w:id="63" w:name="_Toc150774724"/>
      <w:r/>
      <w:bookmarkStart w:id="64" w:name="_Toc164351613"/>
      <w:r/>
      <w:bookmarkStart w:id="65" w:name="_Toc150480757"/>
      <w:r/>
      <w:bookmarkStart w:id="66" w:name="_Toc127161433"/>
      <w:r/>
      <w:bookmarkStart w:id="67" w:name="_Toc151193761"/>
      <w:r/>
      <w:bookmarkStart w:id="68" w:name="_Toc226965709"/>
      <w:r/>
      <w:bookmarkStart w:id="69" w:name="_Toc151193617"/>
      <w:r>
        <w:rPr>
          <w:rFonts w:hint="eastAsia" w:ascii="宋体" w:hAnsi="宋体"/>
          <w:b/>
          <w:bCs/>
          <w:color w:val="auto"/>
          <w:sz w:val="28"/>
          <w:szCs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本表是对投标人须知的具体补充和修改，如有矛盾，均以本资料表为准。</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标记“■”的选项意为适用于本项目，标记“□”的选项意为不适用于本项目。</w:t>
      </w:r>
      <w:r/>
    </w:p>
    <w:tbl>
      <w:tblPr>
        <w:tblStyle w:val="11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1028"/>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tc>
      </w:tr>
      <w:tr>
        <w:trPr>
          <w:jc w:val="center"/>
          <w:trHeight w:val="1058"/>
        </w:trPr>
        <w:tc>
          <w:tcPr>
            <w:tcW w:w="988" w:type="dxa"/>
            <w:vAlign w:val="center"/>
            <w:vMerge w:val="restart"/>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1135"/>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1073"/>
        </w:trPr>
        <w:tc>
          <w:tcPr>
            <w:tcW w:w="988" w:type="dxa"/>
            <w:vAlign w:val="center"/>
            <w:vMerge w:val="continue"/>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80"/>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lang w:val="en-US" w:eastAsia="zh-CN" w:bidi="ar"/>
              </w:rPr>
              <w:t xml:space="preserve">其他未列明行业</w:t>
            </w:r>
            <w:r/>
          </w:p>
        </w:tc>
      </w:tr>
      <w:tr>
        <w:trPr>
          <w:jc w:val="center"/>
          <w:trHeight w:val="1118"/>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496"/>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511"/>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37"/>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821"/>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22</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 xml:space="preserve">。</w:t>
            </w:r>
            <w:r/>
          </w:p>
        </w:tc>
      </w:tr>
      <w:tr>
        <w:trPr>
          <w:jc w:val="center"/>
          <w:trHeight w:val="1340"/>
        </w:trPr>
        <w:tc>
          <w:tcPr>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单馨莹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 xml:space="preserve">。</w:t>
            </w:r>
            <w:r/>
          </w:p>
        </w:tc>
      </w:tr>
      <w:tr>
        <w:trPr>
          <w:jc w:val="center"/>
          <w:trHeight w:val="389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13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收费对象：</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收费比例按差额定率分档累进法计算，收费差额费率：中标金额在100万元(含)以下的为1.5%，中标金额在100万元（不含）至500万元（含）的为0.8%，</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金额在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00万元（不含）至</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00万元（含）的为0.</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lang w:eastAsia="zh-CN"/>
              </w:rPr>
              <w:t xml:space="preserve">%，中标服务收费按上述计算方法</w:t>
            </w:r>
            <w:r>
              <w:rPr>
                <w:rFonts w:hint="eastAsia" w:ascii="宋体" w:hAnsi="宋体" w:eastAsia="宋体" w:cs="宋体"/>
                <w:color w:val="auto"/>
                <w:sz w:val="24"/>
                <w:highlight w:val="none"/>
                <w:lang w:val="en-US" w:eastAsia="zh-CN"/>
              </w:rPr>
              <w:t xml:space="preserve">收取，</w:t>
            </w:r>
            <w:r>
              <w:rPr>
                <w:rFonts w:hint="eastAsia" w:ascii="宋体" w:hAnsi="宋体" w:eastAsia="宋体" w:cs="宋体"/>
                <w:color w:val="auto"/>
                <w:sz w:val="24"/>
                <w:highlight w:val="none"/>
                <w:lang w:eastAsia="zh-CN"/>
              </w:rPr>
              <w:t xml:space="preserve">不足人民币3000元的，按人民币3000元收取 。</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收款单位：江苏尚阳工程管理有限公司</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银行账号：406010100100626575</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开户银行：兴业银行股份有限公司常州分行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代理服务费支付说明及原因：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1.支付依据：根据《政府采购代理机构管理暂行办法》第十五条规定，代理费用可以由中标、成交供应商支付。本项目经采购人与采购代理机构在《委托代理协议》中约定，代理服务费由中标/成交供应商支付。</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2.定价原则：本项目代理服务费遵循市场调节原则，由采购人与代理机构根据项目特点、服务成本及市场行情协商确定收费标准。</w:t>
            </w:r>
            <w:r/>
          </w:p>
          <w:p>
            <w:pPr>
              <w:jc w:val="left"/>
              <w:rPr>
                <w:rFonts w:hint="eastAsia" w:ascii="宋体" w:hAnsi="宋体" w:cs="宋体"/>
                <w:color w:val="auto"/>
                <w:sz w:val="24"/>
                <w:highlight w:val="none"/>
                <w:u w:val="single"/>
              </w:rPr>
            </w:pPr>
            <w:r>
              <w:rPr>
                <w:rFonts w:hint="eastAsia" w:ascii="宋体" w:hAnsi="宋体" w:eastAsia="宋体" w:cs="宋体"/>
                <w:color w:val="auto"/>
                <w:sz w:val="24"/>
                <w:highlight w:val="none"/>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bl>
    <w:p>
      <w:pPr>
        <w:jc w:val="both"/>
        <w:spacing w:line="360" w:lineRule="auto"/>
        <w:tabs>
          <w:tab w:val="left" w:pos="5580" w:leader="none"/>
        </w:tabs>
        <w:rPr>
          <w:color w:val="auto"/>
          <w:sz w:val="24"/>
          <w:highlight w:val="none"/>
        </w:rPr>
        <w:sectPr>
          <w:headerReference w:type="default" r:id="rId11"/>
          <w:headerReference w:type="first" r:id="rId12"/>
          <w:footerReference w:type="default" r:id="rId21"/>
          <w:footerReference w:type="first" r:id="rId22"/>
          <w:footnotePr/>
          <w:endnotePr/>
          <w:type w:val="nextColumn"/>
          <w:pgSz w:w="11907" w:h="16840" w:orient="portrait"/>
          <w:pgMar w:top="1418" w:right="1134" w:bottom="1418" w:left="1701" w:header="851" w:footer="851" w:gutter="0"/>
          <w:cols w:num="1" w:sep="0" w:space="720" w:equalWidth="1"/>
          <w:docGrid w:linePitch="360"/>
          <w:titlePg/>
        </w:sectPr>
      </w:pPr>
      <w:r>
        <w:rPr>
          <w:color w:val="auto"/>
          <w:sz w:val="24"/>
          <w:highlight w:val="none"/>
        </w:rPr>
      </w:r>
      <w:r/>
    </w:p>
    <w:p>
      <w:pPr>
        <w:jc w:val="center"/>
        <w:spacing w:before="312" w:after="312"/>
        <w:rPr>
          <w:b/>
          <w:color w:val="auto"/>
          <w:sz w:val="28"/>
          <w:szCs w:val="28"/>
          <w:highlight w:val="none"/>
        </w:rPr>
      </w:pPr>
      <w:r/>
      <w:bookmarkStart w:id="70" w:name="_Toc353873662"/>
      <w:r/>
      <w:bookmarkStart w:id="71" w:name="_Toc150774722"/>
      <w:r/>
      <w:bookmarkStart w:id="72" w:name="_Toc150480755"/>
      <w:r/>
      <w:bookmarkStart w:id="73" w:name="_Toc264969207"/>
      <w:r/>
      <w:bookmarkStart w:id="74" w:name="_Toc195842882"/>
      <w:r/>
      <w:bookmarkStart w:id="75" w:name="_Toc127151517"/>
      <w:r/>
      <w:bookmarkStart w:id="76" w:name="_Toc226965790"/>
      <w:r/>
      <w:bookmarkStart w:id="77" w:name="_Toc305158785"/>
      <w:r/>
      <w:bookmarkStart w:id="78" w:name="_Toc305158859"/>
      <w:r/>
      <w:bookmarkStart w:id="79" w:name="_Toc142311019"/>
      <w:r/>
      <w:bookmarkStart w:id="80" w:name="_Toc265228355"/>
      <w:r/>
      <w:bookmarkStart w:id="81" w:name="_Toc353825542"/>
      <w:r/>
      <w:bookmarkStart w:id="82" w:name="_Toc353873932"/>
      <w:r/>
      <w:bookmarkStart w:id="83" w:name="_Toc226337213"/>
      <w:r>
        <w:rPr>
          <w:b/>
          <w:color w:val="auto"/>
          <w:sz w:val="28"/>
          <w:szCs w:val="28"/>
          <w:highlight w:val="none"/>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jc w:val="center"/>
        <w:spacing w:line="360" w:lineRule="auto"/>
        <w:rPr>
          <w:rFonts w:ascii="宋体" w:hAnsi="宋体"/>
          <w:b/>
          <w:bCs/>
          <w:color w:val="auto"/>
          <w:sz w:val="28"/>
          <w:szCs w:val="28"/>
          <w:highlight w:val="none"/>
        </w:rPr>
      </w:pPr>
      <w:r/>
      <w:bookmarkStart w:id="84" w:name="_Toc226965791"/>
      <w:r/>
      <w:bookmarkStart w:id="85" w:name="_Toc151193688"/>
      <w:r/>
      <w:bookmarkStart w:id="86" w:name="_Toc150774618"/>
      <w:r/>
      <w:bookmarkStart w:id="87" w:name="_Toc226337214"/>
      <w:r/>
      <w:bookmarkStart w:id="88" w:name="_Toc264969208"/>
      <w:r/>
      <w:bookmarkStart w:id="89" w:name="_Toc520356143"/>
      <w:r/>
      <w:bookmarkStart w:id="90" w:name="_Toc150509269"/>
      <w:r/>
      <w:bookmarkStart w:id="91" w:name="_Toc142311020"/>
      <w:r/>
      <w:bookmarkStart w:id="92" w:name="_Toc151193760"/>
      <w:r/>
      <w:bookmarkStart w:id="93" w:name="_Toc151193832"/>
      <w:r/>
      <w:bookmarkStart w:id="94" w:name="_Toc265228356"/>
      <w:r/>
      <w:bookmarkStart w:id="95" w:name="_Toc305158786"/>
      <w:r/>
      <w:bookmarkStart w:id="96" w:name="_Toc127151518"/>
      <w:r/>
      <w:bookmarkStart w:id="97" w:name="_Toc150480756"/>
      <w:r/>
      <w:bookmarkStart w:id="98" w:name="_Toc151190145"/>
      <w:r/>
      <w:bookmarkStart w:id="99" w:name="_Toc150774723"/>
      <w:r/>
      <w:bookmarkStart w:id="100" w:name="_Toc151193906"/>
      <w:r/>
      <w:bookmarkStart w:id="101" w:name="_Toc305158860"/>
      <w:r/>
      <w:bookmarkStart w:id="102" w:name="_Toc226965708"/>
      <w:r/>
      <w:bookmarkStart w:id="103" w:name="_Toc195842883"/>
      <w:r/>
      <w:bookmarkStart w:id="104" w:name="_Toc226309762"/>
      <w:r/>
      <w:bookmarkStart w:id="105" w:name="_Toc151193616"/>
      <w:r>
        <w:rPr>
          <w:rFonts w:hint="eastAsia" w:ascii="宋体" w:hAnsi="宋体"/>
          <w:b/>
          <w:bCs/>
          <w:color w:val="auto"/>
          <w:sz w:val="28"/>
          <w:szCs w:val="28"/>
          <w:highlight w:val="none"/>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06" w:name="_Toc265228357"/>
      <w:r/>
      <w:bookmarkStart w:id="107" w:name="_Toc305158787"/>
      <w:r/>
      <w:bookmarkStart w:id="108" w:name="_Toc264969209"/>
      <w:r/>
      <w:bookmarkStart w:id="109" w:name="_Toc305158861"/>
      <w:r>
        <w:rPr>
          <w:rFonts w:hint="eastAsia" w:ascii="宋体" w:hAnsi="宋体" w:cs="宋体"/>
          <w:color w:val="auto"/>
          <w:sz w:val="24"/>
          <w:highlight w:val="none"/>
        </w:rPr>
        <w:t xml:space="preserve">采购人、采购代理机构、投标人</w:t>
      </w:r>
      <w:bookmarkEnd w:id="106"/>
      <w:r/>
      <w:bookmarkEnd w:id="107"/>
      <w:r/>
      <w:bookmarkEnd w:id="108"/>
      <w:r/>
      <w:bookmarkEnd w:id="10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10" w:name="_Toc151193762"/>
      <w:r/>
      <w:bookmarkStart w:id="111" w:name="_Toc150774725"/>
      <w:r/>
      <w:bookmarkStart w:id="112" w:name="_Toc226337216"/>
      <w:r/>
      <w:bookmarkStart w:id="113" w:name="_Toc150509271"/>
      <w:r/>
      <w:bookmarkStart w:id="114" w:name="_Toc142311022"/>
      <w:r/>
      <w:bookmarkStart w:id="115" w:name="_Toc305158862"/>
      <w:r/>
      <w:bookmarkStart w:id="116" w:name="_Toc265228358"/>
      <w:r/>
      <w:bookmarkStart w:id="117" w:name="_Toc164608789"/>
      <w:r/>
      <w:bookmarkStart w:id="118" w:name="_Toc164229215"/>
      <w:r/>
      <w:bookmarkStart w:id="119" w:name="_Toc151193618"/>
      <w:r/>
      <w:bookmarkStart w:id="120" w:name="_Toc151193834"/>
      <w:r/>
      <w:bookmarkStart w:id="121" w:name="_Toc264969210"/>
      <w:r/>
      <w:bookmarkStart w:id="122" w:name="_Toc150480758"/>
      <w:r/>
      <w:bookmarkStart w:id="123" w:name="_Toc151193908"/>
      <w:r/>
      <w:bookmarkStart w:id="124" w:name="_Toc164351614"/>
      <w:r/>
      <w:bookmarkStart w:id="125" w:name="_Toc127161434"/>
      <w:r/>
      <w:bookmarkStart w:id="126" w:name="_Toc164608634"/>
      <w:r/>
      <w:bookmarkStart w:id="127" w:name="_Toc195842885"/>
      <w:r/>
      <w:bookmarkStart w:id="128" w:name="_Toc305158788"/>
      <w:r/>
      <w:bookmarkStart w:id="129" w:name="_Toc149720813"/>
      <w:r/>
      <w:bookmarkStart w:id="130" w:name="_Toc226965710"/>
      <w:r/>
      <w:bookmarkStart w:id="131" w:name="_Toc127151520"/>
      <w:r/>
      <w:bookmarkStart w:id="132" w:name="_Toc226309764"/>
      <w:r/>
      <w:bookmarkStart w:id="133" w:name="_Toc164229361"/>
      <w:r/>
      <w:bookmarkStart w:id="134" w:name="_Toc151190147"/>
      <w:r/>
      <w:bookmarkStart w:id="135" w:name="_Toc226965793"/>
      <w:r/>
      <w:bookmarkStart w:id="136" w:name="_Toc127151721"/>
      <w:r/>
      <w:bookmarkStart w:id="137" w:name="_Toc151193690"/>
      <w:r/>
      <w:bookmarkStart w:id="138" w:name="_Toc150774620"/>
      <w:r>
        <w:rPr>
          <w:rFonts w:hint="eastAsia" w:ascii="宋体" w:hAnsi="宋体" w:cs="宋体"/>
          <w:color w:val="auto"/>
          <w:sz w:val="24"/>
          <w:highlight w:val="none"/>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cs="宋体"/>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核心产品见《投标人须知资料表》。（本项目不涉及）</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39" w:name="_Toc264969212"/>
      <w:r/>
      <w:bookmarkStart w:id="140" w:name="_Toc151193764"/>
      <w:r/>
      <w:bookmarkStart w:id="141" w:name="_Toc142311024"/>
      <w:r/>
      <w:bookmarkStart w:id="142" w:name="_Toc151193620"/>
      <w:r/>
      <w:bookmarkStart w:id="143" w:name="_Toc226337218"/>
      <w:r/>
      <w:bookmarkStart w:id="144" w:name="_Toc195842887"/>
      <w:r/>
      <w:bookmarkStart w:id="145" w:name="_Toc265228360"/>
      <w:r/>
      <w:bookmarkStart w:id="146" w:name="_Toc226965795"/>
      <w:r/>
      <w:bookmarkStart w:id="147" w:name="_Toc305158864"/>
      <w:r/>
      <w:bookmarkStart w:id="148" w:name="_Toc150480760"/>
      <w:r/>
      <w:bookmarkStart w:id="149" w:name="_Toc150774727"/>
      <w:r/>
      <w:bookmarkStart w:id="150" w:name="_Toc151190149"/>
      <w:r/>
      <w:bookmarkStart w:id="151" w:name="_Toc151193692"/>
      <w:r/>
      <w:bookmarkStart w:id="152" w:name="_Toc150509273"/>
      <w:r/>
      <w:bookmarkStart w:id="153" w:name="_Toc150774622"/>
      <w:r/>
      <w:bookmarkStart w:id="154" w:name="_Toc151193836"/>
      <w:r/>
      <w:bookmarkStart w:id="155" w:name="_Toc127151522"/>
      <w:r/>
      <w:bookmarkStart w:id="156" w:name="_Toc151193910"/>
      <w:r/>
      <w:bookmarkStart w:id="157" w:name="_Toc305158790"/>
      <w:r/>
      <w:bookmarkStart w:id="158" w:name="_Toc226309766"/>
      <w:r/>
      <w:bookmarkStart w:id="159" w:name="_Toc520356146"/>
      <w:r/>
      <w:bookmarkStart w:id="160" w:name="_Toc226965712"/>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样品（本项目不涉及）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222"/>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222"/>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22"/>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61" w:name="_1.8_计量单位"/>
      <w:r/>
      <w:bookmarkEnd w:id="161"/>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162" w:name="_Toc150774728"/>
      <w:r/>
      <w:bookmarkStart w:id="163" w:name="_Toc151193837"/>
      <w:r/>
      <w:bookmarkStart w:id="164" w:name="_Toc265228361"/>
      <w:r/>
      <w:bookmarkStart w:id="165" w:name="_Toc164229218"/>
      <w:r/>
      <w:bookmarkStart w:id="166" w:name="_Toc151193693"/>
      <w:r/>
      <w:bookmarkStart w:id="167" w:name="_Toc226309767"/>
      <w:r/>
      <w:bookmarkStart w:id="168" w:name="_Toc151193765"/>
      <w:r/>
      <w:bookmarkStart w:id="169" w:name="_Toc127151523"/>
      <w:r/>
      <w:bookmarkStart w:id="170" w:name="_Toc164351617"/>
      <w:r/>
      <w:bookmarkStart w:id="171" w:name="_Toc520356147"/>
      <w:r/>
      <w:bookmarkStart w:id="172" w:name="_Toc195842888"/>
      <w:r/>
      <w:bookmarkStart w:id="173" w:name="_Toc149720816"/>
      <w:r/>
      <w:bookmarkStart w:id="174" w:name="_Toc226965796"/>
      <w:r/>
      <w:bookmarkStart w:id="175" w:name="_Toc164608637"/>
      <w:r/>
      <w:bookmarkStart w:id="176" w:name="_Toc305158791"/>
      <w:r/>
      <w:bookmarkStart w:id="177" w:name="_Toc264969213"/>
      <w:r/>
      <w:bookmarkStart w:id="178" w:name="_Toc164608792"/>
      <w:r/>
      <w:bookmarkStart w:id="179" w:name="_Toc150480761"/>
      <w:r/>
      <w:bookmarkStart w:id="180" w:name="_Toc305158865"/>
      <w:r/>
      <w:bookmarkStart w:id="181" w:name="_Toc127151724"/>
      <w:r/>
      <w:bookmarkStart w:id="182" w:name="_Toc151193911"/>
      <w:r/>
      <w:bookmarkStart w:id="183" w:name="_Toc142311025"/>
      <w:r/>
      <w:bookmarkStart w:id="184" w:name="_Toc150509274"/>
      <w:r/>
      <w:bookmarkStart w:id="185" w:name="_Toc151190150"/>
      <w:r/>
      <w:bookmarkStart w:id="186" w:name="_Toc150774623"/>
      <w:r/>
      <w:bookmarkStart w:id="187" w:name="_Toc164229364"/>
      <w:r/>
      <w:bookmarkStart w:id="188" w:name="_Toc127161437"/>
      <w:r/>
      <w:bookmarkStart w:id="189" w:name="_Toc226337219"/>
      <w:r/>
      <w:bookmarkStart w:id="190" w:name="_Toc226965713"/>
      <w:r/>
      <w:bookmarkStart w:id="191" w:name="_Toc151193621"/>
      <w:r>
        <w:rPr>
          <w:rFonts w:hint="eastAsia" w:ascii="宋体" w:hAnsi="宋体" w:cs="宋体"/>
          <w:color w:val="auto"/>
          <w:sz w:val="24"/>
          <w:highlight w:val="none"/>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spacing w:line="360" w:lineRule="auto"/>
        <w:rPr>
          <w:rFonts w:ascii="宋体" w:hAnsi="宋体"/>
          <w:b/>
          <w:bCs/>
          <w:color w:val="auto"/>
          <w:sz w:val="28"/>
          <w:szCs w:val="28"/>
          <w:highlight w:val="none"/>
        </w:rPr>
      </w:pPr>
      <w:r/>
      <w:bookmarkStart w:id="192" w:name="_Toc516367020"/>
      <w:r/>
      <w:bookmarkStart w:id="193" w:name="_Toc151193840"/>
      <w:r/>
      <w:bookmarkStart w:id="194" w:name="_Toc226309770"/>
      <w:r/>
      <w:bookmarkStart w:id="195" w:name="_Toc151193914"/>
      <w:r/>
      <w:bookmarkStart w:id="196" w:name="_Toc150509277"/>
      <w:r/>
      <w:bookmarkStart w:id="197" w:name="_Toc150774626"/>
      <w:r/>
      <w:bookmarkStart w:id="198" w:name="_Toc151193624"/>
      <w:r/>
      <w:bookmarkStart w:id="199" w:name="_Toc265228364"/>
      <w:r/>
      <w:bookmarkStart w:id="200" w:name="_Toc150774731"/>
      <w:r/>
      <w:bookmarkStart w:id="201" w:name="_Toc151190153"/>
      <w:r/>
      <w:bookmarkStart w:id="202" w:name="_Toc127151526"/>
      <w:r/>
      <w:bookmarkStart w:id="203" w:name="_Toc226337222"/>
      <w:r/>
      <w:bookmarkStart w:id="204" w:name="_Toc520356150"/>
      <w:r/>
      <w:bookmarkStart w:id="205" w:name="_Toc305158868"/>
      <w:r/>
      <w:bookmarkStart w:id="206" w:name="_Toc264969216"/>
      <w:r/>
      <w:bookmarkStart w:id="207" w:name="_Toc151193768"/>
      <w:r/>
      <w:bookmarkStart w:id="208" w:name="_Toc305158794"/>
      <w:r/>
      <w:bookmarkStart w:id="209" w:name="_Toc226965799"/>
      <w:r/>
      <w:bookmarkStart w:id="210" w:name="_Toc151193696"/>
      <w:r/>
      <w:bookmarkStart w:id="211" w:name="_Toc150480764"/>
      <w:r/>
      <w:bookmarkStart w:id="212" w:name="_Toc226965716"/>
      <w:r/>
      <w:bookmarkStart w:id="213" w:name="_Toc142311028"/>
      <w:r/>
      <w:bookmarkStart w:id="214" w:name="_Toc195842891"/>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投标文件</w:t>
      </w:r>
      <w:bookmarkEnd w:id="192"/>
      <w:r>
        <w:rPr>
          <w:rFonts w:hint="eastAsia" w:ascii="宋体" w:hAnsi="宋体"/>
          <w:b/>
          <w:bCs/>
          <w:color w:val="auto"/>
          <w:sz w:val="28"/>
          <w:szCs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15" w:name="_Toc151193915"/>
      <w:r/>
      <w:bookmarkStart w:id="216" w:name="_Toc164608796"/>
      <w:r/>
      <w:bookmarkStart w:id="217" w:name="_Toc150774732"/>
      <w:r/>
      <w:bookmarkStart w:id="218" w:name="_Toc226965717"/>
      <w:r/>
      <w:bookmarkStart w:id="219" w:name="_Toc516367021"/>
      <w:r/>
      <w:bookmarkStart w:id="220" w:name="_Toc150774627"/>
      <w:r/>
      <w:bookmarkStart w:id="221" w:name="_Toc164608641"/>
      <w:r/>
      <w:bookmarkStart w:id="222" w:name="_Toc151193841"/>
      <w:r/>
      <w:bookmarkStart w:id="223" w:name="_Toc164351621"/>
      <w:r/>
      <w:bookmarkStart w:id="224" w:name="_Toc149720820"/>
      <w:r/>
      <w:bookmarkStart w:id="225" w:name="_Toc520356151"/>
      <w:r/>
      <w:bookmarkStart w:id="226" w:name="_Toc226337223"/>
      <w:r/>
      <w:bookmarkStart w:id="227" w:name="_Toc151190154"/>
      <w:r/>
      <w:bookmarkStart w:id="228" w:name="_Toc150509278"/>
      <w:r/>
      <w:bookmarkStart w:id="229" w:name="_Toc305158869"/>
      <w:r/>
      <w:bookmarkStart w:id="230" w:name="_Toc151193697"/>
      <w:r/>
      <w:bookmarkStart w:id="231" w:name="_Toc265228365"/>
      <w:r/>
      <w:bookmarkStart w:id="232" w:name="_Toc226309771"/>
      <w:r/>
      <w:bookmarkStart w:id="233" w:name="_Toc305158795"/>
      <w:r/>
      <w:bookmarkStart w:id="234" w:name="_Toc142311029"/>
      <w:r/>
      <w:bookmarkStart w:id="235" w:name="_Toc164229368"/>
      <w:r/>
      <w:bookmarkStart w:id="236" w:name="_Toc195842892"/>
      <w:r/>
      <w:bookmarkStart w:id="237" w:name="_Toc164229222"/>
      <w:r/>
      <w:bookmarkStart w:id="238" w:name="_Toc151193769"/>
      <w:r/>
      <w:bookmarkStart w:id="239" w:name="_Toc127151728"/>
      <w:r/>
      <w:bookmarkStart w:id="240" w:name="_Toc151193625"/>
      <w:r/>
      <w:bookmarkStart w:id="241" w:name="_Toc127151527"/>
      <w:r/>
      <w:bookmarkStart w:id="242" w:name="_Toc150480765"/>
      <w:r/>
      <w:bookmarkStart w:id="243" w:name="_Toc264969217"/>
      <w:r/>
      <w:bookmarkStart w:id="244" w:name="_Toc127161441"/>
      <w:r/>
      <w:bookmarkStart w:id="245" w:name="_Toc226965800"/>
      <w:r>
        <w:rPr>
          <w:rFonts w:hint="eastAsia" w:ascii="宋体" w:hAnsi="宋体" w:cs="宋体"/>
          <w:color w:val="auto"/>
          <w:sz w:val="24"/>
          <w:highlight w:val="none"/>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46" w:name="_Toc516367022"/>
      <w:r/>
      <w:bookmarkStart w:id="247" w:name="_Ref467306195"/>
      <w:r/>
      <w:bookmarkStart w:id="248" w:name="_Ref467306676"/>
      <w:r/>
      <w:bookmarkStart w:id="249" w:name="_Toc195842893"/>
      <w:r/>
      <w:bookmarkStart w:id="250" w:name="_Toc151193842"/>
      <w:r/>
      <w:bookmarkStart w:id="251" w:name="_Toc164229223"/>
      <w:r/>
      <w:bookmarkStart w:id="252" w:name="_Toc127151729"/>
      <w:r/>
      <w:bookmarkStart w:id="253" w:name="_Toc226965801"/>
      <w:r/>
      <w:bookmarkStart w:id="254" w:name="_Toc149720821"/>
      <w:r/>
      <w:bookmarkStart w:id="255" w:name="_Toc150774628"/>
      <w:r/>
      <w:bookmarkStart w:id="256" w:name="_Toc151190155"/>
      <w:r/>
      <w:bookmarkStart w:id="257" w:name="_Toc164608642"/>
      <w:r/>
      <w:bookmarkStart w:id="258" w:name="_Toc151193698"/>
      <w:r/>
      <w:bookmarkStart w:id="259" w:name="_Toc151193916"/>
      <w:r/>
      <w:bookmarkStart w:id="260" w:name="_Toc226965718"/>
      <w:r/>
      <w:bookmarkStart w:id="261" w:name="_Toc164229369"/>
      <w:r/>
      <w:bookmarkStart w:id="262" w:name="_Toc142311030"/>
      <w:r/>
      <w:bookmarkStart w:id="263" w:name="_Toc305158870"/>
      <w:r/>
      <w:bookmarkStart w:id="264" w:name="_Toc265228366"/>
      <w:r/>
      <w:bookmarkStart w:id="265" w:name="_Toc150480766"/>
      <w:r/>
      <w:bookmarkStart w:id="266" w:name="_Toc151193770"/>
      <w:r/>
      <w:bookmarkStart w:id="267" w:name="_Toc150509279"/>
      <w:r/>
      <w:bookmarkStart w:id="268" w:name="_Toc127161442"/>
      <w:r/>
      <w:bookmarkStart w:id="269" w:name="_Toc305158796"/>
      <w:r/>
      <w:bookmarkStart w:id="270" w:name="_Toc226337224"/>
      <w:r/>
      <w:bookmarkStart w:id="271" w:name="_Toc520356152"/>
      <w:r/>
      <w:bookmarkStart w:id="272" w:name="_Toc151193626"/>
      <w:r/>
      <w:bookmarkStart w:id="273" w:name="_Toc150774733"/>
      <w:r/>
      <w:bookmarkStart w:id="274" w:name="_Toc164608797"/>
      <w:r/>
      <w:bookmarkStart w:id="275" w:name="_Toc226309772"/>
      <w:r/>
      <w:bookmarkStart w:id="276" w:name="_Toc127151528"/>
      <w:r/>
      <w:bookmarkStart w:id="277" w:name="_Toc164351622"/>
      <w:r/>
      <w:bookmarkStart w:id="278" w:name="_Toc264969218"/>
      <w:r>
        <w:rPr>
          <w:rFonts w:hint="eastAsia" w:ascii="宋体" w:hAnsi="宋体" w:cs="宋体"/>
          <w:color w:val="auto"/>
          <w:sz w:val="24"/>
          <w:highlight w:val="none"/>
        </w:rPr>
        <w:t xml:space="preserve">投标文件</w:t>
      </w:r>
      <w:bookmarkEnd w:id="246"/>
      <w:r/>
      <w:bookmarkEnd w:id="247"/>
      <w:r/>
      <w:bookmarkEnd w:id="248"/>
      <w:r>
        <w:rPr>
          <w:rFonts w:hint="eastAsia" w:ascii="宋体" w:hAnsi="宋体" w:cs="宋体"/>
          <w:color w:val="auto"/>
          <w:sz w:val="24"/>
          <w:highlight w:val="none"/>
        </w:rPr>
        <w:t xml:space="preserve">构成</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279"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79"/>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80" w:name="_Toc151193918"/>
      <w:r/>
      <w:bookmarkStart w:id="281" w:name="_Toc127151530"/>
      <w:r/>
      <w:bookmarkStart w:id="282" w:name="_Toc150774630"/>
      <w:r/>
      <w:bookmarkStart w:id="283" w:name="_Toc127161444"/>
      <w:r/>
      <w:bookmarkStart w:id="284" w:name="_Toc164608799"/>
      <w:r/>
      <w:bookmarkStart w:id="285" w:name="_Toc164351624"/>
      <w:r/>
      <w:bookmarkStart w:id="286" w:name="_Toc195842895"/>
      <w:r/>
      <w:bookmarkStart w:id="287" w:name="_Toc151190157"/>
      <w:r/>
      <w:bookmarkStart w:id="288" w:name="_Toc164608644"/>
      <w:r/>
      <w:bookmarkStart w:id="289" w:name="_Toc151193700"/>
      <w:r/>
      <w:bookmarkStart w:id="290" w:name="_Toc164229225"/>
      <w:r/>
      <w:bookmarkStart w:id="291" w:name="_Toc149720823"/>
      <w:r/>
      <w:bookmarkStart w:id="292" w:name="_Toc151193772"/>
      <w:r/>
      <w:bookmarkStart w:id="293" w:name="_Toc150480768"/>
      <w:r/>
      <w:bookmarkStart w:id="294" w:name="_Toc150774735"/>
      <w:r/>
      <w:bookmarkStart w:id="295" w:name="_Toc164229371"/>
      <w:r/>
      <w:bookmarkStart w:id="296" w:name="_Toc520356155"/>
      <w:r/>
      <w:bookmarkStart w:id="297" w:name="_Toc151193844"/>
      <w:r/>
      <w:bookmarkStart w:id="298" w:name="_Toc150509281"/>
      <w:r/>
      <w:bookmarkStart w:id="299" w:name="_Toc151193628"/>
      <w:r/>
      <w:bookmarkStart w:id="300" w:name="_Toc142311032"/>
      <w:r/>
      <w:bookmarkStart w:id="301" w:name="_Toc127151731"/>
      <w:r>
        <w:rPr>
          <w:rFonts w:hint="eastAsia" w:ascii="宋体" w:hAnsi="宋体" w:cs="宋体"/>
          <w:color w:val="auto"/>
          <w:sz w:val="24"/>
          <w:highlight w:val="none"/>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02" w:name="_Toc151193701"/>
      <w:r/>
      <w:bookmarkStart w:id="303" w:name="_Toc305158799"/>
      <w:r/>
      <w:bookmarkStart w:id="304" w:name="_Toc226309775"/>
      <w:r/>
      <w:bookmarkStart w:id="305" w:name="_Toc150774631"/>
      <w:r/>
      <w:bookmarkStart w:id="306" w:name="_Toc151193919"/>
      <w:r/>
      <w:bookmarkStart w:id="307" w:name="_Toc127161445"/>
      <w:r/>
      <w:bookmarkStart w:id="308" w:name="_Toc142311033"/>
      <w:r/>
      <w:bookmarkStart w:id="309" w:name="_Toc149720824"/>
      <w:r/>
      <w:bookmarkStart w:id="310" w:name="_Toc520356156"/>
      <w:r/>
      <w:bookmarkStart w:id="311" w:name="_Toc164608800"/>
      <w:r/>
      <w:bookmarkStart w:id="312" w:name="_Toc151193845"/>
      <w:r/>
      <w:bookmarkStart w:id="313" w:name="_Toc164608645"/>
      <w:r/>
      <w:bookmarkStart w:id="314" w:name="_Toc127151531"/>
      <w:r/>
      <w:bookmarkStart w:id="315" w:name="_Toc195842896"/>
      <w:r/>
      <w:bookmarkStart w:id="316" w:name="_Toc150480769"/>
      <w:r/>
      <w:bookmarkStart w:id="317" w:name="_Toc151190158"/>
      <w:r/>
      <w:bookmarkStart w:id="318" w:name="_Toc226337227"/>
      <w:r/>
      <w:bookmarkStart w:id="319" w:name="_Toc264969221"/>
      <w:r/>
      <w:bookmarkStart w:id="320" w:name="_Toc151193773"/>
      <w:r/>
      <w:bookmarkStart w:id="321" w:name="_Toc164351625"/>
      <w:r/>
      <w:bookmarkStart w:id="322" w:name="_Toc305158873"/>
      <w:r/>
      <w:bookmarkStart w:id="323" w:name="_Toc164229226"/>
      <w:r/>
      <w:bookmarkStart w:id="324" w:name="_Toc164229372"/>
      <w:r/>
      <w:bookmarkStart w:id="325" w:name="_Ref467306513"/>
      <w:r/>
      <w:bookmarkStart w:id="326" w:name="_Toc226965721"/>
      <w:r/>
      <w:bookmarkStart w:id="327" w:name="_Toc265228369"/>
      <w:r/>
      <w:bookmarkStart w:id="328" w:name="_Toc150509282"/>
      <w:r/>
      <w:bookmarkStart w:id="329" w:name="_Toc151193629"/>
      <w:r/>
      <w:bookmarkStart w:id="330" w:name="_Toc150774736"/>
      <w:r/>
      <w:bookmarkStart w:id="331" w:name="_Toc127151732"/>
      <w:r/>
      <w:bookmarkStart w:id="332" w:name="_Toc226965804"/>
      <w:r>
        <w:rPr>
          <w:rFonts w:hint="eastAsia" w:ascii="宋体" w:hAnsi="宋体" w:cs="宋体"/>
          <w:color w:val="auto"/>
          <w:sz w:val="24"/>
          <w:highlight w:val="none"/>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left="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33" w:name="_Toc164229227"/>
      <w:r/>
      <w:bookmarkStart w:id="334" w:name="_Toc151193774"/>
      <w:r/>
      <w:bookmarkStart w:id="335" w:name="_Toc226337228"/>
      <w:r/>
      <w:bookmarkStart w:id="336" w:name="_Toc150774632"/>
      <w:r/>
      <w:bookmarkStart w:id="337" w:name="_Toc226965722"/>
      <w:r/>
      <w:bookmarkStart w:id="338" w:name="_Toc127151733"/>
      <w:r/>
      <w:bookmarkStart w:id="339" w:name="_Toc151190159"/>
      <w:r/>
      <w:bookmarkStart w:id="340" w:name="_Toc151193702"/>
      <w:r/>
      <w:bookmarkStart w:id="341" w:name="_Toc226965805"/>
      <w:r/>
      <w:bookmarkStart w:id="342" w:name="_Toc150509283"/>
      <w:r/>
      <w:bookmarkStart w:id="343" w:name="_Toc142311034"/>
      <w:r/>
      <w:bookmarkStart w:id="344" w:name="_Toc164608801"/>
      <w:r/>
      <w:bookmarkStart w:id="345" w:name="_Toc265228370"/>
      <w:r/>
      <w:bookmarkStart w:id="346" w:name="_Toc520356157"/>
      <w:r/>
      <w:bookmarkStart w:id="347" w:name="_Toc150480770"/>
      <w:r/>
      <w:bookmarkStart w:id="348" w:name="_Toc127151532"/>
      <w:r/>
      <w:bookmarkStart w:id="349" w:name="_Toc149720825"/>
      <w:r/>
      <w:bookmarkStart w:id="350" w:name="_Toc264969222"/>
      <w:r/>
      <w:bookmarkStart w:id="351" w:name="_Toc127161446"/>
      <w:r/>
      <w:bookmarkStart w:id="352" w:name="_Toc226309776"/>
      <w:r/>
      <w:bookmarkStart w:id="353" w:name="_Toc151193846"/>
      <w:r/>
      <w:bookmarkStart w:id="354" w:name="_Toc195842897"/>
      <w:r/>
      <w:bookmarkStart w:id="355" w:name="_Toc305158800"/>
      <w:r/>
      <w:bookmarkStart w:id="356" w:name="_Toc164351626"/>
      <w:r/>
      <w:bookmarkStart w:id="357" w:name="_Toc164608646"/>
      <w:r/>
      <w:bookmarkStart w:id="358" w:name="_Toc151193630"/>
      <w:r/>
      <w:bookmarkStart w:id="359" w:name="_Toc164229373"/>
      <w:r/>
      <w:bookmarkStart w:id="360" w:name="_Toc150774737"/>
      <w:r/>
      <w:bookmarkStart w:id="361" w:name="_Toc305158874"/>
      <w:r/>
      <w:bookmarkStart w:id="362" w:name="_Toc151193920"/>
      <w:r>
        <w:rPr>
          <w:rFonts w:hint="eastAsia" w:ascii="宋体" w:hAnsi="宋体" w:cs="宋体"/>
          <w:color w:val="auto"/>
          <w:sz w:val="24"/>
          <w:highlight w:val="none"/>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164229228"/>
      <w:r/>
      <w:bookmarkStart w:id="364" w:name="_Toc151193631"/>
      <w:r/>
      <w:bookmarkStart w:id="365" w:name="_Toc305158801"/>
      <w:r/>
      <w:bookmarkStart w:id="366" w:name="_Toc127151734"/>
      <w:r/>
      <w:bookmarkStart w:id="367" w:name="_Toc142311035"/>
      <w:r/>
      <w:bookmarkStart w:id="368" w:name="_Toc164351627"/>
      <w:r/>
      <w:bookmarkStart w:id="369" w:name="_Toc305158875"/>
      <w:r/>
      <w:bookmarkStart w:id="370" w:name="_Toc151193775"/>
      <w:r/>
      <w:bookmarkStart w:id="371" w:name="_Toc127161447"/>
      <w:r/>
      <w:bookmarkStart w:id="372" w:name="_Toc226965806"/>
      <w:r/>
      <w:bookmarkStart w:id="373" w:name="_Toc150480771"/>
      <w:r/>
      <w:bookmarkStart w:id="374" w:name="_Toc226965723"/>
      <w:r/>
      <w:bookmarkStart w:id="375" w:name="_Toc151193703"/>
      <w:r/>
      <w:bookmarkStart w:id="376" w:name="_Toc151190160"/>
      <w:r/>
      <w:bookmarkStart w:id="377" w:name="_Toc164229374"/>
      <w:r/>
      <w:bookmarkStart w:id="378" w:name="_Toc226337229"/>
      <w:r/>
      <w:bookmarkStart w:id="379" w:name="_Toc164608802"/>
      <w:r/>
      <w:bookmarkStart w:id="380" w:name="_Toc127151533"/>
      <w:r/>
      <w:bookmarkStart w:id="381" w:name="_Toc265228371"/>
      <w:r/>
      <w:bookmarkStart w:id="382" w:name="_Toc164608647"/>
      <w:r/>
      <w:bookmarkStart w:id="383" w:name="_Toc264969223"/>
      <w:r/>
      <w:bookmarkStart w:id="384" w:name="_Toc226309777"/>
      <w:r/>
      <w:bookmarkStart w:id="385" w:name="_Toc149720826"/>
      <w:r/>
      <w:bookmarkStart w:id="386" w:name="_Toc150509284"/>
      <w:r/>
      <w:bookmarkStart w:id="387" w:name="_Toc520356158"/>
      <w:r/>
      <w:bookmarkStart w:id="388" w:name="_Toc195842898"/>
      <w:r/>
      <w:bookmarkStart w:id="389" w:name="_Toc151193847"/>
      <w:r/>
      <w:bookmarkStart w:id="390" w:name="_Toc151193921"/>
      <w:r/>
      <w:bookmarkStart w:id="391" w:name="_Toc150774633"/>
      <w:r/>
      <w:bookmarkStart w:id="392" w:name="_Toc150774738"/>
      <w:r/>
      <w:bookmarkStart w:id="393" w:name="_Toc265228372"/>
      <w:r/>
      <w:bookmarkStart w:id="394" w:name="_Toc142311036"/>
      <w:r/>
      <w:bookmarkStart w:id="395" w:name="_Toc150774634"/>
      <w:r/>
      <w:bookmarkStart w:id="396" w:name="_Toc520356159"/>
      <w:r/>
      <w:bookmarkStart w:id="397" w:name="_Toc151193704"/>
      <w:r/>
      <w:bookmarkStart w:id="398" w:name="_Toc127151534"/>
      <w:r/>
      <w:bookmarkStart w:id="399" w:name="_Toc151190161"/>
      <w:r/>
      <w:bookmarkStart w:id="400" w:name="_Toc226965807"/>
      <w:r/>
      <w:bookmarkStart w:id="401" w:name="_Toc226965724"/>
      <w:r/>
      <w:bookmarkStart w:id="402" w:name="_Toc264969224"/>
      <w:r/>
      <w:bookmarkStart w:id="403" w:name="_Toc305158802"/>
      <w:r/>
      <w:bookmarkStart w:id="404" w:name="_Toc195842899"/>
      <w:r/>
      <w:bookmarkStart w:id="405" w:name="_Toc305158876"/>
      <w:r/>
      <w:bookmarkStart w:id="406" w:name="_Toc226337230"/>
      <w:r/>
      <w:bookmarkStart w:id="407" w:name="_Toc150774739"/>
      <w:r/>
      <w:bookmarkStart w:id="408" w:name="_Toc150480772"/>
      <w:r/>
      <w:bookmarkStart w:id="409" w:name="_Toc151193922"/>
      <w:r/>
      <w:bookmarkStart w:id="410" w:name="_Toc151193632"/>
      <w:r/>
      <w:bookmarkStart w:id="411" w:name="_Toc151193776"/>
      <w:r/>
      <w:bookmarkStart w:id="412" w:name="_Toc151193848"/>
      <w:r/>
      <w:bookmarkStart w:id="413" w:name="_Toc226309778"/>
      <w:r/>
      <w:bookmarkStart w:id="414" w:name="_Toc150509285"/>
      <w:r>
        <w:rPr>
          <w:color w:val="auto"/>
          <w:sz w:val="24"/>
          <w:highlight w:val="none"/>
        </w:rPr>
        <w:t xml:space="preserve">投标文件的签署</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p>
    <w:p>
      <w:pPr>
        <w:pStyle w:val="1110"/>
        <w:spacing w:before="0" w:line="360" w:lineRule="auto"/>
        <w:rPr>
          <w:rFonts w:ascii="Times New Roman" w:hAnsi="Times New Roman" w:eastAsia="宋体"/>
          <w:color w:val="auto"/>
          <w:sz w:val="28"/>
          <w:highlight w:val="none"/>
        </w:rPr>
      </w:pPr>
      <w:r/>
      <w:bookmarkStart w:id="415" w:name="_Toc520356169"/>
      <w:r>
        <w:rPr>
          <w:rFonts w:ascii="Times New Roman" w:hAnsi="Times New Roman" w:eastAsia="宋体"/>
          <w:color w:val="auto"/>
          <w:sz w:val="28"/>
          <w:highlight w:val="none"/>
        </w:rPr>
        <w:t xml:space="preserve">四   投标文件的提交</w:t>
      </w:r>
      <w:r/>
    </w:p>
    <w:p>
      <w:pPr>
        <w:numPr>
          <w:ilvl w:val="0"/>
          <w:numId w:val="8"/>
        </w:numPr>
        <w:ind w:left="357" w:hanging="357"/>
        <w:spacing w:line="360" w:lineRule="auto"/>
        <w:tabs>
          <w:tab w:val="left" w:pos="360" w:leader="none"/>
        </w:tabs>
        <w:rPr>
          <w:color w:val="auto"/>
          <w:sz w:val="24"/>
          <w:highlight w:val="none"/>
        </w:rPr>
        <w:outlineLvl w:val="1"/>
      </w:pPr>
      <w:r/>
      <w:bookmarkStart w:id="416" w:name="_Toc195842900"/>
      <w:r/>
      <w:bookmarkStart w:id="417" w:name="_Toc151193633"/>
      <w:r/>
      <w:bookmarkStart w:id="418" w:name="_Toc265228373"/>
      <w:r/>
      <w:bookmarkStart w:id="419" w:name="_Toc164229230"/>
      <w:r/>
      <w:bookmarkStart w:id="420" w:name="_Toc226337231"/>
      <w:r/>
      <w:bookmarkStart w:id="421" w:name="_Toc127151535"/>
      <w:r/>
      <w:bookmarkStart w:id="422" w:name="_Toc149720828"/>
      <w:r/>
      <w:bookmarkStart w:id="423" w:name="_Toc264969225"/>
      <w:r/>
      <w:bookmarkStart w:id="424" w:name="_Toc520356160"/>
      <w:r/>
      <w:bookmarkStart w:id="425" w:name="_Toc305158803"/>
      <w:r/>
      <w:bookmarkStart w:id="426" w:name="_Toc150480773"/>
      <w:r/>
      <w:bookmarkStart w:id="427" w:name="_Toc226965808"/>
      <w:r/>
      <w:bookmarkStart w:id="428" w:name="_Toc151193705"/>
      <w:r/>
      <w:bookmarkStart w:id="429" w:name="_Toc127151736"/>
      <w:r/>
      <w:bookmarkStart w:id="430" w:name="_Toc164608649"/>
      <w:r/>
      <w:bookmarkStart w:id="431" w:name="_Toc150774740"/>
      <w:r/>
      <w:bookmarkStart w:id="432" w:name="_Toc164229376"/>
      <w:r/>
      <w:bookmarkStart w:id="433" w:name="_Toc151193923"/>
      <w:r/>
      <w:bookmarkStart w:id="434" w:name="_Toc150509286"/>
      <w:r/>
      <w:bookmarkStart w:id="435" w:name="_Toc151193777"/>
      <w:r/>
      <w:bookmarkStart w:id="436" w:name="_Toc164351629"/>
      <w:r/>
      <w:bookmarkStart w:id="437" w:name="_Toc127161449"/>
      <w:r/>
      <w:bookmarkStart w:id="438" w:name="_Toc226965725"/>
      <w:r/>
      <w:bookmarkStart w:id="439" w:name="_Toc150774635"/>
      <w:r/>
      <w:bookmarkStart w:id="440" w:name="_Toc164608804"/>
      <w:r/>
      <w:bookmarkStart w:id="441" w:name="_Toc142311037"/>
      <w:r/>
      <w:bookmarkStart w:id="442" w:name="_Toc305158877"/>
      <w:r/>
      <w:bookmarkStart w:id="443" w:name="_Toc151190162"/>
      <w:r/>
      <w:bookmarkStart w:id="444" w:name="_Toc226309779"/>
      <w:r/>
      <w:bookmarkStart w:id="445" w:name="_Toc151193849"/>
      <w:r>
        <w:rPr>
          <w:color w:val="auto"/>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“苏采云”政府采购一体化平台</w:t>
      </w:r>
      <w:r>
        <w:rPr>
          <w:color w:val="auto"/>
          <w:sz w:val="24"/>
          <w:highlight w:val="none"/>
        </w:rPr>
        <w:t xml:space="preserve">。投标人根据招标文件及</w:t>
      </w:r>
      <w:r>
        <w:rPr>
          <w:rFonts w:hint="eastAsia"/>
          <w:color w:val="auto"/>
          <w:sz w:val="24"/>
          <w:highlight w:val="none"/>
          <w:lang w:bidi="ar"/>
        </w:rPr>
        <w:t xml:space="preserve">“苏采云”政府采购一体化平台</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46" w:name="_Toc226965809"/>
      <w:r/>
      <w:bookmarkStart w:id="447" w:name="_Toc305158878"/>
      <w:r/>
      <w:bookmarkStart w:id="448" w:name="_Toc151193850"/>
      <w:r/>
      <w:bookmarkStart w:id="449" w:name="_Toc150774741"/>
      <w:r/>
      <w:bookmarkStart w:id="450" w:name="_Toc151193924"/>
      <w:r/>
      <w:bookmarkStart w:id="451" w:name="_Toc151193778"/>
      <w:r/>
      <w:bookmarkStart w:id="452" w:name="_Toc164608805"/>
      <w:r/>
      <w:bookmarkStart w:id="453" w:name="_Toc264969226"/>
      <w:r/>
      <w:bookmarkStart w:id="454" w:name="_Toc164229377"/>
      <w:r/>
      <w:bookmarkStart w:id="455" w:name="_Toc151190163"/>
      <w:r/>
      <w:bookmarkStart w:id="456" w:name="_Toc151193706"/>
      <w:r/>
      <w:bookmarkStart w:id="457" w:name="_Toc127151536"/>
      <w:r/>
      <w:bookmarkStart w:id="458" w:name="_Toc127151737"/>
      <w:r/>
      <w:bookmarkStart w:id="459" w:name="_Toc127161450"/>
      <w:r/>
      <w:bookmarkStart w:id="460" w:name="_Toc226337232"/>
      <w:r/>
      <w:bookmarkStart w:id="461" w:name="_Toc265228374"/>
      <w:r/>
      <w:bookmarkStart w:id="462" w:name="_Toc226965726"/>
      <w:r/>
      <w:bookmarkStart w:id="463" w:name="_Toc142311038"/>
      <w:r/>
      <w:bookmarkStart w:id="464" w:name="_Toc150509287"/>
      <w:r/>
      <w:bookmarkStart w:id="465" w:name="_Toc226309780"/>
      <w:r/>
      <w:bookmarkStart w:id="466" w:name="_Toc150774636"/>
      <w:r/>
      <w:bookmarkStart w:id="467" w:name="_Toc149720829"/>
      <w:r/>
      <w:bookmarkStart w:id="468" w:name="_Toc150480774"/>
      <w:r/>
      <w:bookmarkStart w:id="469" w:name="_Toc164351630"/>
      <w:r/>
      <w:bookmarkStart w:id="470" w:name="_Toc164608650"/>
      <w:r/>
      <w:bookmarkStart w:id="471" w:name="_Toc151193634"/>
      <w:r/>
      <w:bookmarkStart w:id="472" w:name="_Toc195842901"/>
      <w:r/>
      <w:bookmarkStart w:id="473" w:name="_Toc520356161"/>
      <w:r/>
      <w:bookmarkStart w:id="474" w:name="_Toc164229231"/>
      <w:r/>
      <w:bookmarkStart w:id="475" w:name="_Toc305158804"/>
      <w:r>
        <w:rPr>
          <w:color w:val="auto"/>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76" w:name="_Toc142311039"/>
      <w:r/>
      <w:bookmarkStart w:id="477" w:name="_Toc265228375"/>
      <w:r/>
      <w:bookmarkStart w:id="478" w:name="_Toc150774637"/>
      <w:r/>
      <w:bookmarkStart w:id="479" w:name="_Toc164351631"/>
      <w:r/>
      <w:bookmarkStart w:id="480" w:name="_Toc164608651"/>
      <w:r/>
      <w:bookmarkStart w:id="481" w:name="_Toc150480775"/>
      <w:r/>
      <w:bookmarkStart w:id="482" w:name="_Toc305158805"/>
      <w:r/>
      <w:bookmarkStart w:id="483" w:name="_Toc151193925"/>
      <w:r/>
      <w:bookmarkStart w:id="484" w:name="_Toc195842902"/>
      <w:r/>
      <w:bookmarkStart w:id="485" w:name="_Toc164229378"/>
      <w:r/>
      <w:bookmarkStart w:id="486" w:name="_Toc151193851"/>
      <w:r/>
      <w:bookmarkStart w:id="487" w:name="_Toc151193707"/>
      <w:r/>
      <w:bookmarkStart w:id="488" w:name="_Toc226309781"/>
      <w:r/>
      <w:bookmarkStart w:id="489" w:name="_Toc226337233"/>
      <w:r/>
      <w:bookmarkStart w:id="490" w:name="_Toc150509288"/>
      <w:r/>
      <w:bookmarkStart w:id="491" w:name="_Toc127151537"/>
      <w:r/>
      <w:bookmarkStart w:id="492" w:name="_Toc149720830"/>
      <w:r/>
      <w:bookmarkStart w:id="493" w:name="_Toc164229232"/>
      <w:r/>
      <w:bookmarkStart w:id="494" w:name="_Toc151190164"/>
      <w:r/>
      <w:bookmarkStart w:id="495" w:name="_Toc226965727"/>
      <w:r/>
      <w:bookmarkStart w:id="496" w:name="_Toc127161451"/>
      <w:r/>
      <w:bookmarkStart w:id="497" w:name="_Toc264969227"/>
      <w:r/>
      <w:bookmarkStart w:id="498" w:name="_Toc164608806"/>
      <w:r/>
      <w:bookmarkStart w:id="499" w:name="_Toc226965810"/>
      <w:r/>
      <w:bookmarkStart w:id="500" w:name="_Toc127151738"/>
      <w:r/>
      <w:bookmarkStart w:id="501" w:name="_Toc520356162"/>
      <w:r/>
      <w:bookmarkStart w:id="502" w:name="_Toc151193779"/>
      <w:r/>
      <w:bookmarkStart w:id="503" w:name="_Toc151193635"/>
      <w:r/>
      <w:bookmarkStart w:id="504" w:name="_Toc150774742"/>
      <w:r/>
      <w:bookmarkStart w:id="505" w:name="_Toc305158879"/>
      <w:r>
        <w:rPr>
          <w:color w:val="auto"/>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10"/>
        <w:spacing w:before="0" w:line="360" w:lineRule="auto"/>
        <w:rPr>
          <w:rFonts w:ascii="Times New Roman" w:hAnsi="Times New Roman" w:eastAsia="宋体"/>
          <w:color w:val="auto"/>
          <w:sz w:val="28"/>
          <w:highlight w:val="none"/>
        </w:rPr>
      </w:pPr>
      <w:r/>
      <w:bookmarkStart w:id="506" w:name="_Toc520356163"/>
      <w:r/>
      <w:bookmarkStart w:id="507" w:name="_Toc150509289"/>
      <w:r/>
      <w:bookmarkStart w:id="508" w:name="_Toc305158806"/>
      <w:r/>
      <w:bookmarkStart w:id="509" w:name="_Toc265228376"/>
      <w:r/>
      <w:bookmarkStart w:id="510" w:name="_Toc264969228"/>
      <w:r/>
      <w:bookmarkStart w:id="511" w:name="_Toc151193852"/>
      <w:r/>
      <w:bookmarkStart w:id="512" w:name="_Toc305158880"/>
      <w:r/>
      <w:bookmarkStart w:id="513" w:name="_Toc226965811"/>
      <w:r/>
      <w:bookmarkStart w:id="514" w:name="_Toc226309782"/>
      <w:r/>
      <w:bookmarkStart w:id="515" w:name="_Toc127151538"/>
      <w:r/>
      <w:bookmarkStart w:id="516" w:name="_Toc226965728"/>
      <w:r/>
      <w:bookmarkStart w:id="517" w:name="_Toc150774638"/>
      <w:r/>
      <w:bookmarkStart w:id="518" w:name="_Toc151193636"/>
      <w:r/>
      <w:bookmarkStart w:id="519" w:name="_Toc151193926"/>
      <w:r/>
      <w:bookmarkStart w:id="520" w:name="_Toc151190165"/>
      <w:r/>
      <w:bookmarkStart w:id="521" w:name="_Toc195842903"/>
      <w:r/>
      <w:bookmarkStart w:id="522" w:name="_Toc150480776"/>
      <w:r/>
      <w:bookmarkStart w:id="523" w:name="_Toc226337234"/>
      <w:r/>
      <w:bookmarkStart w:id="524" w:name="_Toc151193708"/>
      <w:r/>
      <w:bookmarkStart w:id="525" w:name="_Toc142311040"/>
      <w:r/>
      <w:bookmarkStart w:id="526" w:name="_Toc150774743"/>
      <w:r/>
      <w:bookmarkStart w:id="527" w:name="_Toc151193780"/>
      <w:r>
        <w:rPr>
          <w:rFonts w:ascii="Times New Roman" w:hAnsi="Times New Roman" w:eastAsia="宋体"/>
          <w:color w:val="auto"/>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numPr>
          <w:ilvl w:val="0"/>
          <w:numId w:val="8"/>
        </w:numPr>
        <w:ind w:left="357" w:hanging="357"/>
        <w:spacing w:line="360" w:lineRule="auto"/>
        <w:tabs>
          <w:tab w:val="left" w:pos="360" w:leader="none"/>
        </w:tabs>
        <w:rPr>
          <w:color w:val="auto"/>
          <w:sz w:val="24"/>
          <w:highlight w:val="none"/>
        </w:rPr>
        <w:outlineLvl w:val="1"/>
      </w:pPr>
      <w:r/>
      <w:bookmarkStart w:id="528" w:name="_Toc226965812"/>
      <w:r/>
      <w:bookmarkStart w:id="529" w:name="_Toc195842904"/>
      <w:r/>
      <w:bookmarkStart w:id="530" w:name="_Toc226309783"/>
      <w:r/>
      <w:bookmarkStart w:id="531" w:name="_Toc164608808"/>
      <w:r/>
      <w:bookmarkStart w:id="532" w:name="_Toc164229234"/>
      <w:r/>
      <w:bookmarkStart w:id="533" w:name="_Toc142311041"/>
      <w:r/>
      <w:bookmarkStart w:id="534" w:name="_Toc127151539"/>
      <w:r/>
      <w:bookmarkStart w:id="535" w:name="_Toc151193637"/>
      <w:r/>
      <w:bookmarkStart w:id="536" w:name="_Toc151193927"/>
      <w:r/>
      <w:bookmarkStart w:id="537" w:name="_Toc150509290"/>
      <w:r/>
      <w:bookmarkStart w:id="538" w:name="_Toc127151740"/>
      <w:r/>
      <w:bookmarkStart w:id="539" w:name="_Toc520356164"/>
      <w:r/>
      <w:bookmarkStart w:id="540" w:name="_Toc150480777"/>
      <w:r/>
      <w:bookmarkStart w:id="541" w:name="_Toc150774744"/>
      <w:r/>
      <w:bookmarkStart w:id="542" w:name="_Toc151190166"/>
      <w:r/>
      <w:bookmarkStart w:id="543" w:name="_Toc151193853"/>
      <w:r/>
      <w:bookmarkStart w:id="544" w:name="_Toc226337235"/>
      <w:r/>
      <w:bookmarkStart w:id="545" w:name="_Toc149720832"/>
      <w:r/>
      <w:bookmarkStart w:id="546" w:name="_Toc265228377"/>
      <w:r/>
      <w:bookmarkStart w:id="547" w:name="_Toc151193709"/>
      <w:r/>
      <w:bookmarkStart w:id="548" w:name="_Toc151193781"/>
      <w:r/>
      <w:bookmarkStart w:id="549" w:name="_Toc264969229"/>
      <w:r/>
      <w:bookmarkStart w:id="550" w:name="_Toc164608653"/>
      <w:r/>
      <w:bookmarkStart w:id="551" w:name="_Toc164229380"/>
      <w:r/>
      <w:bookmarkStart w:id="552" w:name="_Toc164351633"/>
      <w:r/>
      <w:bookmarkStart w:id="553" w:name="_Toc150774639"/>
      <w:r/>
      <w:bookmarkStart w:id="554" w:name="_Toc305158807"/>
      <w:r/>
      <w:bookmarkStart w:id="555" w:name="_Toc127161453"/>
      <w:r/>
      <w:bookmarkStart w:id="556" w:name="_Toc226965729"/>
      <w:r/>
      <w:bookmarkStart w:id="557" w:name="_Toc305158881"/>
      <w:r>
        <w:rPr>
          <w:color w:val="auto"/>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58"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投标人</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w:t>
      </w:r>
      <w:r>
        <w:rPr>
          <w:rFonts w:hint="eastAsia"/>
          <w:color w:val="auto"/>
          <w:sz w:val="24"/>
          <w:highlight w:val="none"/>
          <w:lang w:val="en-US" w:eastAsia="zh-CN"/>
        </w:rPr>
        <w:t xml:space="preserve">评标委员会</w:t>
      </w:r>
      <w:r>
        <w:rPr>
          <w:rFonts w:hint="eastAsia"/>
          <w:color w:val="auto"/>
          <w:sz w:val="24"/>
          <w:highlight w:val="none"/>
        </w:rPr>
        <w:t xml:space="preserve">发出的指令和要求进行响应操作。如果因为无人值守造成不能及时回应系统或者</w:t>
      </w:r>
      <w:r>
        <w:rPr>
          <w:rFonts w:hint="eastAsia"/>
          <w:color w:val="auto"/>
          <w:sz w:val="24"/>
          <w:highlight w:val="none"/>
          <w:lang w:val="en-US" w:eastAsia="zh-CN"/>
        </w:rPr>
        <w:t xml:space="preserve">评标委员会</w:t>
      </w:r>
      <w:r>
        <w:rPr>
          <w:rFonts w:hint="eastAsia"/>
          <w:color w:val="auto"/>
          <w:sz w:val="24"/>
          <w:highlight w:val="none"/>
        </w:rPr>
        <w:t xml:space="preserve">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58"/>
      <w:r/>
    </w:p>
    <w:p>
      <w:pPr>
        <w:numPr>
          <w:ilvl w:val="0"/>
          <w:numId w:val="8"/>
        </w:numPr>
        <w:ind w:left="357" w:hanging="357"/>
        <w:spacing w:line="360" w:lineRule="auto"/>
        <w:tabs>
          <w:tab w:val="left" w:pos="360" w:leader="none"/>
        </w:tabs>
        <w:rPr>
          <w:color w:val="auto"/>
          <w:sz w:val="24"/>
          <w:highlight w:val="none"/>
        </w:rPr>
        <w:outlineLvl w:val="1"/>
      </w:pPr>
      <w:r/>
      <w:bookmarkStart w:id="559" w:name="_Toc151193782"/>
      <w:r/>
      <w:bookmarkStart w:id="560" w:name="_Toc127151741"/>
      <w:r/>
      <w:bookmarkStart w:id="561" w:name="_Toc305158882"/>
      <w:r/>
      <w:bookmarkStart w:id="562" w:name="_Toc164229235"/>
      <w:r/>
      <w:bookmarkStart w:id="563" w:name="_Toc142311042"/>
      <w:r/>
      <w:bookmarkStart w:id="564" w:name="_Toc164608654"/>
      <w:r/>
      <w:bookmarkStart w:id="565" w:name="_Toc151190167"/>
      <w:r/>
      <w:bookmarkStart w:id="566" w:name="_Toc149720833"/>
      <w:r/>
      <w:bookmarkStart w:id="567" w:name="_Toc226309784"/>
      <w:r/>
      <w:bookmarkStart w:id="568" w:name="_Toc150509291"/>
      <w:r/>
      <w:bookmarkStart w:id="569" w:name="_Toc164229381"/>
      <w:r/>
      <w:bookmarkStart w:id="570" w:name="_Toc150774640"/>
      <w:r/>
      <w:bookmarkStart w:id="571" w:name="_Toc150480778"/>
      <w:r/>
      <w:bookmarkStart w:id="572" w:name="_Toc164608809"/>
      <w:r/>
      <w:bookmarkStart w:id="573" w:name="_Toc305158808"/>
      <w:r/>
      <w:bookmarkStart w:id="574" w:name="_Toc226965730"/>
      <w:r/>
      <w:bookmarkStart w:id="575" w:name="_Toc226337236"/>
      <w:r/>
      <w:bookmarkStart w:id="576" w:name="_Toc150774745"/>
      <w:r/>
      <w:bookmarkStart w:id="577" w:name="_Toc195842905"/>
      <w:r/>
      <w:bookmarkStart w:id="578" w:name="_Toc151193928"/>
      <w:r/>
      <w:bookmarkStart w:id="579" w:name="_Toc151193638"/>
      <w:r/>
      <w:bookmarkStart w:id="580" w:name="_Toc151193854"/>
      <w:r/>
      <w:bookmarkStart w:id="581" w:name="_Toc226965813"/>
      <w:r/>
      <w:bookmarkStart w:id="582" w:name="_Toc164351634"/>
      <w:r/>
      <w:bookmarkStart w:id="583" w:name="_Toc265228378"/>
      <w:r/>
      <w:bookmarkStart w:id="584" w:name="_Toc151193710"/>
      <w:r/>
      <w:bookmarkStart w:id="585" w:name="_Toc127151540"/>
      <w:r/>
      <w:bookmarkStart w:id="586" w:name="_Toc264969230"/>
      <w:r/>
      <w:bookmarkStart w:id="587" w:name="_Toc127161454"/>
      <w:r>
        <w:rPr>
          <w:color w:val="auto"/>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8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8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jc w:val="center"/>
        <w:spacing w:line="360" w:lineRule="auto"/>
        <w:rPr>
          <w:rFonts w:ascii="宋体" w:hAnsi="宋体"/>
          <w:b/>
          <w:bCs/>
          <w:color w:val="auto"/>
          <w:sz w:val="28"/>
          <w:szCs w:val="28"/>
          <w:highlight w:val="none"/>
        </w:rPr>
      </w:pPr>
      <w:r/>
      <w:bookmarkStart w:id="589" w:name="_Toc150480783"/>
      <w:r/>
      <w:bookmarkStart w:id="590" w:name="_Toc265228383"/>
      <w:r/>
      <w:bookmarkStart w:id="591" w:name="_Toc305158813"/>
      <w:r/>
      <w:bookmarkStart w:id="592" w:name="_Toc151193933"/>
      <w:r/>
      <w:bookmarkStart w:id="593" w:name="_Toc226309789"/>
      <w:r/>
      <w:bookmarkStart w:id="594" w:name="_Toc127151545"/>
      <w:r/>
      <w:bookmarkStart w:id="595" w:name="_Toc226965735"/>
      <w:r/>
      <w:bookmarkStart w:id="596" w:name="_Toc150774750"/>
      <w:r/>
      <w:bookmarkStart w:id="597" w:name="_Toc264969235"/>
      <w:r/>
      <w:bookmarkStart w:id="598" w:name="_Toc226965818"/>
      <w:r/>
      <w:bookmarkStart w:id="599" w:name="_Toc151190172"/>
      <w:r/>
      <w:bookmarkStart w:id="600" w:name="_Toc226337241"/>
      <w:r/>
      <w:bookmarkStart w:id="601" w:name="_Toc150509296"/>
      <w:r/>
      <w:bookmarkStart w:id="602" w:name="_Toc151193715"/>
      <w:r/>
      <w:bookmarkStart w:id="603" w:name="_Toc305158887"/>
      <w:r/>
      <w:bookmarkStart w:id="604" w:name="_Toc195842910"/>
      <w:r/>
      <w:bookmarkStart w:id="605" w:name="_Toc150774645"/>
      <w:r/>
      <w:bookmarkStart w:id="606" w:name="_Toc151193643"/>
      <w:r/>
      <w:bookmarkStart w:id="607" w:name="_Toc142311047"/>
      <w:r/>
      <w:bookmarkStart w:id="608" w:name="_Toc151193859"/>
      <w:r/>
      <w:bookmarkStart w:id="609" w:name="_Toc151193787"/>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127161461"/>
      <w:r/>
      <w:bookmarkStart w:id="611" w:name="_Toc151193717"/>
      <w:r/>
      <w:bookmarkStart w:id="612" w:name="_Toc164229388"/>
      <w:r/>
      <w:bookmarkStart w:id="613" w:name="_Toc151193789"/>
      <w:r/>
      <w:bookmarkStart w:id="614" w:name="_Toc264969237"/>
      <w:r/>
      <w:bookmarkStart w:id="615" w:name="_Toc149720840"/>
      <w:r/>
      <w:bookmarkStart w:id="616" w:name="_Toc151193935"/>
      <w:r/>
      <w:bookmarkStart w:id="617" w:name="_Toc164229242"/>
      <w:r/>
      <w:bookmarkStart w:id="618" w:name="_Toc164608816"/>
      <w:r/>
      <w:bookmarkStart w:id="619" w:name="_Toc151193645"/>
      <w:r/>
      <w:bookmarkStart w:id="620" w:name="_Toc164351641"/>
      <w:r/>
      <w:bookmarkStart w:id="621" w:name="_Toc305158889"/>
      <w:r/>
      <w:bookmarkStart w:id="622" w:name="_Toc150774752"/>
      <w:r/>
      <w:bookmarkStart w:id="623" w:name="_Toc164608661"/>
      <w:r/>
      <w:bookmarkStart w:id="624" w:name="_Toc142311049"/>
      <w:r/>
      <w:bookmarkStart w:id="625" w:name="_Toc151193861"/>
      <w:r/>
      <w:bookmarkStart w:id="626" w:name="_Toc226309791"/>
      <w:r/>
      <w:bookmarkStart w:id="627" w:name="_Toc127151547"/>
      <w:r/>
      <w:bookmarkStart w:id="628" w:name="_Toc195842912"/>
      <w:r/>
      <w:bookmarkStart w:id="629" w:name="_Toc151190174"/>
      <w:r/>
      <w:bookmarkStart w:id="630" w:name="_Toc150480785"/>
      <w:r/>
      <w:bookmarkStart w:id="631" w:name="_Toc150509298"/>
      <w:r/>
      <w:bookmarkStart w:id="632" w:name="_Toc150774647"/>
      <w:r/>
      <w:bookmarkStart w:id="633" w:name="_Toc305158815"/>
      <w:r/>
      <w:bookmarkStart w:id="634" w:name="_Toc226337243"/>
      <w:r/>
      <w:bookmarkStart w:id="635" w:name="_Toc226965820"/>
      <w:r/>
      <w:bookmarkStart w:id="636" w:name="_Toc265228385"/>
      <w:r/>
      <w:bookmarkStart w:id="637" w:name="_Toc226965737"/>
      <w:r/>
      <w:bookmarkStart w:id="638" w:name="_Toc127151748"/>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cs="宋体"/>
          <w:color w:val="auto"/>
          <w:sz w:val="24"/>
          <w:highlight w:val="none"/>
          <w:lang w:eastAsia="zh-CN"/>
        </w:rPr>
        <w:t xml:space="preserve">中标人</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，中标候选人并列的，由采购人依法确定。</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39" w:name="_Toc305158817"/>
      <w:r/>
      <w:bookmarkStart w:id="640" w:name="_Toc305158891"/>
      <w:r/>
      <w:bookmarkStart w:id="641" w:name="_Toc164608663"/>
      <w:r/>
      <w:bookmarkStart w:id="642" w:name="_Toc127151750"/>
      <w:r/>
      <w:bookmarkStart w:id="643" w:name="_Toc264969239"/>
      <w:r/>
      <w:bookmarkStart w:id="644" w:name="_Toc151193791"/>
      <w:r/>
      <w:bookmarkStart w:id="645" w:name="_Toc164608818"/>
      <w:r/>
      <w:bookmarkStart w:id="646" w:name="_Toc151193719"/>
      <w:r/>
      <w:bookmarkStart w:id="647" w:name="_Toc226337245"/>
      <w:r/>
      <w:bookmarkStart w:id="648" w:name="_Toc226965739"/>
      <w:r/>
      <w:bookmarkStart w:id="649" w:name="_Toc195842914"/>
      <w:r/>
      <w:bookmarkStart w:id="650" w:name="_Toc150480787"/>
      <w:r/>
      <w:bookmarkStart w:id="651" w:name="_Toc164229390"/>
      <w:r/>
      <w:bookmarkStart w:id="652" w:name="_Toc226309793"/>
      <w:r/>
      <w:bookmarkStart w:id="653" w:name="_Toc164229244"/>
      <w:r/>
      <w:bookmarkStart w:id="654" w:name="_Toc265228387"/>
      <w:r/>
      <w:bookmarkStart w:id="655" w:name="_Toc149720842"/>
      <w:r/>
      <w:bookmarkStart w:id="656" w:name="_Toc151193863"/>
      <w:r/>
      <w:bookmarkStart w:id="657" w:name="_Toc150774754"/>
      <w:r/>
      <w:bookmarkStart w:id="658" w:name="_Toc151190176"/>
      <w:r/>
      <w:bookmarkStart w:id="659" w:name="_Toc151193647"/>
      <w:r/>
      <w:bookmarkStart w:id="660" w:name="_Toc226965822"/>
      <w:r/>
      <w:bookmarkStart w:id="661" w:name="_Toc127161463"/>
      <w:r/>
      <w:bookmarkStart w:id="662" w:name="_Toc142311051"/>
      <w:r/>
      <w:bookmarkStart w:id="663" w:name="_Toc164351643"/>
      <w:r/>
      <w:bookmarkStart w:id="664" w:name="_Toc151193937"/>
      <w:r/>
      <w:bookmarkStart w:id="665" w:name="_Toc150509300"/>
      <w:r/>
      <w:bookmarkStart w:id="666" w:name="_Toc150774649"/>
      <w:r/>
      <w:bookmarkStart w:id="667" w:name="_Toc127151549"/>
      <w:r/>
      <w:bookmarkStart w:id="668" w:name="_Ref467307090"/>
      <w:r/>
      <w:bookmarkStart w:id="669" w:name="_Toc520356176"/>
      <w:r/>
      <w:bookmarkStart w:id="670" w:name="_Ref467306425"/>
      <w:r>
        <w:rPr>
          <w:rFonts w:hint="eastAsia" w:ascii="宋体" w:hAnsi="宋体" w:cs="宋体"/>
          <w:color w:val="auto"/>
          <w:sz w:val="24"/>
          <w:highlight w:val="none"/>
        </w:rPr>
        <w:t xml:space="preserve">中标公告与中标通知书</w:t>
      </w:r>
      <w:bookmarkEnd w:id="639"/>
      <w:r/>
      <w:bookmarkEnd w:id="640"/>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采购人或采购代理机构自</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确定之日起2个工作日内，</w:t>
      </w:r>
      <w:r>
        <w:rPr>
          <w:rFonts w:hint="eastAsia" w:ascii="宋体" w:hAnsi="宋体" w:cs="宋体"/>
          <w:color w:val="auto"/>
          <w:sz w:val="24"/>
          <w:highlight w:val="none"/>
        </w:rPr>
        <w:t xml:space="preserve">在江苏政府采购网、常州市政府采购网</w:t>
      </w:r>
      <w:r>
        <w:rPr>
          <w:rFonts w:hint="eastAsia" w:ascii="宋体" w:hAnsi="宋体" w:cs="宋体"/>
          <w:color w:val="auto"/>
          <w:sz w:val="24"/>
          <w:highlight w:val="none"/>
        </w:rPr>
        <w:t xml:space="preserve">和江苏尚阳工程管理有限公司网</w:t>
      </w:r>
      <w:r>
        <w:rPr>
          <w:rFonts w:hint="eastAsia" w:ascii="宋体" w:hAnsi="宋体" w:cs="宋体"/>
          <w:color w:val="auto"/>
          <w:sz w:val="24"/>
          <w:highlight w:val="none"/>
        </w:rPr>
        <w:t xml:space="preserve">公告中标结果</w:t>
      </w:r>
      <w:r>
        <w:rPr>
          <w:rFonts w:hint="eastAsia" w:ascii="宋体" w:hAnsi="宋体" w:cs="宋体"/>
          <w:color w:val="auto"/>
          <w:sz w:val="24"/>
          <w:highlight w:val="none"/>
        </w:rPr>
        <w:t xml:space="preserve">，同时向</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中标通知书对采购人和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均具有法律效力。中标通知书发出后，采购人改变中标结果的，或者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放弃中标项目的，应当依法承担法律责任。</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符合专业条件的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spacing w:line="360" w:lineRule="auto"/>
        <w:rPr>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71" w:name="_Toc265228388"/>
      <w:r/>
      <w:bookmarkStart w:id="672" w:name="_Toc226965740"/>
      <w:r/>
      <w:bookmarkStart w:id="673" w:name="_Toc151193648"/>
      <w:r/>
      <w:bookmarkStart w:id="674" w:name="_Toc226965823"/>
      <w:r/>
      <w:bookmarkStart w:id="675" w:name="_Toc150480788"/>
      <w:r/>
      <w:bookmarkStart w:id="676" w:name="_Ref467307204"/>
      <w:r/>
      <w:bookmarkStart w:id="677" w:name="_Toc264969240"/>
      <w:r/>
      <w:bookmarkStart w:id="678" w:name="_Toc164608664"/>
      <w:r/>
      <w:bookmarkStart w:id="679" w:name="_Toc520356175"/>
      <w:r/>
      <w:bookmarkStart w:id="680" w:name="_Toc127151550"/>
      <w:r/>
      <w:bookmarkStart w:id="681" w:name="_Toc164608819"/>
      <w:r/>
      <w:bookmarkStart w:id="682" w:name="_Toc149720843"/>
      <w:r/>
      <w:bookmarkStart w:id="683" w:name="_Toc142311052"/>
      <w:r/>
      <w:bookmarkStart w:id="684" w:name="_Toc305158892"/>
      <w:r/>
      <w:bookmarkStart w:id="685" w:name="_Toc151193938"/>
      <w:r/>
      <w:bookmarkStart w:id="686" w:name="_Toc226309794"/>
      <w:r/>
      <w:bookmarkStart w:id="687" w:name="_Toc151193864"/>
      <w:r/>
      <w:bookmarkStart w:id="688" w:name="_Toc164229391"/>
      <w:r/>
      <w:bookmarkStart w:id="689" w:name="_Toc127161464"/>
      <w:r/>
      <w:bookmarkStart w:id="690" w:name="_Toc151190177"/>
      <w:r/>
      <w:bookmarkStart w:id="691" w:name="_Toc151193720"/>
      <w:r/>
      <w:bookmarkStart w:id="692" w:name="_Toc150509301"/>
      <w:r/>
      <w:bookmarkStart w:id="693" w:name="_Toc150774650"/>
      <w:r/>
      <w:bookmarkStart w:id="694" w:name="_Ref467307062"/>
      <w:r/>
      <w:bookmarkStart w:id="695" w:name="_Toc164229245"/>
      <w:r/>
      <w:bookmarkStart w:id="696" w:name="_Toc164351644"/>
      <w:r/>
      <w:bookmarkStart w:id="697" w:name="_Toc150774755"/>
      <w:r/>
      <w:bookmarkStart w:id="698" w:name="_Ref467306978"/>
      <w:r/>
      <w:bookmarkStart w:id="699" w:name="_Toc127151751"/>
      <w:r/>
      <w:bookmarkStart w:id="700" w:name="_Toc226337246"/>
      <w:r/>
      <w:bookmarkStart w:id="701" w:name="_Toc151193792"/>
      <w:r/>
      <w:bookmarkStart w:id="702" w:name="_Toc195842915"/>
      <w:r/>
      <w:bookmarkStart w:id="703" w:name="_Toc305158818"/>
      <w:r/>
      <w:bookmarkStart w:id="704" w:name="_Ref467306377"/>
      <w:r>
        <w:rPr>
          <w:rFonts w:hint="eastAsia" w:ascii="宋体" w:hAnsi="宋体" w:cs="宋体"/>
          <w:color w:val="auto"/>
          <w:sz w:val="24"/>
          <w:highlight w:val="none"/>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、采购人应当自中标通知书发出之日起30日内，按照招标文件和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投标文件的规定签订书面合同。所签订的合同不得对招标文件确定的事项和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拒绝与采购人签订合同的，采购人可以按照评标报告推荐的中标候选人名单排序，确定下一候选人为</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本项目的非主体、非关键性工作是否允许分包，见《投标人须知资料表》。</w:t>
      </w:r>
      <w:bookmarkEnd w:id="668"/>
      <w:bookmarkEnd w:id="669"/>
      <w:bookmarkEnd w:id="670"/>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63"/>
          <w:rFonts w:hint="eastAsia" w:ascii="宋体" w:hAnsi="宋体" w:cs="宋体"/>
          <w:color w:val="auto"/>
          <w:sz w:val="24"/>
          <w:highlight w:val="none"/>
        </w:rPr>
        <w:t xml:space="preserve">http://gk</w:t>
      </w:r>
      <w:bookmarkStart w:id="705" w:name="_Hlt100654014"/>
      <w:r>
        <w:rPr>
          <w:rStyle w:val="1163"/>
          <w:rFonts w:hint="eastAsia" w:ascii="宋体" w:hAnsi="宋体" w:cs="宋体"/>
          <w:color w:val="auto"/>
          <w:sz w:val="24"/>
          <w:highlight w:val="none"/>
        </w:rPr>
        <w:t xml:space="preserve">s</w:t>
      </w:r>
      <w:bookmarkEnd w:id="705"/>
      <w:r>
        <w:rPr>
          <w:rStyle w:val="1163"/>
          <w:rFonts w:hint="eastAsia" w:ascii="宋体" w:hAnsi="宋体" w:cs="宋体"/>
          <w:color w:val="auto"/>
          <w:sz w:val="24"/>
          <w:highlight w:val="none"/>
        </w:rPr>
        <w:t xml:space="preserve">.m</w:t>
      </w:r>
      <w:bookmarkStart w:id="706" w:name="_Hlt100653993"/>
      <w:r/>
      <w:bookmarkStart w:id="707" w:name="_Hlt100653994"/>
      <w:r>
        <w:rPr>
          <w:rStyle w:val="1163"/>
          <w:rFonts w:hint="eastAsia" w:ascii="宋体" w:hAnsi="宋体" w:cs="宋体"/>
          <w:color w:val="auto"/>
          <w:sz w:val="24"/>
          <w:highlight w:val="none"/>
        </w:rPr>
        <w:t xml:space="preserve">o</w:t>
      </w:r>
      <w:bookmarkEnd w:id="706"/>
      <w:r/>
      <w:bookmarkEnd w:id="707"/>
      <w:r>
        <w:rPr>
          <w:rStyle w:val="1163"/>
          <w:rFonts w:hint="eastAsia" w:ascii="宋体" w:hAnsi="宋体" w:cs="宋体"/>
          <w:color w:val="auto"/>
          <w:sz w:val="24"/>
          <w:highlight w:val="none"/>
        </w:rPr>
        <w:t xml:space="preserve">f.gov.cn/ztztz/zhengfucaigouguanli/201802/t20180201_2804589.htm</w:t>
      </w:r>
      <w:r>
        <w:rPr>
          <w:rStyle w:val="1163"/>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收费对象、收费标准及缴纳时间见《投标人须知资料表》。由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支付的，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须一次性向采购代理机构缴纳代理费，投标报价应包含代理费用。</w:t>
      </w:r>
      <w:r/>
    </w:p>
    <w:p>
      <w:pPr>
        <w:jc w:val="center"/>
        <w:spacing w:line="360" w:lineRule="auto"/>
        <w:rPr>
          <w:b/>
          <w:color w:val="auto"/>
          <w:sz w:val="36"/>
          <w:szCs w:val="36"/>
          <w:highlight w:val="none"/>
        </w:rPr>
        <w:outlineLvl w:val="0"/>
      </w:pPr>
      <w:r/>
      <w:bookmarkStart w:id="708" w:name="_Toc226965827"/>
      <w:r/>
      <w:bookmarkStart w:id="709" w:name="_Toc353873664"/>
      <w:r/>
      <w:bookmarkStart w:id="710" w:name="_Toc226337250"/>
      <w:r/>
      <w:bookmarkStart w:id="711" w:name="_Toc353873934"/>
      <w:r/>
      <w:bookmarkStart w:id="712" w:name="_Toc142311056"/>
      <w:r/>
      <w:bookmarkStart w:id="713" w:name="_Toc265228392"/>
      <w:r/>
      <w:bookmarkStart w:id="714" w:name="_Toc264969244"/>
      <w:r/>
      <w:bookmarkStart w:id="715" w:name="_Toc150774759"/>
      <w:r/>
      <w:bookmarkStart w:id="716" w:name="_Toc305158896"/>
      <w:r/>
      <w:bookmarkStart w:id="717" w:name="_Toc150480792"/>
      <w:r/>
      <w:bookmarkStart w:id="718" w:name="_Toc127151554"/>
      <w:r/>
      <w:bookmarkStart w:id="719" w:name="_Toc353825544"/>
      <w:r/>
      <w:bookmarkStart w:id="720" w:name="_Toc305158822"/>
      <w:r/>
      <w:bookmarkStart w:id="721" w:name="_Toc99301421"/>
      <w:r/>
      <w:bookmarkStart w:id="722" w:name="_Toc4607"/>
      <w:r>
        <w:rPr>
          <w:b/>
          <w:color w:val="auto"/>
          <w:sz w:val="36"/>
          <w:szCs w:val="36"/>
          <w:highlight w:val="none"/>
        </w:rPr>
        <w:t xml:space="preserve">第三章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color w:val="auto"/>
          <w:sz w:val="36"/>
          <w:szCs w:val="36"/>
          <w:highlight w:val="none"/>
        </w:rPr>
        <w:t xml:space="preserve">资格审查</w:t>
      </w:r>
      <w:bookmarkEnd w:id="721"/>
      <w:r/>
      <w:bookmarkEnd w:id="722"/>
      <w:r/>
      <w:bookmarkStart w:id="723" w:name="_Toc487900382"/>
      <w:r/>
      <w:r/>
    </w:p>
    <w:p>
      <w:pPr>
        <w:jc w:val="center"/>
        <w:spacing w:line="360" w:lineRule="auto"/>
        <w:rPr>
          <w:rFonts w:ascii="宋体" w:hAnsi="宋体"/>
          <w:b/>
          <w:bCs/>
          <w:color w:val="auto"/>
          <w:sz w:val="28"/>
          <w:szCs w:val="28"/>
          <w:highlight w:val="none"/>
        </w:rPr>
      </w:pPr>
      <w:r/>
      <w:bookmarkStart w:id="724" w:name="_Toc99301422"/>
      <w:r>
        <w:rPr>
          <w:rFonts w:hint="eastAsia" w:ascii="宋体" w:hAnsi="宋体"/>
          <w:b/>
          <w:bCs/>
          <w:color w:val="auto"/>
          <w:sz w:val="28"/>
          <w:szCs w:val="28"/>
          <w:highlight w:val="none"/>
        </w:rPr>
        <w:t xml:space="preserve">一、资格审查程序</w:t>
      </w:r>
      <w:bookmarkEnd w:id="724"/>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资格审查合格的投标人不足3家的，不进行评标。</w:t>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二、资格审查要求</w:t>
      </w:r>
      <w:r/>
    </w:p>
    <w:tbl>
      <w:tblPr>
        <w:tblStyle w:val="1119"/>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color w:val="auto"/>
                <w:sz w:val="24"/>
                <w:highlight w:val="none"/>
              </w:rPr>
            </w:pPr>
            <w:r/>
            <w:bookmarkStart w:id="725" w:name="_Hlt487972895"/>
            <w:r/>
            <w:bookmarkEnd w:id="725"/>
            <w:r>
              <w:rPr>
                <w:b/>
                <w:color w:val="auto"/>
                <w:sz w:val="24"/>
                <w:highlight w:val="none"/>
              </w:rPr>
              <w:t xml:space="preserve">序号</w:t>
            </w:r>
            <w:r/>
          </w:p>
        </w:tc>
        <w:tc>
          <w:tcPr>
            <w:tcW w:w="198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82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638"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8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无须投标人提供，由采购人查询。</w:t>
            </w:r>
            <w:r/>
          </w:p>
        </w:tc>
      </w:tr>
      <w:tr>
        <w:trPr>
          <w:cantSplit/>
          <w:trHeight w:val="468"/>
        </w:trPr>
        <w:tc>
          <w:tcPr>
            <w:shd w:val="clear" w:color="auto" w:fill="auto"/>
            <w:tcW w:w="846"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bookmarkStart w:id="726" w:name="_Toc353825550"/>
            <w:r/>
            <w:bookmarkStart w:id="727" w:name="_Toc127151779"/>
            <w:r/>
            <w:bookmarkStart w:id="728" w:name="_Toc127161490"/>
            <w:r/>
            <w:bookmarkStart w:id="729" w:name="_Toc226965858"/>
            <w:r/>
            <w:bookmarkStart w:id="730" w:name="_Toc353873940"/>
            <w:r>
              <w:rPr>
                <w:rFonts w:hint="eastAsia" w:ascii="宋体" w:hAnsi="宋体" w:cs="宋体"/>
                <w:color w:val="auto"/>
                <w:sz w:val="24"/>
                <w:highlight w:val="none"/>
              </w:rPr>
              <w:t xml:space="preserve">2</w:t>
            </w:r>
            <w:r/>
          </w:p>
        </w:tc>
        <w:tc>
          <w:tcPr>
            <w:shd w:val="clear" w:color="auto" w:fill="auto"/>
            <w:tcW w:w="198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落实政府采购政策需满足的资格要求</w:t>
            </w:r>
            <w:r/>
          </w:p>
        </w:tc>
        <w:tc>
          <w:tcPr>
            <w:shd w:val="clear" w:color="auto" w:fill="auto"/>
            <w:tcW w:w="482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具体要求见第一章《</w:t>
            </w:r>
            <w:r>
              <w:rPr>
                <w:color w:val="auto"/>
                <w:sz w:val="24"/>
                <w:highlight w:val="none"/>
              </w:rPr>
              <w:t xml:space="preserve">投标邀请</w:t>
            </w:r>
            <w:r>
              <w:rPr>
                <w:rFonts w:hint="eastAsia" w:ascii="宋体" w:hAnsi="宋体" w:cs="宋体"/>
                <w:color w:val="auto"/>
                <w:sz w:val="24"/>
                <w:highlight w:val="none"/>
              </w:rPr>
              <w:t xml:space="preserve">》</w:t>
            </w:r>
            <w:r/>
          </w:p>
        </w:tc>
        <w:tc>
          <w:tcPr>
            <w:shd w:val="clear" w:color="auto" w:fill="auto"/>
            <w:tcW w:w="1638"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r/>
          </w:p>
        </w:tc>
      </w:tr>
      <w:tr>
        <w:trPr>
          <w:cantSplit/>
          <w:trHeight w:val="468"/>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2-1</w:t>
            </w:r>
            <w:r/>
          </w:p>
        </w:tc>
        <w:tc>
          <w:tcPr>
            <w:shd w:val="clear" w:color="auto" w:fill="auto"/>
            <w:tcW w:w="0" w:type="auto"/>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shd w:val="clear" w:color="auto" w:fill="auto"/>
            <w:tcW w:w="0" w:type="auto"/>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投标人单独投标的，应提供中小企业声明函；如为监狱企业或残疾人福利性单位，不必提供中小企业声明函，但须按注1或注2要求提供证明材料。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注2：残疾人福利性单位须按招标文件要求提供《残疾人福利性单位声明函》。</w:t>
            </w:r>
            <w:r/>
          </w:p>
        </w:tc>
        <w:tc>
          <w:tcPr>
            <w:shd w:val="clear" w:color="auto" w:fill="auto"/>
            <w:tcW w:w="0" w:type="auto"/>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格式见《投标文件格式》</w:t>
            </w:r>
            <w:r/>
          </w:p>
        </w:tc>
      </w:tr>
    </w:tbl>
    <w:p>
      <w:pPr>
        <w:jc w:val="center"/>
        <w:widowControl/>
        <w:rPr>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sz w:val="24"/>
          <w:highlight w:val="none"/>
        </w:rPr>
      </w:r>
      <w:r/>
    </w:p>
    <w:p>
      <w:pPr>
        <w:jc w:val="center"/>
        <w:widowControl/>
        <w:rPr>
          <w:b/>
          <w:color w:val="auto"/>
          <w:sz w:val="36"/>
          <w:szCs w:val="36"/>
          <w:highlight w:val="none"/>
        </w:rPr>
        <w:outlineLvl w:val="0"/>
      </w:pPr>
      <w:r/>
      <w:bookmarkStart w:id="731" w:name="_Toc8940"/>
      <w:r/>
      <w:bookmarkStart w:id="732" w:name="_Toc99301423"/>
      <w:r>
        <w:rPr>
          <w:b/>
          <w:color w:val="auto"/>
          <w:sz w:val="36"/>
          <w:szCs w:val="36"/>
          <w:highlight w:val="none"/>
        </w:rPr>
        <w:t xml:space="preserve">第四章   </w:t>
      </w:r>
      <w:bookmarkEnd w:id="726"/>
      <w:r/>
      <w:bookmarkEnd w:id="727"/>
      <w:r/>
      <w:bookmarkEnd w:id="728"/>
      <w:r/>
      <w:bookmarkEnd w:id="729"/>
      <w:r/>
      <w:bookmarkEnd w:id="730"/>
      <w:r/>
      <w:bookmarkStart w:id="733" w:name="_Hlt164229061"/>
      <w:r/>
      <w:bookmarkEnd w:id="733"/>
      <w:r>
        <w:rPr>
          <w:b/>
          <w:color w:val="auto"/>
          <w:sz w:val="36"/>
          <w:szCs w:val="36"/>
          <w:highlight w:val="none"/>
        </w:rPr>
        <w:t xml:space="preserve">评标程序、评标方法和评标标准</w:t>
      </w:r>
      <w:bookmarkEnd w:id="731"/>
      <w:r/>
      <w:bookmarkEnd w:id="732"/>
      <w:r/>
      <w:r/>
    </w:p>
    <w:p>
      <w:pPr>
        <w:jc w:val="center"/>
        <w:spacing w:line="360" w:lineRule="auto"/>
        <w:tabs>
          <w:tab w:val="left" w:pos="360" w:leader="none"/>
          <w:tab w:val="left" w:pos="900" w:leader="none"/>
        </w:tabs>
        <w:rPr>
          <w:b/>
          <w:color w:val="auto"/>
          <w:highlight w:val="none"/>
        </w:rPr>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pPr>
      <w:r/>
      <w:bookmarkStart w:id="734" w:name="_Toc151193639"/>
      <w:r/>
      <w:bookmarkStart w:id="735" w:name="_Toc164229236"/>
      <w:r/>
      <w:bookmarkStart w:id="736" w:name="_Toc226337237"/>
      <w:r/>
      <w:bookmarkStart w:id="737" w:name="_Toc226965814"/>
      <w:r/>
      <w:bookmarkStart w:id="738" w:name="_Toc151193783"/>
      <w:r/>
      <w:bookmarkStart w:id="739" w:name="_Toc127151742"/>
      <w:r/>
      <w:bookmarkStart w:id="740" w:name="_Toc151193929"/>
      <w:r/>
      <w:bookmarkStart w:id="741" w:name="_Toc164608810"/>
      <w:r/>
      <w:bookmarkStart w:id="742" w:name="_Toc164229382"/>
      <w:r/>
      <w:bookmarkStart w:id="743" w:name="_Toc127151541"/>
      <w:r/>
      <w:bookmarkStart w:id="744" w:name="_Toc164608655"/>
      <w:r/>
      <w:bookmarkStart w:id="745" w:name="_Toc195842906"/>
      <w:r/>
      <w:bookmarkStart w:id="746" w:name="_Toc305158809"/>
      <w:r/>
      <w:bookmarkStart w:id="747" w:name="_Toc150774746"/>
      <w:r/>
      <w:bookmarkStart w:id="748" w:name="_Toc226309785"/>
      <w:r/>
      <w:bookmarkStart w:id="749" w:name="_Toc150480779"/>
      <w:r/>
      <w:bookmarkStart w:id="750" w:name="_Toc305158883"/>
      <w:r/>
      <w:bookmarkStart w:id="751" w:name="_Toc226965731"/>
      <w:r/>
      <w:bookmarkStart w:id="752" w:name="_Toc264969231"/>
      <w:r/>
      <w:bookmarkStart w:id="753" w:name="_Toc151193855"/>
      <w:r/>
      <w:bookmarkStart w:id="754" w:name="_Toc150509292"/>
      <w:r/>
      <w:bookmarkStart w:id="755" w:name="_Toc150774641"/>
      <w:r/>
      <w:bookmarkStart w:id="756" w:name="_Toc164351635"/>
      <w:r/>
      <w:bookmarkStart w:id="757" w:name="_Toc265228379"/>
      <w:r/>
      <w:bookmarkStart w:id="758" w:name="_Toc142311043"/>
      <w:r/>
      <w:bookmarkStart w:id="759" w:name="_Toc151193711"/>
      <w:r/>
      <w:bookmarkStart w:id="760" w:name="_Toc149720834"/>
      <w:r/>
      <w:bookmarkStart w:id="761" w:name="_Toc127161455"/>
      <w:r/>
      <w:bookmarkStart w:id="762" w:name="_Toc151190168"/>
      <w:r/>
      <w:bookmarkStart w:id="763" w:name="_Toc353873941"/>
      <w:r/>
      <w:bookmarkStart w:id="764" w:name="_Toc353825551"/>
      <w:r/>
      <w:bookmarkStart w:id="765" w:name="_Toc353825545"/>
      <w:r/>
      <w:bookmarkStart w:id="766" w:name="_Toc150480793"/>
      <w:r/>
      <w:bookmarkStart w:id="767" w:name="_Toc353873935"/>
      <w:r/>
      <w:bookmarkStart w:id="768" w:name="_Toc127151555"/>
      <w:r/>
      <w:bookmarkStart w:id="769" w:name="_Toc305158823"/>
      <w:r/>
      <w:bookmarkStart w:id="770" w:name="_Toc305158897"/>
      <w:r/>
      <w:bookmarkStart w:id="771" w:name="_Toc353873665"/>
      <w:r/>
      <w:bookmarkStart w:id="772" w:name="_Toc265228393"/>
      <w:r/>
      <w:bookmarkStart w:id="773" w:name="_Toc142311057"/>
      <w:r/>
      <w:bookmarkStart w:id="774" w:name="_Toc264969245"/>
      <w:r/>
      <w:bookmarkStart w:id="775" w:name="_Toc195842920"/>
      <w:r/>
      <w:bookmarkStart w:id="776" w:name="_Toc226965828"/>
      <w:r/>
      <w:bookmarkStart w:id="777" w:name="_Toc226337251"/>
      <w:r/>
      <w:bookmarkStart w:id="778" w:name="_Toc150774760"/>
      <w:r>
        <w:rPr>
          <w:color w:val="auto"/>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79"/>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111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72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w:t>
            </w:r>
            <w:r>
              <w:rPr>
                <w:rFonts w:hint="eastAsia"/>
                <w:color w:val="auto"/>
                <w:sz w:val="24"/>
                <w:highlight w:val="none"/>
                <w:lang w:val="en-US" w:eastAsia="zh-CN"/>
              </w:rPr>
              <w:t xml:space="preserve">项目</w:t>
            </w:r>
            <w:r>
              <w:rPr>
                <w:color w:val="auto"/>
                <w:sz w:val="24"/>
                <w:highlight w:val="none"/>
              </w:rPr>
              <w:t xml:space="preserve">中的内容拆开投标；</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超过招标文件中规定的项目预算金额或者项目最高</w:t>
            </w:r>
            <w:r>
              <w:rPr>
                <w:rFonts w:hint="eastAsia"/>
                <w:color w:val="auto"/>
                <w:sz w:val="24"/>
                <w:highlight w:val="none"/>
                <w:lang w:val="en-US" w:eastAsia="zh-CN"/>
              </w:rPr>
              <w:t xml:space="preserve">限价或</w:t>
            </w:r>
            <w:r>
              <w:rPr>
                <w:color w:val="auto"/>
                <w:sz w:val="24"/>
                <w:highlight w:val="none"/>
              </w:rPr>
              <w:t xml:space="preserve">者</w:t>
            </w:r>
            <w:r>
              <w:rPr>
                <w:rFonts w:hint="eastAsia"/>
                <w:color w:val="auto"/>
                <w:sz w:val="24"/>
                <w:highlight w:val="none"/>
                <w:lang w:val="en-US" w:eastAsia="zh-CN"/>
              </w:rPr>
              <w:t xml:space="preserve">最高单价</w:t>
            </w:r>
            <w:r>
              <w:rPr>
                <w:color w:val="auto"/>
                <w:sz w:val="24"/>
                <w:highlight w:val="none"/>
              </w:rPr>
              <w:t xml:space="preserve">限价</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shd w:val="clear" w:color="auto" w:fill="auto"/>
            <w:tcW w:w="750" w:type="dxa"/>
            <w:vAlign w:val="center"/>
            <w:textDirection w:val="lrTb"/>
            <w:noWrap w:val="false"/>
          </w:tcPr>
          <w:p>
            <w:pPr>
              <w:jc w:val="center"/>
              <w:spacing w:line="360" w:lineRule="exact"/>
              <w:widowControl/>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8</w:t>
            </w:r>
            <w:r/>
          </w:p>
        </w:tc>
        <w:tc>
          <w:tcPr>
            <w:shd w:val="clear" w:color="auto" w:fill="auto"/>
            <w:tcW w:w="1813" w:type="dxa"/>
            <w:vAlign w:val="center"/>
            <w:textDirection w:val="lrTb"/>
            <w:noWrap w:val="false"/>
          </w:tcPr>
          <w:p>
            <w:pPr>
              <w:jc w:val="center"/>
              <w:spacing w:line="36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报价的修正 </w:t>
            </w:r>
            <w:r/>
          </w:p>
        </w:tc>
        <w:tc>
          <w:tcPr>
            <w:shd w:val="clear" w:color="auto" w:fill="auto"/>
            <w:tcW w:w="6725"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w:t>
            </w:r>
            <w:r/>
          </w:p>
        </w:tc>
      </w:tr>
      <w:tr>
        <w:trPr>
          <w:jc w:val="center"/>
          <w:trHeight w:val="685"/>
        </w:trPr>
        <w:tc>
          <w:tcPr>
            <w:tcW w:w="750" w:type="dxa"/>
            <w:vAlign w:val="center"/>
            <w:textDirection w:val="lrTb"/>
            <w:noWrap w:val="false"/>
          </w:tcPr>
          <w:p>
            <w:pPr>
              <w:jc w:val="center"/>
              <w:spacing w:line="360" w:lineRule="exact"/>
              <w:widowControl/>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9</w:t>
            </w:r>
            <w:r/>
          </w:p>
        </w:tc>
        <w:tc>
          <w:tcPr>
            <w:tcW w:w="1813" w:type="dxa"/>
            <w:vAlign w:val="center"/>
            <w:textDirection w:val="lrTb"/>
            <w:noWrap w:val="false"/>
          </w:tcPr>
          <w:p>
            <w:pPr>
              <w:jc w:val="center"/>
              <w:spacing w:line="36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报价合理性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rPr>
              <w:t xml:space="preserve">投标人的报价明显低于其他通过符合性审查投标人的报价，</w:t>
            </w:r>
            <w:r>
              <w:rPr>
                <w:color w:val="auto"/>
                <w:sz w:val="24"/>
                <w:highlight w:val="none"/>
              </w:rPr>
              <w:t xml:space="preserve">有可能影响</w:t>
            </w:r>
            <w:r>
              <w:rPr>
                <w:rFonts w:hint="eastAsia"/>
                <w:color w:val="auto"/>
                <w:sz w:val="24"/>
                <w:highlight w:val="none"/>
              </w:rPr>
              <w:t xml:space="preserve">服务</w:t>
            </w:r>
            <w:r>
              <w:rPr>
                <w:color w:val="auto"/>
                <w:sz w:val="24"/>
                <w:highlight w:val="none"/>
              </w:rPr>
              <w:t xml:space="preserve">质量或者不能诚信履约的</w:t>
            </w:r>
            <w:r>
              <w:rPr>
                <w:rFonts w:hint="eastAsia"/>
                <w:color w:val="auto"/>
                <w:sz w:val="24"/>
                <w:highlight w:val="none"/>
              </w:rPr>
              <w:t xml:space="preserve">，能够应评标委员会要求在规定时间内证明其报价合理性的</w:t>
            </w:r>
            <w:r>
              <w:rPr>
                <w:color w:val="auto"/>
                <w:sz w:val="24"/>
                <w:highlight w:val="none"/>
              </w:rPr>
              <w:t xml:space="preserve">；</w:t>
            </w:r>
            <w:r/>
          </w:p>
        </w:tc>
      </w:tr>
      <w:tr>
        <w:trPr>
          <w:jc w:val="center"/>
          <w:trHeight w:val="685"/>
        </w:trPr>
        <w:tc>
          <w:tcPr>
            <w:tcW w:w="750" w:type="dxa"/>
            <w:vAlign w:val="center"/>
            <w:textDirection w:val="lrTb"/>
            <w:noWrap w:val="false"/>
          </w:tcPr>
          <w:p>
            <w:pPr>
              <w:jc w:val="center"/>
              <w:spacing w:line="360" w:lineRule="exact"/>
              <w:widowControl/>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10</w:t>
            </w:r>
            <w:r/>
          </w:p>
        </w:tc>
        <w:tc>
          <w:tcPr>
            <w:tcW w:w="1813" w:type="dxa"/>
            <w:vAlign w:val="center"/>
            <w:textDirection w:val="lrTb"/>
            <w:noWrap w:val="false"/>
          </w:tcPr>
          <w:p>
            <w:pPr>
              <w:jc w:val="center"/>
              <w:spacing w:line="360" w:lineRule="exact"/>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公平竞争</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11</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bl>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0"/>
          <w:numId w:val="0"/>
        </w:numPr>
        <w:ind w:left="0"/>
        <w:keepLines w:val="0"/>
        <w:keepNext w:val="0"/>
        <w:pageBreakBefore w:val="0"/>
        <w:spacing w:line="360" w:lineRule="auto"/>
        <w:tabs>
          <w:tab w:val="left" w:pos="1080" w:leader="none"/>
        </w:tabs>
        <w:rPr>
          <w:rFonts w:hint="eastAsia"/>
          <w:b/>
          <w:bCs/>
          <w:color w:val="auto"/>
          <w:sz w:val="24"/>
          <w:highlight w:val="none"/>
        </w:rPr>
      </w:pPr>
      <w:r>
        <w:rPr>
          <w:rFonts w:hint="eastAsia" w:ascii="宋体" w:hAnsi="宋体" w:cs="宋体"/>
          <w:color w:val="auto"/>
          <w:sz w:val="24"/>
          <w:highlight w:val="none"/>
          <w:lang w:val="en-US" w:eastAsia="zh-CN"/>
        </w:rPr>
        <w:t xml:space="preserve">2.2.1</w:t>
      </w:r>
      <w:r>
        <w:rPr>
          <w:rFonts w:hint="eastAsia" w:ascii="宋体" w:hAnsi="宋体" w:cs="宋体"/>
          <w:color w:val="auto"/>
          <w:sz w:val="24"/>
          <w:highlight w:val="none"/>
        </w:rPr>
        <w:t xml:space="preserve">实施政府采购异常低价审查的有关要求：</w:t>
      </w:r>
      <w:r>
        <w:rPr>
          <w:rFonts w:hint="eastAsia"/>
          <w:b/>
          <w:bCs/>
          <w:color w:val="auto"/>
          <w:sz w:val="24"/>
          <w:highlight w:val="none"/>
        </w:rPr>
        <w:t xml:space="preserve">具体按照财</w:t>
      </w:r>
      <w:r>
        <w:rPr>
          <w:rFonts w:hint="eastAsia"/>
          <w:b/>
          <w:bCs/>
          <w:color w:val="auto"/>
          <w:sz w:val="24"/>
          <w:highlight w:val="none"/>
          <w:lang w:val="en-US" w:eastAsia="zh-CN"/>
        </w:rPr>
        <w:t xml:space="preserve">库</w:t>
      </w:r>
      <w:r>
        <w:rPr>
          <w:rFonts w:hint="eastAsia"/>
          <w:b/>
          <w:bCs/>
          <w:color w:val="auto"/>
          <w:sz w:val="24"/>
          <w:highlight w:val="none"/>
        </w:rPr>
        <w:t xml:space="preserve">〔202</w:t>
      </w:r>
      <w:r>
        <w:rPr>
          <w:rFonts w:hint="eastAsia"/>
          <w:b/>
          <w:bCs/>
          <w:color w:val="auto"/>
          <w:sz w:val="24"/>
          <w:highlight w:val="none"/>
          <w:lang w:val="en-US" w:eastAsia="zh-CN"/>
        </w:rPr>
        <w:t xml:space="preserve">6</w:t>
      </w:r>
      <w:r>
        <w:rPr>
          <w:rFonts w:hint="eastAsia"/>
          <w:b/>
          <w:bCs/>
          <w:color w:val="auto"/>
          <w:sz w:val="24"/>
          <w:highlight w:val="none"/>
        </w:rPr>
        <w:t xml:space="preserve">〕</w:t>
      </w:r>
      <w:r>
        <w:rPr>
          <w:rFonts w:hint="eastAsia"/>
          <w:b/>
          <w:bCs/>
          <w:color w:val="auto"/>
          <w:sz w:val="24"/>
          <w:highlight w:val="none"/>
          <w:lang w:val="en-US" w:eastAsia="zh-CN"/>
        </w:rPr>
        <w:t xml:space="preserve">2</w:t>
      </w:r>
      <w:r>
        <w:rPr>
          <w:rFonts w:hint="eastAsia"/>
          <w:b/>
          <w:bCs/>
          <w:color w:val="auto"/>
          <w:sz w:val="24"/>
          <w:highlight w:val="none"/>
        </w:rPr>
        <w:t xml:space="preserve">号《关于推动解决政府采购异常低价问题的通知》要求：</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（一）政府采购评审中出现下列情形之一的，评审委员会应当启动异常低价投标（响应）审查程序：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中的内容拆开投标，其</w:t>
      </w:r>
      <w:r>
        <w:rPr>
          <w:rFonts w:hint="eastAsia" w:ascii="宋体" w:hAnsi="宋体" w:eastAsia="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780" w:name="_Toc305158888"/>
      <w:r/>
      <w:bookmarkStart w:id="781" w:name="_Toc226309790"/>
      <w:r/>
      <w:bookmarkStart w:id="782" w:name="_Toc151190173"/>
      <w:r/>
      <w:bookmarkStart w:id="783" w:name="_Toc151193934"/>
      <w:r/>
      <w:bookmarkStart w:id="784" w:name="_Toc264969236"/>
      <w:r/>
      <w:bookmarkStart w:id="785" w:name="_Toc142311048"/>
      <w:r/>
      <w:bookmarkStart w:id="786" w:name="_Toc150480784"/>
      <w:r/>
      <w:bookmarkStart w:id="787" w:name="_Toc265228384"/>
      <w:r/>
      <w:bookmarkStart w:id="788" w:name="_Toc226965819"/>
      <w:r/>
      <w:bookmarkStart w:id="789" w:name="_Toc151193644"/>
      <w:r/>
      <w:bookmarkStart w:id="790" w:name="_Toc150509297"/>
      <w:r/>
      <w:bookmarkStart w:id="791" w:name="_Toc164608815"/>
      <w:r/>
      <w:bookmarkStart w:id="792" w:name="_Toc164229387"/>
      <w:r/>
      <w:bookmarkStart w:id="793" w:name="_Toc151193788"/>
      <w:r/>
      <w:bookmarkStart w:id="794" w:name="_Toc151193716"/>
      <w:r/>
      <w:bookmarkStart w:id="795" w:name="_Toc127151747"/>
      <w:r/>
      <w:bookmarkStart w:id="796" w:name="_Toc195842911"/>
      <w:r/>
      <w:bookmarkStart w:id="797" w:name="_Toc150774751"/>
      <w:r/>
      <w:bookmarkStart w:id="798" w:name="_Toc151193860"/>
      <w:r/>
      <w:bookmarkStart w:id="799" w:name="_Toc305158814"/>
      <w:r/>
      <w:bookmarkStart w:id="800" w:name="_Toc520356170"/>
      <w:r/>
      <w:bookmarkStart w:id="801" w:name="_Toc164608660"/>
      <w:r/>
      <w:bookmarkStart w:id="802" w:name="_Toc164351640"/>
      <w:r/>
      <w:bookmarkStart w:id="803" w:name="_Toc150774646"/>
      <w:r/>
      <w:bookmarkStart w:id="804" w:name="_Toc127151546"/>
      <w:r/>
      <w:bookmarkStart w:id="805" w:name="_Toc164229241"/>
      <w:r/>
      <w:bookmarkStart w:id="806" w:name="_Toc127161460"/>
      <w:r/>
      <w:bookmarkStart w:id="807" w:name="_Toc226337242"/>
      <w:r/>
      <w:bookmarkStart w:id="808" w:name="_Ref467307010"/>
      <w:r/>
      <w:bookmarkStart w:id="809" w:name="_Toc226965736"/>
      <w:r/>
      <w:bookmarkStart w:id="810" w:name="_Toc149720839"/>
      <w:r>
        <w:rPr>
          <w:rFonts w:hint="eastAsia" w:ascii="宋体" w:hAnsi="宋体" w:cs="宋体"/>
          <w:color w:val="auto"/>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评标委员会要对评分汇总情况进行复核，特别是对排名第一的、报价最低的、投标或投标文件被认定为无效的情形进行重点复核。</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3"/>
        </w:numPr>
        <w:jc w:val="center"/>
        <w:spacing w:line="360" w:lineRule="auto"/>
        <w:widowControl/>
        <w:rPr>
          <w:rFonts w:ascii="宋体" w:hAnsi="宋体"/>
          <w:b/>
          <w:bCs/>
          <w:color w:val="auto"/>
          <w:sz w:val="28"/>
          <w:szCs w:val="28"/>
          <w:highlight w:val="none"/>
        </w:rPr>
      </w:pPr>
      <w:r>
        <w:rPr>
          <w:rFonts w:hint="eastAsia" w:ascii="宋体" w:hAnsi="宋体" w:cs="宋体"/>
          <w:b/>
          <w:color w:val="auto"/>
          <w:sz w:val="24"/>
          <w:highlight w:val="none"/>
        </w:rPr>
        <w:br w:type="page" w:clear="all"/>
      </w:r>
      <w:r>
        <w:rPr>
          <w:rFonts w:hint="eastAsia" w:ascii="宋体" w:hAnsi="宋体"/>
          <w:b/>
          <w:bCs/>
          <w:color w:val="auto"/>
          <w:sz w:val="28"/>
          <w:szCs w:val="28"/>
          <w:highlight w:val="none"/>
        </w:rPr>
        <w:t xml:space="preserve">评标标准</w:t>
      </w:r>
      <w:r/>
    </w:p>
    <w:tbl>
      <w:tblPr>
        <w:tblStyle w:val="1119"/>
        <w:tblW w:w="56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250"/>
        <w:gridCol w:w="704"/>
        <w:gridCol w:w="6653"/>
      </w:tblGrid>
      <w:tr>
        <w:trPr>
          <w:jc w:val="center"/>
          <w:trHeight w:val="452"/>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3535"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1313"/>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价格分</w:t>
            </w:r>
            <w:r/>
          </w:p>
        </w:tc>
        <w:tc>
          <w:tcPr>
            <w:tcW w:w="374"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15</w:t>
            </w:r>
            <w:r/>
          </w:p>
        </w:tc>
        <w:tc>
          <w:tcPr>
            <w:tcW w:w="3535" w:type="pct"/>
            <w:vAlign w:val="center"/>
            <w:textDirection w:val="lrTb"/>
            <w:noWrap w:val="false"/>
          </w:tcPr>
          <w:p>
            <w:pPr>
              <w:ind w:firstLine="0"/>
              <w:jc w:val="left"/>
              <w:keepLines w:val="0"/>
              <w:keepNext w:val="0"/>
              <w:pageBreakBefore w:val="0"/>
              <w:spacing w:line="440" w:lineRule="exact"/>
              <w:widowControl w:val="off"/>
              <w:tabs>
                <w:tab w:val="left" w:pos="12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要求且</w:t>
            </w:r>
            <w:r>
              <w:rPr>
                <w:rFonts w:hint="eastAsia" w:ascii="宋体" w:hAnsi="宋体" w:eastAsia="宋体" w:cs="宋体"/>
                <w:b/>
                <w:bCs/>
                <w:color w:val="auto"/>
                <w:sz w:val="24"/>
                <w:szCs w:val="24"/>
                <w:highlight w:val="none"/>
                <w:lang w:val="en-US" w:eastAsia="zh-CN"/>
              </w:rPr>
              <w:t xml:space="preserve">二年合计</w:t>
            </w:r>
            <w:r>
              <w:rPr>
                <w:rFonts w:hint="eastAsia" w:ascii="宋体" w:hAnsi="宋体" w:eastAsia="宋体" w:cs="宋体"/>
                <w:color w:val="auto"/>
                <w:sz w:val="24"/>
                <w:szCs w:val="24"/>
                <w:highlight w:val="none"/>
              </w:rPr>
              <w:t xml:space="preserve">报价最低的报价为评标基准价，其价格分为满分。其他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的价格分统一按照下列公式计算：价格分得分＝（评标基准价/报价）×分值。</w:t>
            </w:r>
            <w:r/>
          </w:p>
          <w:p>
            <w:pPr>
              <w:ind w:firstLine="0"/>
              <w:jc w:val="left"/>
              <w:keepLines w:val="0"/>
              <w:keepNext w:val="0"/>
              <w:pageBreakBefore w:val="0"/>
              <w:spacing w:line="44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注：此处报价指经过报价修正</w:t>
            </w:r>
            <w:r>
              <w:rPr>
                <w:rFonts w:hint="eastAsia" w:ascii="宋体" w:hAnsi="宋体" w:eastAsia="宋体" w:cs="宋体"/>
                <w:b/>
                <w:bCs w:val="0"/>
                <w:color w:val="auto"/>
                <w:sz w:val="24"/>
                <w:szCs w:val="24"/>
                <w:highlight w:val="none"/>
                <w:lang w:val="en-US" w:eastAsia="zh-CN"/>
              </w:rPr>
              <w:t xml:space="preserve">后</w:t>
            </w:r>
            <w:r>
              <w:rPr>
                <w:rFonts w:hint="eastAsia" w:ascii="宋体" w:hAnsi="宋体" w:eastAsia="宋体" w:cs="宋体"/>
                <w:b/>
                <w:bCs/>
                <w:color w:val="auto"/>
                <w:sz w:val="24"/>
                <w:szCs w:val="24"/>
                <w:highlight w:val="none"/>
              </w:rPr>
              <w:t xml:space="preserve">的报价。</w:t>
            </w:r>
            <w:r/>
          </w:p>
          <w:p>
            <w:p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意：评标委员会认为投标人的报价属于应当启动异常低价投标审查程序范畴的，应当要求其在评审时合理的时间内提供书面说明，必要时提交相关证明材料；投标人不能证明其报价合理性的，评标委员会应当将其作为无效投标处理。</w:t>
            </w:r>
            <w:r/>
          </w:p>
        </w:tc>
      </w:tr>
      <w:tr>
        <w:trPr>
          <w:jc w:val="center"/>
          <w:trHeight w:val="527"/>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客观分</w:t>
            </w:r>
            <w:r/>
          </w:p>
        </w:tc>
        <w:tc>
          <w:tcPr>
            <w:tcW w:w="374"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30</w:t>
            </w:r>
            <w:r/>
          </w:p>
        </w:tc>
        <w:tc>
          <w:tcPr>
            <w:tcW w:w="3535" w:type="pct"/>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企业业绩</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自2023年1月1日以来（时间以合同签订时间为准）承接类似项目（绿化养护服务）业绩的，有1个得3分，</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最高得12分。</w:t>
            </w:r>
            <w:r/>
          </w:p>
          <w:p>
            <w:pPr>
              <w:pStyle w:val="1371"/>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注：投标文件中提供每个业绩对应的合同并加盖投标人公章，否则不得分。</w:t>
            </w:r>
            <w:r/>
          </w:p>
        </w:tc>
      </w:tr>
      <w:tr>
        <w:trPr>
          <w:jc w:val="center"/>
          <w:trHeight w:val="2057"/>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体系认证</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35" w:type="pct"/>
            <w:vAlign w:val="center"/>
            <w:textDirection w:val="lrTb"/>
            <w:noWrap w:val="false"/>
          </w:tcPr>
          <w:p>
            <w:pPr>
              <w:pStyle w:val="1371"/>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具有有效的质量管理体系认证证书、环境管理体系认证证书、职业健康安全管理体系认证证书，有1个得1分，本项最高得3分。</w:t>
            </w:r>
            <w:r/>
          </w:p>
          <w:p>
            <w:pPr>
              <w:pStyle w:val="1371"/>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注：投标文件中提供有效的证书加盖投标人公章，否则不得分。</w:t>
            </w:r>
            <w:r/>
          </w:p>
        </w:tc>
      </w:tr>
      <w:tr>
        <w:trPr>
          <w:jc w:val="center"/>
          <w:trHeight w:val="90"/>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3</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绿化管养负责人</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35" w:type="pct"/>
            <w:vAlign w:val="center"/>
            <w:textDirection w:val="lrTb"/>
            <w:noWrap w:val="false"/>
          </w:tcPr>
          <w:p>
            <w:pPr>
              <w:pStyle w:val="1371"/>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绿化管养负责人具有中级工程师</w:t>
            </w:r>
            <w:r>
              <w:rPr>
                <w:rFonts w:hint="eastAsia" w:ascii="宋体" w:hAnsi="宋体" w:cs="宋体"/>
                <w:color w:val="auto"/>
                <w:sz w:val="24"/>
                <w:szCs w:val="24"/>
                <w:highlight w:val="none"/>
                <w:lang w:val="en-US" w:eastAsia="zh-CN" w:bidi="ar-SA"/>
              </w:rPr>
              <w:t xml:space="preserve">及以上</w:t>
            </w:r>
            <w:r>
              <w:rPr>
                <w:rFonts w:hint="eastAsia" w:ascii="宋体" w:hAnsi="宋体" w:eastAsia="宋体" w:cs="宋体"/>
                <w:color w:val="auto"/>
                <w:sz w:val="24"/>
                <w:szCs w:val="24"/>
                <w:highlight w:val="none"/>
                <w:lang w:val="en-US" w:eastAsia="zh-CN" w:bidi="ar-SA"/>
              </w:rPr>
              <w:t xml:space="preserve">职称证书（专业为园林绿化相关专业）的得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投标文件中提供相应证书及2026年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月至2026年</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中任意一个月投标单位为绿化管养负责人缴纳社会保险的证明材料加盖投标人公章，否则不得分。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绿化管养负责人自2023年1月1日以来（时间以合同签订时间为准）承接类似项目（绿化养护服务）业绩的，有1个得2分，</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最高得2分。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绿化管养</w:t>
            </w:r>
            <w:r>
              <w:rPr>
                <w:rFonts w:hint="eastAsia" w:ascii="宋体" w:hAnsi="宋体" w:eastAsia="宋体" w:cs="宋体"/>
                <w:b/>
                <w:bCs/>
                <w:color w:val="auto"/>
                <w:sz w:val="24"/>
                <w:szCs w:val="24"/>
                <w:highlight w:val="none"/>
              </w:rPr>
              <w:t xml:space="preserve">项目负责人业绩与企业业绩不重复得分。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投标文件中提供业绩对应的合同并加盖投标人公章，否则不得分。</w:t>
            </w:r>
            <w:r/>
          </w:p>
        </w:tc>
      </w:tr>
      <w:tr>
        <w:trPr>
          <w:jc w:val="center"/>
          <w:trHeight w:val="90"/>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4</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绿化管养项目组成员（除绿化管养负责人外）</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3535" w:type="pct"/>
            <w:vAlign w:val="center"/>
            <w:textDirection w:val="lrTb"/>
            <w:noWrap w:val="false"/>
          </w:tcPr>
          <w:p>
            <w:pPr>
              <w:pStyle w:val="1371"/>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拟派绿化管养项目组成员</w:t>
            </w:r>
            <w:r>
              <w:rPr>
                <w:rFonts w:hint="eastAsia" w:ascii="宋体" w:hAnsi="宋体" w:eastAsia="宋体" w:cs="宋体"/>
                <w:b/>
                <w:bCs/>
                <w:color w:val="auto"/>
                <w:sz w:val="24"/>
                <w:szCs w:val="24"/>
                <w:highlight w:val="none"/>
                <w:lang w:val="en-US" w:eastAsia="zh-CN" w:bidi="ar-SA"/>
              </w:rPr>
              <w:t xml:space="preserve">（除绿化管养负责人</w:t>
            </w:r>
            <w:r>
              <w:rPr>
                <w:rFonts w:hint="eastAsia" w:ascii="宋体" w:hAnsi="宋体" w:cs="宋体"/>
                <w:b/>
                <w:bCs/>
                <w:color w:val="auto"/>
                <w:sz w:val="24"/>
                <w:szCs w:val="24"/>
                <w:highlight w:val="none"/>
                <w:lang w:val="en-US" w:eastAsia="zh-CN" w:bidi="ar-SA"/>
              </w:rPr>
              <w:t xml:space="preserve">外</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具有中级绿化工证书的，得1分；具有高级绿化工证书的，得2分，</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最高得2分，限评一人。</w:t>
            </w:r>
            <w:r/>
          </w:p>
          <w:p>
            <w:pPr>
              <w:pStyle w:val="1371"/>
              <w:ind w:firstLine="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拟派绿化管养项目组成员</w:t>
            </w:r>
            <w:r>
              <w:rPr>
                <w:rFonts w:hint="eastAsia" w:ascii="宋体" w:hAnsi="宋体" w:eastAsia="宋体" w:cs="宋体"/>
                <w:b/>
                <w:bCs/>
                <w:color w:val="auto"/>
                <w:sz w:val="24"/>
                <w:szCs w:val="24"/>
                <w:highlight w:val="none"/>
                <w:lang w:val="en-US" w:eastAsia="zh-CN" w:bidi="ar-SA"/>
              </w:rPr>
              <w:t xml:space="preserve">（除绿化管养负责人外）</w:t>
            </w:r>
            <w:r>
              <w:rPr>
                <w:rFonts w:hint="eastAsia" w:ascii="宋体" w:hAnsi="宋体" w:eastAsia="宋体" w:cs="宋体"/>
                <w:b w:val="0"/>
                <w:bCs w:val="0"/>
                <w:color w:val="auto"/>
                <w:sz w:val="24"/>
                <w:szCs w:val="24"/>
                <w:highlight w:val="none"/>
                <w:lang w:val="en-US" w:eastAsia="zh-CN" w:bidi="ar-SA"/>
              </w:rPr>
              <w:t xml:space="preserve">具有应急管理部门颁发的有效《特种作业操作证》（作业类别含‘高处作业’）的有一个得2分，最高得4分。</w:t>
            </w:r>
            <w:r/>
          </w:p>
          <w:p>
            <w:pPr>
              <w:pStyle w:val="1371"/>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lang w:val="en-US" w:eastAsia="zh-CN" w:bidi="ar-SA"/>
              </w:rPr>
              <w:t xml:space="preserve">提供相关证书或官方网站查询截图，</w:t>
            </w:r>
            <w:r>
              <w:rPr>
                <w:rFonts w:hint="eastAsia" w:ascii="宋体" w:hAnsi="宋体" w:eastAsia="宋体" w:cs="宋体"/>
                <w:b/>
                <w:bCs/>
                <w:color w:val="auto"/>
                <w:sz w:val="24"/>
                <w:szCs w:val="24"/>
                <w:highlight w:val="none"/>
                <w:lang w:val="en-US" w:eastAsia="zh-CN"/>
              </w:rPr>
              <w:t xml:space="preserve">及2026年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月至2026年</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中任意一个月投标单位为</w:t>
            </w:r>
            <w:r>
              <w:rPr>
                <w:rFonts w:hint="eastAsia" w:ascii="宋体" w:hAnsi="宋体" w:cs="宋体"/>
                <w:b/>
                <w:bCs/>
                <w:color w:val="auto"/>
                <w:sz w:val="24"/>
                <w:szCs w:val="24"/>
                <w:highlight w:val="none"/>
                <w:lang w:val="en-US" w:eastAsia="zh-CN"/>
              </w:rPr>
              <w:t xml:space="preserve">上述人员</w:t>
            </w:r>
            <w:r>
              <w:rPr>
                <w:rFonts w:hint="eastAsia" w:ascii="宋体" w:hAnsi="宋体" w:eastAsia="宋体" w:cs="宋体"/>
                <w:b/>
                <w:bCs/>
                <w:color w:val="auto"/>
                <w:sz w:val="24"/>
                <w:szCs w:val="24"/>
                <w:highlight w:val="none"/>
                <w:lang w:val="en-US" w:eastAsia="zh-CN"/>
              </w:rPr>
              <w:t xml:space="preserve">缴纳社会保险的证明材料加盖投标人公章，否则不得分。</w:t>
            </w:r>
            <w:r/>
          </w:p>
        </w:tc>
      </w:tr>
      <w:tr>
        <w:trPr>
          <w:jc w:val="center"/>
          <w:trHeight w:val="90"/>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5</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绿化垃圾处置能力配备</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为本项目配备基质加工设备：</w:t>
            </w:r>
            <w:r/>
          </w:p>
          <w:p>
            <w:pPr>
              <w:pStyle w:val="1371"/>
              <w:numPr>
                <w:ilvl w:val="0"/>
                <w:numId w:val="0"/>
              </w:numPr>
              <w:ind w:firstLine="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具有</w:t>
            </w:r>
            <w:r>
              <w:rPr>
                <w:rFonts w:hint="eastAsia" w:ascii="宋体" w:hAnsi="宋体" w:eastAsia="宋体" w:cs="宋体"/>
                <w:color w:val="auto"/>
                <w:sz w:val="24"/>
                <w:szCs w:val="24"/>
                <w:highlight w:val="none"/>
                <w:lang w:val="en-US" w:eastAsia="zh-CN" w:bidi="ar-SA"/>
              </w:rPr>
              <w:t xml:space="preserve">1台</w:t>
            </w:r>
            <w:r>
              <w:rPr>
                <w:rFonts w:hint="eastAsia" w:ascii="宋体" w:hAnsi="宋体" w:cs="宋体"/>
                <w:color w:val="auto"/>
                <w:sz w:val="24"/>
                <w:szCs w:val="24"/>
                <w:highlight w:val="none"/>
                <w:lang w:val="en-US" w:eastAsia="zh-CN" w:bidi="ar-SA"/>
              </w:rPr>
              <w:t xml:space="preserve">小</w:t>
            </w:r>
            <w:r>
              <w:rPr>
                <w:rFonts w:hint="eastAsia" w:ascii="宋体" w:hAnsi="宋体" w:eastAsia="宋体" w:cs="宋体"/>
                <w:color w:val="auto"/>
                <w:sz w:val="24"/>
                <w:szCs w:val="24"/>
                <w:highlight w:val="none"/>
                <w:lang w:val="en-US" w:eastAsia="zh-CN" w:bidi="ar-SA"/>
              </w:rPr>
              <w:t xml:space="preserve">型树枝粉碎机</w:t>
            </w:r>
            <w:r>
              <w:rPr>
                <w:rFonts w:hint="eastAsia" w:ascii="宋体" w:hAnsi="宋体" w:cs="宋体"/>
                <w:color w:val="auto"/>
                <w:sz w:val="24"/>
                <w:szCs w:val="24"/>
                <w:highlight w:val="none"/>
                <w:lang w:val="en-US" w:eastAsia="zh-CN" w:bidi="ar-SA"/>
              </w:rPr>
              <w:t xml:space="preserve">的得2分。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eastAsia="zh-CN"/>
              </w:rPr>
              <w:t xml:space="preserve">①若为自有</w:t>
            </w:r>
            <w:r>
              <w:rPr>
                <w:rFonts w:hint="eastAsia" w:ascii="宋体" w:hAnsi="宋体" w:eastAsia="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lang w:val="zh-CN" w:eastAsia="zh-CN"/>
              </w:rPr>
              <w:t xml:space="preserve">须提供</w:t>
            </w:r>
            <w:r>
              <w:rPr>
                <w:rFonts w:hint="eastAsia" w:ascii="宋体" w:hAnsi="宋体" w:eastAsia="宋体" w:cs="宋体"/>
                <w:b/>
                <w:bCs/>
                <w:color w:val="auto"/>
                <w:sz w:val="24"/>
                <w:szCs w:val="24"/>
                <w:highlight w:val="none"/>
                <w:lang w:val="en-US" w:eastAsia="zh-CN"/>
              </w:rPr>
              <w:t xml:space="preserve">购买</w:t>
            </w:r>
            <w:r>
              <w:rPr>
                <w:rFonts w:hint="eastAsia" w:ascii="宋体" w:hAnsi="宋体" w:eastAsia="宋体" w:cs="宋体"/>
                <w:b/>
                <w:bCs/>
                <w:color w:val="auto"/>
                <w:sz w:val="24"/>
                <w:szCs w:val="24"/>
                <w:highlight w:val="none"/>
                <w:lang w:val="zh-CN" w:eastAsia="zh-CN"/>
              </w:rPr>
              <w:t xml:space="preserve">发票，</w:t>
            </w:r>
            <w:r>
              <w:rPr>
                <w:rFonts w:hint="eastAsia" w:ascii="宋体" w:hAnsi="宋体" w:eastAsia="宋体" w:cs="宋体"/>
                <w:b/>
                <w:bCs/>
                <w:color w:val="auto"/>
                <w:sz w:val="24"/>
                <w:szCs w:val="24"/>
                <w:highlight w:val="none"/>
                <w:lang w:val="en-US" w:eastAsia="zh-CN"/>
              </w:rPr>
              <w:t xml:space="preserve">否则不得分</w:t>
            </w:r>
            <w:r>
              <w:rPr>
                <w:rFonts w:hint="eastAsia" w:ascii="宋体" w:hAnsi="宋体" w:eastAsia="宋体" w:cs="宋体"/>
                <w:b/>
                <w:bCs/>
                <w:color w:val="auto"/>
                <w:sz w:val="24"/>
                <w:szCs w:val="24"/>
                <w:highlight w:val="none"/>
                <w:lang w:val="zh-CN"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rPr>
              <w:t xml:space="preserve">②若为租赁</w:t>
            </w:r>
            <w:r>
              <w:rPr>
                <w:rFonts w:hint="eastAsia" w:ascii="宋体" w:hAnsi="宋体" w:eastAsia="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lang w:val="zh-CN" w:eastAsia="zh-CN"/>
              </w:rPr>
              <w:t xml:space="preserve">须提供租赁合同（</w:t>
            </w:r>
            <w:r>
              <w:rPr>
                <w:rFonts w:hint="eastAsia" w:ascii="宋体" w:hAnsi="宋体" w:eastAsia="宋体" w:cs="宋体"/>
                <w:b/>
                <w:bCs/>
                <w:color w:val="auto"/>
                <w:sz w:val="24"/>
                <w:szCs w:val="24"/>
                <w:highlight w:val="none"/>
                <w:lang w:val="en-US" w:eastAsia="zh-CN"/>
              </w:rPr>
              <w:t xml:space="preserve">租赁协议</w:t>
            </w:r>
            <w:r>
              <w:rPr>
                <w:rFonts w:hint="eastAsia" w:ascii="宋体" w:hAnsi="宋体" w:eastAsia="宋体" w:cs="宋体"/>
                <w:b/>
                <w:bCs/>
                <w:color w:val="auto"/>
                <w:sz w:val="24"/>
                <w:szCs w:val="24"/>
                <w:highlight w:val="none"/>
                <w:lang w:val="zh-CN" w:eastAsia="zh-CN"/>
              </w:rPr>
              <w:t xml:space="preserve">），否则不得分</w:t>
            </w:r>
            <w:r>
              <w:rPr>
                <w:rFonts w:hint="eastAsia" w:ascii="宋体" w:hAnsi="宋体" w:eastAsia="宋体" w:cs="宋体"/>
                <w:b/>
                <w:bCs/>
                <w:color w:val="auto"/>
                <w:sz w:val="24"/>
                <w:szCs w:val="24"/>
                <w:highlight w:val="none"/>
                <w:lang w:val="en-US" w:eastAsia="zh-CN"/>
              </w:rPr>
              <w:t xml:space="preserve">。</w:t>
            </w:r>
            <w:r/>
          </w:p>
        </w:tc>
      </w:tr>
      <w:tr>
        <w:trPr>
          <w:jc w:val="center"/>
          <w:trHeight w:val="830"/>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车辆</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为本项目配备洒水车，每有1辆得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为本项目配备运输车辆，每有1辆得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numPr>
                <w:ilvl w:val="0"/>
                <w:numId w:val="0"/>
              </w:numPr>
              <w:ind w:left="0" w:right="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投标文件中提</w:t>
            </w:r>
            <w:r>
              <w:rPr>
                <w:rFonts w:hint="eastAsia" w:ascii="宋体" w:hAnsi="宋体" w:eastAsia="宋体" w:cs="宋体"/>
                <w:b/>
                <w:bCs/>
                <w:color w:val="auto"/>
                <w:sz w:val="24"/>
                <w:szCs w:val="24"/>
                <w:highlight w:val="none"/>
                <w:lang w:val="en-US" w:eastAsia="zh-CN"/>
              </w:rPr>
              <w:t xml:space="preserve">供以下证明材料加盖投标人公章，否则不得分。</w:t>
            </w:r>
            <w:r/>
          </w:p>
          <w:p>
            <w:pPr>
              <w:numPr>
                <w:ilvl w:val="0"/>
                <w:numId w:val="0"/>
              </w:numPr>
              <w:ind w:left="0" w:right="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若为自有车辆：</w:t>
            </w:r>
            <w:r/>
          </w:p>
          <w:p>
            <w:pPr>
              <w:numPr>
                <w:ilvl w:val="0"/>
                <w:numId w:val="0"/>
              </w:numPr>
              <w:ind w:left="0" w:right="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须提供①在年审有效期内的《机动车行驶证》；②有效期内的《机动车登记证》；③</w:t>
            </w:r>
            <w:r>
              <w:rPr>
                <w:rFonts w:hint="eastAsia" w:ascii="宋体" w:hAnsi="宋体" w:eastAsia="宋体" w:cs="宋体"/>
                <w:b/>
                <w:bCs/>
                <w:color w:val="auto"/>
                <w:sz w:val="24"/>
                <w:szCs w:val="24"/>
                <w:highlight w:val="none"/>
                <w:lang w:val="en-US" w:eastAsia="zh-CN"/>
              </w:rPr>
              <w:t xml:space="preserve">车辆购置</w:t>
            </w:r>
            <w:r>
              <w:rPr>
                <w:rFonts w:hint="eastAsia" w:ascii="宋体" w:hAnsi="宋体" w:eastAsia="宋体" w:cs="宋体"/>
                <w:b/>
                <w:bCs/>
                <w:color w:val="auto"/>
                <w:sz w:val="24"/>
                <w:szCs w:val="24"/>
                <w:highlight w:val="none"/>
                <w:lang w:val="zh-CN" w:eastAsia="zh-CN"/>
              </w:rPr>
              <w:t xml:space="preserve">发票；④</w:t>
            </w:r>
            <w:r>
              <w:rPr>
                <w:rFonts w:hint="eastAsia" w:ascii="宋体" w:hAnsi="宋体" w:eastAsia="宋体" w:cs="宋体"/>
                <w:b/>
                <w:bCs/>
                <w:color w:val="auto"/>
                <w:sz w:val="24"/>
                <w:szCs w:val="24"/>
                <w:highlight w:val="none"/>
                <w:lang w:val="en-US" w:eastAsia="zh-CN"/>
              </w:rPr>
              <w:t xml:space="preserve">照片，四项缺一不可，否则不得分。</w:t>
            </w:r>
            <w:r/>
          </w:p>
          <w:p>
            <w:pPr>
              <w:numPr>
                <w:ilvl w:val="0"/>
                <w:numId w:val="0"/>
              </w:numPr>
              <w:ind w:left="0" w:right="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若为租赁车辆：</w:t>
            </w:r>
            <w:r/>
          </w:p>
          <w:p>
            <w:pPr>
              <w:numPr>
                <w:ilvl w:val="0"/>
                <w:numId w:val="0"/>
              </w:numPr>
              <w:ind w:left="0" w:right="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rPr>
              <w:t xml:space="preserve">须提供①在年审有效期内的《机动车行驶证》；②有效期内的《机动车登记证》；③车辆租赁合同（</w:t>
            </w:r>
            <w:r>
              <w:rPr>
                <w:rFonts w:hint="eastAsia" w:ascii="宋体" w:hAnsi="宋体" w:eastAsia="宋体" w:cs="宋体"/>
                <w:b/>
                <w:bCs/>
                <w:color w:val="auto"/>
                <w:sz w:val="24"/>
                <w:szCs w:val="24"/>
                <w:highlight w:val="none"/>
                <w:lang w:val="en-US" w:eastAsia="zh-CN"/>
              </w:rPr>
              <w:t xml:space="preserve">租赁协议</w:t>
            </w:r>
            <w:r>
              <w:rPr>
                <w:rFonts w:hint="eastAsia" w:ascii="宋体" w:hAnsi="宋体" w:eastAsia="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④</w:t>
            </w:r>
            <w:r>
              <w:rPr>
                <w:rFonts w:hint="eastAsia" w:ascii="宋体" w:hAnsi="宋体" w:cs="宋体"/>
                <w:b/>
                <w:bCs/>
                <w:color w:val="auto"/>
                <w:sz w:val="24"/>
                <w:szCs w:val="24"/>
                <w:highlight w:val="none"/>
                <w:lang w:val="en-US" w:eastAsia="zh-CN"/>
              </w:rPr>
              <w:t xml:space="preserve">车辆</w:t>
            </w:r>
            <w:r>
              <w:rPr>
                <w:rFonts w:hint="eastAsia" w:ascii="宋体" w:hAnsi="宋体" w:eastAsia="宋体" w:cs="宋体"/>
                <w:b/>
                <w:bCs/>
                <w:color w:val="auto"/>
                <w:sz w:val="24"/>
                <w:szCs w:val="24"/>
                <w:highlight w:val="none"/>
                <w:lang w:val="en-US" w:eastAsia="zh-CN"/>
              </w:rPr>
              <w:t xml:space="preserve">照片；</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eastAsia="zh-CN"/>
              </w:rPr>
              <w:t xml:space="preserve">项缺一不可</w:t>
            </w:r>
            <w:r>
              <w:rPr>
                <w:rFonts w:hint="eastAsia" w:ascii="宋体" w:hAnsi="宋体" w:eastAsia="宋体" w:cs="宋体"/>
                <w:b/>
                <w:bCs/>
                <w:color w:val="auto"/>
                <w:sz w:val="24"/>
                <w:szCs w:val="24"/>
                <w:highlight w:val="none"/>
                <w:lang w:val="en-US" w:eastAsia="zh-CN"/>
              </w:rPr>
              <w:t xml:space="preserve">，否则不得分</w:t>
            </w:r>
            <w:r>
              <w:rPr>
                <w:rFonts w:hint="eastAsia" w:ascii="宋体" w:hAnsi="宋体" w:eastAsia="宋体" w:cs="宋体"/>
                <w:b/>
                <w:bCs/>
                <w:color w:val="auto"/>
                <w:sz w:val="24"/>
                <w:szCs w:val="24"/>
                <w:highlight w:val="none"/>
                <w:lang w:val="zh-CN" w:eastAsia="zh-CN"/>
              </w:rPr>
              <w:t xml:space="preserve">。</w:t>
            </w:r>
            <w:r/>
          </w:p>
        </w:tc>
      </w:tr>
      <w:tr>
        <w:trPr>
          <w:jc w:val="center"/>
          <w:trHeight w:val="517"/>
        </w:trPr>
        <w:tc>
          <w:tcPr>
            <w:tcW w:w="426"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主观分</w:t>
            </w:r>
            <w:r/>
          </w:p>
        </w:tc>
        <w:tc>
          <w:tcPr>
            <w:tcW w:w="374"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55</w:t>
            </w:r>
            <w:r/>
          </w:p>
        </w:tc>
        <w:tc>
          <w:tcPr>
            <w:tcW w:w="3535" w:type="pct"/>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496"/>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绿化养护方案</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提供的绿化养护方案进行评审：</w:t>
            </w:r>
            <w:r/>
          </w:p>
          <w:p>
            <w:pPr>
              <w:pStyle w:val="1371"/>
              <w:numPr>
                <w:ilvl w:val="0"/>
                <w:numId w:val="0"/>
              </w:numPr>
              <w:ind w:firstLine="0"/>
              <w:jc w:val="left"/>
              <w:keepLines w:val="0"/>
              <w:keepNext w:val="0"/>
              <w:pageBreakBefore w:val="0"/>
              <w:spacing w:line="440" w:lineRule="exact"/>
              <w:widowControl w:val="off"/>
              <w:rPr>
                <w:rFonts w:hint="eastAsia" w:ascii="宋体" w:hAnsi="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（1）绿化养护常规作业组织方案</w:t>
            </w:r>
            <w:r>
              <w:rPr>
                <w:rFonts w:hint="eastAsia" w:ascii="宋体" w:hAnsi="宋体" w:cs="宋体"/>
                <w:color w:val="auto"/>
                <w:sz w:val="24"/>
                <w:szCs w:val="24"/>
                <w:highlight w:val="none"/>
                <w:lang w:val="zh-CN" w:eastAsia="zh-CN" w:bidi="ar-SA"/>
              </w:rPr>
              <w:t xml:space="preserve">：</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方案针对性、操作性强，计划安排合理的得2分；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方案针对性、操作性较强，计划安排较为合理的得1.5分；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方案针对性、操作性一般，计划安排不够合理的得1分；未提供方案不得分。</w:t>
            </w:r>
            <w:r/>
          </w:p>
          <w:p>
            <w:pPr>
              <w:pStyle w:val="1371"/>
              <w:numPr>
                <w:ilvl w:val="0"/>
                <w:numId w:val="14"/>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提供有详细的全年病虫害防治计划，针对常发性病害和虫害，制定科学合理的病虫害防治月历</w:t>
            </w:r>
            <w:r>
              <w:rPr>
                <w:rFonts w:hint="eastAsia" w:ascii="宋体" w:hAnsi="宋体" w:cs="宋体"/>
                <w:color w:val="auto"/>
                <w:sz w:val="24"/>
                <w:szCs w:val="24"/>
                <w:highlight w:val="none"/>
                <w:lang w:val="zh-CN" w:eastAsia="zh-CN" w:bidi="ar-SA"/>
              </w:rPr>
              <w:t xml:space="preserve">：</w:t>
            </w:r>
            <w:r/>
          </w:p>
          <w:p>
            <w:pPr>
              <w:pStyle w:val="1371"/>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方案内容包括上述要求，且满足招标文件要求的得2分；</w:t>
            </w:r>
            <w:r/>
          </w:p>
          <w:p>
            <w:pPr>
              <w:pStyle w:val="1371"/>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方案基本满足招标需求得1.5分；</w:t>
            </w:r>
            <w:r/>
          </w:p>
          <w:p>
            <w:pPr>
              <w:pStyle w:val="1371"/>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方案较差或有明显缺项得1分；</w:t>
            </w:r>
            <w:r/>
          </w:p>
          <w:p>
            <w:pPr>
              <w:pStyle w:val="1371"/>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未提供方案不得分。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（3）提供根据养护区域、季节采取相应除草措施，有响应养护月历的浇水、排水要求，根据生长规律制定出有效的施肥方案</w:t>
            </w:r>
            <w:r>
              <w:rPr>
                <w:rFonts w:hint="eastAsia" w:ascii="宋体" w:hAnsi="宋体" w:cs="宋体"/>
                <w:color w:val="auto"/>
                <w:sz w:val="24"/>
                <w:szCs w:val="24"/>
                <w:highlight w:val="none"/>
                <w:lang w:val="zh-CN" w:eastAsia="zh-CN" w:bidi="ar-SA"/>
              </w:rPr>
              <w:t xml:space="preserve">：</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方案内容包括上述要求，且满足招标文件要求的得2分；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方案基本满足招标需求得1.5分；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方案较差或有明显缺项得1分；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未提供方案不得分。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（4）根据巡视时间安排，巡视资料上报确保准确、及时的方案，绿地发生破坏或侵占第一时间上报的方案，相关制度和实施等方案进行综合评审：</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方案完整、能完全满足项目实施要求，得2分；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方案较具体、能基本满足项目实施要求，得1.5分；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方案内容较差、无针对性，得1分；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未提供方案不得分。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（5）根据绿化补种措施（绿化补种含绿化踩踏、缺株、死株更换、绿地种菜恢复、无手续行政开挖恢复等所有绿化补种）等方案进行综合评审：</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方案完整、能完全满足项目实施要求，得2分；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方案较具体、能基本满足项目实施要求，得1.5分；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方案内容较差、无针对性，得1分；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未提供方案不得分。</w:t>
            </w:r>
            <w:r/>
          </w:p>
        </w:tc>
      </w:tr>
      <w:tr>
        <w:trPr>
          <w:jc w:val="center"/>
          <w:trHeight w:val="1309"/>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管理机构和管理制度</w:t>
            </w:r>
            <w:r/>
          </w:p>
        </w:tc>
        <w:tc>
          <w:tcPr>
            <w:tcW w:w="374"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有完整的管理机构配备以及管理平台；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有员工录用、考核和淘汰制度和员工培训计划。</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方案内容包括上述要求：方案针对性、操作性强，计划安排合理的得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zh-CN"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方案针对性、操作性较强，计划安排较为合理的得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zh-CN"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方案针对性、操作性一般，计划安排不够合理的得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未提供方案不得分。</w:t>
            </w:r>
            <w:r/>
          </w:p>
        </w:tc>
      </w:tr>
      <w:tr>
        <w:trPr>
          <w:jc w:val="center"/>
          <w:trHeight w:val="1792"/>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重点特色树种及其他乔灌草的修剪措施</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提供的重点特色树种及其他乔灌草的修剪措施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提供针对不同行道树制定有针对性修剪措施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进行</w:t>
            </w:r>
            <w:r>
              <w:rPr>
                <w:rFonts w:hint="eastAsia" w:ascii="宋体" w:hAnsi="宋体" w:eastAsia="宋体" w:cs="宋体"/>
                <w:color w:val="auto"/>
                <w:sz w:val="24"/>
                <w:szCs w:val="24"/>
                <w:highlight w:val="none"/>
                <w:lang w:val="zh-CN" w:eastAsia="zh-CN" w:bidi="ar-SA"/>
              </w:rPr>
              <w:t xml:space="preserve">综合</w:t>
            </w:r>
            <w:r>
              <w:rPr>
                <w:rFonts w:hint="eastAsia" w:ascii="宋体" w:hAnsi="宋体" w:eastAsia="宋体" w:cs="宋体"/>
                <w:color w:val="auto"/>
                <w:sz w:val="24"/>
                <w:szCs w:val="24"/>
                <w:highlight w:val="none"/>
                <w:lang w:val="en-US" w:eastAsia="zh-CN" w:bidi="ar-SA"/>
              </w:rPr>
              <w:t xml:space="preserve">评审：</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（1）方案完整且满足招标文件要求的得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分；方案较完整且基本满足招标需求得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分；方案较差或有明显缺项得1分；未提供方案不得分。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（2）提供其他乔木、花灌木、草坪、绿篱及地被等根据生长特性和季节制定合理的修剪措施，方案完整且满足招标文件要求的得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分；方案较完整且基本满足招标需求得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分；方案较差或有明显缺项得1分；未提供方案不得分。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（3）提供符合实际的特色造型、景观树的修剪措施，方案完整且满足招标文件要求的得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分；方案较完整且基本满足招标需求得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分；方案较差或有明显缺项得1分；未提供方案不得分。</w:t>
            </w:r>
            <w:r/>
          </w:p>
        </w:tc>
      </w:tr>
      <w:tr>
        <w:trPr>
          <w:jc w:val="center"/>
          <w:trHeight w:val="372"/>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安全、文明作业管理实施方案及保障措施</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提供的安全、文明作业管理实施方案及保障措施进行</w:t>
            </w:r>
            <w:r>
              <w:rPr>
                <w:rFonts w:hint="eastAsia" w:ascii="宋体" w:hAnsi="宋体" w:eastAsia="宋体" w:cs="宋体"/>
                <w:color w:val="auto"/>
                <w:sz w:val="24"/>
                <w:szCs w:val="24"/>
                <w:highlight w:val="none"/>
                <w:lang w:val="zh-CN" w:eastAsia="zh-CN" w:bidi="ar-SA"/>
              </w:rPr>
              <w:t xml:space="preserve">综合</w:t>
            </w:r>
            <w:r>
              <w:rPr>
                <w:rFonts w:hint="eastAsia" w:ascii="宋体" w:hAnsi="宋体" w:eastAsia="宋体" w:cs="宋体"/>
                <w:color w:val="auto"/>
                <w:sz w:val="24"/>
                <w:szCs w:val="24"/>
                <w:highlight w:val="none"/>
                <w:lang w:val="en-US" w:eastAsia="zh-CN" w:bidi="ar-SA"/>
              </w:rPr>
              <w:t xml:space="preserve">评审，包括不限于安全制度、安全预案、全员安全培训计划；安全设施配备及安全检查及记录要求；意外伤害赔偿措施和风险规避措施；事故发生后的应对处理办法。</w:t>
            </w:r>
            <w:r/>
          </w:p>
          <w:p>
            <w:pPr>
              <w:pStyle w:val="1371"/>
              <w:numPr>
                <w:ilvl w:val="0"/>
                <w:numId w:val="15"/>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方案内容完整、详细，措施具体，完全贴合项目特点和采购需求，具有很强的针对性的得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5"/>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方案内容较完整，措施基本具体，能够满足项目要求，具有一定针对性的得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5"/>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案内容简单，措施笼统，部分满足项目要求，针对性一般的得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5"/>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未提供方案不得分。</w:t>
            </w:r>
            <w:r/>
          </w:p>
        </w:tc>
      </w:tr>
      <w:tr>
        <w:trPr>
          <w:jc w:val="center"/>
          <w:trHeight w:val="372"/>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恶劣天气应急预案</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提供的恶劣天气应急预案进行评审：</w:t>
            </w:r>
            <w:r/>
          </w:p>
          <w:p>
            <w:pPr>
              <w:pStyle w:val="1371"/>
              <w:numPr>
                <w:ilvl w:val="0"/>
                <w:numId w:val="16"/>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应急预案详尽、针对性及可操作性强，计划安排合理，的得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6"/>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应急预案较详尽、针对性及可操作性较强，计划安排较合理，的得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6"/>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应急预案基本详尽、针对性及可操作性一般，计划安排基本合理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16"/>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未提供方案不得分。</w:t>
            </w:r>
            <w:r/>
          </w:p>
        </w:tc>
      </w:tr>
      <w:tr>
        <w:trPr>
          <w:jc w:val="center"/>
          <w:trHeight w:val="372"/>
        </w:trPr>
        <w:tc>
          <w:tcPr>
            <w:tcW w:w="426" w:type="pct"/>
            <w:vAlign w:val="center"/>
            <w:textDirection w:val="lrTb"/>
            <w:noWrap w:val="false"/>
          </w:tcPr>
          <w:p>
            <w:pPr>
              <w:pStyle w:val="1371"/>
              <w:numPr>
                <w:ilvl w:val="0"/>
                <w:numId w:val="0"/>
              </w:num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w:t>
            </w:r>
            <w:r/>
          </w:p>
        </w:tc>
        <w:tc>
          <w:tcPr>
            <w:tcW w:w="6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重大活动，检查评比和节假日保障措施</w:t>
            </w:r>
            <w:r/>
          </w:p>
        </w:tc>
        <w:tc>
          <w:tcPr>
            <w:tcW w:w="37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w:t>
            </w:r>
            <w:r/>
          </w:p>
        </w:tc>
        <w:tc>
          <w:tcPr>
            <w:tcW w:w="3535" w:type="pct"/>
            <w:vAlign w:val="center"/>
            <w:textDirection w:val="lrTb"/>
            <w:noWrap w:val="false"/>
          </w:tcPr>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提供的重大活动，检查评比和节假日保障方案进行评审。</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方案针对性、操作性强，计划安排合理的得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方案针对性、操作性较强，计划安排较为合理的得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方案针对性、操作性一般，计划安排基本合理的得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371"/>
              <w:numPr>
                <w:ilvl w:val="0"/>
                <w:numId w:val="0"/>
              </w:num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未提供方案不得分。</w:t>
            </w:r>
            <w:r/>
          </w:p>
        </w:tc>
      </w:tr>
    </w:tbl>
    <w:p>
      <w:pPr>
        <w:numPr>
          <w:ilvl w:val="0"/>
          <w:numId w:val="0"/>
        </w:numPr>
        <w:jc w:val="both"/>
        <w:spacing w:line="360" w:lineRule="auto"/>
        <w:widowControl/>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0"/>
        </w:numPr>
        <w:jc w:val="both"/>
        <w:spacing w:line="360" w:lineRule="auto"/>
        <w:widowControl/>
        <w:rPr>
          <w:rFonts w:ascii="宋体" w:hAnsi="宋体"/>
          <w:b/>
          <w:bCs/>
          <w:color w:val="auto"/>
          <w:sz w:val="28"/>
          <w:szCs w:val="28"/>
          <w:highlight w:val="none"/>
        </w:rPr>
      </w:pPr>
      <w:r>
        <w:rPr>
          <w:rFonts w:ascii="宋体" w:hAnsi="宋体"/>
          <w:b/>
          <w:bCs/>
          <w:color w:val="auto"/>
          <w:sz w:val="28"/>
          <w:szCs w:val="28"/>
          <w:highlight w:val="none"/>
        </w:rPr>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注：1.评分细则中要求提供的证明文件及资料等在投标文件中提供并加盖公章，否则不得分。</w:t>
      </w:r>
      <w:r/>
    </w:p>
    <w:p>
      <w:pPr>
        <w:contextualSpacing/>
        <w:ind w:firstLine="480"/>
        <w:spacing w:line="360" w:lineRule="auto"/>
        <w:rPr>
          <w:color w:val="auto"/>
          <w:highlight w:val="none"/>
        </w:rPr>
      </w:pPr>
      <w:r>
        <w:rPr>
          <w:rFonts w:hint="eastAsia" w:ascii="宋体" w:hAnsi="宋体" w:cs="宋体"/>
          <w:bCs/>
          <w:color w:val="auto"/>
          <w:sz w:val="24"/>
          <w:highlight w:val="none"/>
        </w:rPr>
        <w:t xml:space="preserve">2.评审时，未能按以上要求提供相应证明的，不作为评审依据，不得分。</w:t>
      </w:r>
      <w:r/>
    </w:p>
    <w:p>
      <w:pPr>
        <w:pStyle w:val="1156"/>
        <w:ind w:firstLine="480"/>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811" w:name="_Toc29962"/>
      <w:r/>
      <w:bookmarkStart w:id="812" w:name="_Toc99301424"/>
      <w:r>
        <w:rPr>
          <w:b/>
          <w:color w:val="auto"/>
          <w:sz w:val="36"/>
          <w:szCs w:val="36"/>
          <w:highlight w:val="none"/>
        </w:rPr>
        <w:t xml:space="preserve">第五章   采购需求</w:t>
      </w:r>
      <w:bookmarkEnd w:id="811"/>
      <w:r/>
      <w:bookmarkEnd w:id="812"/>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一、采购标的</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本项目是罗溪镇S239省道、沪宁高速绿化一期、二期拓宽段绿化养护服务项目，总面积约1925.55亩。服务内容：包括但不限于苗木养护、保洁、违规占用行为管理、极端天气应急措施、台账记录等。</w:t>
      </w:r>
      <w:r/>
    </w:p>
    <w:p>
      <w:pPr>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二、商务要求</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1.服务期限</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（1）</w:t>
      </w:r>
      <w:r>
        <w:rPr>
          <w:rFonts w:hint="eastAsia" w:ascii="宋体" w:hAnsi="宋体" w:eastAsia="宋体" w:cs="宋体"/>
          <w:color w:val="auto"/>
          <w:sz w:val="24"/>
          <w:highlight w:val="none"/>
          <w:u w:val="none"/>
          <w:lang w:val="en-US" w:eastAsia="zh-CN"/>
        </w:rPr>
        <w:t xml:space="preserve">项目服务总期限暂定贰年，实行一年一签的签约方式，</w:t>
      </w:r>
      <w:r>
        <w:rPr>
          <w:rFonts w:hint="eastAsia" w:ascii="宋体" w:hAnsi="宋体" w:cs="宋体"/>
          <w:color w:val="auto"/>
          <w:sz w:val="24"/>
          <w:highlight w:val="none"/>
          <w:u w:val="none"/>
          <w:lang w:val="en-US" w:eastAsia="zh-CN"/>
        </w:rPr>
        <w:t xml:space="preserve">第一年的前三个月为试用期，试用期满经甲方考核合格后，本合同有效。</w:t>
      </w:r>
      <w:r>
        <w:rPr>
          <w:rFonts w:hint="eastAsia" w:ascii="宋体" w:hAnsi="宋体" w:eastAsia="宋体" w:cs="宋体"/>
          <w:color w:val="auto"/>
          <w:sz w:val="24"/>
          <w:highlight w:val="none"/>
          <w:u w:val="none"/>
          <w:lang w:val="en-US" w:eastAsia="zh-CN"/>
        </w:rPr>
        <w:t xml:space="preserve">每一合同年度期满，采购人结合镇级季度考核、区级年度考核综合评定续签资格，满足下列任一条件，采购人有权单方决定不予续签次年合同：</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1</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当年度镇级考核内，有两个季度考核平均得分低于 85 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当年度区级综合考核得分不足70分。 </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经采购人年度综合考核评定为合格的，双方可协商签订下一年度服务合同。</w:t>
      </w:r>
      <w:r/>
    </w:p>
    <w:p>
      <w:pPr>
        <w:ind w:firstLine="488"/>
        <w:keepLines w:val="0"/>
        <w:keepNext w:val="0"/>
        <w:pageBreakBefore w:val="0"/>
        <w:spacing w:line="360" w:lineRule="auto"/>
        <w:widowControl w:val="off"/>
        <w:rPr>
          <w:rFonts w:hint="default"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2.</w:t>
      </w:r>
      <w:r>
        <w:rPr>
          <w:rFonts w:hint="eastAsia" w:ascii="宋体" w:hAnsi="宋体" w:cs="宋体"/>
          <w:b/>
          <w:bCs/>
          <w:color w:val="auto"/>
          <w:spacing w:val="2"/>
          <w:sz w:val="24"/>
          <w:szCs w:val="24"/>
          <w:highlight w:val="none"/>
          <w:u w:val="none"/>
          <w:lang w:val="en-US" w:eastAsia="zh-CN"/>
        </w:rPr>
        <w:t xml:space="preserve">付款方式</w:t>
      </w:r>
      <w:r/>
    </w:p>
    <w:p>
      <w:pPr>
        <w:ind w:firstLine="488"/>
        <w:keepLines w:val="0"/>
        <w:keepNext w:val="0"/>
        <w:pageBreakBefore w:val="0"/>
        <w:spacing w:line="360" w:lineRule="auto"/>
        <w:widowControl w:val="off"/>
        <w:rPr>
          <w:rFonts w:hint="eastAsia" w:ascii="宋体" w:hAnsi="宋体" w:cs="宋体"/>
          <w:color w:val="auto"/>
          <w:sz w:val="24"/>
          <w:highlight w:val="none"/>
          <w:u w:val="none"/>
          <w:lang w:val="en-US" w:eastAsia="zh-CN"/>
        </w:rPr>
        <w:outlineLvl w:val="9"/>
      </w:pPr>
      <w:r>
        <w:rPr>
          <w:rFonts w:hint="eastAsia" w:ascii="宋体" w:hAnsi="宋体" w:cs="宋体"/>
          <w:color w:val="auto"/>
          <w:sz w:val="24"/>
          <w:highlight w:val="none"/>
          <w:u w:val="none"/>
          <w:lang w:val="en-US" w:eastAsia="zh-CN"/>
        </w:rPr>
        <w:t xml:space="preserve">本项目按照实际管护面积进行费用核算（管护面积以新北区农业农村局下达管护面积为准），招标人以《罗溪镇绿化养护管理考核办法》和《关于实施绿化养护百分考核的通知》（常新农〔2023〕46号）要求为考核依据，进行结果运用并按年度付款，中标人按招标要求开具合法有效等额增值税发票，招标人收到发票后30日内完成资金支付。 </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三、服务</w:t>
      </w:r>
      <w:r>
        <w:rPr>
          <w:rFonts w:hint="eastAsia" w:ascii="宋体" w:hAnsi="宋体" w:eastAsia="宋体" w:cs="宋体"/>
          <w:b/>
          <w:bCs/>
          <w:color w:val="auto"/>
          <w:sz w:val="24"/>
          <w:szCs w:val="24"/>
          <w:highlight w:val="none"/>
          <w:lang w:val="en-US" w:eastAsia="zh-CN"/>
        </w:rPr>
        <w:t xml:space="preserve">要求：</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苗木养护</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1. 苗木巡查：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频次与范围：每</w:t>
      </w:r>
      <w:r>
        <w:rPr>
          <w:rFonts w:hint="eastAsia" w:ascii="宋体" w:hAnsi="宋体" w:eastAsia="宋体" w:cs="宋体"/>
          <w:color w:val="auto"/>
          <w:sz w:val="24"/>
          <w:highlight w:val="none"/>
          <w:u w:val="none"/>
          <w:lang w:val="en-US" w:eastAsia="zh-CN"/>
        </w:rPr>
        <w:t xml:space="preserve">月</w:t>
      </w:r>
      <w:r>
        <w:rPr>
          <w:rFonts w:hint="eastAsia" w:ascii="宋体" w:hAnsi="宋体" w:eastAsia="宋体" w:cs="宋体"/>
          <w:color w:val="auto"/>
          <w:sz w:val="24"/>
          <w:highlight w:val="none"/>
          <w:u w:val="none"/>
          <w:lang w:eastAsia="zh-CN"/>
        </w:rPr>
        <w:t xml:space="preserve">至少开展1次全面巡查，覆盖所有管护区域；重点区域（如高速沿线、S239路段）每</w:t>
      </w:r>
      <w:r>
        <w:rPr>
          <w:rFonts w:hint="eastAsia" w:ascii="宋体" w:hAnsi="宋体" w:eastAsia="宋体" w:cs="宋体"/>
          <w:color w:val="auto"/>
          <w:sz w:val="24"/>
          <w:highlight w:val="none"/>
          <w:u w:val="none"/>
          <w:lang w:val="en-US" w:eastAsia="zh-CN"/>
        </w:rPr>
        <w:t xml:space="preserve">半月</w:t>
      </w:r>
      <w:r>
        <w:rPr>
          <w:rFonts w:hint="eastAsia" w:ascii="宋体" w:hAnsi="宋体" w:eastAsia="宋体" w:cs="宋体"/>
          <w:color w:val="auto"/>
          <w:sz w:val="24"/>
          <w:highlight w:val="none"/>
          <w:u w:val="none"/>
          <w:lang w:eastAsia="zh-CN"/>
        </w:rPr>
        <w:t xml:space="preserve">增加1次专项巡查。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巡查内容：</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生长状态：检查苗木叶片颜色、枝条生长势、是否存在萎蔫、枯黄、落叶等异常现象。</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支撑设施：检查支撑杆是否松动、断裂，绑扎带是否勒伤树皮，支撑角度是否合理（倾斜角度45°</w:t>
      </w:r>
      <w:r>
        <w:rPr>
          <w:rFonts w:hint="eastAsia" w:ascii="宋体" w:hAnsi="宋体" w:eastAsia="宋体" w:cs="宋体"/>
          <w:color w:val="auto"/>
          <w:sz w:val="24"/>
          <w:highlight w:val="none"/>
          <w:u w:val="none"/>
          <w:lang w:val="en-US" w:eastAsia="zh-CN"/>
        </w:rPr>
        <w:t xml:space="preserve">--</w:t>
      </w:r>
      <w:r>
        <w:rPr>
          <w:rFonts w:hint="eastAsia" w:ascii="宋体" w:hAnsi="宋体" w:eastAsia="宋体" w:cs="宋体"/>
          <w:color w:val="auto"/>
          <w:sz w:val="24"/>
          <w:highlight w:val="none"/>
          <w:u w:val="none"/>
          <w:lang w:eastAsia="zh-CN"/>
        </w:rPr>
        <w:t xml:space="preserve">60°）。</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病虫害：重点检查蚜虫、天牛、白粉病、叶斑病等常见病虫害，记录病虫害种类、危害程度及分布范围。</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土壤状况：观察土壤板结、积水、盐碱化等情况，必要时取样检测pH值及养分含量。</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问题处置：巡查中发现的问题需在24小时内处理，无法现场解决的需在巡查记录中标注并上报。</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2. 灌溉排水：</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灌溉标准：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春夏季：根据天气情况，每10-15天灌溉1次，每次灌溉深度≥30cm，确保根系层土壤湿润。</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秋冬季：每20-30天灌溉1次，重点保障新栽苗木及常绿树种水分需求。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排水要求：雨季前疏通排水沟渠，确保排水通畅；积水区域需在24小时内完成抽排，避免根系长时间浸泡。</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3. 施肥修剪：</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施肥管理：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施肥时间：</w:t>
      </w:r>
      <w:r>
        <w:rPr>
          <w:rFonts w:hint="eastAsia" w:ascii="宋体" w:hAnsi="宋体" w:eastAsia="宋体" w:cs="宋体"/>
          <w:color w:val="auto"/>
          <w:sz w:val="24"/>
          <w:highlight w:val="none"/>
          <w:u w:val="none"/>
          <w:lang w:val="en-US" w:eastAsia="zh-CN"/>
        </w:rPr>
        <w:t xml:space="preserve">冬季</w:t>
      </w:r>
      <w:r>
        <w:rPr>
          <w:rFonts w:hint="eastAsia" w:ascii="宋体" w:hAnsi="宋体" w:eastAsia="宋体" w:cs="宋体"/>
          <w:color w:val="auto"/>
          <w:sz w:val="24"/>
          <w:highlight w:val="none"/>
          <w:u w:val="none"/>
          <w:lang w:eastAsia="zh-CN"/>
        </w:rPr>
        <w:t xml:space="preserve">施1次有机肥，每株苗木施用量为5-10kg；新栽苗木需在栽植后1个月内追加1次速效肥。</w:t>
      </w:r>
      <w:r>
        <w:rPr>
          <w:rFonts w:hint="eastAsia" w:ascii="宋体" w:hAnsi="宋体" w:eastAsia="宋体" w:cs="宋体"/>
          <w:color w:val="auto"/>
          <w:sz w:val="24"/>
          <w:highlight w:val="none"/>
          <w:u w:val="none"/>
          <w:lang w:val="en-US" w:eastAsia="zh-CN"/>
        </w:rPr>
        <w:t xml:space="preserve">春季看植物发芽及生长情况酌情补施速效肥。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施肥方式：采用环状沟施或穴施，施肥后及时覆土浇水。</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修剪要求：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整形修剪：每年冬季开展1次整形修剪，去除病虫枝、交叉枝、重叠枝，保持树冠通风透光；修剪切口需平滑，直径≥</w:t>
      </w:r>
      <w:r>
        <w:rPr>
          <w:rFonts w:hint="eastAsia" w:ascii="宋体" w:hAnsi="宋体" w:eastAsia="宋体" w:cs="宋体"/>
          <w:color w:val="auto"/>
          <w:sz w:val="24"/>
          <w:highlight w:val="none"/>
          <w:u w:val="none"/>
          <w:lang w:val="en-US" w:eastAsia="zh-CN"/>
        </w:rPr>
        <w:t xml:space="preserve">5</w:t>
      </w:r>
      <w:r>
        <w:rPr>
          <w:rFonts w:hint="eastAsia" w:ascii="宋体" w:hAnsi="宋体" w:eastAsia="宋体" w:cs="宋体"/>
          <w:color w:val="auto"/>
          <w:sz w:val="24"/>
          <w:highlight w:val="none"/>
          <w:u w:val="none"/>
          <w:lang w:eastAsia="zh-CN"/>
        </w:rPr>
        <w:t xml:space="preserve">cm的切口需涂抹伤口保护剂。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应急修剪：对影响交通、电力线路的枝条及时修剪，修剪后枝条长度需距线路≥</w:t>
      </w:r>
      <w:r>
        <w:rPr>
          <w:rFonts w:hint="eastAsia" w:ascii="宋体" w:hAnsi="宋体" w:eastAsia="宋体" w:cs="宋体"/>
          <w:color w:val="auto"/>
          <w:sz w:val="24"/>
          <w:highlight w:val="none"/>
          <w:u w:val="none"/>
          <w:lang w:val="en-US" w:eastAsia="zh-CN"/>
        </w:rPr>
        <w:t xml:space="preserve">3</w:t>
      </w:r>
      <w:r>
        <w:rPr>
          <w:rFonts w:hint="eastAsia" w:ascii="宋体" w:hAnsi="宋体" w:eastAsia="宋体" w:cs="宋体"/>
          <w:color w:val="auto"/>
          <w:sz w:val="24"/>
          <w:highlight w:val="none"/>
          <w:u w:val="none"/>
          <w:lang w:eastAsia="zh-CN"/>
        </w:rPr>
        <w:t xml:space="preserve">m</w:t>
      </w:r>
      <w:r>
        <w:rPr>
          <w:rFonts w:hint="eastAsia" w:ascii="宋体" w:hAnsi="宋体" w:eastAsia="宋体" w:cs="宋体"/>
          <w:color w:val="auto"/>
          <w:sz w:val="24"/>
          <w:highlight w:val="none"/>
          <w:u w:val="none"/>
          <w:lang w:val="en-US" w:eastAsia="zh-CN"/>
        </w:rPr>
        <w:t xml:space="preserve">或供电部门提供的安全线距</w:t>
      </w:r>
      <w:r>
        <w:rPr>
          <w:rFonts w:hint="eastAsia" w:ascii="宋体" w:hAnsi="宋体" w:eastAsia="宋体" w:cs="宋体"/>
          <w:color w:val="auto"/>
          <w:sz w:val="24"/>
          <w:highlight w:val="none"/>
          <w:u w:val="none"/>
          <w:lang w:eastAsia="zh-CN"/>
        </w:rPr>
        <w:t xml:space="preserve">。</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4. 病虫害防治：</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监测预警：每月开展1次病虫害普查，建立病虫害发生档案；发现病虫害爆发征兆时，需在48小时内启动应急预案，</w:t>
      </w:r>
      <w:r>
        <w:rPr>
          <w:rFonts w:hint="eastAsia" w:ascii="宋体" w:hAnsi="宋体" w:eastAsia="宋体" w:cs="宋体"/>
          <w:color w:val="auto"/>
          <w:sz w:val="24"/>
          <w:highlight w:val="none"/>
          <w:u w:val="none"/>
          <w:lang w:val="en-US" w:eastAsia="zh-CN"/>
        </w:rPr>
        <w:t xml:space="preserve">以免造成大面积虫害</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春季及初夏增加至每月2次巡查。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防治措施：</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物理防治：悬挂黄板、诱捕器，人工摘除虫卵、病叶。</w:t>
      </w:r>
      <w:r/>
    </w:p>
    <w:p>
      <w:pPr>
        <w:ind w:firstLine="488"/>
        <w:keepLines w:val="0"/>
        <w:keepNext w:val="0"/>
        <w:pageBreakBefore w:val="0"/>
        <w:spacing w:line="360" w:lineRule="auto"/>
        <w:widowControl w:val="off"/>
        <w:rPr>
          <w:rFonts w:hint="default"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化学防治：优先选用低毒、低残留农药，喷药时间避开高温时段，喷药后需设置警示标识。</w:t>
      </w:r>
      <w:r/>
    </w:p>
    <w:p>
      <w:pPr>
        <w:ind w:firstLine="488"/>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outlineLvl w:val="9"/>
      </w:pPr>
      <w:r>
        <w:rPr>
          <w:rFonts w:hint="eastAsia" w:ascii="宋体" w:hAnsi="宋体" w:cs="宋体"/>
          <w:b/>
          <w:bCs/>
          <w:color w:val="auto"/>
          <w:sz w:val="24"/>
          <w:highlight w:val="none"/>
          <w:u w:val="none"/>
          <w:lang w:val="en-US" w:eastAsia="zh-CN"/>
        </w:rPr>
        <w:t xml:space="preserve">5.苗木补种</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val="en-US" w:eastAsia="zh-CN"/>
        </w:rPr>
        <w:t xml:space="preserve">中标人须常态化开展绿地巡查管护，苗木枯死、被盗伐损毁的(含自然灾害)等，由中标</w:t>
      </w:r>
      <w:r>
        <w:rPr>
          <w:rFonts w:hint="eastAsia" w:ascii="宋体" w:hAnsi="宋体" w:cs="宋体"/>
          <w:color w:val="auto"/>
          <w:sz w:val="24"/>
          <w:highlight w:val="none"/>
          <w:u w:val="none"/>
          <w:lang w:val="en-US" w:eastAsia="zh-CN"/>
        </w:rPr>
        <w:t xml:space="preserve">人</w:t>
      </w:r>
      <w:r>
        <w:rPr>
          <w:rFonts w:hint="eastAsia" w:ascii="宋体" w:hAnsi="宋体" w:eastAsia="宋体" w:cs="宋体"/>
          <w:color w:val="auto"/>
          <w:sz w:val="24"/>
          <w:highlight w:val="none"/>
          <w:u w:val="none"/>
          <w:lang w:val="en-US" w:eastAsia="zh-CN"/>
        </w:rPr>
        <w:t xml:space="preserve">全额承担苗木、栽植及养护费用无偿补种。移栽、补种的树需直径10公分以上</w:t>
      </w:r>
      <w:r>
        <w:rPr>
          <w:rFonts w:hint="eastAsia" w:ascii="宋体" w:hAnsi="宋体" w:cs="宋体"/>
          <w:color w:val="auto"/>
          <w:sz w:val="24"/>
          <w:highlight w:val="none"/>
          <w:u w:val="none"/>
          <w:lang w:val="en-US" w:eastAsia="zh-CN"/>
        </w:rPr>
        <w:t xml:space="preserve">。</w:t>
      </w:r>
      <w:r/>
    </w:p>
    <w:p>
      <w:pPr>
        <w:ind w:firstLine="488"/>
        <w:keepLines w:val="0"/>
        <w:keepNext w:val="0"/>
        <w:pageBreakBefore w:val="0"/>
        <w:spacing w:line="360" w:lineRule="auto"/>
        <w:widowControl w:val="off"/>
        <w:rPr>
          <w:rFonts w:hint="eastAsia" w:ascii="宋体" w:hAnsi="宋体" w:cs="宋体"/>
          <w:b/>
          <w:bCs/>
          <w:color w:val="auto"/>
          <w:sz w:val="24"/>
          <w:highlight w:val="none"/>
          <w:u w:val="none"/>
          <w:lang w:val="en-US" w:eastAsia="zh-CN"/>
        </w:rPr>
        <w:outlineLvl w:val="9"/>
      </w:pPr>
      <w:r>
        <w:rPr>
          <w:rFonts w:hint="eastAsia" w:ascii="宋体" w:hAnsi="宋体" w:cs="宋体"/>
          <w:b/>
          <w:bCs/>
          <w:color w:val="auto"/>
          <w:sz w:val="24"/>
          <w:highlight w:val="none"/>
          <w:u w:val="none"/>
          <w:lang w:val="en-US" w:eastAsia="zh-CN"/>
        </w:rPr>
        <w:t xml:space="preserve">6.管理要求 </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（1）质量管理要求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供应商应建立并运行绿化养护质量管理体系，确保绿化长势良好、景观效果达标：制定并执行绿化养护技术方案和月度、季度作业计划；明确浇水、施肥、修剪、除草、病虫害防治、松土、补植等各项作业的操作规范和质量标准；建立养护台账和过程记录，做到作业留痕、可追溯； 建立巡查、抽查和整改复核机制。</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（2）环境管理要求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供应商应建立并运行绿化养护环境管理体系，控制作业对环境的负面影响：农药、化肥使用应选用合规、低毒产品，禁止在敏感区域违规喷洒；修剪产生的绿化垃圾、枯枝落叶等废弃物应及时收集、分类清运，不得随意堆放或焚烧； 控制浇水作业水资源浪费，实行科学灌溉；大型机械作业应降低噪音、扬尘，合理安排作业时段，减少对周边居民的影响。</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（3）职业健康安全管理要求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供应商应建立并运行职业健康安全管理体系，保障养护作业人员安全： 制定园林机械（割草机、绿篱机、油锯等）安全操作规程，并开展岗前培训； 高处修剪、登高作业配备必要的安全防护装备； 农药喷洒人员须配备防护用品并规范操作，防止中毒；上路作业、绿化垃圾清运遵守交通规则，设置警示标志，保障作业人员与行人安全；为作业人员购买意外伤害保险，制定恶劣天气及突发状况应急预案。</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eastAsia="zh-CN"/>
        </w:rPr>
        <w:t xml:space="preserve">保洁管理</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1</w:t>
      </w:r>
      <w:r>
        <w:rPr>
          <w:rFonts w:hint="eastAsia" w:ascii="宋体" w:hAnsi="宋体" w:eastAsia="宋体" w:cs="宋体"/>
          <w:b/>
          <w:bCs/>
          <w:color w:val="auto"/>
          <w:sz w:val="24"/>
          <w:highlight w:val="none"/>
          <w:u w:val="none"/>
          <w:lang w:eastAsia="zh-CN"/>
        </w:rPr>
        <w:t xml:space="preserve">. 日常清理：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清理范围：包括林带内垃圾、杂物、枯枝落叶、白色污染等。</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清理频次：每</w:t>
      </w:r>
      <w:r>
        <w:rPr>
          <w:rFonts w:hint="eastAsia" w:ascii="宋体" w:hAnsi="宋体" w:eastAsia="宋体" w:cs="宋体"/>
          <w:color w:val="auto"/>
          <w:sz w:val="24"/>
          <w:highlight w:val="none"/>
          <w:u w:val="none"/>
          <w:lang w:val="en-US" w:eastAsia="zh-CN"/>
        </w:rPr>
        <w:t xml:space="preserve">周均</w:t>
      </w:r>
      <w:r>
        <w:rPr>
          <w:rFonts w:hint="eastAsia" w:ascii="宋体" w:hAnsi="宋体" w:eastAsia="宋体" w:cs="宋体"/>
          <w:color w:val="auto"/>
          <w:sz w:val="24"/>
          <w:highlight w:val="none"/>
          <w:u w:val="none"/>
          <w:lang w:eastAsia="zh-CN"/>
        </w:rPr>
        <w:t xml:space="preserve">开展1次保洁作业，重点区域（如高速出入口、S239交叉口）每日增加1次巡查清理。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垃圾处置：分类收集可回收物和其他垃圾，统一运至罗溪镇垃圾中转站；严禁在林带内焚烧垃圾，建筑垃圾、工业垃圾由中标</w:t>
      </w:r>
      <w:r>
        <w:rPr>
          <w:rFonts w:hint="eastAsia" w:ascii="宋体" w:hAnsi="宋体" w:cs="宋体"/>
          <w:color w:val="auto"/>
          <w:sz w:val="24"/>
          <w:highlight w:val="none"/>
          <w:u w:val="none"/>
          <w:lang w:val="en-US" w:eastAsia="zh-CN"/>
        </w:rPr>
        <w:t xml:space="preserve">人</w:t>
      </w:r>
      <w:r>
        <w:rPr>
          <w:rFonts w:hint="eastAsia" w:ascii="宋体" w:hAnsi="宋体" w:eastAsia="宋体" w:cs="宋体"/>
          <w:color w:val="auto"/>
          <w:sz w:val="24"/>
          <w:highlight w:val="none"/>
          <w:u w:val="none"/>
          <w:lang w:eastAsia="zh-CN"/>
        </w:rPr>
        <w:t xml:space="preserve">自行规范处置。</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2</w:t>
      </w:r>
      <w:r>
        <w:rPr>
          <w:rFonts w:hint="eastAsia" w:ascii="宋体" w:hAnsi="宋体" w:eastAsia="宋体" w:cs="宋体"/>
          <w:b/>
          <w:bCs/>
          <w:color w:val="auto"/>
          <w:sz w:val="24"/>
          <w:highlight w:val="none"/>
          <w:u w:val="none"/>
          <w:lang w:eastAsia="zh-CN"/>
        </w:rPr>
        <w:t xml:space="preserve">.设施维护：</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标识牌维护：每周检查标识牌是否清晰、牢固，发现污损、倾斜需在24小时内修复。</w:t>
      </w:r>
      <w:r>
        <w:rPr>
          <w:rFonts w:hint="eastAsia" w:ascii="宋体" w:hAnsi="宋体" w:eastAsia="宋体" w:cs="宋体"/>
          <w:color w:val="auto"/>
          <w:sz w:val="24"/>
          <w:highlight w:val="none"/>
          <w:u w:val="none"/>
          <w:lang w:val="en-US" w:eastAsia="zh-CN"/>
        </w:rPr>
        <w:t xml:space="preserve">着重关注防火类标识标牌。</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eastAsia="zh-CN"/>
        </w:rPr>
        <w:t xml:space="preserve">违规占用行为管理</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1</w:t>
      </w:r>
      <w:r>
        <w:rPr>
          <w:rFonts w:hint="eastAsia" w:ascii="宋体" w:hAnsi="宋体" w:eastAsia="宋体" w:cs="宋体"/>
          <w:b/>
          <w:bCs/>
          <w:color w:val="auto"/>
          <w:sz w:val="24"/>
          <w:highlight w:val="none"/>
          <w:u w:val="none"/>
          <w:lang w:eastAsia="zh-CN"/>
        </w:rPr>
        <w:t xml:space="preserve">. 巡查制止：</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巡查频次：每日开展1次违规占用行为巡查，重点检查林地内是否存在倾倒垃圾、堆放物料、搭建临时建筑、</w:t>
      </w:r>
      <w:r>
        <w:rPr>
          <w:rFonts w:hint="eastAsia" w:ascii="宋体" w:hAnsi="宋体" w:eastAsia="宋体" w:cs="宋体"/>
          <w:color w:val="auto"/>
          <w:sz w:val="24"/>
          <w:highlight w:val="none"/>
          <w:u w:val="none"/>
          <w:lang w:val="en-US" w:eastAsia="zh-CN"/>
        </w:rPr>
        <w:t xml:space="preserve">违规毁绿及种菜</w:t>
      </w:r>
      <w:r>
        <w:rPr>
          <w:rFonts w:hint="eastAsia" w:ascii="宋体" w:hAnsi="宋体" w:eastAsia="宋体" w:cs="宋体"/>
          <w:color w:val="auto"/>
          <w:sz w:val="24"/>
          <w:highlight w:val="none"/>
          <w:u w:val="none"/>
          <w:lang w:eastAsia="zh-CN"/>
        </w:rPr>
        <w:t xml:space="preserve">等行为。</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制止措施：发现违规行为需立即制止，告知行为人相关法律法规，要求其限期整改。</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2</w:t>
      </w:r>
      <w:r>
        <w:rPr>
          <w:rFonts w:hint="eastAsia" w:ascii="宋体" w:hAnsi="宋体" w:eastAsia="宋体" w:cs="宋体"/>
          <w:b/>
          <w:bCs/>
          <w:color w:val="auto"/>
          <w:sz w:val="24"/>
          <w:highlight w:val="none"/>
          <w:u w:val="none"/>
          <w:lang w:eastAsia="zh-CN"/>
        </w:rPr>
        <w:t xml:space="preserve">.痕迹管理：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取证要求：对违规行为拍照取证，记录违规时间、地点、行为人信息、违规内容等，形成《违规行为处置台账》。</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上报流程：对拒不整改的违规行为，需在24小时内上报</w:t>
      </w:r>
      <w:r>
        <w:rPr>
          <w:rFonts w:hint="eastAsia" w:ascii="宋体" w:hAnsi="宋体" w:cs="宋体"/>
          <w:color w:val="auto"/>
          <w:sz w:val="24"/>
          <w:highlight w:val="none"/>
          <w:u w:val="none"/>
          <w:lang w:eastAsia="zh-CN"/>
        </w:rPr>
        <w:t xml:space="preserve">罗溪镇农村工作办公室</w:t>
      </w:r>
      <w:r>
        <w:rPr>
          <w:rFonts w:hint="eastAsia" w:ascii="宋体" w:hAnsi="宋体" w:eastAsia="宋体" w:cs="宋体"/>
          <w:color w:val="auto"/>
          <w:sz w:val="24"/>
          <w:highlight w:val="none"/>
          <w:u w:val="none"/>
          <w:lang w:eastAsia="zh-CN"/>
        </w:rPr>
        <w:t xml:space="preserve">，配合开展联合执法。</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eastAsia="zh-CN"/>
        </w:rPr>
        <w:t xml:space="preserve">极端天气应急</w:t>
      </w:r>
      <w:r>
        <w:rPr>
          <w:rFonts w:hint="eastAsia" w:ascii="宋体" w:hAnsi="宋体" w:eastAsia="宋体" w:cs="宋体"/>
          <w:b/>
          <w:bCs/>
          <w:color w:val="auto"/>
          <w:sz w:val="24"/>
          <w:highlight w:val="none"/>
          <w:u w:val="none"/>
          <w:lang w:val="en-US" w:eastAsia="zh-CN"/>
        </w:rPr>
        <w:t xml:space="preserve">措施</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1.预警响应：</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预警接收：密切关注气象部门发布的台风、暴雨、大风等极端天气预警信息，提前48小时启动应急准备。</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应急措施：</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加固支撑：对高大乔木、新栽苗木增加支撑杆，支撑杆间距≤1.5m，支撑角度≤5°。</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清理隐患：修剪易倒伏枝条，清理林带内易被风吹起的杂物。</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2</w:t>
      </w:r>
      <w:r>
        <w:rPr>
          <w:rFonts w:hint="eastAsia" w:ascii="宋体" w:hAnsi="宋体" w:eastAsia="宋体" w:cs="宋体"/>
          <w:b/>
          <w:bCs/>
          <w:color w:val="auto"/>
          <w:sz w:val="24"/>
          <w:highlight w:val="none"/>
          <w:u w:val="none"/>
          <w:lang w:eastAsia="zh-CN"/>
        </w:rPr>
        <w:t xml:space="preserve">. 应急处置：</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响应时效：灾后2小时内到达现场，开展倒伏树木扶正、断枝清理、安全隐患排查等工作。</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处置标准：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倒伏树木：对倾斜角度≤30°的树木进行扶正，扶正后需重新加固支撑；对倾斜角度＞30°或根系严重损伤的树木，需经</w:t>
      </w:r>
      <w:r>
        <w:rPr>
          <w:rFonts w:hint="eastAsia" w:ascii="宋体" w:hAnsi="宋体" w:cs="宋体"/>
          <w:color w:val="auto"/>
          <w:sz w:val="24"/>
          <w:highlight w:val="none"/>
          <w:u w:val="none"/>
          <w:lang w:eastAsia="zh-CN"/>
        </w:rPr>
        <w:t xml:space="preserve">罗溪镇农村工作办公室</w:t>
      </w:r>
      <w:r>
        <w:rPr>
          <w:rFonts w:hint="eastAsia" w:ascii="宋体" w:hAnsi="宋体" w:eastAsia="宋体" w:cs="宋体"/>
          <w:color w:val="auto"/>
          <w:sz w:val="24"/>
          <w:highlight w:val="none"/>
          <w:u w:val="none"/>
          <w:lang w:eastAsia="zh-CN"/>
        </w:rPr>
        <w:t xml:space="preserve">确认后移除。</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断枝清理：使用油锯、高枝剪等工具清理断枝，断枝需在24小时内运至指定处理点。</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七、</w:t>
      </w:r>
      <w:r>
        <w:rPr>
          <w:rFonts w:hint="eastAsia" w:ascii="宋体" w:hAnsi="宋体" w:eastAsia="宋体" w:cs="宋体"/>
          <w:b/>
          <w:bCs/>
          <w:color w:val="auto"/>
          <w:sz w:val="24"/>
          <w:highlight w:val="none"/>
          <w:u w:val="none"/>
          <w:lang w:eastAsia="zh-CN"/>
        </w:rPr>
        <w:t xml:space="preserve">台账记录</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1. 日常台账：</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记录内容：包括巡查时间、巡查人员、巡查区域、发现问题、处理措施、处理结果等。</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记录要求：台账需字迹清晰、内容完整，每日工作结束后1小时内完成记录。</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2</w:t>
      </w:r>
      <w:r>
        <w:rPr>
          <w:rFonts w:hint="eastAsia" w:ascii="宋体" w:hAnsi="宋体" w:eastAsia="宋体" w:cs="宋体"/>
          <w:b/>
          <w:bCs/>
          <w:color w:val="auto"/>
          <w:sz w:val="24"/>
          <w:highlight w:val="none"/>
          <w:u w:val="none"/>
          <w:lang w:eastAsia="zh-CN"/>
        </w:rPr>
        <w:t xml:space="preserve">. 影像资料：</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留存要求：每次巡查、养护、保洁、应急处置等工作需留存影像资料（照片、视频），影像资料需标注时间、地点、工作内容。</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归档管理：每月5日前将上月影像资料整理归档。</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3</w:t>
      </w:r>
      <w:r>
        <w:rPr>
          <w:rFonts w:hint="eastAsia" w:ascii="宋体" w:hAnsi="宋体" w:eastAsia="宋体" w:cs="宋体"/>
          <w:b/>
          <w:bCs/>
          <w:color w:val="auto"/>
          <w:sz w:val="24"/>
          <w:highlight w:val="none"/>
          <w:u w:val="none"/>
          <w:lang w:eastAsia="zh-CN"/>
        </w:rPr>
        <w:t xml:space="preserve">. 总结报告：</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月</w:t>
      </w:r>
      <w:r>
        <w:rPr>
          <w:rFonts w:hint="eastAsia" w:ascii="宋体" w:hAnsi="宋体" w:eastAsia="宋体" w:cs="宋体"/>
          <w:color w:val="auto"/>
          <w:sz w:val="24"/>
          <w:highlight w:val="none"/>
          <w:u w:val="none"/>
          <w:lang w:val="en-US" w:eastAsia="zh-CN"/>
        </w:rPr>
        <w:t xml:space="preserve">记录</w:t>
      </w:r>
      <w:r>
        <w:rPr>
          <w:rFonts w:hint="eastAsia" w:ascii="宋体" w:hAnsi="宋体" w:eastAsia="宋体" w:cs="宋体"/>
          <w:color w:val="auto"/>
          <w:sz w:val="24"/>
          <w:highlight w:val="none"/>
          <w:u w:val="none"/>
          <w:lang w:eastAsia="zh-CN"/>
        </w:rPr>
        <w:t xml:space="preserve">：每月5日前提交上月工作月</w:t>
      </w:r>
      <w:r>
        <w:rPr>
          <w:rFonts w:hint="eastAsia" w:ascii="宋体" w:hAnsi="宋体" w:eastAsia="宋体" w:cs="宋体"/>
          <w:color w:val="auto"/>
          <w:sz w:val="24"/>
          <w:highlight w:val="none"/>
          <w:u w:val="none"/>
          <w:lang w:val="en-US" w:eastAsia="zh-CN"/>
        </w:rPr>
        <w:t xml:space="preserve">记录</w:t>
      </w:r>
      <w:r>
        <w:rPr>
          <w:rFonts w:hint="eastAsia" w:ascii="宋体" w:hAnsi="宋体" w:eastAsia="宋体" w:cs="宋体"/>
          <w:color w:val="auto"/>
          <w:sz w:val="24"/>
          <w:highlight w:val="none"/>
          <w:u w:val="none"/>
          <w:lang w:eastAsia="zh-CN"/>
        </w:rPr>
        <w:t xml:space="preserve">，内容包括工作完成情况、存在问题、改进建议等。</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年</w:t>
      </w:r>
      <w:r>
        <w:rPr>
          <w:rFonts w:hint="eastAsia" w:ascii="宋体" w:hAnsi="宋体" w:eastAsia="宋体" w:cs="宋体"/>
          <w:color w:val="auto"/>
          <w:sz w:val="24"/>
          <w:highlight w:val="none"/>
          <w:u w:val="none"/>
          <w:lang w:val="en-US" w:eastAsia="zh-CN"/>
        </w:rPr>
        <w:t xml:space="preserve">总结</w:t>
      </w:r>
      <w:r>
        <w:rPr>
          <w:rFonts w:hint="eastAsia" w:ascii="宋体" w:hAnsi="宋体" w:eastAsia="宋体" w:cs="宋体"/>
          <w:color w:val="auto"/>
          <w:sz w:val="24"/>
          <w:highlight w:val="none"/>
          <w:u w:val="none"/>
          <w:lang w:eastAsia="zh-CN"/>
        </w:rPr>
        <w:t xml:space="preserve">：每年1月15日前提交上年度工作总结报告，内容包括年度工作成效、经验总结、下年度工作计划等。</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val="en-US" w:eastAsia="zh-CN"/>
        </w:rPr>
        <w:t xml:space="preserve">八、</w:t>
      </w:r>
      <w:r>
        <w:rPr>
          <w:rFonts w:hint="eastAsia" w:ascii="宋体" w:hAnsi="宋体" w:eastAsia="宋体" w:cs="宋体"/>
          <w:b/>
          <w:bCs/>
          <w:color w:val="auto"/>
          <w:sz w:val="24"/>
          <w:highlight w:val="none"/>
          <w:u w:val="none"/>
          <w:lang w:eastAsia="zh-CN"/>
        </w:rPr>
        <w:t xml:space="preserve">防火管理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1. 防火巡查：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巡查频次：每年10月至次年5月（重点防火期）每日开展1次防火巡查，6月至9月每周开展2次防火巡查；高温、大风等极端天气</w:t>
      </w:r>
      <w:r>
        <w:rPr>
          <w:rFonts w:hint="eastAsia" w:ascii="宋体" w:hAnsi="宋体" w:eastAsia="宋体" w:cs="宋体"/>
          <w:color w:val="auto"/>
          <w:sz w:val="24"/>
          <w:highlight w:val="none"/>
          <w:u w:val="none"/>
          <w:lang w:val="en-US" w:eastAsia="zh-CN"/>
        </w:rPr>
        <w:t xml:space="preserve">必要时</w:t>
      </w:r>
      <w:r>
        <w:rPr>
          <w:rFonts w:hint="eastAsia" w:ascii="宋体" w:hAnsi="宋体" w:eastAsia="宋体" w:cs="宋体"/>
          <w:color w:val="auto"/>
          <w:sz w:val="24"/>
          <w:highlight w:val="none"/>
          <w:u w:val="none"/>
          <w:lang w:eastAsia="zh-CN"/>
        </w:rPr>
        <w:t xml:space="preserve">增加夜间巡查。</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巡查内容：重点检查林带内是否存在违规用火（如焚烧秸秆、吸烟、野炊）、易燃物堆积（如枯枝落叶、垃圾）、电气线路隐患等。</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2. 火源管控：</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禁火要求：林带内严禁吸烟、焚烧垃圾、燃放烟花爆竹等行为；在林带入口、高速沿线等关键位置设置防火警示标识（每500米至少1处）。</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可燃物清理：每年11月底前完成林带内枯枝落叶、杂草等可燃物清理，清理宽度≥10米，清理物需运至指定处理点。</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3. 应急准备：</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物资储备：在林带管理房（</w:t>
      </w:r>
      <w:r>
        <w:rPr>
          <w:rFonts w:hint="eastAsia" w:ascii="宋体" w:hAnsi="宋体" w:eastAsia="宋体" w:cs="宋体"/>
          <w:color w:val="auto"/>
          <w:sz w:val="24"/>
          <w:highlight w:val="none"/>
          <w:u w:val="none"/>
          <w:lang w:val="en-US" w:eastAsia="zh-CN"/>
        </w:rPr>
        <w:t xml:space="preserve">如有</w:t>
      </w:r>
      <w:r>
        <w:rPr>
          <w:rFonts w:hint="eastAsia" w:ascii="宋体" w:hAnsi="宋体" w:eastAsia="宋体" w:cs="宋体"/>
          <w:color w:val="auto"/>
          <w:sz w:val="24"/>
          <w:highlight w:val="none"/>
          <w:u w:val="none"/>
          <w:lang w:eastAsia="zh-CN"/>
        </w:rPr>
        <w:t xml:space="preserve">）配备灭火器</w:t>
      </w:r>
      <w:r>
        <w:rPr>
          <w:rFonts w:hint="eastAsia" w:ascii="宋体" w:hAnsi="宋体" w:eastAsia="宋体" w:cs="宋体"/>
          <w:color w:val="auto"/>
          <w:sz w:val="24"/>
          <w:highlight w:val="none"/>
          <w:u w:val="none"/>
          <w:lang w:val="en-US" w:eastAsia="zh-CN"/>
        </w:rPr>
        <w:t xml:space="preserve">推车式</w:t>
      </w:r>
      <w:r>
        <w:rPr>
          <w:rFonts w:hint="eastAsia" w:ascii="宋体" w:hAnsi="宋体" w:eastAsia="宋体" w:cs="宋体"/>
          <w:color w:val="auto"/>
          <w:sz w:val="24"/>
          <w:highlight w:val="none"/>
          <w:u w:val="none"/>
          <w:lang w:eastAsia="zh-CN"/>
        </w:rPr>
        <w:t xml:space="preserve">（每</w:t>
      </w:r>
      <w:r>
        <w:rPr>
          <w:rFonts w:hint="eastAsia" w:ascii="宋体" w:hAnsi="宋体" w:eastAsia="宋体" w:cs="宋体"/>
          <w:color w:val="auto"/>
          <w:sz w:val="24"/>
          <w:highlight w:val="none"/>
          <w:u w:val="none"/>
          <w:lang w:val="en-US" w:eastAsia="zh-CN"/>
        </w:rPr>
        <w:t xml:space="preserve">5</w:t>
      </w:r>
      <w:r>
        <w:rPr>
          <w:rFonts w:hint="eastAsia" w:ascii="宋体" w:hAnsi="宋体" w:eastAsia="宋体" w:cs="宋体"/>
          <w:color w:val="auto"/>
          <w:sz w:val="24"/>
          <w:highlight w:val="none"/>
          <w:u w:val="none"/>
          <w:lang w:eastAsia="zh-CN"/>
        </w:rPr>
        <w:t xml:space="preserve">00亩至少2具）、消防铲（每</w:t>
      </w:r>
      <w:r>
        <w:rPr>
          <w:rFonts w:hint="eastAsia" w:ascii="宋体" w:hAnsi="宋体" w:eastAsia="宋体" w:cs="宋体"/>
          <w:color w:val="auto"/>
          <w:sz w:val="24"/>
          <w:highlight w:val="none"/>
          <w:u w:val="none"/>
          <w:lang w:val="en-US" w:eastAsia="zh-CN"/>
        </w:rPr>
        <w:t xml:space="preserve">200</w:t>
      </w:r>
      <w:r>
        <w:rPr>
          <w:rFonts w:hint="eastAsia" w:ascii="宋体" w:hAnsi="宋体" w:eastAsia="宋体" w:cs="宋体"/>
          <w:color w:val="auto"/>
          <w:sz w:val="24"/>
          <w:highlight w:val="none"/>
          <w:u w:val="none"/>
          <w:lang w:eastAsia="zh-CN"/>
        </w:rPr>
        <w:t xml:space="preserve">亩至少5把）、消防桶（每</w:t>
      </w:r>
      <w:r>
        <w:rPr>
          <w:rFonts w:hint="eastAsia" w:ascii="宋体" w:hAnsi="宋体" w:eastAsia="宋体" w:cs="宋体"/>
          <w:color w:val="auto"/>
          <w:sz w:val="24"/>
          <w:highlight w:val="none"/>
          <w:u w:val="none"/>
          <w:lang w:val="en-US" w:eastAsia="zh-CN"/>
        </w:rPr>
        <w:t xml:space="preserve">20</w:t>
      </w:r>
      <w:r>
        <w:rPr>
          <w:rFonts w:hint="eastAsia" w:ascii="宋体" w:hAnsi="宋体" w:eastAsia="宋体" w:cs="宋体"/>
          <w:color w:val="auto"/>
          <w:sz w:val="24"/>
          <w:highlight w:val="none"/>
          <w:u w:val="none"/>
          <w:lang w:eastAsia="zh-CN"/>
        </w:rPr>
        <w:t xml:space="preserve">0亩至少5个），每月检查1次物资完好性。</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应急演练：每年开展2次防火应急演练，模拟火情报警、初期扑救、人员疏散等流程，演练后需形成总结报告。</w:t>
      </w:r>
      <w:r/>
    </w:p>
    <w:p>
      <w:pPr>
        <w:ind w:firstLine="488"/>
        <w:keepLines w:val="0"/>
        <w:keepNext w:val="0"/>
        <w:pageBreakBefore w:val="0"/>
        <w:spacing w:line="360" w:lineRule="auto"/>
        <w:widowControl w:val="off"/>
        <w:rPr>
          <w:rFonts w:hint="eastAsia" w:ascii="宋体" w:hAnsi="宋体" w:eastAsia="宋体" w:cs="宋体"/>
          <w:b/>
          <w:bCs/>
          <w:color w:val="auto"/>
          <w:sz w:val="24"/>
          <w:highlight w:val="none"/>
          <w:u w:val="none"/>
          <w:lang w:eastAsia="zh-CN"/>
        </w:rPr>
        <w:outlineLvl w:val="9"/>
      </w:pPr>
      <w:r>
        <w:rPr>
          <w:rFonts w:hint="eastAsia" w:ascii="宋体" w:hAnsi="宋体" w:eastAsia="宋体" w:cs="宋体"/>
          <w:b/>
          <w:bCs/>
          <w:color w:val="auto"/>
          <w:sz w:val="24"/>
          <w:highlight w:val="none"/>
          <w:u w:val="none"/>
          <w:lang w:eastAsia="zh-CN"/>
        </w:rPr>
        <w:t xml:space="preserve">4. 火情处置：</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eastAsia="zh-CN"/>
        </w:rPr>
        <w:t xml:space="preserve">响应时效：发现火情需在5分钟内上报</w:t>
      </w:r>
      <w:r>
        <w:rPr>
          <w:rFonts w:hint="eastAsia" w:ascii="宋体" w:hAnsi="宋体" w:cs="宋体"/>
          <w:color w:val="auto"/>
          <w:sz w:val="24"/>
          <w:highlight w:val="none"/>
          <w:u w:val="none"/>
          <w:lang w:eastAsia="zh-CN"/>
        </w:rPr>
        <w:t xml:space="preserve">罗溪镇农村工作办公室</w:t>
      </w:r>
      <w:r>
        <w:rPr>
          <w:rFonts w:hint="eastAsia" w:ascii="宋体" w:hAnsi="宋体" w:eastAsia="宋体" w:cs="宋体"/>
          <w:color w:val="auto"/>
          <w:sz w:val="24"/>
          <w:highlight w:val="none"/>
          <w:u w:val="none"/>
          <w:lang w:eastAsia="zh-CN"/>
        </w:rPr>
        <w:t xml:space="preserve">及消防部门，同步启动应急预案。</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eastAsia="zh-CN"/>
        </w:rPr>
        <w:t xml:space="preserve">初期扑救：使用灭火器、消防铲等工具控制火势，确保火场边缘距林带≥10米；扑救时需注意人身安全，避免逆风作业。</w:t>
      </w:r>
      <w:r/>
    </w:p>
    <w:p>
      <w:pPr>
        <w:contextualSpacing/>
        <w:ind w:firstLine="241"/>
        <w:spacing w:line="360" w:lineRule="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九、人员配备要求</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val="en-US" w:eastAsia="zh-CN"/>
        </w:rPr>
        <w:t xml:space="preserve">1. 劳务团队规模</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cs="宋体"/>
          <w:color w:val="auto"/>
          <w:sz w:val="24"/>
          <w:highlight w:val="none"/>
          <w:u w:val="none"/>
          <w:lang w:val="en-US" w:eastAsia="zh-CN"/>
        </w:rPr>
        <w:t xml:space="preserve">项目安全员1名，修剪技术人员4名，巡查人员数量 2名，劳务普工24人</w:t>
      </w:r>
      <w:r>
        <w:rPr>
          <w:rFonts w:hint="eastAsia" w:ascii="宋体" w:hAnsi="宋体" w:eastAsia="宋体" w:cs="宋体"/>
          <w:color w:val="auto"/>
          <w:sz w:val="24"/>
          <w:highlight w:val="none"/>
          <w:u w:val="none"/>
          <w:lang w:val="en-US" w:eastAsia="zh-CN"/>
        </w:rPr>
        <w:t xml:space="preserve">，分设大型乔木修剪、日常养护、病虫害防治、应急抢险等专项小组。</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val="en-US" w:eastAsia="zh-CN"/>
        </w:rPr>
        <w:t xml:space="preserve">2.项目核心管理人员</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eastAsia="宋体" w:cs="宋体"/>
          <w:color w:val="auto"/>
          <w:sz w:val="24"/>
          <w:highlight w:val="none"/>
          <w:u w:val="none"/>
          <w:lang w:val="en-US" w:eastAsia="zh-CN"/>
        </w:rPr>
        <w:t xml:space="preserve">本项目派驻项目核心管理人员1名，须具备3 年及以上园林绿化/林业养护工程项目管理工作经验，一线作业人员需接受过安全培训，掌握基础林业操作技能（如苗木修剪、灌溉、施肥等）。需根据季节变化动态调整人员配置（如春季栽植期增配20%人力，冬季养护期保留基础团队）。</w:t>
      </w:r>
      <w:r/>
    </w:p>
    <w:p>
      <w:pPr>
        <w:contextualSpacing/>
        <w:ind w:firstLine="241"/>
        <w:spacing w:line="360" w:lineRule="auto"/>
        <w:rPr>
          <w:rFonts w:hint="eastAsia" w:ascii="宋体" w:hAnsi="宋体" w:eastAsia="宋体" w:cs="宋体"/>
          <w:color w:val="auto"/>
          <w:sz w:val="24"/>
          <w:highlight w:val="none"/>
          <w:u w:val="none"/>
          <w:lang w:val="en-US" w:eastAsia="zh-CN"/>
        </w:rPr>
      </w:pPr>
      <w:r>
        <w:rPr>
          <w:rFonts w:hint="eastAsia" w:ascii="宋体" w:hAnsi="宋体" w:cs="宋体"/>
          <w:b/>
          <w:bCs w:val="0"/>
          <w:color w:val="auto"/>
          <w:sz w:val="24"/>
          <w:highlight w:val="none"/>
          <w:lang w:val="en-US" w:eastAsia="zh-CN"/>
        </w:rPr>
        <w:t xml:space="preserve">十、作业机械配置</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val="en-US" w:eastAsia="zh-CN"/>
        </w:rPr>
        <w:outlineLvl w:val="9"/>
      </w:pPr>
      <w:r>
        <w:rPr>
          <w:rFonts w:hint="eastAsia" w:ascii="宋体" w:hAnsi="宋体" w:cs="宋体"/>
          <w:color w:val="auto"/>
          <w:sz w:val="24"/>
          <w:highlight w:val="none"/>
          <w:u w:val="none"/>
          <w:lang w:val="en-US" w:eastAsia="zh-CN"/>
        </w:rPr>
        <w:t xml:space="preserve">运输车辆，</w:t>
      </w:r>
      <w:r>
        <w:rPr>
          <w:rFonts w:hint="eastAsia" w:ascii="宋体" w:hAnsi="宋体" w:eastAsia="宋体" w:cs="宋体"/>
          <w:color w:val="auto"/>
          <w:sz w:val="24"/>
          <w:highlight w:val="none"/>
          <w:u w:val="none"/>
          <w:lang w:val="en-US" w:eastAsia="zh-CN"/>
        </w:rPr>
        <w:t xml:space="preserve">洒水车</w:t>
      </w:r>
      <w:r>
        <w:rPr>
          <w:rFonts w:hint="eastAsia" w:ascii="宋体" w:hAnsi="宋体" w:cs="宋体"/>
          <w:color w:val="auto"/>
          <w:sz w:val="24"/>
          <w:highlight w:val="none"/>
          <w:u w:val="none"/>
          <w:lang w:val="en-US" w:eastAsia="zh-CN"/>
        </w:rPr>
        <w:t xml:space="preserve">、登高车等以满足日常养护、修剪、</w:t>
      </w:r>
      <w:r>
        <w:rPr>
          <w:rFonts w:hint="eastAsia" w:ascii="宋体" w:hAnsi="宋体" w:eastAsia="宋体" w:cs="宋体"/>
          <w:color w:val="auto"/>
          <w:sz w:val="24"/>
          <w:highlight w:val="none"/>
          <w:u w:val="none"/>
          <w:lang w:val="en-US" w:eastAsia="zh-CN"/>
        </w:rPr>
        <w:t xml:space="preserve">灌溉</w:t>
      </w:r>
      <w:r>
        <w:rPr>
          <w:rFonts w:hint="eastAsia" w:ascii="宋体" w:hAnsi="宋体" w:cs="宋体"/>
          <w:color w:val="auto"/>
          <w:sz w:val="24"/>
          <w:highlight w:val="none"/>
          <w:u w:val="none"/>
          <w:lang w:val="en-US" w:eastAsia="zh-CN"/>
        </w:rPr>
        <w:t xml:space="preserve">、</w:t>
      </w:r>
      <w:r>
        <w:rPr>
          <w:rFonts w:hint="eastAsia" w:ascii="宋体" w:hAnsi="宋体" w:eastAsia="宋体" w:cs="宋体"/>
          <w:color w:val="auto"/>
          <w:sz w:val="24"/>
          <w:highlight w:val="none"/>
          <w:u w:val="none"/>
          <w:lang w:val="en-US" w:eastAsia="zh-CN"/>
        </w:rPr>
        <w:t xml:space="preserve">苗木运输与定位栽植</w:t>
      </w:r>
      <w:r>
        <w:rPr>
          <w:rFonts w:hint="eastAsia" w:ascii="宋体" w:hAnsi="宋体" w:cs="宋体"/>
          <w:color w:val="auto"/>
          <w:sz w:val="24"/>
          <w:highlight w:val="none"/>
          <w:u w:val="none"/>
          <w:lang w:val="en-US" w:eastAsia="zh-CN"/>
        </w:rPr>
        <w:t xml:space="preserve">等</w:t>
      </w:r>
      <w:r>
        <w:rPr>
          <w:rFonts w:hint="eastAsia" w:ascii="宋体" w:hAnsi="宋体" w:eastAsia="宋体" w:cs="宋体"/>
          <w:color w:val="auto"/>
          <w:sz w:val="24"/>
          <w:highlight w:val="none"/>
          <w:u w:val="none"/>
          <w:lang w:val="en-US" w:eastAsia="zh-CN"/>
        </w:rPr>
        <w:t xml:space="preserve">需求。</w:t>
      </w:r>
      <w:r/>
    </w:p>
    <w:p>
      <w:pPr>
        <w:ind w:firstLine="488"/>
        <w:keepLines w:val="0"/>
        <w:keepNext w:val="0"/>
        <w:pageBreakBefore w:val="0"/>
        <w:spacing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cs="宋体"/>
          <w:b/>
          <w:bCs w:val="0"/>
          <w:color w:val="auto"/>
          <w:sz w:val="24"/>
          <w:highlight w:val="none"/>
          <w:lang w:val="en-US" w:eastAsia="zh-CN"/>
        </w:rPr>
        <w:t xml:space="preserve">十一、</w:t>
      </w:r>
      <w:r>
        <w:rPr>
          <w:rFonts w:hint="eastAsia" w:ascii="宋体" w:hAnsi="宋体" w:eastAsia="宋体" w:cs="宋体"/>
          <w:b/>
          <w:bCs w:val="0"/>
          <w:color w:val="auto"/>
          <w:sz w:val="24"/>
          <w:highlight w:val="none"/>
          <w:lang w:val="en-US" w:eastAsia="zh-CN"/>
        </w:rPr>
        <w:t xml:space="preserve">作业清单如下表</w:t>
      </w:r>
      <w:r/>
    </w:p>
    <w:tbl>
      <w:tblPr>
        <w:tblStyle w:val="1119"/>
        <w:tblW w:w="9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2090"/>
        <w:gridCol w:w="1260"/>
        <w:gridCol w:w="1975"/>
        <w:gridCol w:w="1590"/>
        <w:gridCol w:w="1625"/>
        <w:gridCol w:w="670"/>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面积</w:t>
            </w:r>
            <w:r/>
          </w:p>
          <w:p>
            <w:pPr>
              <w:jc w:val="center"/>
              <w:keepLines w:val="0"/>
              <w:keepNext w:val="0"/>
              <w:widowControl/>
              <w:rPr>
                <w:color w:val="auto"/>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最高单价限价(元/年/亩)</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最高限价总价(元/年)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罗溪镇s239省道两侧、沪宁高速两侧拓宽段、沪宁高速绿化一、二期绿化</w:t>
            </w:r>
            <w:r>
              <w:rPr>
                <w:rFonts w:hint="eastAsia" w:ascii="宋体" w:hAnsi="宋体" w:cs="宋体"/>
                <w:color w:val="auto"/>
                <w:sz w:val="24"/>
                <w:szCs w:val="24"/>
                <w:highlight w:val="none"/>
                <w:lang w:val="en-US" w:eastAsia="zh-CN"/>
              </w:rPr>
              <w:t xml:space="preserve">养</w:t>
            </w:r>
            <w:r>
              <w:rPr>
                <w:rFonts w:hint="eastAsia" w:ascii="宋体" w:hAnsi="宋体" w:eastAsia="宋体" w:cs="宋体"/>
                <w:color w:val="auto"/>
                <w:sz w:val="24"/>
                <w:szCs w:val="24"/>
                <w:highlight w:val="none"/>
                <w:lang w:val="en-US" w:eastAsia="zh-CN"/>
              </w:rPr>
              <w:t xml:space="preserve">护项目</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1564.35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s239省道两侧、沪宁高速两侧拓宽段、沪宁高速绿化一</w:t>
            </w:r>
            <w:r>
              <w:rPr>
                <w:rFonts w:hint="eastAsia" w:ascii="宋体" w:hAnsi="宋体" w:cs="宋体"/>
                <w:color w:val="auto"/>
                <w:sz w:val="24"/>
                <w:szCs w:val="24"/>
                <w:highlight w:val="none"/>
                <w:lang w:val="en-US" w:eastAsia="zh-CN"/>
              </w:rPr>
              <w:t xml:space="preserve">罗溪西段</w:t>
            </w:r>
            <w:r>
              <w:rPr>
                <w:rFonts w:hint="eastAsia" w:ascii="宋体" w:hAnsi="宋体" w:eastAsia="宋体" w:cs="宋体"/>
                <w:color w:val="auto"/>
                <w:sz w:val="24"/>
                <w:szCs w:val="24"/>
                <w:highlight w:val="none"/>
                <w:lang w:val="en-US" w:eastAsia="zh-CN"/>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widowControl/>
              <w:rPr>
                <w:rFonts w:hint="default" w:eastAsia="宋体"/>
                <w:color w:val="auto"/>
                <w:highlight w:val="none"/>
                <w:lang w:val="en-US" w:eastAsia="zh-CN"/>
              </w:rPr>
              <w:suppressLineNumbers w:val="0"/>
            </w:pPr>
            <w:r>
              <w:rPr>
                <w:rFonts w:hint="eastAsia"/>
                <w:color w:val="auto"/>
                <w:highlight w:val="none"/>
                <w:lang w:val="en-US" w:eastAsia="zh-CN"/>
              </w:rPr>
              <w:t xml:space="preserve">1251480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罗溪镇沪宁高速绿化一期(春绿段)绿化养护项目</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镇沪宁高速绿化一期(春绿段)</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widowControl/>
              <w:rPr>
                <w:rFonts w:hint="default"/>
                <w:color w:val="auto"/>
                <w:highlight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288960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696"/>
        </w:trPr>
        <w:tc>
          <w:tcPr>
            <w:gridSpan w:val="5"/>
            <w:shd w:val="clear" w:color="auto" w:fill="auto"/>
            <w:tcBorders>
              <w:top w:val="single" w:color="000000" w:sz="4" w:space="0"/>
              <w:left w:val="single" w:color="000000" w:sz="4" w:space="0"/>
              <w:bottom w:val="single" w:color="000000" w:sz="4" w:space="0"/>
              <w:right w:val="single" w:color="000000" w:sz="4" w:space="0"/>
            </w:tcBorders>
            <w:tcW w:w="770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44</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bl>
    <w:p>
      <w:pPr>
        <w:ind w:firstLine="482"/>
        <w:keepLines w:val="0"/>
        <w:keepNext w:val="0"/>
        <w:pageBreakBefore w:val="0"/>
        <w:widowControl w:val="off"/>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注：作业服务量清单中的、面积仅供参考，最终作业服务范围以现场交接为准。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val="en-US" w:eastAsia="zh-CN"/>
        </w:rPr>
        <w:t xml:space="preserve">、投标及报价要求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绿化养护投标报价应包括在承包期内绿化养护需要的人工、材料、机械、 管理、维护修理、保险、利润、税金、政策性文件规定及合同包含的所有风险、责任等各项应有费用。 所报绿化养护价格涵盖绿化养护各种作业，即基于现有绿化和绿化设施发生的一切与养护有关的费用。主要有修剪、除草、 浇水、施肥、植保、松土、平整土方与开堰沟、斜树扶正与支撑、防寒与保暖、死树杂物和落叶的清理、果实的摘除、设施的维护和修缮等、资料文档的积累、绿化现场的巡查等。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2.投标人</w:t>
      </w:r>
      <w:r>
        <w:rPr>
          <w:rFonts w:hint="eastAsia" w:ascii="宋体" w:hAnsi="宋体" w:eastAsia="宋体" w:cs="宋体"/>
          <w:color w:val="auto"/>
          <w:sz w:val="24"/>
          <w:szCs w:val="24"/>
          <w:highlight w:val="none"/>
          <w:lang w:val="en-US" w:eastAsia="zh-CN"/>
        </w:rPr>
        <w:t xml:space="preserve">投入的车辆装备使用成本应由各供应商自行考虑在投标报价中。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在投标时应充分考虑市场因素和成本变化状况的风险，一旦中标，所报的投标报价，即为签订的合同价。在服务期内如因政策性因素调整导致相关人员的工资、社保、节假日、高温补贴出现变化的，该部分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在报价时须综合考虑风险。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投标文件只允许一个报价，采购方不接受任何有选择性的投标报价。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采购人不接受具有附加条件的报价，含有附加条件的报价视为无效投标。</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lang w:val="en-US" w:eastAsia="zh-CN"/>
        </w:rPr>
        <w:t xml:space="preserve">、考核</w:t>
      </w:r>
      <w:r/>
    </w:p>
    <w:p>
      <w:pPr>
        <w:ind w:firstLine="482"/>
        <w:jc w:val="center"/>
        <w:keepLines w:val="0"/>
        <w:keepNext w:val="0"/>
        <w:pageBreakBefore w:val="0"/>
        <w:spacing w:after="312" w:line="3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罗溪镇</w:t>
      </w:r>
      <w:r>
        <w:rPr>
          <w:rFonts w:hint="eastAsia" w:ascii="宋体" w:hAnsi="宋体" w:eastAsia="宋体" w:cs="宋体"/>
          <w:b/>
          <w:color w:val="auto"/>
          <w:sz w:val="24"/>
          <w:szCs w:val="24"/>
          <w:highlight w:val="none"/>
        </w:rPr>
        <w:t xml:space="preserve">绿化养护管理考核办法</w:t>
      </w:r>
      <w:r>
        <w:rPr>
          <w:rFonts w:hint="eastAsia" w:ascii="宋体" w:hAnsi="宋体" w:eastAsia="宋体" w:cs="宋体"/>
          <w:b/>
          <w:color w:val="auto"/>
          <w:sz w:val="24"/>
          <w:szCs w:val="24"/>
          <w:highlight w:val="none"/>
          <w:lang w:val="en-US" w:eastAsia="zh-CN"/>
        </w:rPr>
        <w:t xml:space="preserve">-镇级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为提高绿化养护管理整体水平，建立正确评估绿化养护管理工作质量体系及优胜劣汰的绿化养护竞争机制，规范绿化养护管理考核行为，特制订本办法：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组织领导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罗溪镇农村工作办公室建立绿化养护管理考核小组。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考核范围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区委托养护管理的绿化地块。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三、考核依据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按照《罗溪镇绿化养护管理考核办法》、《罗溪镇绿化养护长效管理考核细则》进行考核。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四、考核办法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采取考核日常巡查考核、季度督查考核相结合的办法，每季度汇总考核成绩一次。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813" w:name="OLE_LINK1"/>
      <w:r>
        <w:rPr>
          <w:rFonts w:hint="eastAsia" w:ascii="宋体" w:hAnsi="宋体" w:eastAsia="宋体" w:cs="宋体"/>
          <w:color w:val="auto"/>
          <w:sz w:val="24"/>
          <w:szCs w:val="24"/>
          <w:highlight w:val="none"/>
          <w:lang w:val="en-US" w:eastAsia="zh-CN"/>
        </w:rPr>
        <w:t xml:space="preserve">日常巡查考核：日常巡查考核工作每月至少开展一次。巡查将结合日常工作实际情况，对绿化养护责任区进行检查。对发现的问题及时向相关方反馈，并要求限期整改。若整改未在规定期限内落实到位，将依据考核细则予以扣分处理</w:t>
      </w:r>
      <w:bookmarkEnd w:id="813"/>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814" w:name="OLE_LINK2"/>
      <w:r>
        <w:rPr>
          <w:rFonts w:hint="eastAsia" w:ascii="宋体" w:hAnsi="宋体" w:eastAsia="宋体" w:cs="宋体"/>
          <w:color w:val="auto"/>
          <w:sz w:val="24"/>
          <w:szCs w:val="24"/>
          <w:highlight w:val="none"/>
          <w:lang w:val="en-US" w:eastAsia="zh-CN"/>
        </w:rPr>
        <w:t xml:space="preserve">督查考核：督查考核工作每季度开展一次，依据考核细则现场评定。发现问题即刻扣分，并要求期限整改。若整改未在规定期限内落实到位，将依据考核细则予以双倍扣分处理。</w:t>
      </w:r>
      <w:bookmarkEnd w:id="814"/>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815" w:name="OLE_LINK3"/>
      <w:r>
        <w:rPr>
          <w:rFonts w:hint="eastAsia" w:ascii="宋体" w:hAnsi="宋体" w:eastAsia="宋体" w:cs="宋体"/>
          <w:color w:val="auto"/>
          <w:sz w:val="24"/>
          <w:szCs w:val="24"/>
          <w:highlight w:val="none"/>
          <w:lang w:val="en-US" w:eastAsia="zh-CN"/>
        </w:rPr>
        <w:t xml:space="preserve">考核中发现的问题通过现场照相、现场指正、现场打分等方式即时记录，</w:t>
      </w:r>
      <w:bookmarkEnd w:id="815"/>
      <w:r>
        <w:rPr>
          <w:rFonts w:hint="eastAsia" w:ascii="宋体" w:hAnsi="宋体" w:eastAsia="宋体" w:cs="宋体"/>
          <w:color w:val="auto"/>
          <w:sz w:val="24"/>
          <w:szCs w:val="24"/>
          <w:highlight w:val="none"/>
          <w:lang w:val="en-US" w:eastAsia="zh-CN"/>
        </w:rPr>
        <w:t xml:space="preserve">并保存相关影像资料。考核结果单需经养护单位签字确认。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816" w:name="_Toc3048"/>
      <w:r>
        <w:rPr>
          <w:rFonts w:hint="eastAsia" w:ascii="宋体" w:hAnsi="宋体" w:eastAsia="宋体" w:cs="宋体"/>
          <w:color w:val="auto"/>
          <w:sz w:val="24"/>
          <w:szCs w:val="24"/>
          <w:highlight w:val="none"/>
          <w:lang w:val="en-US" w:eastAsia="zh-CN"/>
        </w:rPr>
        <w:t xml:space="preserve">四、结果运用</w:t>
      </w:r>
      <w:bookmarkEnd w:id="81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考核结果按照季度进行核算运用，日常考核平均得分占40%，督查考核得分占60%，总分100分。考核得分在90分及以上不扣管护经费；考核得分低于90分，每扣1分即扣发该承包单位全年管护经费的千分之一。考核结果报部门负责人签字后进行结果运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2、全年有2个季度平均得分低于85分，甲方有权终止养护合同。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本考核办法实行后，解释权归属罗溪镇农村工作办公室。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222"/>
        <w:ind w:left="3200" w:firstLine="480"/>
        <w:jc w:val="righ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常州市新北区罗溪镇农村工作办公室         </w:t>
      </w:r>
      <w:r/>
    </w:p>
    <w:p>
      <w:pPr>
        <w:pStyle w:val="1222"/>
        <w:ind w:left="3200" w:firstLine="480"/>
        <w:jc w:val="righ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2026年1月9日</w:t>
      </w:r>
      <w:r/>
    </w:p>
    <w:p>
      <w:pPr>
        <w:pStyle w:val="1222"/>
        <w:ind w:left="3200" w:firstLine="480"/>
        <w:jc w:val="righ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222"/>
        <w:ind w:left="3200" w:firstLine="480"/>
        <w:jc w:val="righ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区级考核</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5263515" cy="7443470"/>
                <wp:effectExtent l="0" t="0" r="13335" b="5080"/>
                <wp:docPr id="7" name="图片 4" descr="常新农〔2023〕46号 关于实行绿化管护百分考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常新农〔2023〕46号 关于实行绿化管护百分考_01"/>
                        <pic:cNvPicPr>
                          <a:picLocks noChangeAspect="1"/>
                        </pic:cNvPicPr>
                        <pic:nvPr/>
                      </pic:nvPicPr>
                      <pic:blipFill>
                        <a:blip r:embed="rId31"/>
                        <a:stretch/>
                      </pic:blipFill>
                      <pic:spPr bwMode="auto">
                        <a:xfrm>
                          <a:off x="0" y="0"/>
                          <a:ext cx="5263515" cy="7443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4pt;height:586.1pt;mso-wrap-distance-left:0.0pt;mso-wrap-distance-top:0.0pt;mso-wrap-distance-right:0.0pt;mso-wrap-distance-bottom:0.0pt;" stroked="false">
                <v:path textboxrect="0,0,0,0"/>
                <v:imagedata r:id="rId31" o:title=""/>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5263515" cy="7443470"/>
                <wp:effectExtent l="0" t="0" r="13335" b="5080"/>
                <wp:docPr id="8" name="图片 3" descr="常新农〔2023〕46号 关于实行绿化管护百分考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常新农〔2023〕46号 关于实行绿化管护百分考_02"/>
                        <pic:cNvPicPr>
                          <a:picLocks noChangeAspect="1"/>
                        </pic:cNvPicPr>
                        <pic:nvPr/>
                      </pic:nvPicPr>
                      <pic:blipFill>
                        <a:blip r:embed="rId32"/>
                        <a:stretch/>
                      </pic:blipFill>
                      <pic:spPr bwMode="auto">
                        <a:xfrm>
                          <a:off x="0" y="0"/>
                          <a:ext cx="5263515" cy="7443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4pt;height:586.1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5263515" cy="7443470"/>
                <wp:effectExtent l="0" t="0" r="13335" b="5080"/>
                <wp:docPr id="9" name="图片 2" descr="常新农〔2023〕46号 关于实行绿化管护百分考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常新农〔2023〕46号 关于实行绿化管护百分考_03"/>
                        <pic:cNvPicPr>
                          <a:picLocks noChangeAspect="1"/>
                        </pic:cNvPicPr>
                        <pic:nvPr/>
                      </pic:nvPicPr>
                      <pic:blipFill>
                        <a:blip r:embed="rId33"/>
                        <a:stretch/>
                      </pic:blipFill>
                      <pic:spPr bwMode="auto">
                        <a:xfrm>
                          <a:off x="0" y="0"/>
                          <a:ext cx="5263515" cy="7443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4pt;height:586.1pt;mso-wrap-distance-left:0.0pt;mso-wrap-distance-top:0.0pt;mso-wrap-distance-right:0.0pt;mso-wrap-distance-bottom:0.0pt;" stroked="false">
                <v:path textboxrect="0,0,0,0"/>
                <v:imagedata r:id="rId33" o:title=""/>
              </v:shape>
            </w:pict>
          </mc:Fallback>
        </mc:AlternateContent>
      </w:r>
      <w:r>
        <w:rPr>
          <w:rFonts w:hint="eastAsia" w:ascii="宋体" w:hAnsi="宋体" w:eastAsia="宋体" w:cs="宋体"/>
          <w:color w:val="auto"/>
          <w:sz w:val="24"/>
          <w:szCs w:val="24"/>
          <w:highlight w:val="none"/>
          <w:lang w:val="en-US" w:eastAsia="zh-CN" w:bidi="ar-SA"/>
        </w:rPr>
        <w:br w:type="page" w:clear="all"/>
      </w:r>
      <w:r/>
    </w:p>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lang w:bidi="ar"/>
        </w:rPr>
        <w:sectPr>
          <w:headerReference w:type="default" r:id="rId13"/>
          <w:footerReference w:type="default" r:id="rId23"/>
          <w:footnotePr/>
          <w:endnotePr/>
          <w:type w:val="nextPage"/>
          <w:pgSz w:w="11906" w:h="16838" w:orient="portrait"/>
          <w:pgMar w:top="1417" w:right="1800" w:bottom="2154" w:left="1800" w:header="851" w:footer="992" w:gutter="0"/>
          <w:cols w:num="1" w:sep="0" w:space="0" w:equalWidth="1"/>
          <w:docGrid w:linePitch="360"/>
        </w:sectPr>
      </w:pPr>
      <w:r>
        <w:rPr>
          <w:rFonts w:hint="eastAsia" w:ascii="宋体" w:hAnsi="宋体" w:eastAsia="宋体" w:cs="宋体"/>
          <w:b/>
          <w:bCs/>
          <w:color w:val="auto"/>
          <w:sz w:val="24"/>
          <w:szCs w:val="24"/>
          <w:highlight w:val="none"/>
          <w:lang w:bidi="ar"/>
        </w:rPr>
      </w:r>
      <w:r/>
    </w:p>
    <w:tbl>
      <w:tblPr>
        <w:tblStyle w:val="1119"/>
        <w:tblpPr w:horzAnchor="page" w:tblpX="919" w:vertAnchor="text" w:tblpY="33" w:leftFromText="180" w:topFromText="0" w:rightFromText="180" w:bottomFromText="0"/>
        <w:tblW w:w="5468" w:type="pct"/>
        <w:tblInd w:w="0" w:type="dxa"/>
        <w:tblLayout w:type="fixed"/>
        <w:tblCellMar>
          <w:left w:w="15" w:type="dxa"/>
          <w:top w:w="15" w:type="dxa"/>
          <w:right w:w="15" w:type="dxa"/>
          <w:bottom w:w="15" w:type="dxa"/>
        </w:tblCellMar>
        <w:tblLook w:val="04A0" w:firstRow="1" w:lastRow="0" w:firstColumn="1" w:lastColumn="0" w:noHBand="0" w:noVBand="1"/>
      </w:tblPr>
      <w:tblGrid>
        <w:gridCol w:w="902"/>
        <w:gridCol w:w="836"/>
        <w:gridCol w:w="5844"/>
        <w:gridCol w:w="253"/>
        <w:gridCol w:w="769"/>
        <w:gridCol w:w="4575"/>
        <w:gridCol w:w="607"/>
        <w:gridCol w:w="723"/>
      </w:tblGrid>
      <w:tr>
        <w:trPr>
          <w:trHeight w:val="283"/>
        </w:trPr>
        <w:tc>
          <w:tcPr>
            <w:gridSpan w:val="8"/>
            <w:tcW w:w="5000" w:type="pct"/>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罗溪镇绿养护长效管理考核细则</w:t>
            </w:r>
            <w:r/>
          </w:p>
        </w:tc>
      </w:tr>
      <w:tr>
        <w:trPr>
          <w:trHeight w:val="283"/>
        </w:trPr>
        <w:tc>
          <w:tcPr>
            <w:gridSpan w:val="8"/>
            <w:tcBorders>
              <w:bottom w:val="single" w:color="000000" w:sz="4" w:space="0"/>
            </w:tcBorders>
            <w:tcW w:w="5000" w:type="pct"/>
            <w:vAlign w:val="center"/>
            <w:textDirection w:val="lrTb"/>
            <w:noWrap w:val="false"/>
          </w:tcPr>
          <w:p>
            <w:pPr>
              <w:ind w:firstLine="0"/>
              <w:jc w:val="righ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考核时间：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tc>
      </w:tr>
      <w:tr>
        <w:trPr>
          <w:trHeight w:val="283"/>
        </w:trPr>
        <w:tc>
          <w:tcPr>
            <w:shd w:val="clear" w:color="auto" w:fill="d9d9d9"/>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gridSpan w:val="2"/>
            <w:shd w:val="clear" w:color="auto" w:fill="d9d9d9"/>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养护标准</w:t>
            </w:r>
            <w:r/>
          </w:p>
        </w:tc>
        <w:tc>
          <w:tcPr>
            <w:shd w:val="clear" w:color="auto" w:fill="d9d9d9"/>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shd w:val="clear" w:color="auto" w:fill="d9d9d9"/>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考核评分办法</w:t>
            </w:r>
            <w:r/>
          </w:p>
        </w:tc>
        <w:tc>
          <w:tcPr>
            <w:shd w:val="clear" w:color="auto" w:fill="d9d9d9"/>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p>
        </w:tc>
        <w:tc>
          <w:tcPr>
            <w:shd w:val="clear" w:color="auto" w:fill="d9d9d9"/>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tbRlV"/>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乔木养护</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1、生长势：叶枝强壮，枝条粗壮，无枯枝残叶。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2、树冠：完整统一，骨架均匀合理，树形美观，规格一致，分枝高度一致，下缘线整齐。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3、树干：要挺直，无芽条，无悬挂物。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、修剪：乔木修剪要按操作规程适时进行。根据不同路段，车辆等情况确定下缘高度，不能影响高压线、路灯，交通指示牌，树干不能留树钉，枯枝及时修剪。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、灌溉施肥：根据不同季节和天气情况，不同植物种类适时灌溉施肥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每年普施两次肥料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复合肥</w:t>
            </w:r>
            <w:r>
              <w:rPr>
                <w:rFonts w:hint="eastAsia" w:ascii="宋体" w:hAnsi="宋体" w:eastAsia="宋体" w:cs="宋体"/>
                <w:color w:val="auto"/>
                <w:sz w:val="24"/>
                <w:szCs w:val="24"/>
                <w:highlight w:val="none"/>
              </w:rPr>
              <w:t xml:space="preserve">不低于80㎏/亩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冬季有机肥不低于80㎏/亩，针对土壤板结、树木长势差的补施和看苗施肥确保长势。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、补植改植：及时清理死树，并在二周内补植回原来的树种并力求规格与原有的树木接近，施足基肥和淋水等保养措施，确保成活率达90%，已老化或与景观不协调的树木应及时改植。（非正常载植季节除外）。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、病虫害防治：及时做好防治工作，以防为主，精心管养，勤检查，早发现早治理，常见病虫害控制在5%以下，单株危害程度控制在5%以下。</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1、有明显病枯枝断枝和徒长枝扣0.5分/株。长势不良、生长季节出现黄化等现象影响景观的扣0.5分/株。未按时做好养护工作（修剪、剥芽、施肥、台风季节扶正、夏季抗旱、冬季涂白、除雪）扣2分/株。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2、树冠不完整扣0.1分/株，骨架不合理扣0.1分/株，分枝点高度不一致扣0.1分/株。未与公共设施保持一定距离扣0.1分/株。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3、树干倾斜超过10°扣0.1分/株，树干有芽条扣0.1分/株。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4、不及时防治病虫害，常见病虫害超过5%扣1分，单株病虫危害超过5%扣0.1分/株。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5、发生苗木死亡或失窃，扣2—10分/株，并按</w:t>
            </w:r>
            <w:r>
              <w:rPr>
                <w:rFonts w:hint="eastAsia" w:ascii="宋体" w:hAnsi="宋体" w:eastAsia="宋体" w:cs="宋体"/>
                <w:color w:val="auto"/>
                <w:sz w:val="24"/>
                <w:szCs w:val="24"/>
                <w:highlight w:val="none"/>
                <w:lang w:val="en-US" w:eastAsia="zh-CN"/>
              </w:rPr>
              <w:t xml:space="preserve">相同规格</w:t>
            </w:r>
            <w:r>
              <w:rPr>
                <w:rFonts w:hint="eastAsia" w:ascii="宋体" w:hAnsi="宋体" w:eastAsia="宋体" w:cs="宋体"/>
                <w:color w:val="auto"/>
                <w:sz w:val="24"/>
                <w:szCs w:val="24"/>
                <w:highlight w:val="none"/>
              </w:rPr>
              <w:t xml:space="preserve">补栽。</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灌木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花卉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等的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绿化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植物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养护</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1、生长势：枝多叶茂，叶色鲜艳，植株整齐，无枯枝残叶，无残缺。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2、修剪：灌木应适时修剪，及时将残枝剪去。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3、灌溉施肥：根据植物生长及开花特性，及时进行施肥和灌溉。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4、补种改植：及时清理死苗，并在一周内补植规格接近的，原有的植物种类。补植或改植按规范进行，保证成活率达98%以上（非正常载植季节除外）。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5、病虫害防治：以综合防治，化学防治，人工防治，生物防治等方法防止病虫害曼延。常见病虫危害和单株危害控制在5%以下。</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1、有死树扣2分/株，有病树扣1分/株。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2、修剪不合理或未及时修剪扣0.1分/株。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、有病虫害的灌木扣0.1分/株。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、发生苗木死亡或失窃，扣1—5分/株，并按</w:t>
            </w:r>
            <w:r>
              <w:rPr>
                <w:rFonts w:hint="eastAsia" w:ascii="宋体" w:hAnsi="宋体" w:eastAsia="宋体" w:cs="宋体"/>
                <w:color w:val="auto"/>
                <w:sz w:val="24"/>
                <w:szCs w:val="24"/>
                <w:highlight w:val="none"/>
                <w:lang w:val="en-US" w:eastAsia="zh-CN"/>
              </w:rPr>
              <w:t xml:space="preserve">相同规格</w:t>
            </w:r>
            <w:r>
              <w:rPr>
                <w:rFonts w:hint="eastAsia" w:ascii="宋体" w:hAnsi="宋体" w:eastAsia="宋体" w:cs="宋体"/>
                <w:color w:val="auto"/>
                <w:sz w:val="24"/>
                <w:szCs w:val="24"/>
                <w:highlight w:val="none"/>
              </w:rPr>
              <w:t xml:space="preserve">补栽。</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tbRlV"/>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安全作业</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作业机械应保养完好，运行正常；修剪工具应坚固耐用。</w:t>
            </w:r>
            <w:r/>
          </w:p>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树上作业应选择无风或风力较小且无雨雪天气进行，四级及以上大风不得进行作业。</w:t>
            </w:r>
            <w:r/>
          </w:p>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作业时应按要求在作业区设置警示标志，当占用道路修剪时应办理行政许可，树上修剪人员、地面防护、枝叶清理人员防护用品应符合安全要求。</w:t>
            </w:r>
            <w:r/>
          </w:p>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树上作业应对修剪人员进行岗前培训，应一人一树修剪，不得在两株或多株树体间攀爬，截除大枝应有人员指挥操作。</w:t>
            </w:r>
            <w:r/>
          </w:p>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高空机械作业车修剪时，应符合高空作业相关要求。</w:t>
            </w:r>
            <w:r/>
          </w:p>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6、在进出绿化养护范围的出入口设置防火标志牌，发挥警示作用。</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numPr>
                <w:ilvl w:val="0"/>
                <w:numId w:val="17"/>
              </w:num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作业期间发生安全事故，扣3分/次。</w:t>
            </w:r>
            <w:r/>
          </w:p>
          <w:p>
            <w:pPr>
              <w:numPr>
                <w:ilvl w:val="0"/>
                <w:numId w:val="17"/>
              </w:num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在恶劣天气环境违规作业，扣2分/次。</w:t>
            </w:r>
            <w:r/>
          </w:p>
          <w:p>
            <w:pPr>
              <w:numPr>
                <w:ilvl w:val="0"/>
                <w:numId w:val="17"/>
              </w:num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应设置防火标志牌处缺失，扣0.5分/处。</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卫生保洁</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numPr>
                <w:ilvl w:val="0"/>
                <w:numId w:val="18"/>
              </w:num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绿地清洁，无垃圾杂物，无</w:t>
            </w:r>
            <w:r>
              <w:rPr>
                <w:rFonts w:hint="eastAsia" w:ascii="宋体" w:hAnsi="宋体" w:eastAsia="宋体" w:cs="宋体"/>
                <w:color w:val="auto"/>
                <w:sz w:val="24"/>
                <w:szCs w:val="24"/>
                <w:highlight w:val="none"/>
                <w:lang w:val="en-US" w:eastAsia="zh-CN"/>
              </w:rPr>
              <w:t xml:space="preserve">干</w:t>
            </w:r>
            <w:r>
              <w:rPr>
                <w:rFonts w:hint="eastAsia" w:ascii="宋体" w:hAnsi="宋体" w:eastAsia="宋体" w:cs="宋体"/>
                <w:color w:val="auto"/>
                <w:sz w:val="24"/>
                <w:szCs w:val="24"/>
                <w:highlight w:val="none"/>
              </w:rPr>
              <w:t xml:space="preserve">枯枝叶无石砾砖块</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18"/>
              </w:num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气温降至5度以下，对树木进行涂白</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numPr>
                <w:ilvl w:val="0"/>
                <w:numId w:val="19"/>
              </w:num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树上有铁钉、悬挂物扣0.1分/处，晾晒吊挂等扣1分/处。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2、绿地有废弃物（瓜果纸屑烟蒂等）扣0.1分/处。                                    3、</w:t>
            </w:r>
            <w:r>
              <w:rPr>
                <w:rFonts w:hint="eastAsia" w:ascii="宋体" w:hAnsi="宋体" w:eastAsia="宋体" w:cs="宋体"/>
                <w:color w:val="auto"/>
                <w:sz w:val="24"/>
                <w:szCs w:val="24"/>
                <w:highlight w:val="none"/>
                <w:lang w:val="en-US" w:eastAsia="zh-CN"/>
              </w:rPr>
              <w:t xml:space="preserve">树木未涂白，扣0.5分/处。</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日常巡查</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加强日常巡查，发现问题及时整改。无损坏绿地、苗木，无毁绿种菜，无擅自开挖绿地。</w:t>
            </w:r>
            <w:r>
              <w:rPr>
                <w:rFonts w:hint="eastAsia" w:ascii="宋体" w:hAnsi="宋体" w:eastAsia="宋体" w:cs="宋体"/>
                <w:color w:val="auto"/>
                <w:sz w:val="24"/>
                <w:szCs w:val="24"/>
                <w:highlight w:val="none"/>
                <w:lang w:val="en-US" w:eastAsia="zh-CN"/>
              </w:rPr>
              <w:t xml:space="preserve">按照月度工作开展情况，做好绿化管护台账。</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numPr>
                <w:ilvl w:val="0"/>
                <w:numId w:val="20"/>
              </w:numPr>
              <w:ind w:left="0"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有损坏绿地、苗木，毁绿种菜，擅自开挖绿地情况扣2—10分/处。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、出现未施肥、病虫防治、抗旱洒水等情况扣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分/次</w:t>
            </w:r>
            <w:r>
              <w:rPr>
                <w:rFonts w:hint="eastAsia" w:ascii="宋体" w:hAnsi="宋体" w:eastAsia="宋体" w:cs="宋体"/>
                <w:color w:val="auto"/>
                <w:sz w:val="24"/>
                <w:szCs w:val="24"/>
                <w:highlight w:val="none"/>
                <w:lang w:val="en-US" w:eastAsia="zh-CN"/>
              </w:rPr>
              <w:t xml:space="preserve">。</w:t>
            </w:r>
            <w:r/>
          </w:p>
          <w:p>
            <w:pPr>
              <w:numPr>
                <w:ilvl w:val="0"/>
                <w:numId w:val="0"/>
              </w:numPr>
              <w:ind w:firstLine="0"/>
              <w:jc w:val="left"/>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3、台账不完善，扣1分/处；台账未及时完成，扣2分/次。</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社会反响</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违章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举报投诉、12345工单等</w:t>
            </w:r>
            <w:r>
              <w:rPr>
                <w:rFonts w:hint="eastAsia" w:ascii="宋体" w:hAnsi="宋体" w:eastAsia="宋体" w:cs="宋体"/>
                <w:color w:val="auto"/>
                <w:sz w:val="24"/>
                <w:szCs w:val="24"/>
                <w:highlight w:val="none"/>
              </w:rPr>
              <w:t xml:space="preserve">要及时处理，及时整改恢复原状。</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违章</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未及时处理或上报扣5分/次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2、查实的社会投诉媒体曝光扣5分/次。</w:t>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W w:w="2101"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1576" w:type="pct"/>
            <w:vAlign w:val="center"/>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firstLine="0"/>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3"/>
        </w:trPr>
        <w:tc>
          <w:tcPr>
            <w:gridSpan w:val="2"/>
            <w:tcW w:w="598"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考核人员：</w:t>
            </w:r>
            <w:r/>
          </w:p>
        </w:tc>
        <w:tc>
          <w:tcPr>
            <w:tcW w:w="2013"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W w:w="352"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6"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管护单位负责人：                                   </w:t>
            </w:r>
            <w:r/>
          </w:p>
        </w:tc>
        <w:tc>
          <w:tcPr>
            <w:tcW w:w="209"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 w:type="pct"/>
            <w:vAlign w:val="bottom"/>
            <w:textDirection w:val="lrTb"/>
            <w:noWrap w:val="false"/>
          </w:tcPr>
          <w:p>
            <w:pPr>
              <w:ind w:firstLine="0"/>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color w:val="auto"/>
          <w:highlight w:val="none"/>
        </w:rPr>
      </w:pPr>
      <w:r>
        <w:rPr>
          <w:color w:val="auto"/>
          <w:highlight w:val="none"/>
        </w:rPr>
      </w:r>
      <w:r/>
    </w:p>
    <w:p>
      <w:pPr>
        <w:rPr>
          <w:b/>
          <w:color w:val="auto"/>
          <w:sz w:val="36"/>
          <w:szCs w:val="36"/>
          <w:highlight w:val="none"/>
        </w:rPr>
      </w:pPr>
      <w:r/>
      <w:bookmarkStart w:id="817" w:name="_Toc13366"/>
      <w:r/>
      <w:bookmarkStart w:id="818" w:name="_Toc99301425"/>
      <w:r>
        <w:rPr>
          <w:b/>
          <w:color w:val="auto"/>
          <w:sz w:val="36"/>
          <w:szCs w:val="36"/>
          <w:highlight w:val="none"/>
        </w:rPr>
        <w:br w:type="page" w:clear="all"/>
      </w:r>
      <w:r/>
    </w:p>
    <w:p>
      <w:pPr>
        <w:jc w:val="center"/>
        <w:spacing w:line="360" w:lineRule="auto"/>
        <w:rPr>
          <w:b/>
          <w:color w:val="auto"/>
          <w:sz w:val="36"/>
          <w:szCs w:val="36"/>
          <w:highlight w:val="none"/>
        </w:rPr>
        <w:sectPr>
          <w:footnotePr/>
          <w:endnotePr/>
          <w:type w:val="nextPage"/>
          <w:pgSz w:w="16838" w:h="11906" w:orient="landscape"/>
          <w:pgMar w:top="1800" w:right="1417" w:bottom="1800" w:left="2154" w:header="851" w:footer="992" w:gutter="0"/>
          <w:cols w:num="1" w:sep="0" w:space="0"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817"/>
      <w:r/>
      <w:bookmarkEnd w:id="818"/>
      <w:r/>
      <w:r/>
    </w:p>
    <w:p>
      <w:pPr>
        <w:pStyle w:val="1135"/>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19" w:name="_Toc99301426"/>
      <w:r/>
      <w:bookmarkStart w:id="820" w:name="_Toc18832"/>
      <w:r>
        <w:rPr>
          <w:rFonts w:hint="eastAsia" w:hAnsi="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lang w:val="zh-CN"/>
        </w:rPr>
        <w:t xml:space="preserve">（以下称甲</w:t>
      </w:r>
      <w:r>
        <w:rPr>
          <w:rFonts w:hint="eastAsia" w:ascii="宋体" w:hAnsi="宋体" w:eastAsia="宋体" w:cs="宋体"/>
          <w:b/>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常州市新北区罗溪镇人民政府</w:t>
      </w:r>
      <w:r>
        <w:rPr>
          <w:rFonts w:hint="eastAsia" w:ascii="宋体" w:hAnsi="宋体" w:eastAsia="宋体" w:cs="宋体"/>
          <w:color w:val="auto"/>
          <w:sz w:val="24"/>
          <w:szCs w:val="24"/>
          <w:highlight w:val="none"/>
          <w:u w:val="single"/>
        </w:rPr>
        <w:t xml:space="preserve"> </w:t>
      </w:r>
      <w:r/>
    </w:p>
    <w:p>
      <w:pPr>
        <w:pStyle w:val="1135"/>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以下称</w:t>
      </w: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u w:val="single"/>
        </w:rPr>
        <w:t xml:space="preserve">            </w:t>
      </w:r>
      <w:r/>
    </w:p>
    <w:p>
      <w:pPr>
        <w:pStyle w:val="1120"/>
        <w:ind w:firstLine="9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pStyle w:val="112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1120"/>
        <w:jc w:val="righ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甲乙双方依据</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以及有关法律、法规的规定，经协商一致，订立本合同，以便共同遵守。</w:t>
      </w:r>
      <w:r/>
    </w:p>
    <w:p>
      <w:pPr>
        <w:pStyle w:val="1135"/>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第一条 合同标的</w:t>
      </w:r>
      <w:r/>
    </w:p>
    <w:p>
      <w:pPr>
        <w:ind w:firstLine="484"/>
        <w:jc w:val="left"/>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系指根据合同规定乙方须承担与服务有关的所有辅助服务</w:t>
      </w:r>
      <w:r>
        <w:rPr>
          <w:rFonts w:hint="eastAsia" w:ascii="宋体" w:hAnsi="宋体" w:eastAsia="宋体" w:cs="宋体"/>
          <w:color w:val="auto"/>
          <w:sz w:val="24"/>
          <w:szCs w:val="24"/>
          <w:highlight w:val="none"/>
          <w:lang w:val="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服务期限：</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eastAsia="宋体" w:cs="宋体"/>
          <w:color w:val="auto"/>
          <w:sz w:val="24"/>
          <w:highlight w:val="none"/>
          <w:u w:val="none"/>
          <w:lang w:val="en-US" w:eastAsia="zh-CN"/>
        </w:rPr>
        <w:t xml:space="preserve">（1）项目服务总期限暂定贰年，实行一年一签的签约方式，第一年服务期限为    年  月   日至    年  月   日。</w:t>
      </w:r>
      <w:r>
        <w:rPr>
          <w:rFonts w:hint="eastAsia" w:ascii="宋体" w:hAnsi="宋体" w:cs="宋体"/>
          <w:color w:val="auto"/>
          <w:sz w:val="24"/>
          <w:highlight w:val="none"/>
          <w:u w:val="none"/>
          <w:lang w:val="en-US" w:eastAsia="zh-CN"/>
        </w:rPr>
        <w:t xml:space="preserve">第一年的前三个月为试用期，试用期满经甲方考核合格后，本合同有效</w:t>
      </w:r>
      <w:r>
        <w:rPr>
          <w:rFonts w:hint="eastAsia" w:ascii="宋体" w:hAnsi="宋体" w:eastAsia="宋体" w:cs="宋体"/>
          <w:color w:val="auto"/>
          <w:sz w:val="24"/>
          <w:highlight w:val="none"/>
          <w:u w:val="none"/>
          <w:lang w:val="en-US" w:eastAsia="zh-CN"/>
        </w:rPr>
        <w:t xml:space="preserve">。每一合同年度期满，采购人结合镇级季度考核、区级年度考核综合评定续签资格，满足下列任一条件，采购人有权单方决定不予续签次年合同：</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1</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当年度镇级考核内，有两个季度考核平均得分低于 85 分；</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当年度区级综合考核得分不足70分。 </w:t>
      </w:r>
      <w:r/>
    </w:p>
    <w:p>
      <w:pPr>
        <w:ind w:firstLine="488"/>
        <w:keepLines w:val="0"/>
        <w:keepNext w:val="0"/>
        <w:pageBreakBefore w:val="0"/>
        <w:spacing w:line="360" w:lineRule="auto"/>
        <w:widowControl w:val="off"/>
        <w:rPr>
          <w:rFonts w:hint="eastAsia" w:ascii="宋体" w:hAnsi="宋体" w:eastAsia="宋体" w:cs="宋体"/>
          <w:color w:val="auto"/>
          <w:sz w:val="24"/>
          <w:highlight w:val="none"/>
          <w:u w:val="none"/>
          <w:lang w:eastAsia="zh-CN"/>
        </w:rPr>
        <w:outlineLvl w:val="9"/>
      </w:pP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经采购人年度综合考核评定为合格的，双方可协商签订下一年度服务合同。</w:t>
      </w:r>
      <w:r/>
    </w:p>
    <w:p>
      <w:pPr>
        <w:contextualSpacing/>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第二条 合同价格</w:t>
      </w:r>
      <w:r/>
    </w:p>
    <w:p>
      <w:pPr>
        <w:pStyle w:val="1135"/>
        <w:ind w:firstLine="487"/>
        <w:jc w:val="left"/>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rPr>
        <w:t xml:space="preserve">签约合同价（人民币，下同）</w:t>
      </w:r>
      <w:r>
        <w:rPr>
          <w:rFonts w:hint="eastAsia" w:ascii="宋体" w:hAnsi="宋体" w:eastAsia="宋体" w:cs="宋体"/>
          <w:b/>
          <w:color w:val="auto"/>
          <w:sz w:val="24"/>
          <w:szCs w:val="24"/>
          <w:highlight w:val="none"/>
          <w:u w:val="single"/>
        </w:rPr>
        <w:t xml:space="preserve">：    元</w:t>
      </w:r>
      <w:r>
        <w:rPr>
          <w:rFonts w:hint="eastAsia" w:hAnsi="宋体" w:cs="宋体"/>
          <w:b/>
          <w:color w:val="auto"/>
          <w:sz w:val="24"/>
          <w:szCs w:val="24"/>
          <w:highlight w:val="none"/>
          <w:u w:val="single"/>
          <w:lang w:val="en-US" w:eastAsia="zh-CN"/>
        </w:rPr>
        <w:t xml:space="preserve">/年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元</w:t>
      </w:r>
      <w:r>
        <w:rPr>
          <w:rFonts w:hint="eastAsia" w:hAnsi="宋体" w:cs="宋体"/>
          <w:b/>
          <w:color w:val="auto"/>
          <w:sz w:val="24"/>
          <w:szCs w:val="24"/>
          <w:highlight w:val="none"/>
          <w:u w:val="single"/>
          <w:lang w:val="en-US" w:eastAsia="zh-CN"/>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本合同价</w:t>
      </w:r>
      <w:r>
        <w:rPr>
          <w:rFonts w:hint="eastAsia" w:ascii="宋体" w:hAnsi="宋体" w:eastAsia="宋体" w:cs="宋体"/>
          <w:color w:val="auto"/>
          <w:spacing w:val="2"/>
          <w:sz w:val="24"/>
          <w:szCs w:val="24"/>
          <w:highlight w:val="none"/>
          <w:u w:val="none"/>
          <w:lang w:val="en-US" w:eastAsia="zh-CN"/>
        </w:rPr>
        <w:t xml:space="preserve">包括招标文件所确定的采购范围</w:t>
      </w:r>
      <w:r>
        <w:rPr>
          <w:rFonts w:hint="eastAsia" w:hAnsi="宋体" w:cs="宋体"/>
          <w:color w:val="auto"/>
          <w:spacing w:val="2"/>
          <w:sz w:val="24"/>
          <w:szCs w:val="24"/>
          <w:highlight w:val="none"/>
          <w:u w:val="none"/>
          <w:lang w:val="en-US" w:eastAsia="zh-CN"/>
        </w:rPr>
        <w:t xml:space="preserve">内</w:t>
      </w:r>
      <w:r>
        <w:rPr>
          <w:rFonts w:hint="eastAsia" w:ascii="宋体" w:hAnsi="宋体" w:eastAsia="宋体" w:cs="宋体"/>
          <w:color w:val="auto"/>
          <w:spacing w:val="2"/>
          <w:sz w:val="24"/>
          <w:szCs w:val="24"/>
          <w:highlight w:val="none"/>
          <w:u w:val="none"/>
          <w:lang w:val="en-US" w:eastAsia="zh-CN"/>
        </w:rPr>
        <w:t xml:space="preserve">相应服务的化养护投标报价应包括在承包期内绿化养护需要的人工、材料、机械、 管理、维护修理、保险、利润、税金、政策性文件规定及合同包含的所有风险、责任等各项应有费用。 所报绿化养护价格涵盖绿化养护各种作业，即基于现有绿化和绿化设施发生的一切与养护有关的费用。主要有修剪、除草、 浇水、施肥、植保、松土、平整土方与开堰沟、斜树扶正与支撑、防寒与保暖、死树杂物和落叶的清理、果实的摘除、设施的维护和修缮等、资料文档的积累、绿化现场的巡查等以及为完成该项服务项目所涉及到的一切相关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不再支付其他任何费用。</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本合同总价款还包含乙方应当提供的伴随服务/售后服务费用。</w:t>
      </w:r>
      <w:r/>
    </w:p>
    <w:p>
      <w:pPr>
        <w:pStyle w:val="1135"/>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 组成本合同的有关文件</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（编号：</w:t>
      </w:r>
      <w:r>
        <w:rPr>
          <w:rFonts w:hint="eastAsia" w:hAnsi="宋体" w:cs="宋体"/>
          <w:color w:val="auto"/>
          <w:sz w:val="24"/>
          <w:szCs w:val="24"/>
          <w:highlight w:val="none"/>
          <w:lang w:eastAsia="zh-CN"/>
        </w:rPr>
        <w:t xml:space="preserve">JSZC-320411004-SYZB-G2026-0062</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pStyle w:val="1135"/>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（4）甲乙双方商定的其他文件等。</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条 合同款结算及支付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1.本合同项下所有款项均以人民币支付。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484"/>
        <w:keepLines w:val="0"/>
        <w:keepNext w:val="0"/>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结算方式：固定单价，按年度实际结算。</w:t>
      </w:r>
      <w:r/>
    </w:p>
    <w:p>
      <w:pPr>
        <w:contextualSpacing/>
        <w:ind w:firstLine="48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p>
    <w:p>
      <w:pPr>
        <w:ind w:firstLine="488"/>
        <w:keepLines w:val="0"/>
        <w:keepNext w:val="0"/>
        <w:pageBreakBefore w:val="0"/>
        <w:spacing w:line="360" w:lineRule="auto"/>
        <w:widowControl w:val="off"/>
        <w:rPr>
          <w:rFonts w:hint="eastAsia" w:ascii="宋体" w:hAnsi="宋体" w:cs="宋体"/>
          <w:color w:val="auto"/>
          <w:sz w:val="24"/>
          <w:highlight w:val="none"/>
          <w:u w:val="none"/>
          <w:lang w:val="en-US" w:eastAsia="zh-CN"/>
        </w:rPr>
        <w:outlineLvl w:val="9"/>
      </w:pPr>
      <w:r>
        <w:rPr>
          <w:rFonts w:hint="eastAsia" w:ascii="宋体" w:hAnsi="宋体" w:cs="宋体"/>
          <w:color w:val="auto"/>
          <w:sz w:val="24"/>
          <w:highlight w:val="none"/>
          <w:u w:val="none"/>
          <w:lang w:val="en-US" w:eastAsia="zh-CN"/>
        </w:rPr>
        <w:t xml:space="preserve">本项目按照实际管护面积进行费用核算（管护面积以新北区农业农村局下达管护面积为准），甲方以《罗溪镇绿化养护管理考核办法》和《关于实施绿化养护百分考核的通知》（常新农〔2023〕46号）要求为考核依据，进行结果运用并按年度付款，乙方按招标要求开具合法有效等额增值税发票，甲方收到发票后30日内完成资金支付。 </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条 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1.如乙方不能按约定进行服务的，甲方有权解除合同，同时有权要求乙方按照合同总价5%的标准支付违约金，解除合同的通知自发出之日生效。</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.乙方未按本合同的规定和“服务承诺”提供伴随服务的，甲方有权提前解除本合同，同时乙方应按合同总价款的5 %向甲方承担违约责任。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.若甲方</w:t>
      </w:r>
      <w:r>
        <w:rPr>
          <w:rFonts w:hint="eastAsia" w:ascii="宋体" w:hAnsi="宋体" w:cs="宋体"/>
          <w:color w:val="auto"/>
          <w:sz w:val="24"/>
          <w:szCs w:val="24"/>
          <w:highlight w:val="none"/>
          <w:lang w:val="en-US" w:eastAsia="zh-CN"/>
        </w:rPr>
        <w:t xml:space="preserve">逾期</w:t>
      </w:r>
      <w:r>
        <w:rPr>
          <w:rFonts w:hint="eastAsia" w:ascii="宋体" w:hAnsi="宋体" w:eastAsia="宋体" w:cs="宋体"/>
          <w:color w:val="auto"/>
          <w:sz w:val="24"/>
          <w:szCs w:val="24"/>
          <w:highlight w:val="none"/>
        </w:rPr>
        <w:t xml:space="preserve">付款，则付款</w:t>
      </w:r>
      <w:r>
        <w:rPr>
          <w:rFonts w:hint="eastAsia" w:ascii="宋体" w:hAnsi="宋体" w:cs="宋体"/>
          <w:color w:val="auto"/>
          <w:sz w:val="24"/>
          <w:szCs w:val="24"/>
          <w:highlight w:val="none"/>
          <w:lang w:val="en-US" w:eastAsia="zh-CN"/>
        </w:rPr>
        <w:t xml:space="preserve">逾期</w:t>
      </w:r>
      <w:r>
        <w:rPr>
          <w:rFonts w:hint="eastAsia" w:ascii="宋体" w:hAnsi="宋体" w:eastAsia="宋体" w:cs="宋体"/>
          <w:color w:val="auto"/>
          <w:sz w:val="24"/>
          <w:szCs w:val="24"/>
          <w:highlight w:val="none"/>
        </w:rPr>
        <w:t xml:space="preserve">违约金按银行活期利率执行，最高不超过欠款总额的3%。</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 合同的变更和终止</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 合同的转让</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条 不可抗力</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条 争议的解决</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（1）向甲方所在地人民法院提起诉讼；</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（2）向甲方所在地仲裁委员会按其仲裁规则申请仲裁。</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如没有约定，默认采取第2种方式解决争议。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第十条 诚实信用 </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承诺履行合同，不向甲方进行商业贿赂或者提供不正当利益。</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 合同生效及其他</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eastAsia="zh-CN"/>
        </w:rPr>
        <w:sectPr>
          <w:footnotePr/>
          <w:endnotePr/>
          <w:type w:val="nextPage"/>
          <w:pgSz w:w="11906" w:h="16838" w:orient="portrait"/>
          <w:pgMar w:top="1417" w:right="1800" w:bottom="2154" w:left="1800" w:header="851" w:footer="992" w:gutter="0"/>
          <w:cols w:num="1" w:sep="0" w:space="0" w:equalWidth="1"/>
          <w:docGrid w:linePitch="360"/>
        </w:sectPr>
      </w:pPr>
      <w:r>
        <w:rPr>
          <w:rFonts w:hint="eastAsia" w:ascii="宋体" w:hAnsi="宋体" w:eastAsia="宋体" w:cs="宋体"/>
          <w:bCs/>
          <w:color w:val="auto"/>
          <w:sz w:val="24"/>
          <w:szCs w:val="24"/>
          <w:highlight w:val="none"/>
          <w:lang w:val="en-US" w:eastAsia="zh-CN"/>
        </w:rPr>
      </w:r>
      <w:r/>
    </w:p>
    <w:p>
      <w:pPr>
        <w:jc w:val="center"/>
        <w:spacing w:line="360" w:lineRule="auto"/>
        <w:rPr>
          <w:b/>
          <w:color w:val="auto"/>
          <w:sz w:val="36"/>
          <w:szCs w:val="36"/>
          <w:highlight w:val="none"/>
        </w:rPr>
        <w:outlineLvl w:val="0"/>
      </w:pPr>
      <w:r>
        <w:rPr>
          <w:b/>
          <w:color w:val="auto"/>
          <w:sz w:val="36"/>
          <w:szCs w:val="36"/>
          <w:highlight w:val="none"/>
        </w:rPr>
        <w:t xml:space="preserve">安全生产、文明施工协议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建设单位(甲方):常州市新北区罗溪镇人民政府</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施工单位(乙方):</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为确保项目的安全生产和文明施工，顺利实现建设目标，甲乙双方特制定如下协议：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乙方通过合法竞争取得承包工程项目权利的同时，即产生对该工程项目确保安全生产、文明施工以及保护现场、维护甲方声誉的义务，乙方应严格遵守国家有关法律法规，恪守双方所签施工合同(协议)中的有关规定，全面承担其经济及法律责任。</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二、对于违反本规定的行为，甲方有权按照规定进行相应处罚，处罚款在最终结算时予以扣除。</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三、安全生产文明施工管理要求：</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(一)安全管理</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1、施工单位必须制定安全生产指标，制定各种安全技术操作规程，按规定配专职安全员。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2、制定安全管理目标(安全达标目标和文明施工目标)进行安全责任目标分解。</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3、建立责任目标考核制度，考核办法要落实到位。</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4、明确制定安全措施，安全措施要全面并具有针对性，应符合工程建设强制性标准。</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(1)冬季、雨季等季节性施工方案的制定应符合强制性标准要求。</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(2)施工现场临时用电或者安全用电技术措施和电气防火措施应符合强制性标准要求。</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5、要有书面的分部(分项)工程安全技术交底，交底要全面同时具有针对性并履行签字手续。</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6、制订定期的安全检查制度并做好检查记录，整改事故隐患要做到定人、定时间、定措施。对重大事故隐患应该如期完成整改通知书所列项目。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7、制定安全教育制度，新入场工人应该进行三级安全教育，变换工种时要进行安全教育，施工管理人员和专职安全技术员应按规定进行年度培训考核。</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8、从事特种作业应持证上岗。</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9、施工单位必须执行国家有关安全生产和劳动保护的法规，建立</w:t>
      </w:r>
      <w:r>
        <w:rPr>
          <w:rFonts w:hint="eastAsia" w:ascii="宋体" w:hAnsi="宋体" w:eastAsia="宋体" w:cs="宋体"/>
          <w:color w:val="auto"/>
          <w:sz w:val="24"/>
          <w:szCs w:val="24"/>
          <w:highlight w:val="none"/>
          <w:lang w:eastAsia="zh-CN"/>
        </w:rPr>
        <w:t xml:space="preserve">安全生产责任制</w:t>
      </w:r>
      <w:r>
        <w:rPr>
          <w:rFonts w:hint="eastAsia" w:ascii="宋体" w:hAnsi="宋体" w:eastAsia="宋体" w:cs="宋体"/>
          <w:color w:val="auto"/>
          <w:sz w:val="24"/>
          <w:szCs w:val="24"/>
          <w:highlight w:val="none"/>
        </w:rPr>
        <w:t xml:space="preserve">，加强规范化管理，对现场各种安全设施和劳动保护器具进行检查和维修，并制定“三宝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四口”防护措施及时消除隐患，保证其安全有效，并保证做到：</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)进</w:t>
      </w:r>
      <w:r>
        <w:rPr>
          <w:rFonts w:hint="eastAsia" w:ascii="宋体" w:hAnsi="宋体" w:eastAsia="宋体" w:cs="宋体"/>
          <w:color w:val="auto"/>
          <w:sz w:val="24"/>
          <w:szCs w:val="24"/>
          <w:highlight w:val="none"/>
        </w:rPr>
        <w:t xml:space="preserve">入施工现场必须</w:t>
      </w:r>
      <w:r>
        <w:rPr>
          <w:rFonts w:hint="eastAsia" w:ascii="宋体" w:hAnsi="宋体" w:eastAsia="宋体" w:cs="宋体"/>
          <w:color w:val="auto"/>
          <w:sz w:val="24"/>
          <w:szCs w:val="24"/>
          <w:highlight w:val="none"/>
          <w:lang w:eastAsia="zh-CN"/>
        </w:rPr>
        <w:t xml:space="preserve">戴</w:t>
      </w:r>
      <w:r>
        <w:rPr>
          <w:rFonts w:hint="eastAsia" w:ascii="宋体" w:hAnsi="宋体" w:eastAsia="宋体" w:cs="宋体"/>
          <w:color w:val="auto"/>
          <w:sz w:val="24"/>
          <w:szCs w:val="24"/>
          <w:highlight w:val="none"/>
        </w:rPr>
        <w:t xml:space="preserve">安全帽，高空作业必须系安全带，挂安全网。</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(2)施工现场严禁赤膊、穿拖鞋及高跟鞋、穿裙子施工。</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(3)严禁酒后作业。</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10、加强安全用电管理</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(1)各施工单位应建立和执行施工现场用电管理制度。</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(2)现场电工必须有操作证，并实行专人管理，经常巡视、维修并做好相关档案。</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(3)建筑物与高压线应符合安全距离，不符合要求的要采取防护措施。</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(4)配电室应整洁通风，配电箱要符合“三级配电两级保护”要求，实行“一机、一闸、一漏、一箱”。</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(5)现场照明设有专用回路漏电保护，室内线路及灯具安装高度低于2.4m应使用安全电压供电。</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(二)文明施工管理</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1、现场应设置围墙，其高度应符合规定，围墙材料应坚固、稳定、整洁、美观并沿工地四周连续设置。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2、施工单位应建立专人管理、每日清扫制度，保持场容、场貌整洁，即工完场地清。做到搅拌设备周围无弃物，水泥库周围无粉尘，运输道路无堆料，建筑物周围无落地料。</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3、现场应有消防措施制度和灭火器材，并保持完好的备用状态。</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4、施工现场应制定急救措施和设有常用急救器材，并有经过培训的急救人员经常开展</w:t>
      </w:r>
      <w:r>
        <w:rPr>
          <w:rFonts w:hint="eastAsia" w:ascii="宋体" w:hAnsi="宋体" w:eastAsia="宋体" w:cs="宋体"/>
          <w:color w:val="auto"/>
          <w:sz w:val="24"/>
          <w:szCs w:val="24"/>
          <w:highlight w:val="none"/>
          <w:lang w:eastAsia="zh-CN"/>
        </w:rPr>
        <w:t xml:space="preserve">卫生防疫</w:t>
      </w:r>
      <w:r>
        <w:rPr>
          <w:rFonts w:hint="eastAsia" w:ascii="宋体" w:hAnsi="宋体" w:eastAsia="宋体" w:cs="宋体"/>
          <w:color w:val="auto"/>
          <w:sz w:val="24"/>
          <w:szCs w:val="24"/>
          <w:highlight w:val="none"/>
        </w:rPr>
        <w:t xml:space="preserve">宣传教育。</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四、定期或不定期地参加甲方组织的有甲方、施工单位负责人参加的安全文明检查。按检查结果提出针对性整改意见、限期整改。</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乙方应加强对甲方的衔接服务、协调意识，项目经理应按时参加现场工程协调会和各类工作的衔接，做到不无故缺席或迟到早退，对甲方和兄弟单位提出的需协调的工作，及时准确地作出答复，并积极配合实施。</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六、乙方在施工过程中，一旦发生安全责任事故，有责任积极配合有关部门、甲方做好事故原因的调查取证，查明原因，承担责任以及对善后事宜的妥善处理工作。</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上述各项，施工单位应认真贯彻执行，如违反上述规定，按处罚细则(见附件)给予必要的经济处罚，情节严重的，甲方有权对乙方作出如下处罚：停水停电、停工整改、经济处罚，直至勒令退出施工并将有关情况向有关部门通报，由此带</w:t>
      </w:r>
      <w:r>
        <w:rPr>
          <w:rFonts w:hint="eastAsia" w:ascii="宋体" w:hAnsi="宋体" w:eastAsia="宋体" w:cs="宋体"/>
          <w:color w:val="auto"/>
          <w:sz w:val="24"/>
          <w:szCs w:val="24"/>
          <w:highlight w:val="none"/>
          <w:lang w:eastAsia="zh-CN"/>
        </w:rPr>
        <w:t xml:space="preserve">来的</w:t>
      </w:r>
      <w:r>
        <w:rPr>
          <w:rFonts w:hint="eastAsia" w:ascii="宋体" w:hAnsi="宋体" w:eastAsia="宋体" w:cs="宋体"/>
          <w:color w:val="auto"/>
          <w:sz w:val="24"/>
          <w:szCs w:val="24"/>
          <w:highlight w:val="none"/>
        </w:rPr>
        <w:t xml:space="preserve">延误工期和经济损失由乙方承担。</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八、本协议经签字之日起生效，甲、乙双方各执</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附件：《安全生产文明施工违规、违章处罚细则》</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29"/>
        <w:jc w:val="center"/>
        <w:spacing w:before="87" w:line="229" w:lineRule="auto"/>
        <w:rPr>
          <w:rFonts w:hint="eastAsia" w:ascii="宋体" w:hAnsi="宋体" w:eastAsia="宋体" w:cs="宋体"/>
          <w:color w:val="auto"/>
          <w:highlight w:val="none"/>
        </w:rPr>
      </w:pPr>
      <w:r>
        <w:rPr>
          <w:rFonts w:hint="eastAsia" w:ascii="宋体" w:hAnsi="宋体" w:eastAsia="宋体" w:cs="宋体"/>
          <w:color w:val="auto"/>
          <w:spacing w:val="11"/>
          <w:highlight w:val="none"/>
        </w:rPr>
        <w:t xml:space="preserve">发包方：</w:t>
      </w:r>
      <w:r>
        <w:rPr>
          <w:rFonts w:hint="eastAsia" w:ascii="宋体" w:hAnsi="宋体" w:eastAsia="宋体" w:cs="宋体"/>
          <w:color w:val="auto"/>
          <w:spacing w:val="5"/>
          <w:highlight w:val="none"/>
          <w:u w:val="single"/>
        </w:rPr>
        <w:t xml:space="preserve">                </w:t>
      </w:r>
      <w:r>
        <w:rPr>
          <w:rFonts w:hint="eastAsia" w:ascii="宋体" w:hAnsi="宋体" w:eastAsia="宋体" w:cs="宋体"/>
          <w:color w:val="auto"/>
          <w:spacing w:val="75"/>
          <w:highlight w:val="none"/>
        </w:rPr>
        <w:t xml:space="preserve"> </w:t>
      </w:r>
      <w:r>
        <w:rPr>
          <w:rFonts w:hint="eastAsia" w:ascii="宋体" w:hAnsi="宋体" w:eastAsia="宋体" w:cs="宋体"/>
          <w:color w:val="auto"/>
          <w:spacing w:val="11"/>
          <w:highlight w:val="none"/>
        </w:rPr>
        <w:t xml:space="preserve">(盖章)</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11"/>
          <w:highlight w:val="none"/>
        </w:rPr>
        <w:t xml:space="preserve">承包方：</w:t>
      </w:r>
      <w:r>
        <w:rPr>
          <w:rFonts w:hint="eastAsia" w:ascii="宋体" w:hAnsi="宋体" w:eastAsia="宋体" w:cs="宋体"/>
          <w:color w:val="auto"/>
          <w:spacing w:val="11"/>
          <w:highlight w:val="none"/>
          <w:u w:val="single"/>
        </w:rPr>
        <w:t xml:space="preserve">       </w:t>
      </w:r>
      <w:r>
        <w:rPr>
          <w:rFonts w:hint="eastAsia" w:ascii="宋体" w:hAnsi="宋体" w:eastAsia="宋体" w:cs="宋体"/>
          <w:color w:val="auto"/>
          <w:spacing w:val="10"/>
          <w:highlight w:val="none"/>
          <w:u w:val="single"/>
        </w:rPr>
        <w:t xml:space="preserve">         </w:t>
      </w:r>
      <w:r>
        <w:rPr>
          <w:rFonts w:hint="eastAsia" w:ascii="宋体" w:hAnsi="宋体" w:eastAsia="宋体" w:cs="宋体"/>
          <w:color w:val="auto"/>
          <w:spacing w:val="67"/>
          <w:highlight w:val="none"/>
        </w:rPr>
        <w:t xml:space="preserve"> </w:t>
      </w:r>
      <w:r>
        <w:rPr>
          <w:rFonts w:hint="eastAsia" w:ascii="宋体" w:hAnsi="宋体" w:eastAsia="宋体" w:cs="宋体"/>
          <w:color w:val="auto"/>
          <w:spacing w:val="10"/>
          <w:highlight w:val="none"/>
        </w:rPr>
        <w:t xml:space="preserve">(盖章)</w:t>
      </w:r>
      <w:r/>
    </w:p>
    <w:p>
      <w:pPr>
        <w:pStyle w:val="1129"/>
        <w:ind w:left="550"/>
        <w:spacing w:before="294" w:line="223" w:lineRule="auto"/>
        <w:rPr>
          <w:rFonts w:hint="eastAsia" w:ascii="宋体" w:hAnsi="宋体" w:eastAsia="宋体" w:cs="宋体"/>
          <w:color w:val="auto"/>
          <w:highlight w:val="none"/>
        </w:rPr>
      </w:pPr>
      <w:r>
        <w:rPr>
          <w:rFonts w:hint="eastAsia" w:ascii="宋体" w:hAnsi="宋体" w:eastAsia="宋体" w:cs="宋体"/>
          <w:color w:val="auto"/>
          <w:spacing w:val="18"/>
          <w:position w:val="1"/>
          <w:highlight w:val="none"/>
        </w:rPr>
        <w:t xml:space="preserve">法定代表人(签名):                 </w:t>
      </w:r>
      <w:r>
        <w:rPr>
          <w:rFonts w:hint="eastAsia" w:ascii="宋体" w:hAnsi="宋体" w:eastAsia="宋体" w:cs="宋体"/>
          <w:color w:val="auto"/>
          <w:spacing w:val="18"/>
          <w:position w:val="-1"/>
          <w:highlight w:val="none"/>
        </w:rPr>
        <w:t xml:space="preserve">法定代表人(签名):</w:t>
      </w:r>
      <w:r/>
    </w:p>
    <w:p>
      <w:pPr>
        <w:pStyle w:val="1129"/>
        <w:ind w:left="550"/>
        <w:spacing w:before="274" w:line="223" w:lineRule="auto"/>
        <w:rPr>
          <w:rFonts w:hint="eastAsia" w:ascii="宋体" w:hAnsi="宋体" w:eastAsia="宋体" w:cs="宋体"/>
          <w:color w:val="auto"/>
          <w:highlight w:val="none"/>
        </w:rPr>
      </w:pPr>
      <w:r>
        <w:rPr>
          <w:rFonts w:hint="eastAsia" w:ascii="宋体" w:hAnsi="宋体" w:eastAsia="宋体" w:cs="宋体"/>
          <w:color w:val="auto"/>
          <w:spacing w:val="18"/>
          <w:highlight w:val="none"/>
        </w:rPr>
        <w:t xml:space="preserve">委托代理人(签名):                 委托代理人</w:t>
      </w:r>
      <w:r>
        <w:rPr>
          <w:rFonts w:hint="eastAsia" w:ascii="宋体" w:hAnsi="宋体" w:eastAsia="宋体" w:cs="宋体"/>
          <w:color w:val="auto"/>
          <w:spacing w:val="17"/>
          <w:highlight w:val="none"/>
        </w:rPr>
        <w:t xml:space="preserve">(签名):</w:t>
      </w:r>
      <w:r/>
    </w:p>
    <w:p>
      <w:pPr>
        <w:pStyle w:val="1129"/>
        <w:ind w:left="550"/>
        <w:spacing w:before="303" w:line="229"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签约日期：</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9"/>
          <w:position w:val="-3"/>
          <w:highlight w:val="none"/>
        </w:rPr>
        <w:t xml:space="preserve">年</w:t>
      </w:r>
      <w:r>
        <w:rPr>
          <w:rFonts w:hint="eastAsia" w:ascii="宋体" w:hAnsi="宋体" w:eastAsia="宋体" w:cs="宋体"/>
          <w:color w:val="auto"/>
          <w:spacing w:val="13"/>
          <w:position w:val="-3"/>
          <w:highlight w:val="none"/>
        </w:rPr>
        <w:t xml:space="preserve">   </w:t>
      </w:r>
      <w:r>
        <w:rPr>
          <w:rFonts w:hint="eastAsia" w:ascii="宋体" w:hAnsi="宋体" w:eastAsia="宋体" w:cs="宋体"/>
          <w:color w:val="auto"/>
          <w:spacing w:val="-9"/>
          <w:position w:val="-3"/>
          <w:highlight w:val="none"/>
        </w:rPr>
        <w:t xml:space="preserve">月</w:t>
      </w:r>
      <w:r>
        <w:rPr>
          <w:rFonts w:hint="eastAsia" w:ascii="宋体" w:hAnsi="宋体" w:eastAsia="宋体" w:cs="宋体"/>
          <w:color w:val="auto"/>
          <w:spacing w:val="12"/>
          <w:position w:val="-3"/>
          <w:highlight w:val="none"/>
        </w:rPr>
        <w:t xml:space="preserve">   </w:t>
      </w:r>
      <w:r>
        <w:rPr>
          <w:rFonts w:hint="eastAsia" w:ascii="宋体" w:hAnsi="宋体" w:eastAsia="宋体" w:cs="宋体"/>
          <w:color w:val="auto"/>
          <w:spacing w:val="-9"/>
          <w:position w:val="-3"/>
          <w:highlight w:val="none"/>
        </w:rPr>
        <w:t xml:space="preserve">日</w:t>
      </w:r>
      <w:r>
        <w:rPr>
          <w:rFonts w:hint="eastAsia" w:ascii="宋体" w:hAnsi="宋体" w:eastAsia="宋体" w:cs="宋体"/>
          <w:color w:val="auto"/>
          <w:spacing w:val="2"/>
          <w:position w:val="-3"/>
          <w:highlight w:val="none"/>
        </w:rPr>
        <w:t xml:space="preserve">            </w:t>
      </w:r>
      <w:r>
        <w:rPr>
          <w:rFonts w:hint="eastAsia" w:ascii="宋体" w:hAnsi="宋体" w:eastAsia="宋体" w:cs="宋体"/>
          <w:color w:val="auto"/>
          <w:spacing w:val="-9"/>
          <w:position w:val="1"/>
          <w:highlight w:val="none"/>
        </w:rPr>
        <w:t xml:space="preserve">签约日期：   年</w:t>
      </w:r>
      <w:r>
        <w:rPr>
          <w:rFonts w:hint="eastAsia" w:ascii="宋体" w:hAnsi="宋体" w:eastAsia="宋体" w:cs="宋体"/>
          <w:color w:val="auto"/>
          <w:spacing w:val="16"/>
          <w:position w:val="1"/>
          <w:highlight w:val="none"/>
        </w:rPr>
        <w:t xml:space="preserve">   </w:t>
      </w:r>
      <w:r>
        <w:rPr>
          <w:rFonts w:hint="eastAsia" w:ascii="宋体" w:hAnsi="宋体" w:eastAsia="宋体" w:cs="宋体"/>
          <w:color w:val="auto"/>
          <w:spacing w:val="-9"/>
          <w:position w:val="1"/>
          <w:highlight w:val="none"/>
        </w:rPr>
        <w:t xml:space="preserve">月</w:t>
      </w:r>
      <w:r>
        <w:rPr>
          <w:rFonts w:hint="eastAsia" w:ascii="宋体" w:hAnsi="宋体" w:eastAsia="宋体" w:cs="宋体"/>
          <w:color w:val="auto"/>
          <w:spacing w:val="15"/>
          <w:position w:val="1"/>
          <w:highlight w:val="none"/>
        </w:rPr>
        <w:t xml:space="preserve">   </w:t>
      </w:r>
      <w:r>
        <w:rPr>
          <w:rFonts w:hint="eastAsia" w:ascii="宋体" w:hAnsi="宋体" w:eastAsia="宋体" w:cs="宋体"/>
          <w:color w:val="auto"/>
          <w:spacing w:val="-9"/>
          <w:position w:val="1"/>
          <w:highlight w:val="none"/>
        </w:rPr>
        <w:t xml:space="preserve">日</w:t>
      </w:r>
      <w:r/>
    </w:p>
    <w:p>
      <w:pPr>
        <w:spacing w:line="229" w:lineRule="auto"/>
        <w:rPr>
          <w:rFonts w:hint="eastAsia" w:ascii="宋体" w:hAnsi="宋体" w:eastAsia="宋体" w:cs="宋体"/>
          <w:color w:val="auto"/>
          <w:highlight w:val="none"/>
        </w:rPr>
        <w:sectPr>
          <w:footerReference w:type="default" r:id="rId24"/>
          <w:footnotePr/>
          <w:endnotePr/>
          <w:type w:val="nextPage"/>
          <w:pgSz w:w="11910" w:h="16840" w:orient="portrait"/>
          <w:pgMar w:top="1431" w:right="449" w:bottom="1125" w:left="1410" w:header="0" w:footer="999"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廉政责任书</w:t>
      </w:r>
      <w:r/>
    </w:p>
    <w:p>
      <w:pPr>
        <w:jc w:val="center"/>
        <w:spacing w:line="360" w:lineRule="auto"/>
        <w:rPr>
          <w:b/>
          <w:color w:val="auto"/>
          <w:sz w:val="36"/>
          <w:szCs w:val="36"/>
          <w:highlight w:val="none"/>
        </w:rPr>
        <w:outlineLvl w:val="0"/>
      </w:pPr>
      <w:r>
        <w:rPr>
          <w:b/>
          <w:color w:val="auto"/>
          <w:sz w:val="36"/>
          <w:szCs w:val="36"/>
          <w:highlight w:val="none"/>
        </w:rPr>
        <w:t xml:space="preserve">廉政责任书</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工程项目名称：</w:t>
      </w:r>
      <w:r/>
    </w:p>
    <w:p>
      <w:pPr>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工程项目地址：新北区罗溪镇</w:t>
      </w:r>
      <w:r/>
    </w:p>
    <w:p>
      <w:pPr>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建设单位(甲方):常州市新北区罗溪镇人民政府</w:t>
      </w:r>
      <w:r/>
    </w:p>
    <w:p>
      <w:pPr>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施工单位(乙方):</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保障和促进新北区“加快有效投入”的顺利实现，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第一条甲乙双方的责任</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(一)应严格遵守国家关于市场准入、项目招标投标、工程建设、施工安装和市场活动等有关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，相关政策，以及廉政建设的各项规定。</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(二)严格执行建设工程项目承发包合同文件，自觉按合同办事。</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(四)发现对方在业务活动中有违规、违纪、违法行为的，应及时提醒对方，情节严重的，应向其上级主管部门或纪检监察、常州市新北区监察局、常州市新北区城市管理与建设局等有关机关举报。</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第二条甲方的责任</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甲方的领导和从事该建设工程项目的工作人员，在工程建设的事前、事中、事后应遵守以下规定：</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(一)不准向乙方和相关单位索要或接受回扣、礼金、有价证券、贵重物品和好处费、感谢费等。</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(二)不准在乙方和相关单位报销任何应由甲方或个人支付的费用。</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(三)不准要求、暗示和接受乙方和相关单位为个人装修住房、婚丧嫁娶、配偶子女的工作安排以及出国(境)、旅游等提供方便。</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(四)不准参加有可能影响公正执行公务的乙方和相关单位的宴请和健身、娱乐等活动。</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第三条乙方的责任</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eastAsia="zh-CN"/>
        </w:rPr>
        <w:t xml:space="preserve">当与</w:t>
      </w:r>
      <w:r>
        <w:rPr>
          <w:rFonts w:hint="eastAsia" w:ascii="宋体" w:hAnsi="宋体" w:eastAsia="宋体" w:cs="宋体"/>
          <w:color w:val="auto"/>
          <w:sz w:val="24"/>
          <w:szCs w:val="24"/>
          <w:highlight w:val="none"/>
        </w:rPr>
        <w:t xml:space="preserve">甲方保持正常的业务交往，按照有关法律法规和程序开展业务工作，严格执行工程建设的有关方针、政策，尤其是有关建筑施工安装的强制性标准和规范，并遵守以下规定：</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不准以任何理由向甲方、相关单位及其工作人员索要、接受或赠送礼金、有价证券、贵重物品和回扣、好处费、感谢费等。</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不准以任何理由为甲方和相关单位报销应由对方或个人支付的</w:t>
      </w:r>
      <w:r>
        <w:rPr>
          <w:rFonts w:hint="eastAsia" w:ascii="宋体" w:hAnsi="宋体" w:eastAsia="宋体" w:cs="宋体"/>
          <w:color w:val="auto"/>
          <w:sz w:val="24"/>
          <w:szCs w:val="24"/>
          <w:highlight w:val="none"/>
          <w:lang w:val="en-US" w:eastAsia="zh-CN"/>
        </w:rPr>
        <w:t xml:space="preserve">费用。</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不准接受或暗示为甲方、相关单位或个人装修住房、婚丧嫁娶、配偶子女的工作安排以及出国(境)、旅游等提供方便。</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不准以任何理由为甲方、相关单位或个人安排有可能影响公正</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rPr>
        <w:t xml:space="preserve">公务的宴请、健身、娱乐等活动。</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第四条违约责任</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乙方工作人员有违反本责任书第一、三条责任行为的，除按《常州市新北区建设工程市场廉政准入规定(试行)》处理外，将按照管理权限，依据有关法律法规和规定给予党纪、政纪处分或组织处理；涉嫌犯罪的，移交司法机关追究刑事责任；给甲方单位造成经济损失的，应予以赔偿。</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第五条本责任书作为工程施工合同的附件，与工程施工合同具有同等法律效力。经双方签署后立即生效。</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第六条本责任书的有效期为双方签署之日起至该工程项目竣工验收合格、工程价款结清时止。</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第七条本责任书一式四份，由甲乙双方各执一份，送交甲乙双方的监督单位各一份。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甲方单位：(盖章)                         乙方单位 ：( 盖 章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 ：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 ：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 ：                                地 址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contextualSpacing/>
        <w:jc w:val="center"/>
        <w:spacing w:line="360" w:lineRule="auto"/>
        <w:rPr>
          <w:b/>
          <w:color w:val="auto"/>
          <w:sz w:val="36"/>
          <w:szCs w:val="36"/>
          <w:highlight w:val="none"/>
        </w:rPr>
        <w:outlineLvl w:val="0"/>
      </w:pPr>
      <w:r>
        <w:rPr>
          <w:b/>
          <w:color w:val="auto"/>
          <w:sz w:val="36"/>
          <w:szCs w:val="36"/>
          <w:highlight w:val="none"/>
        </w:rPr>
        <w:t xml:space="preserve">第七章   投标文件格式</w:t>
      </w:r>
      <w:bookmarkEnd w:id="819"/>
      <w:r/>
      <w:bookmarkEnd w:id="820"/>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b/>
          <w:color w:val="auto"/>
          <w:sz w:val="30"/>
          <w:szCs w:val="20"/>
          <w:highlight w:val="none"/>
        </w:rPr>
      </w:pPr>
      <w:r>
        <w:rPr>
          <w:color w:val="auto"/>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rFonts w:hint="eastAsia" w:eastAsia="宋体"/>
          <w:b/>
          <w:bCs/>
          <w:color w:val="auto"/>
          <w:highlight w:val="none"/>
          <w:lang w:eastAsia="zh-CN"/>
        </w:rPr>
      </w:pPr>
      <w:r>
        <w:rPr>
          <w:b/>
          <w:color w:val="auto"/>
          <w:highlight w:val="none"/>
        </w:rPr>
        <w:t xml:space="preserve">1-</w:t>
      </w:r>
      <w:r>
        <w:rPr>
          <w:rFonts w:hint="eastAsia"/>
          <w:b/>
          <w:color w:val="auto"/>
          <w:highlight w:val="none"/>
        </w:rPr>
        <w:t xml:space="preserve">1</w:t>
      </w:r>
      <w:r>
        <w:rPr>
          <w:b/>
          <w:color w:val="auto"/>
          <w:highlight w:val="none"/>
        </w:rPr>
        <w:t xml:space="preserve"> 投标人资格声明</w:t>
      </w:r>
      <w:r>
        <w:rPr>
          <w:rFonts w:hint="eastAsia"/>
          <w:b/>
          <w:color w:val="auto"/>
          <w:highlight w:val="none"/>
        </w:rPr>
        <w:t xml:space="preserve">函 </w:t>
      </w:r>
      <w:r>
        <w:rPr>
          <w:rFonts w:hint="eastAsia"/>
          <w:b/>
          <w:color w:val="auto"/>
          <w:highlight w:val="none"/>
          <w:lang w:eastAsia="zh-CN"/>
        </w:rPr>
        <w:t xml:space="preserve">（</w:t>
      </w:r>
      <w:r>
        <w:rPr>
          <w:rFonts w:hint="eastAsia"/>
          <w:b/>
          <w:color w:val="auto"/>
          <w:highlight w:val="none"/>
          <w:lang w:val="en-US" w:eastAsia="zh-CN"/>
        </w:rPr>
        <w:t xml:space="preserve">实质性格式</w:t>
      </w:r>
      <w:r>
        <w:rPr>
          <w:rFonts w:hint="eastAsia"/>
          <w:b/>
          <w:color w:val="auto"/>
          <w:highlight w:val="none"/>
          <w:lang w:eastAsia="zh-CN"/>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20"/>
        <w:ind w:firstLine="480"/>
        <w:spacing w:line="460" w:lineRule="exact"/>
        <w:rPr>
          <w:color w:val="auto"/>
          <w:highlight w:val="none"/>
        </w:rPr>
      </w:pPr>
      <w:r>
        <w:rPr>
          <w:color w:val="auto"/>
          <w:highlight w:val="none"/>
        </w:rPr>
      </w:r>
      <w:r/>
    </w:p>
    <w:p>
      <w:pPr>
        <w:pStyle w:val="1120"/>
        <w:ind w:firstLine="480"/>
        <w:spacing w:line="460" w:lineRule="exact"/>
        <w:rPr>
          <w:color w:val="auto"/>
          <w:highlight w:val="none"/>
        </w:rPr>
      </w:pPr>
      <w:r>
        <w:rPr>
          <w:rFonts w:hint="eastAsia"/>
          <w:color w:val="auto"/>
          <w:highlight w:val="none"/>
        </w:rPr>
        <w:t xml:space="preserve">致：江苏尚阳工程管理有限公司</w:t>
      </w:r>
      <w:r/>
    </w:p>
    <w:p>
      <w:pPr>
        <w:pStyle w:val="1120"/>
        <w:ind w:firstLine="960"/>
        <w:spacing w:line="460" w:lineRule="exact"/>
        <w:rPr>
          <w:color w:val="auto"/>
          <w:highlight w:val="none"/>
          <w:u w:val="single"/>
        </w:rPr>
      </w:pPr>
      <w:r>
        <w:rPr>
          <w:rFonts w:hint="eastAsia"/>
          <w:color w:val="auto"/>
          <w:highlight w:val="none"/>
          <w:u w:val="single"/>
        </w:rPr>
        <w:t xml:space="preserve">（采购人名称）</w:t>
      </w:r>
      <w:r/>
    </w:p>
    <w:p>
      <w:pPr>
        <w:pStyle w:val="1120"/>
        <w:ind w:firstLine="480"/>
        <w:spacing w:line="460" w:lineRule="exact"/>
        <w:rPr>
          <w:color w:val="auto"/>
          <w:highlight w:val="none"/>
        </w:rPr>
      </w:pPr>
      <w:r>
        <w:rPr>
          <w:color w:val="auto"/>
          <w:highlight w:val="none"/>
        </w:rPr>
      </w:r>
      <w:r/>
    </w:p>
    <w:p>
      <w:pPr>
        <w:pStyle w:val="1120"/>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120"/>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1120"/>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120"/>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120"/>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20"/>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20"/>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20"/>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0"/>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120"/>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120"/>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20"/>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20"/>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20"/>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120"/>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120"/>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20"/>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20"/>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20"/>
        <w:ind w:firstLine="480"/>
        <w:spacing w:line="460" w:lineRule="exact"/>
        <w:rPr>
          <w:color w:val="auto"/>
          <w:highlight w:val="none"/>
        </w:rPr>
      </w:pPr>
      <w:r>
        <w:rPr>
          <w:color w:val="auto"/>
          <w:highlight w:val="none"/>
        </w:rPr>
      </w:r>
      <w:r/>
    </w:p>
    <w:p>
      <w:pPr>
        <w:pStyle w:val="1120"/>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20"/>
        <w:ind w:firstLine="480"/>
        <w:spacing w:line="460" w:lineRule="exact"/>
        <w:rPr>
          <w:color w:val="auto"/>
          <w:highlight w:val="none"/>
        </w:rPr>
      </w:pPr>
      <w:r>
        <w:rPr>
          <w:color w:val="auto"/>
          <w:highlight w:val="none"/>
        </w:rPr>
      </w:r>
      <w:r/>
    </w:p>
    <w:p>
      <w:pPr>
        <w:pStyle w:val="1120"/>
        <w:ind w:firstLine="480"/>
        <w:spacing w:line="460" w:lineRule="exact"/>
        <w:rPr>
          <w:color w:val="auto"/>
          <w:highlight w:val="none"/>
        </w:rPr>
      </w:pPr>
      <w:r>
        <w:rPr>
          <w:color w:val="auto"/>
          <w:highlight w:val="none"/>
        </w:rPr>
      </w:r>
      <w:r/>
    </w:p>
    <w:p>
      <w:pPr>
        <w:pStyle w:val="1120"/>
        <w:ind w:firstLine="480"/>
        <w:spacing w:line="460" w:lineRule="exact"/>
        <w:rPr>
          <w:color w:val="auto"/>
          <w:highlight w:val="none"/>
        </w:rPr>
      </w:pPr>
      <w:r>
        <w:rPr>
          <w:rFonts w:hint="eastAsia"/>
          <w:color w:val="auto"/>
          <w:highlight w:val="none"/>
        </w:rPr>
        <w:t xml:space="preserve">                                         投标人：（加盖公章）</w:t>
      </w:r>
      <w:r/>
    </w:p>
    <w:p>
      <w:pPr>
        <w:pStyle w:val="1120"/>
        <w:ind w:firstLine="480"/>
        <w:spacing w:line="460" w:lineRule="exact"/>
        <w:rPr>
          <w:color w:val="auto"/>
          <w:highlight w:val="none"/>
        </w:rPr>
      </w:pPr>
      <w:r>
        <w:rPr>
          <w:rFonts w:hint="eastAsia"/>
          <w:color w:val="auto"/>
          <w:highlight w:val="none"/>
        </w:rPr>
        <w:t xml:space="preserve">                                       法定代表人（或单位负责人）签字或盖章：</w:t>
      </w:r>
      <w:r/>
    </w:p>
    <w:p>
      <w:pPr>
        <w:pStyle w:val="1120"/>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投标人承诺不实的，依据《政府采购法》第七十七条“提供虚假材料谋取中标的”有关规定予以处理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4"/>
          <w:footerReference w:type="default" r:id="rId25"/>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rFonts w:hint="default" w:eastAsia="宋体"/>
          <w:color w:val="auto"/>
          <w:sz w:val="24"/>
          <w:szCs w:val="20"/>
          <w:highlight w:val="none"/>
          <w:lang w:val="en-US" w:eastAsia="zh-CN"/>
        </w:rPr>
        <w:outlineLvl w:val="2"/>
      </w:pPr>
      <w:r>
        <w:rPr>
          <w:rFonts w:hint="eastAsia"/>
          <w:color w:val="auto"/>
          <w:sz w:val="24"/>
          <w:szCs w:val="20"/>
          <w:highlight w:val="none"/>
          <w:lang w:val="en-US" w:eastAsia="zh-CN"/>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w:t>
      </w:r>
      <w:r>
        <w:rPr>
          <w:rFonts w:hint="eastAsia"/>
          <w:color w:val="auto"/>
          <w:sz w:val="24"/>
          <w:szCs w:val="20"/>
          <w:highlight w:val="none"/>
          <w:lang w:val="en-US" w:eastAsia="zh-CN"/>
        </w:rPr>
        <w:t xml:space="preserve">-1</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lang w:eastAsia="zh-CN"/>
        </w:rPr>
        <w:t xml:space="preserve">（</w:t>
      </w:r>
      <w:r>
        <w:rPr>
          <w:rFonts w:hint="eastAsia"/>
          <w:color w:val="auto"/>
          <w:sz w:val="24"/>
          <w:highlight w:val="none"/>
        </w:rPr>
        <w:t xml:space="preserve">1）本项目</w:t>
      </w:r>
      <w:r>
        <w:rPr>
          <w:rFonts w:hint="eastAsia"/>
          <w:color w:val="auto"/>
          <w:sz w:val="24"/>
          <w:highlight w:val="none"/>
          <w:lang w:val="en-US" w:eastAsia="zh-CN"/>
        </w:rPr>
        <w:t xml:space="preserve">专门面向中小企业采购，须提供《中小企业声明函》（实质性格式）</w:t>
      </w:r>
      <w:r>
        <w:rPr>
          <w:rFonts w:hint="eastAsia"/>
          <w:color w:val="auto"/>
          <w:sz w:val="24"/>
          <w:highlight w:val="none"/>
        </w:rPr>
        <w:t xml:space="preserve">。</w:t>
      </w:r>
      <w:r/>
    </w:p>
    <w:p>
      <w:pPr>
        <w:spacing w:line="360" w:lineRule="auto"/>
        <w:tabs>
          <w:tab w:val="left" w:pos="5580" w:leader="none"/>
        </w:tabs>
        <w:rPr>
          <w:rFonts w:hint="default"/>
          <w:color w:val="auto"/>
          <w:sz w:val="24"/>
          <w:highlight w:val="none"/>
          <w:lang w:val="en-US" w:eastAsia="zh-CN"/>
        </w:rPr>
      </w:pPr>
      <w:r>
        <w:rPr>
          <w:rFonts w:hint="eastAsia"/>
          <w:color w:val="auto"/>
          <w:sz w:val="24"/>
          <w:highlight w:val="none"/>
          <w:lang w:eastAsia="zh-CN"/>
        </w:rPr>
        <w:t xml:space="preserve">（</w:t>
      </w:r>
      <w:r>
        <w:rPr>
          <w:rFonts w:hint="eastAsia"/>
          <w:color w:val="auto"/>
          <w:sz w:val="24"/>
          <w:highlight w:val="none"/>
        </w:rPr>
        <w:t xml:space="preserve">2）</w:t>
      </w:r>
      <w:r>
        <w:rPr>
          <w:rFonts w:hint="eastAsia"/>
          <w:color w:val="auto"/>
          <w:sz w:val="24"/>
          <w:highlight w:val="none"/>
          <w:lang w:val="en-US" w:eastAsia="zh-CN"/>
        </w:rPr>
        <w:t xml:space="preserve">中小企业参加政府采购活动，应当出具此格式文件。《中小企业声明函》由参加政府采购活动的供应商出具。</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rPr>
        <w:t xml:space="preserve">）温馨提示：为方便广大中小企业识别企业规模类型，工业和信息化部组织开发了中小企业规模类型自测小程序，在国务院客户端和工业和信息化部网站上均有链接，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 xml:space="preserve">投标人</w:t>
      </w:r>
      <w:r>
        <w:rPr>
          <w:rFonts w:hint="eastAsia"/>
          <w:color w:val="auto"/>
          <w:sz w:val="24"/>
          <w:highlight w:val="none"/>
        </w:rPr>
        <w:t xml:space="preserve">填写所属的行业和指标数据可自动生成企业规模类型测试结果。（工信部网址：https://baosong.miit.gov.cn/ScaleTest）</w:t>
      </w:r>
      <w:r/>
    </w:p>
    <w:p>
      <w:pPr>
        <w:jc w:val="left"/>
        <w:widowControl/>
        <w:rPr>
          <w:b/>
          <w:bCs/>
          <w:color w:val="auto"/>
          <w:sz w:val="24"/>
          <w:highlight w:val="none"/>
        </w:rPr>
      </w:pPr>
      <w:r>
        <w:rPr>
          <w:color w:val="auto"/>
          <w:sz w:val="24"/>
          <w:szCs w:val="20"/>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 xml:space="preserve">（</w:t>
      </w:r>
      <w:r>
        <w:rPr>
          <w:rFonts w:hint="eastAsia"/>
          <w:color w:val="auto"/>
          <w:spacing w:val="6"/>
          <w:sz w:val="24"/>
          <w:highlight w:val="none"/>
          <w:u w:val="single"/>
        </w:rPr>
        <w:t xml:space="preserve">此处填</w:t>
      </w:r>
      <w:r>
        <w:rPr>
          <w:rFonts w:hint="eastAsia"/>
          <w:color w:val="auto"/>
          <w:spacing w:val="6"/>
          <w:sz w:val="24"/>
          <w:highlight w:val="none"/>
          <w:u w:val="single"/>
          <w:lang w:val="en-US" w:eastAsia="zh-CN"/>
        </w:rPr>
        <w:t xml:space="preserve">供应商</w:t>
      </w:r>
      <w:r>
        <w:rPr>
          <w:color w:val="auto"/>
          <w:spacing w:val="6"/>
          <w:sz w:val="24"/>
          <w:highlight w:val="none"/>
          <w:u w:val="single"/>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w:t>
      </w: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如XX服务</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7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单位名称（加盖公章）：</w:t>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日  期：</w:t>
      </w:r>
      <w:r/>
    </w:p>
    <w:p>
      <w:pPr>
        <w:rPr>
          <w:rFonts w:hint="eastAsia"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clear="all"/>
      </w:r>
      <w:r>
        <w:rPr>
          <w:rFonts w:hint="eastAsia" w:ascii="Times New Roman" w:hAnsi="Times New Roman" w:eastAsia="宋体" w:cs="Times New Roman"/>
          <w:color w:val="auto"/>
          <w:spacing w:val="6"/>
          <w:sz w:val="24"/>
          <w:highlight w:val="none"/>
        </w:rPr>
        <w:t xml:space="preserve">3 本项目的特定资格要求</w:t>
      </w:r>
      <w:r/>
    </w:p>
    <w:p>
      <w:pPr>
        <w:rPr>
          <w:rFonts w:ascii="Times New Roman" w:hAnsi="Times New Roman" w:eastAsia="宋体" w:cs="Times New Roman"/>
          <w:color w:val="auto"/>
          <w:spacing w:val="6"/>
          <w:sz w:val="24"/>
          <w:highlight w:val="none"/>
        </w:rPr>
      </w:pPr>
      <w:r>
        <w:rPr>
          <w:rFonts w:hint="eastAsia" w:cs="Times New Roman"/>
          <w:color w:val="auto"/>
          <w:spacing w:val="6"/>
          <w:sz w:val="24"/>
          <w:highlight w:val="none"/>
          <w:lang w:val="en-US" w:eastAsia="zh-CN"/>
        </w:rPr>
        <w:t xml:space="preserve">/</w:t>
      </w:r>
      <w:r>
        <w:rPr>
          <w:rFonts w:ascii="Times New Roman" w:hAnsi="Times New Roman" w:eastAsia="宋体" w:cs="Times New Roman"/>
          <w:color w:val="auto"/>
          <w:spacing w:val="6"/>
          <w:sz w:val="24"/>
          <w:highlight w:val="none"/>
        </w:rPr>
        <w:br w:type="page" w:clear="all"/>
      </w:r>
      <w:r/>
    </w:p>
    <w:p>
      <w:pPr>
        <w:spacing w:line="360" w:lineRule="auto"/>
        <w:rPr>
          <w:rFonts w:ascii="宋体" w:hAnsi="宋体"/>
          <w:b/>
          <w:color w:val="auto"/>
          <w:sz w:val="32"/>
          <w:szCs w:val="32"/>
          <w:highlight w:val="none"/>
        </w:rPr>
      </w:pPr>
      <w:r>
        <w:rPr>
          <w:rFonts w:ascii="宋体" w:hAnsi="宋体"/>
          <w:b/>
          <w:color w:val="auto"/>
          <w:sz w:val="32"/>
          <w:szCs w:val="32"/>
          <w:highlight w:val="none"/>
        </w:rPr>
        <w:t xml:space="preserve">二、商务技术文件格式</w:t>
      </w:r>
      <w:bookmarkStart w:id="821" w:name="_Toc520356217"/>
      <w:r/>
      <w:bookmarkStart w:id="822" w:name="_Toc226309800"/>
      <w:r/>
      <w:bookmarkStart w:id="823" w:name="_Ref467988698"/>
      <w:r/>
      <w:bookmarkStart w:id="824" w:name="_Toc195842921"/>
      <w:r/>
      <w:bookmarkStart w:id="825" w:name="_Toc226965746"/>
      <w:r/>
      <w:bookmarkStart w:id="826" w:name="_Toc142311058"/>
      <w:r/>
      <w:bookmarkStart w:id="827" w:name="_Toc150480794"/>
      <w:r/>
      <w:bookmarkStart w:id="828" w:name="_Toc127151556"/>
      <w:r/>
      <w:bookmarkStart w:id="829" w:name="_Toc150774761"/>
      <w:r/>
      <w:bookmarkStart w:id="830" w:name="_Toc226337252"/>
      <w:r/>
      <w:bookmarkStart w:id="831" w:name="_Toc226965829"/>
      <w:r/>
      <w:bookmarkStart w:id="832" w:name="_Toc480942349"/>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color w:val="auto"/>
          <w:sz w:val="24"/>
          <w:highlight w:val="none"/>
        </w:rPr>
        <w:t xml:space="preserve">函</w:t>
      </w:r>
      <w:r>
        <w:rPr>
          <w:rFonts w:hint="eastAsia"/>
          <w:color w:val="auto"/>
          <w:sz w:val="24"/>
          <w:szCs w:val="20"/>
          <w:highlight w:val="none"/>
        </w:rPr>
        <w:t xml:space="preserve"> </w:t>
      </w:r>
      <w:r>
        <w:rPr>
          <w:rFonts w:hint="eastAsia"/>
          <w:color w:val="auto"/>
          <w:sz w:val="24"/>
          <w:highlight w:val="none"/>
          <w:lang w:val="en-US" w:eastAsia="zh-CN"/>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33" w:name="_Hlt520355938"/>
      <w:r/>
      <w:bookmarkEnd w:id="833"/>
      <w:r/>
      <w:bookmarkStart w:id="834" w:name="_Hlt520356243"/>
      <w:r/>
      <w:bookmarkEnd w:id="834"/>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rFonts w:hint="eastAsia"/>
          <w:color w:val="auto"/>
          <w:sz w:val="24"/>
          <w:szCs w:val="20"/>
          <w:highlight w:val="none"/>
        </w:rPr>
        <w:t xml:space="preserve"> </w:t>
      </w:r>
      <w:r>
        <w:rPr>
          <w:rFonts w:hint="eastAsia"/>
          <w:color w:val="auto"/>
          <w:sz w:val="24"/>
          <w:highlight w:val="none"/>
          <w:lang w:val="en-US" w:eastAsia="zh-CN"/>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2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11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headerReference w:type="even" r:id="rId15"/>
          <w:headerReference w:type="first" r:id="rId16"/>
          <w:footerReference w:type="even" r:id="rId26"/>
          <w:footerReference w:type="first" r:id="rId27"/>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rFonts w:hint="eastAsia"/>
          <w:color w:val="auto"/>
          <w:sz w:val="24"/>
          <w:szCs w:val="20"/>
          <w:highlight w:val="none"/>
        </w:rPr>
        <w:t xml:space="preserve"> </w:t>
      </w:r>
      <w:r>
        <w:rPr>
          <w:rFonts w:hint="eastAsia"/>
          <w:color w:val="auto"/>
          <w:sz w:val="24"/>
          <w:highlight w:val="none"/>
          <w:lang w:val="en-US" w:eastAsia="zh-CN"/>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 xml:space="preserve">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3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ind w:firstLine="240"/>
        <w:jc w:val="both"/>
        <w:spacing w:line="560" w:lineRule="exact"/>
        <w:rPr>
          <w:rFonts w:hint="eastAsia" w:ascii="黑体" w:hAnsi="黑体" w:eastAsia="黑体"/>
          <w:b/>
          <w:color w:val="auto"/>
          <w:sz w:val="32"/>
          <w:szCs w:val="32"/>
          <w:highlight w:val="none"/>
        </w:rPr>
      </w:pPr>
      <w:r/>
      <w:bookmarkStart w:id="835" w:name="_Hlt520271212"/>
      <w:r/>
      <w:bookmarkEnd w:id="835"/>
      <w:r/>
      <w:bookmarkStart w:id="836" w:name="_Hlt520274121"/>
      <w:r/>
      <w:bookmarkEnd w:id="836"/>
      <w:r/>
      <w:bookmarkStart w:id="837" w:name="_Hlt520273711"/>
      <w:r/>
      <w:bookmarkEnd w:id="837"/>
      <w:r/>
      <w:bookmarkStart w:id="838" w:name="_Hlt520274393"/>
      <w:r/>
      <w:bookmarkEnd w:id="838"/>
      <w:r/>
      <w:bookmarkStart w:id="839" w:name="_Hlt520343000"/>
      <w:r/>
      <w:bookmarkEnd w:id="839"/>
      <w:r/>
      <w:bookmarkStart w:id="840" w:name="_Hlt520350918"/>
      <w:r/>
      <w:bookmarkEnd w:id="840"/>
      <w:r/>
      <w:bookmarkStart w:id="841" w:name="_Hlt520274065"/>
      <w:r/>
      <w:bookmarkEnd w:id="841"/>
      <w:r/>
      <w:bookmarkStart w:id="842" w:name="_Hlt520274407"/>
      <w:r/>
      <w:bookmarkEnd w:id="842"/>
      <w:r/>
      <w:bookmarkStart w:id="843" w:name="_Hlt520343392"/>
      <w:r/>
      <w:bookmarkEnd w:id="843"/>
      <w:r/>
      <w:bookmarkStart w:id="844" w:name="_Hlt520355504"/>
      <w:r/>
      <w:bookmarkEnd w:id="844"/>
      <w:r/>
      <w:bookmarkStart w:id="845" w:name="_Toc195842922"/>
      <w:r/>
      <w:bookmarkStart w:id="846" w:name="_Ref467988705"/>
      <w:r/>
      <w:bookmarkStart w:id="847" w:name="_Toc480942350"/>
      <w:r/>
      <w:bookmarkStart w:id="848" w:name="_Toc226337253"/>
      <w:r/>
      <w:bookmarkStart w:id="849" w:name="_Toc305158899"/>
      <w:r/>
      <w:bookmarkStart w:id="850" w:name="_Toc265228395"/>
      <w:r/>
      <w:bookmarkStart w:id="851" w:name="_Toc226309801"/>
      <w:r/>
      <w:bookmarkStart w:id="852" w:name="_Toc150480795"/>
      <w:r/>
      <w:bookmarkStart w:id="853" w:name="_Toc226965830"/>
      <w:r/>
      <w:bookmarkStart w:id="854" w:name="_Toc264969247"/>
      <w:r/>
      <w:bookmarkStart w:id="855" w:name="_Toc150774762"/>
      <w:r/>
      <w:bookmarkStart w:id="856" w:name="_Toc226965747"/>
      <w:r/>
      <w:bookmarkStart w:id="857" w:name="_Toc520356218"/>
      <w:r/>
      <w:bookmarkStart w:id="858" w:name="_Toc305158825"/>
      <w:r/>
      <w:bookmarkStart w:id="859" w:name="_Toc142311059"/>
      <w:r/>
      <w:bookmarkStart w:id="860" w:name="_Toc127151557"/>
      <w:r>
        <w:rPr>
          <w:color w:val="auto"/>
          <w:sz w:val="24"/>
          <w:szCs w:val="20"/>
          <w:highlight w:val="none"/>
        </w:rPr>
        <w:br w:type="page" w:clear="all"/>
      </w:r>
      <w:r>
        <w:rPr>
          <w:rFonts w:hint="eastAsia"/>
          <w:color w:val="auto"/>
          <w:sz w:val="24"/>
          <w:szCs w:val="20"/>
          <w:highlight w:val="none"/>
        </w:rPr>
        <w:t xml:space="preserve">4</w:t>
      </w:r>
      <w:r>
        <w:rPr>
          <w:color w:val="auto"/>
          <w:sz w:val="24"/>
          <w:szCs w:val="20"/>
          <w:highlight w:val="none"/>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321"/>
        <w:jc w:val="center"/>
        <w:spacing w:line="560" w:lineRule="exact"/>
        <w:rPr>
          <w:rFonts w:hint="eastAsia" w:ascii="黑体" w:hAnsi="黑体" w:eastAsia="黑体"/>
          <w:b/>
          <w:color w:val="auto"/>
          <w:sz w:val="32"/>
          <w:szCs w:val="32"/>
          <w:highlight w:val="none"/>
        </w:rPr>
      </w:pPr>
      <w:r/>
      <w:bookmarkStart w:id="861" w:name="_Toc164608672"/>
      <w:r/>
      <w:bookmarkStart w:id="862" w:name="_Toc264969248"/>
      <w:r/>
      <w:bookmarkStart w:id="863" w:name="_Toc305158826"/>
      <w:r/>
      <w:bookmarkStart w:id="864" w:name="_Toc226337254"/>
      <w:r/>
      <w:bookmarkStart w:id="865" w:name="_Toc226965748"/>
      <w:r/>
      <w:bookmarkStart w:id="866" w:name="_Toc226309802"/>
      <w:r/>
      <w:bookmarkStart w:id="867" w:name="_Toc265228396"/>
      <w:r/>
      <w:bookmarkStart w:id="868" w:name="_Toc164608827"/>
      <w:r/>
      <w:bookmarkStart w:id="869" w:name="_Toc195842923"/>
      <w:r/>
      <w:bookmarkStart w:id="870" w:name="_Toc305158900"/>
      <w:r/>
      <w:bookmarkStart w:id="871" w:name="_Toc226965831"/>
      <w:r>
        <w:rPr>
          <w:rFonts w:hint="eastAsia" w:ascii="黑体" w:hAnsi="黑体" w:eastAsia="黑体"/>
          <w:b/>
          <w:color w:val="auto"/>
          <w:sz w:val="32"/>
          <w:szCs w:val="32"/>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11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3709"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/三年</w:t>
            </w:r>
            <w:r>
              <w:rPr>
                <w:rFonts w:hint="eastAsia"/>
                <w:b/>
                <w:color w:val="auto"/>
                <w:sz w:val="24"/>
                <w:highlight w:val="none"/>
              </w:rPr>
              <w:t xml:space="preserve">）</w:t>
            </w:r>
            <w:r/>
          </w:p>
        </w:tc>
      </w:tr>
      <w:tr>
        <w:trPr>
          <w:jc w:val="center"/>
          <w:trHeight w:val="674"/>
        </w:trPr>
        <w:tc>
          <w:tcPr>
            <w:tcW w:w="69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3709"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1989"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1984"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3709"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89"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8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rFonts w:hint="eastAsia"/>
          <w:color w:val="auto"/>
          <w:sz w:val="24"/>
          <w:highlight w:val="none"/>
          <w:lang w:val="zh-CN"/>
        </w:rPr>
        <w:t xml:space="preserve">注:此表中的投标报价应和《投标分项报价表》中的总价相一致。</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rFonts w:hint="eastAsia"/>
          <w:color w:val="auto"/>
          <w:sz w:val="24"/>
          <w:highlight w:val="none"/>
          <w:lang w:eastAsia="zh-CN"/>
        </w:rPr>
        <w:t xml:space="preserve">投标人</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contextualSpacing/>
        <w:spacing w:line="360" w:lineRule="auto"/>
        <w:rPr>
          <w:rFonts w:hint="eastAsia"/>
          <w:color w:val="auto"/>
          <w:sz w:val="24"/>
          <w:szCs w:val="20"/>
          <w:highlight w:val="none"/>
        </w:rPr>
      </w:pPr>
      <w:r/>
      <w:bookmarkStart w:id="872" w:name="_Toc264969249"/>
      <w:r/>
      <w:bookmarkStart w:id="873" w:name="_Toc226309803"/>
      <w:r/>
      <w:bookmarkStart w:id="874" w:name="_Toc305158827"/>
      <w:r/>
      <w:bookmarkStart w:id="875" w:name="_Toc305158901"/>
      <w:r/>
      <w:bookmarkStart w:id="876" w:name="_Toc195842924"/>
      <w:r/>
      <w:bookmarkStart w:id="877" w:name="_Toc226337255"/>
      <w:r/>
      <w:bookmarkStart w:id="878" w:name="_Toc265228397"/>
      <w:r/>
      <w:bookmarkStart w:id="879" w:name="_Toc150774763"/>
      <w:r/>
      <w:bookmarkStart w:id="880" w:name="_Toc226965749"/>
      <w:r/>
      <w:bookmarkStart w:id="881" w:name="_Toc142311060"/>
      <w:r/>
      <w:bookmarkStart w:id="882" w:name="_Toc226965832"/>
      <w:r/>
      <w:bookmarkStart w:id="883" w:name="_Toc127151558"/>
      <w:r/>
      <w:bookmarkStart w:id="884" w:name="_Toc150480796"/>
      <w:r>
        <w:rPr>
          <w:color w:val="auto"/>
          <w:sz w:val="24"/>
          <w:szCs w:val="20"/>
          <w:highlight w:val="none"/>
        </w:rPr>
        <w:br w:type="page" w:clear="all"/>
      </w:r>
      <w:bookmarkEnd w:id="872"/>
      <w:bookmarkEnd w:id="873"/>
      <w:bookmarkEnd w:id="874"/>
      <w:bookmarkEnd w:id="875"/>
      <w:bookmarkEnd w:id="876"/>
      <w:bookmarkEnd w:id="877"/>
      <w:bookmarkEnd w:id="878"/>
      <w:bookmarkEnd w:id="879"/>
      <w:bookmarkEnd w:id="880"/>
      <w:bookmarkEnd w:id="881"/>
      <w:bookmarkEnd w:id="882"/>
      <w:bookmarkEnd w:id="883"/>
      <w:bookmarkEnd w:id="884"/>
      <w:r/>
    </w:p>
    <w:p>
      <w:pPr>
        <w:spacing w:line="360" w:lineRule="auto"/>
        <w:rPr>
          <w:color w:val="auto"/>
          <w:sz w:val="24"/>
          <w:szCs w:val="20"/>
          <w:highlight w:val="none"/>
        </w:rPr>
        <w:outlineLvl w:val="2"/>
      </w:pPr>
      <w:r/>
      <w:bookmarkStart w:id="885" w:name="_Toc305158904"/>
      <w:r/>
      <w:bookmarkStart w:id="886" w:name="_Toc150480798"/>
      <w:r/>
      <w:bookmarkStart w:id="887" w:name="_Toc305158830"/>
      <w:r/>
      <w:bookmarkStart w:id="888" w:name="_Toc264969252"/>
      <w:r/>
      <w:bookmarkStart w:id="889" w:name="_Toc265228400"/>
      <w:r/>
      <w:bookmarkStart w:id="890" w:name="_Toc142311062"/>
      <w:r/>
      <w:bookmarkStart w:id="891" w:name="_Toc226337258"/>
      <w:r/>
      <w:bookmarkStart w:id="892" w:name="_Toc226965835"/>
      <w:r/>
      <w:bookmarkStart w:id="893" w:name="_Toc150774765"/>
      <w:r/>
      <w:bookmarkStart w:id="894" w:name="_Toc195842927"/>
      <w:r/>
      <w:bookmarkStart w:id="895" w:name="_Toc226309806"/>
      <w:r/>
      <w:bookmarkStart w:id="896" w:name="_Toc127151562"/>
      <w:r/>
      <w:bookmarkStart w:id="897" w:name="_Toc226965752"/>
      <w:r/>
      <w:bookmarkStart w:id="898" w:name="_Toc150774764"/>
      <w:r/>
      <w:bookmarkStart w:id="899" w:name="_Toc150480797"/>
      <w:r/>
      <w:bookmarkStart w:id="900" w:name="_Toc305158903"/>
      <w:r/>
      <w:bookmarkStart w:id="901" w:name="_Toc226965834"/>
      <w:r/>
      <w:bookmarkStart w:id="902" w:name="_Toc127151561"/>
      <w:r/>
      <w:bookmarkStart w:id="903" w:name="_Toc226309805"/>
      <w:r/>
      <w:bookmarkStart w:id="904" w:name="_Toc226337257"/>
      <w:r/>
      <w:bookmarkStart w:id="905" w:name="_Toc264969251"/>
      <w:r/>
      <w:bookmarkStart w:id="906" w:name="_Toc305158829"/>
      <w:r/>
      <w:bookmarkStart w:id="907" w:name="_Toc226965751"/>
      <w:r/>
      <w:bookmarkStart w:id="908" w:name="_Toc195842926"/>
      <w:r/>
      <w:bookmarkStart w:id="909" w:name="_Toc265228399"/>
      <w:r/>
      <w:bookmarkStart w:id="910" w:name="_Toc142311061"/>
      <w:r>
        <w:rPr>
          <w:rFonts w:hint="eastAsia"/>
          <w:color w:val="auto"/>
          <w:sz w:val="24"/>
          <w:szCs w:val="20"/>
          <w:highlight w:val="none"/>
        </w:rPr>
        <w:t xml:space="preserve">5</w:t>
      </w:r>
      <w:r>
        <w:rPr>
          <w:color w:val="auto"/>
          <w:sz w:val="24"/>
          <w:szCs w:val="20"/>
          <w:highlight w:val="none"/>
        </w:rPr>
        <w:t xml:space="preserve">  投标分项报价表（实质性格式）</w:t>
      </w:r>
      <w:r/>
    </w:p>
    <w:p>
      <w:pPr>
        <w:jc w:val="center"/>
        <w:spacing w:line="360" w:lineRule="exact"/>
        <w:rPr>
          <w:color w:val="auto"/>
          <w:sz w:val="36"/>
          <w:szCs w:val="36"/>
          <w:highlight w:val="none"/>
        </w:rPr>
      </w:pPr>
      <w:r>
        <w:rPr>
          <w:color w:val="auto"/>
          <w:sz w:val="36"/>
          <w:szCs w:val="36"/>
          <w:highlight w:val="none"/>
        </w:rPr>
      </w:r>
      <w:r/>
    </w:p>
    <w:p>
      <w:pPr>
        <w:jc w:val="center"/>
        <w:spacing w:line="360" w:lineRule="exact"/>
        <w:rPr>
          <w:color w:val="auto"/>
          <w:sz w:val="36"/>
          <w:szCs w:val="36"/>
          <w:highlight w:val="none"/>
        </w:rPr>
        <w:outlineLvl w:val="9"/>
      </w:pPr>
      <w:r>
        <w:rPr>
          <w:color w:val="auto"/>
          <w:sz w:val="36"/>
          <w:szCs w:val="36"/>
          <w:highlight w:val="none"/>
        </w:rPr>
      </w:r>
      <w:r/>
    </w:p>
    <w:p>
      <w:pPr>
        <w:jc w:val="center"/>
        <w:rPr>
          <w:b/>
          <w:color w:val="auto"/>
          <w:sz w:val="36"/>
          <w:szCs w:val="36"/>
          <w:highlight w:val="none"/>
        </w:rPr>
        <w:outlineLvl w:val="9"/>
      </w:pPr>
      <w:r>
        <w:rPr>
          <w:rFonts w:hint="eastAsia"/>
          <w:b/>
          <w:color w:val="auto"/>
          <w:sz w:val="36"/>
          <w:szCs w:val="36"/>
          <w:highlight w:val="none"/>
        </w:rPr>
        <w:t xml:space="preserve">分项报价表</w:t>
      </w:r>
      <w:r/>
    </w:p>
    <w:p>
      <w:pPr>
        <w:jc w:val="center"/>
        <w:spacing w:line="260" w:lineRule="exact"/>
        <w:rPr>
          <w:color w:val="auto"/>
          <w:sz w:val="36"/>
          <w:szCs w:val="36"/>
          <w:highlight w:val="none"/>
        </w:rPr>
        <w:outlineLvl w:val="9"/>
      </w:pPr>
      <w:r>
        <w:rPr>
          <w:color w:val="auto"/>
          <w:sz w:val="36"/>
          <w:szCs w:val="36"/>
          <w:highlight w:val="none"/>
        </w:rPr>
      </w:r>
      <w:r/>
    </w:p>
    <w:p>
      <w:pPr>
        <w:tabs>
          <w:tab w:val="left" w:pos="1800" w:leader="none"/>
          <w:tab w:val="left" w:pos="5580" w:leader="none"/>
        </w:tabs>
        <w:rPr>
          <w:color w:val="auto"/>
          <w:sz w:val="24"/>
          <w:highlight w:val="none"/>
        </w:rPr>
        <w:outlineLvl w:val="9"/>
      </w:pPr>
      <w:r>
        <w:rPr>
          <w:color w:val="auto"/>
          <w:sz w:val="24"/>
          <w:highlight w:val="none"/>
        </w:rPr>
        <w:t xml:space="preserve">项目编号：___________ 项目名称：__________</w:t>
      </w:r>
      <w:r>
        <w:rPr>
          <w:rFonts w:hint="eastAsia"/>
          <w:color w:val="auto"/>
          <w:sz w:val="24"/>
          <w:highlight w:val="none"/>
          <w:lang w:val="en-US" w:eastAsia="zh-CN"/>
        </w:rPr>
        <w:t xml:space="preserve">          </w:t>
      </w:r>
      <w:r>
        <w:rPr>
          <w:color w:val="auto"/>
          <w:sz w:val="24"/>
          <w:highlight w:val="none"/>
        </w:rPr>
        <w:t xml:space="preserve">报价单位：人民币元</w:t>
      </w:r>
      <w:r/>
    </w:p>
    <w:p>
      <w:pPr>
        <w:jc w:val="left"/>
        <w:tabs>
          <w:tab w:val="left" w:pos="1800" w:leader="none"/>
          <w:tab w:val="left" w:pos="5580" w:leader="none"/>
        </w:tabs>
        <w:rPr>
          <w:rFonts w:hint="eastAsia"/>
          <w:color w:val="auto"/>
          <w:sz w:val="24"/>
          <w:highlight w:val="none"/>
        </w:rPr>
        <w:outlineLvl w:val="9"/>
      </w:pPr>
      <w:r>
        <w:rPr>
          <w:rFonts w:hint="eastAsia"/>
          <w:color w:val="auto"/>
          <w:sz w:val="24"/>
          <w:highlight w:val="none"/>
        </w:rPr>
      </w:r>
      <w:r/>
    </w:p>
    <w:tbl>
      <w:tblPr>
        <w:tblStyle w:val="1119"/>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一年绿化养护费</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60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pStyle w:val="1129"/>
              <w:jc w:val="center"/>
              <w:rPr>
                <w:color w:val="auto"/>
                <w:highlight w:val="none"/>
              </w:rPr>
            </w:pPr>
            <w:r>
              <w:rPr>
                <w:rFonts w:hint="eastAsia" w:ascii="宋体" w:hAnsi="宋体" w:eastAsia="宋体" w:cs="Times New Roman"/>
                <w:color w:val="auto"/>
                <w:highlight w:val="none"/>
              </w:rPr>
              <w:t xml:space="preserve">一年总价（元/年）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pStyle w:val="1129"/>
              <w:jc w:val="center"/>
              <w:rPr>
                <w:color w:val="auto"/>
                <w:highlight w:val="none"/>
              </w:rPr>
            </w:pPr>
            <w:r>
              <w:rPr>
                <w:color w:val="auto"/>
                <w:highlight w:val="none"/>
              </w:rPr>
            </w:r>
            <w:r/>
          </w:p>
        </w:tc>
      </w:tr>
      <w:tr>
        <w:trPr>
          <w:jc w:val="center"/>
          <w:trHeight w:val="497"/>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pStyle w:val="1129"/>
              <w:jc w:val="center"/>
              <w:rPr>
                <w:color w:val="auto"/>
                <w:highlight w:val="none"/>
              </w:rPr>
            </w:pPr>
            <w:r>
              <w:rPr>
                <w:rFonts w:hint="eastAsia"/>
                <w:color w:val="auto"/>
                <w:highlight w:val="none"/>
                <w:lang w:val="en-US" w:eastAsia="zh-CN"/>
              </w:rPr>
              <w:t xml:space="preserve">二</w:t>
            </w:r>
            <w:r>
              <w:rPr>
                <w:rFonts w:hint="eastAsia"/>
                <w:color w:val="auto"/>
                <w:highlight w:val="none"/>
              </w:rPr>
              <w:t xml:space="preserve">年总价（元/</w:t>
            </w:r>
            <w:r>
              <w:rPr>
                <w:rFonts w:hint="eastAsia"/>
                <w:color w:val="auto"/>
                <w:highlight w:val="none"/>
                <w:lang w:val="en-US" w:eastAsia="zh-CN"/>
              </w:rPr>
              <w:t xml:space="preserve">二</w:t>
            </w:r>
            <w:r>
              <w:rPr>
                <w:rFonts w:hint="eastAsia"/>
                <w:color w:val="auto"/>
                <w:highlight w:val="none"/>
              </w:rPr>
              <w:t xml:space="preserve">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pStyle w:val="1129"/>
              <w:jc w:val="center"/>
              <w:rPr>
                <w:color w:val="auto"/>
                <w:highlight w:val="none"/>
              </w:rPr>
            </w:pPr>
            <w:r>
              <w:rPr>
                <w:color w:val="auto"/>
                <w:highlight w:val="none"/>
              </w:rPr>
            </w:r>
            <w:r/>
          </w:p>
        </w:tc>
      </w:tr>
    </w:tbl>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注：</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.如果不提供分项报价将视为没有实质性响应招标文件。</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.本表行数可以按照项目分项情况增加。</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.上述各项的服务内容如表格中填写不下的，可以逐项另页描述。</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本项目服务费</w:t>
      </w:r>
      <w:r>
        <w:rPr>
          <w:rFonts w:hint="eastAsia" w:ascii="宋体" w:hAnsi="宋体" w:cs="Times New Roman"/>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rPr>
        <w:t xml:space="preserve">为：人民币</w:t>
      </w:r>
      <w:r>
        <w:rPr>
          <w:rFonts w:hint="eastAsia" w:ascii="宋体" w:hAnsi="宋体" w:cs="Times New Roman"/>
          <w:b/>
          <w:bCs/>
          <w:color w:val="auto"/>
          <w:sz w:val="24"/>
          <w:szCs w:val="24"/>
          <w:highlight w:val="none"/>
          <w:lang w:val="en-US" w:eastAsia="zh-CN"/>
        </w:rPr>
        <w:t xml:space="preserve">308.088</w:t>
      </w:r>
      <w:r>
        <w:rPr>
          <w:rFonts w:hint="eastAsia" w:ascii="宋体" w:hAnsi="宋体" w:eastAsia="宋体" w:cs="Times New Roman"/>
          <w:b/>
          <w:bCs/>
          <w:color w:val="auto"/>
          <w:sz w:val="24"/>
          <w:szCs w:val="24"/>
          <w:highlight w:val="none"/>
        </w:rPr>
        <w:t xml:space="preserve">万元</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二年</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154.044</w:t>
      </w:r>
      <w:r>
        <w:rPr>
          <w:rFonts w:hint="eastAsia" w:ascii="宋体" w:hAnsi="宋体" w:eastAsia="宋体" w:cs="Times New Roman"/>
          <w:color w:val="auto"/>
          <w:sz w:val="24"/>
          <w:szCs w:val="24"/>
          <w:highlight w:val="none"/>
        </w:rPr>
        <w:t xml:space="preserve">万元</w:t>
      </w:r>
      <w:r>
        <w:rPr>
          <w:rFonts w:hint="eastAsia" w:ascii="宋体" w:hAnsi="宋体" w:cs="Times New Roman"/>
          <w:color w:val="auto"/>
          <w:sz w:val="24"/>
          <w:szCs w:val="24"/>
          <w:highlight w:val="none"/>
          <w:lang w:val="en-US" w:eastAsia="zh-CN"/>
        </w:rPr>
        <w:t xml:space="preserve">/年</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报价表上的价格为含税报价，包含但不限于工作人员的人员工资、福利，法定假日加班费、高温费、办公费以及管理、劳务、培训、利润、税金、车辆费用、设备费用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风险及政策性文件规定的其它各种费用中的数项，以及为完成</w:t>
      </w:r>
      <w:r>
        <w:rPr>
          <w:rFonts w:hint="eastAsia" w:ascii="宋体" w:hAnsi="宋体" w:eastAsia="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rPr>
        <w:t xml:space="preserve">文件规定的各项管理工作所涉及到的一切相关费用。每项招标内容只允许有一个报价，任何有选择的或附有条件的报价将视为无效投标。如国家出台最低基本工资和最低社会保险缴纳基数标准等规定，</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应保障服务人员的基本法定待遇，但</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并不为此支付增加有关费用。</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投标人在投标时应充分考虑市场因素和成本变化状况的风险，一旦中标，所报的投标报价，即为签订的合同价。在服务期内如因政策性因素调整导致相关人员的工资、社保、节假日、高温补贴出现变化的，该部分费用由</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rPr>
        <w:t xml:space="preserve">自行承担，各</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rPr>
        <w:t xml:space="preserve">在报价时须综合考虑风险。</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作业人员工资、社保及基本福利：按照省市相关法律法规不得低于最低标准，高温费按省市相关规定不得低于最低标准</w:t>
      </w:r>
      <w:r>
        <w:rPr>
          <w:rFonts w:hint="eastAsia" w:ascii="宋体" w:hAnsi="宋体" w:eastAsia="宋体" w:cs="Times New Roman"/>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r>
      <w:r/>
    </w:p>
    <w:p>
      <w:pPr>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r>
      <w:r/>
    </w:p>
    <w:p>
      <w:pPr>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r>
      <w:r/>
    </w:p>
    <w:p>
      <w:pPr>
        <w:jc w:val="left"/>
        <w:keepLines w:val="0"/>
        <w:keepNext w:val="0"/>
        <w:pageBreakBefore w:val="0"/>
        <w:spacing w:line="400" w:lineRule="exact"/>
        <w:widowControl w:val="off"/>
        <w:rPr>
          <w:color w:val="auto"/>
          <w:sz w:val="24"/>
          <w:highlight w:val="none"/>
          <w:lang w:val="zh-CN"/>
        </w:rPr>
        <w:outlineLvl w:val="9"/>
      </w:pPr>
      <w:r>
        <w:rPr>
          <w:rFonts w:hint="eastAsia"/>
          <w:color w:val="auto"/>
          <w:sz w:val="24"/>
          <w:highlight w:val="none"/>
          <w:lang w:eastAsia="zh-CN"/>
        </w:rPr>
        <w:t xml:space="preserve">投标人</w:t>
      </w:r>
      <w:r>
        <w:rPr>
          <w:color w:val="auto"/>
          <w:sz w:val="24"/>
          <w:highlight w:val="none"/>
        </w:rPr>
        <w:t xml:space="preserve">名称（加盖公章）</w:t>
      </w:r>
      <w:r>
        <w:rPr>
          <w:color w:val="auto"/>
          <w:sz w:val="24"/>
          <w:highlight w:val="none"/>
          <w:lang w:val="zh-CN"/>
        </w:rPr>
        <w:t xml:space="preserve">：____________</w:t>
      </w:r>
      <w:r/>
    </w:p>
    <w:p>
      <w:pPr>
        <w:spacing w:line="360" w:lineRule="auto"/>
        <w:rPr>
          <w:rFonts w:hint="eastAsia"/>
          <w:color w:val="auto"/>
          <w:sz w:val="24"/>
          <w:szCs w:val="20"/>
          <w:highlight w:val="none"/>
        </w:rPr>
        <w:outlineLvl w:val="9"/>
      </w:pPr>
      <w:r>
        <w:rPr>
          <w:color w:val="auto"/>
          <w:sz w:val="24"/>
          <w:szCs w:val="20"/>
          <w:highlight w:val="none"/>
        </w:rPr>
        <w:t xml:space="preserve">日期：_____年______月______日   </w:t>
      </w:r>
      <w:r/>
    </w:p>
    <w:p>
      <w:pPr>
        <w:rPr>
          <w:rFonts w:hint="eastAsia"/>
          <w:color w:val="auto"/>
          <w:sz w:val="24"/>
          <w:szCs w:val="20"/>
          <w:highlight w:val="none"/>
          <w:lang w:val="en-US" w:eastAsia="zh-CN"/>
        </w:rPr>
      </w:pPr>
      <w:r>
        <w:rPr>
          <w:rFonts w:hint="eastAsia"/>
          <w:color w:val="auto"/>
          <w:sz w:val="24"/>
          <w:szCs w:val="20"/>
          <w:highlight w:val="none"/>
          <w:lang w:val="en-US" w:eastAsia="zh-CN"/>
        </w:rPr>
        <w:br w:type="page" w:clear="all"/>
      </w:r>
      <w:r/>
    </w:p>
    <w:p>
      <w:pPr>
        <w:jc w:val="both"/>
        <w:spacing w:line="360" w:lineRule="exact"/>
        <w:rPr>
          <w:color w:val="auto"/>
          <w:sz w:val="24"/>
          <w:szCs w:val="20"/>
          <w:highlight w:val="none"/>
        </w:rPr>
      </w:pPr>
      <w:r>
        <w:rPr>
          <w:rFonts w:hint="eastAsia"/>
          <w:color w:val="auto"/>
          <w:sz w:val="24"/>
          <w:szCs w:val="20"/>
          <w:highlight w:val="none"/>
          <w:lang w:val="en-US" w:eastAsia="zh-CN"/>
        </w:rPr>
        <w:t xml:space="preserve">6</w:t>
      </w:r>
      <w:r>
        <w:rPr>
          <w:color w:val="auto"/>
          <w:sz w:val="24"/>
          <w:szCs w:val="20"/>
          <w:highlight w:val="none"/>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color w:val="auto"/>
          <w:sz w:val="24"/>
          <w:szCs w:val="20"/>
          <w:highlight w:val="none"/>
        </w:rPr>
        <w:t xml:space="preserve"> </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项目编号：_____________________     项目名称：_____________</w:t>
      </w:r>
      <w:r/>
    </w:p>
    <w:tbl>
      <w:tblPr>
        <w:tblStyle w:val="11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23"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w:t>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lang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color w:val="auto"/>
          <w:sz w:val="24"/>
          <w:szCs w:val="20"/>
          <w:highlight w:val="none"/>
        </w:rPr>
        <w:t xml:space="preserve">采购需求偏离表</w:t>
      </w:r>
      <w:r>
        <w:rPr>
          <w:rFonts w:hint="eastAsia"/>
          <w:color w:val="auto"/>
          <w:sz w:val="24"/>
          <w:szCs w:val="20"/>
          <w:highlight w:val="none"/>
        </w:rPr>
        <w:t xml:space="preserve"> </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11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w:t>
      </w:r>
      <w:r>
        <w:rPr>
          <w:rFonts w:hint="eastAsia"/>
          <w:color w:val="auto"/>
          <w:sz w:val="24"/>
          <w:highlight w:val="none"/>
          <w:lang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ind w:firstLine="480"/>
        <w:spacing w:line="588" w:lineRule="exact"/>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8</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numPr>
          <w:ilvl w:val="0"/>
          <w:numId w:val="21"/>
        </w:num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绿化养护方案</w:t>
      </w:r>
      <w:r>
        <w:rPr>
          <w:rFonts w:hint="eastAsia" w:ascii="宋体" w:hAnsi="宋体" w:cs="宋体"/>
          <w:color w:val="auto"/>
          <w:sz w:val="24"/>
          <w:szCs w:val="24"/>
          <w:highlight w:val="none"/>
          <w:lang w:eastAsia="zh-CN"/>
        </w:rPr>
        <w:t xml:space="preserve">；</w:t>
      </w:r>
      <w:r/>
    </w:p>
    <w:p>
      <w:pPr>
        <w:numPr>
          <w:ilvl w:val="0"/>
          <w:numId w:val="21"/>
        </w:num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管理机构和管理制度</w:t>
      </w:r>
      <w:r>
        <w:rPr>
          <w:rFonts w:hint="eastAsia" w:ascii="宋体" w:hAnsi="宋体" w:cs="宋体"/>
          <w:color w:val="auto"/>
          <w:sz w:val="24"/>
          <w:szCs w:val="24"/>
          <w:highlight w:val="none"/>
          <w:lang w:eastAsia="zh-CN"/>
        </w:rPr>
        <w:t xml:space="preserve">；</w:t>
      </w:r>
      <w:r/>
    </w:p>
    <w:p>
      <w:pPr>
        <w:numPr>
          <w:ilvl w:val="0"/>
          <w:numId w:val="21"/>
        </w:num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重点特色树种及其他乔灌草的修剪措施</w:t>
      </w:r>
      <w:r>
        <w:rPr>
          <w:rFonts w:hint="eastAsia" w:ascii="宋体" w:hAnsi="宋体" w:cs="宋体"/>
          <w:color w:val="auto"/>
          <w:sz w:val="24"/>
          <w:szCs w:val="24"/>
          <w:highlight w:val="none"/>
          <w:lang w:val="en-US" w:eastAsia="zh-CN"/>
        </w:rPr>
        <w:t xml:space="preserve">；</w:t>
      </w:r>
      <w:r/>
    </w:p>
    <w:p>
      <w:pPr>
        <w:numPr>
          <w:ilvl w:val="0"/>
          <w:numId w:val="21"/>
        </w:num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安全、文明作业管理实施方案及保障措施</w:t>
      </w:r>
      <w:r>
        <w:rPr>
          <w:rFonts w:hint="eastAsia" w:ascii="宋体" w:hAnsi="宋体" w:cs="宋体"/>
          <w:color w:val="auto"/>
          <w:sz w:val="24"/>
          <w:szCs w:val="24"/>
          <w:highlight w:val="none"/>
          <w:lang w:eastAsia="zh-CN"/>
        </w:rPr>
        <w:t xml:space="preserve">；</w:t>
      </w:r>
      <w:r/>
    </w:p>
    <w:p>
      <w:pPr>
        <w:numPr>
          <w:ilvl w:val="0"/>
          <w:numId w:val="21"/>
        </w:num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恶劣</w:t>
      </w:r>
      <w:r>
        <w:rPr>
          <w:rFonts w:hint="eastAsia" w:ascii="宋体" w:hAnsi="宋体" w:eastAsia="宋体" w:cs="宋体"/>
          <w:color w:val="auto"/>
          <w:sz w:val="24"/>
          <w:szCs w:val="24"/>
          <w:highlight w:val="none"/>
        </w:rPr>
        <w:t xml:space="preserve">天气应急预案</w:t>
      </w:r>
      <w:r>
        <w:rPr>
          <w:rFonts w:hint="eastAsia" w:ascii="宋体" w:hAnsi="宋体" w:cs="宋体"/>
          <w:color w:val="auto"/>
          <w:sz w:val="24"/>
          <w:szCs w:val="24"/>
          <w:highlight w:val="none"/>
          <w:lang w:eastAsia="zh-CN"/>
        </w:rPr>
        <w:t xml:space="preserve">；</w:t>
      </w:r>
      <w:r/>
    </w:p>
    <w:p>
      <w:pPr>
        <w:numPr>
          <w:ilvl w:val="0"/>
          <w:numId w:val="21"/>
        </w:num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重大活动，检查评比和节假日保障措施</w:t>
      </w:r>
      <w:r>
        <w:rPr>
          <w:rFonts w:hint="eastAsia" w:ascii="宋体" w:hAnsi="宋体" w:cs="宋体"/>
          <w:color w:val="auto"/>
          <w:sz w:val="24"/>
          <w:szCs w:val="24"/>
          <w:highlight w:val="none"/>
          <w:lang w:eastAsia="zh-CN"/>
        </w:rPr>
        <w:t xml:space="preserve">；</w:t>
      </w:r>
      <w:r/>
    </w:p>
    <w:p>
      <w:pPr>
        <w:ind w:firstLine="480"/>
        <w:spacing w:line="560" w:lineRule="exact"/>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w:t>
      </w:r>
      <w:r>
        <w:rPr>
          <w:rFonts w:hint="eastAsia" w:cs="Times New Roman"/>
          <w:color w:val="auto"/>
          <w:sz w:val="24"/>
          <w:szCs w:val="20"/>
          <w:highlight w:val="none"/>
          <w:lang w:val="en-US" w:eastAsia="zh-CN"/>
        </w:rPr>
        <w:t xml:space="preserve">7</w:t>
      </w:r>
      <w:r>
        <w:rPr>
          <w:rFonts w:hint="eastAsia" w:ascii="Times New Roman" w:hAnsi="Times New Roman" w:eastAsia="宋体" w:cs="Times New Roman"/>
          <w:color w:val="auto"/>
          <w:sz w:val="24"/>
          <w:szCs w:val="20"/>
          <w:highlight w:val="none"/>
          <w:lang w:eastAsia="zh-CN"/>
        </w:rPr>
        <w:t xml:space="preserve">）</w:t>
      </w:r>
      <w:r>
        <w:rPr>
          <w:rFonts w:hint="eastAsia" w:cs="Times New Roman"/>
          <w:color w:val="auto"/>
          <w:sz w:val="24"/>
          <w:szCs w:val="20"/>
          <w:highlight w:val="none"/>
          <w:lang w:val="en-US" w:eastAsia="zh-CN"/>
        </w:rPr>
        <w:t xml:space="preserve">其他</w:t>
      </w:r>
      <w:r>
        <w:rPr>
          <w:rFonts w:hint="eastAsia" w:cs="Times New Roman"/>
          <w:color w:val="auto"/>
          <w:sz w:val="24"/>
          <w:szCs w:val="20"/>
          <w:highlight w:val="none"/>
          <w:lang w:eastAsia="zh-CN"/>
        </w:rPr>
        <w:t xml:space="preserve">。</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r>
      <w:r/>
    </w:p>
    <w:p>
      <w:pPr>
        <w:ind w:firstLine="480"/>
        <w:spacing w:line="560" w:lineRule="exact"/>
        <w:rPr>
          <w:rFonts w:hint="eastAsia" w:eastAsia="宋体"/>
          <w:color w:val="auto"/>
          <w:sz w:val="24"/>
          <w:szCs w:val="20"/>
          <w:highlight w:val="none"/>
          <w:lang w:val="en-US" w:eastAsia="zh-CN"/>
        </w:rPr>
        <w:sectPr>
          <w:headerReference w:type="even" r:id="rId17"/>
          <w:headerReference w:type="first" r:id="rId18"/>
          <w:footerReference w:type="even" r:id="rId28"/>
          <w:footerReference w:type="first" r:id="rId29"/>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color w:val="auto"/>
          <w:sz w:val="24"/>
          <w:szCs w:val="20"/>
          <w:highlight w:val="none"/>
          <w:lang w:val="en-US" w:eastAsia="zh-CN"/>
        </w:rPr>
      </w:r>
      <w:r/>
    </w:p>
    <w:p>
      <w:pPr>
        <w:rPr>
          <w:color w:val="auto"/>
          <w:sz w:val="24"/>
          <w:szCs w:val="20"/>
          <w:highlight w:val="none"/>
        </w:rPr>
      </w:pPr>
      <w:r>
        <w:rPr>
          <w:rFonts w:hint="eastAsia"/>
          <w:color w:val="auto"/>
          <w:sz w:val="24"/>
          <w:szCs w:val="20"/>
          <w:highlight w:val="none"/>
          <w:lang w:val="en-US" w:eastAsia="zh-CN"/>
        </w:rPr>
        <w:t xml:space="preserve">9</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119"/>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911" w:name="_Toc288738839"/>
      <w:r/>
      <w:bookmarkStart w:id="912" w:name="_Toc288738397"/>
      <w:r>
        <w:rPr>
          <w:rFonts w:hint="eastAsia"/>
          <w:color w:val="auto"/>
          <w:sz w:val="24"/>
          <w:szCs w:val="20"/>
          <w:highlight w:val="none"/>
          <w:lang w:val="en-US" w:eastAsia="zh-CN"/>
        </w:rPr>
        <w:t xml:space="preserve">10</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1"/>
      <w:r/>
      <w:bookmarkEnd w:id="91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11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lang w:val="en-US" w:eastAsia="zh-CN"/>
        </w:rPr>
        <w:t xml:space="preserve">11</w:t>
      </w:r>
      <w:r>
        <w:rPr>
          <w:rFonts w:hint="eastAsia"/>
          <w:color w:val="auto"/>
          <w:sz w:val="24"/>
          <w:szCs w:val="20"/>
          <w:highlight w:val="none"/>
        </w:rPr>
        <w:t xml:space="preserve">  </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等线">
    <w:panose1 w:val="02010600030101010101"/>
  </w:font>
  <w:font w:name="方正仿宋_GB2312">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6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140"/>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14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9"/>
      <w:spacing w:line="173" w:lineRule="auto"/>
      <w:rPr>
        <w:rFonts w:ascii="Times New Roman" w:hAnsi="Times New Roman" w:eastAsia="Times New Roman" w:cs="Times New Roman"/>
        <w:sz w:val="14"/>
        <w:szCs w:val="14"/>
      </w:rPr>
    </w:pPr>
    <w:r>
      <w:rPr>
        <w:rFonts w:ascii="Times New Roman" w:hAnsi="Times New Roman" w:eastAsia="Times New Roman" w:cs="Times New Roman"/>
        <w:color w:val="405060"/>
        <w:spacing w:val="-5"/>
        <w:sz w:val="14"/>
        <w:szCs w:val="14"/>
      </w:rPr>
      <w:t xml:space="preserve">14</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1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p>
  <w:p>
    <w:pPr>
      <w:pStyle w:val="1140"/>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p>
  <w:p>
    <w:pPr>
      <w:pStyle w:val="1140"/>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Bdr>
        <w:bottom w:val="single" w:color="auto" w:sz="4" w:space="1"/>
      </w:pBdr>
    </w:pPr>
    <w:r>
      <w:rPr>
        <w:rFonts w:hint="eastAsia"/>
        <w:color w:val="auto"/>
        <w:lang w:eastAsia="zh-CN"/>
      </w:rPr>
      <w:t xml:space="preserve">罗溪镇S239省道、沪宁高速绿化一期、二期拓宽段绿化养护服务项目</w:t>
    </w:r>
    <w:r>
      <w:rPr>
        <w:rFonts w:hint="eastAsia"/>
        <w:color w:val="auto"/>
      </w:rPr>
      <w:t xml:space="preserve">公开招标</w:t>
    </w:r>
    <w:r>
      <w:rPr>
        <w:rFonts w:hint="eastAsia"/>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Bdr>
        <w:bottom w:val="single" w:color="auto" w:sz="4" w:space="1"/>
      </w:pBdr>
    </w:pPr>
    <w:r>
      <w:rPr>
        <w:rFonts w:hint="eastAsia"/>
        <w:color w:val="auto"/>
        <w:lang w:eastAsia="zh-CN"/>
      </w:rPr>
      <w:t xml:space="preserve">罗溪镇S239省道、沪宁高速绿化一期、二期拓宽段绿化养护服务项目</w:t>
    </w:r>
    <w:r>
      <w:rPr>
        <w:rFonts w:hint="eastAsia"/>
        <w:color w:val="auto"/>
      </w:rPr>
      <w:t xml:space="preserve">公开</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Pr>
    <w:r>
      <w:rPr>
        <w:rFonts w:hint="eastAsia"/>
        <w:color w:val="auto"/>
        <w:lang w:eastAsia="zh-CN"/>
      </w:rPr>
      <w:t xml:space="preserve">罗溪镇S239省道、沪宁高速绿化一期、二期拓宽段绿化养护服务项目</w:t>
    </w:r>
    <w:r>
      <w:rPr>
        <w:rFonts w:hint="eastAsia"/>
        <w:color w:val="auto"/>
      </w:rPr>
      <w:t xml:space="preserve">公开</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Pr>
    <w:r>
      <w:rPr>
        <w:rFonts w:hint="eastAsia"/>
        <w:color w:val="auto"/>
        <w:lang w:eastAsia="zh-CN"/>
      </w:rPr>
      <w:t xml:space="preserve">罗溪镇S239省道、沪宁高速绿化一期、二期拓宽段绿化养护服务项目</w:t>
    </w:r>
    <w:r>
      <w:rPr>
        <w:rFonts w:hint="eastAsia"/>
        <w:color w:val="auto"/>
      </w:rPr>
      <w:t xml:space="preserve">公开招</w:t>
    </w:r>
    <w:r>
      <w:rPr>
        <w:rFonts w:hint="eastAsia"/>
      </w:rPr>
      <w:t xml:space="preserve">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both"/>
      <w:rPr>
        <w:rFonts w:hint="eastAsia"/>
        <w:color w:val="ff0000"/>
        <w:lang w:eastAsia="zh-CN"/>
      </w:rPr>
    </w:pPr>
    <w:r>
      <w:rPr>
        <w:rFonts w:hint="eastAsia"/>
        <w:color w:val="ff0000"/>
        <w:lang w:eastAsia="zh-CN"/>
      </w:rPr>
    </w:r>
    <w:r/>
  </w:p>
  <w:p>
    <w:pPr>
      <w:pStyle w:val="1142"/>
      <w:jc w:val="right"/>
      <w:rPr>
        <w:rFonts w:hint="eastAsia"/>
        <w:color w:val="ff0000"/>
        <w:lang w:eastAsia="zh-CN"/>
      </w:rPr>
    </w:pPr>
    <w:r>
      <w:rPr>
        <w:rFonts w:hint="eastAsia"/>
        <w:color w:val="ff0000"/>
        <w:lang w:eastAsia="zh-CN"/>
      </w:rPr>
    </w:r>
    <w:r/>
  </w:p>
  <w:p>
    <w:pPr>
      <w:pStyle w:val="1142"/>
      <w:jc w:val="right"/>
    </w:pPr>
    <w:r>
      <w:rPr>
        <w:rFonts w:hint="eastAsia"/>
        <w:color w:val="auto"/>
        <w:lang w:eastAsia="zh-CN"/>
      </w:rPr>
      <w:t xml:space="preserve">罗溪镇S239省道、沪宁高速绿化一期、二期拓宽段绿化养护服务项目</w:t>
    </w:r>
    <w:r>
      <w:rPr>
        <w:rFonts w:hint="eastAsia"/>
        <w:color w:val="auto"/>
      </w:rPr>
      <w:t xml:space="preserve">公开招</w:t>
    </w:r>
    <w:r>
      <w:rPr>
        <w:rFonts w:hint="eastAsia"/>
      </w:rPr>
      <w:t xml:space="preserve">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Pr>
    <w:r>
      <w:rPr>
        <w:rFonts w:hint="eastAsia"/>
        <w:color w:val="auto"/>
        <w:lang w:eastAsia="zh-CN"/>
      </w:rPr>
      <w:t xml:space="preserve">罗溪镇S239省道、沪宁高速绿化一期、二期拓宽段绿化养护服务项目</w:t>
    </w:r>
    <w:r>
      <w:rPr>
        <w:rFonts w:hint="eastAsia"/>
        <w:color w:val="auto"/>
      </w:rPr>
      <w:t xml:space="preserve">公开招标</w:t>
    </w:r>
    <w:r>
      <w:rPr>
        <w:rFonts w:hint="eastAsia"/>
      </w:rPr>
      <w:t xml:space="preserve">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decimal"/>
      <w:pStyle w:val="12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34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8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5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5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3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4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6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8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9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0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45"/>
      <w:isLgl w:val="false"/>
      <w:suff w:val="tab"/>
      <w:lvlText w:val="%1"/>
      <w:lvlJc w:val="left"/>
      <w:pPr>
        <w:ind w:left="680" w:hanging="680"/>
      </w:pPr>
      <w:rPr>
        <w:rFonts w:hint="eastAsia" w:ascii="宋体" w:hAnsi="宋体" w:eastAsia="宋体"/>
      </w:rPr>
    </w:lvl>
    <w:lvl w:ilvl="1">
      <w:start w:val="1"/>
      <w:numFmt w:val="decimal"/>
      <w:pStyle w:val="1309"/>
      <w:isLgl w:val="false"/>
      <w:suff w:val="tab"/>
      <w:lvlText w:val="%1.%2"/>
      <w:lvlJc w:val="left"/>
      <w:pPr>
        <w:ind w:left="851" w:hanging="851"/>
      </w:pPr>
      <w:rPr>
        <w:rFonts w:hint="eastAsia" w:ascii="宋体" w:hAnsi="宋体" w:eastAsia="宋体"/>
        <w:color w:val="auto"/>
      </w:rPr>
    </w:lvl>
    <w:lvl w:ilvl="2">
      <w:start w:val="1"/>
      <w:numFmt w:val="decimal"/>
      <w:pStyle w:val="12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4"/>
  </w:num>
  <w:num w:numId="3">
    <w:abstractNumId w:val="10"/>
  </w:num>
  <w:num w:numId="4">
    <w:abstractNumId w:val="7"/>
  </w:num>
  <w:num w:numId="5">
    <w:abstractNumId w:val="9"/>
  </w:num>
  <w:num w:numId="6">
    <w:abstractNumId w:val="13"/>
  </w:num>
  <w:num w:numId="7">
    <w:abstractNumId w:val="8"/>
  </w:num>
  <w:num w:numId="8">
    <w:abstractNumId w:val="12"/>
  </w:num>
  <w:num w:numId="9">
    <w:abstractNumId w:val="16"/>
  </w:num>
  <w:num w:numId="10">
    <w:abstractNumId w:val="6"/>
  </w:num>
  <w:num w:numId="11">
    <w:abstractNumId w:val="18"/>
  </w:num>
  <w:num w:numId="12">
    <w:abstractNumId w:val="15"/>
  </w:num>
  <w:num w:numId="13">
    <w:abstractNumId w:val="17"/>
  </w:num>
  <w:num w:numId="14">
    <w:abstractNumId w:val="20"/>
  </w:num>
  <w:num w:numId="15">
    <w:abstractNumId w:val="0"/>
  </w:num>
  <w:num w:numId="16">
    <w:abstractNumId w:val="2"/>
  </w:num>
  <w:num w:numId="17">
    <w:abstractNumId w:val="4"/>
  </w:num>
  <w:num w:numId="18">
    <w:abstractNumId w:val="5"/>
  </w:num>
  <w:num w:numId="19">
    <w:abstractNumId w:val="3"/>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18"/>
    <w:link w:val="1109"/>
    <w:uiPriority w:val="9"/>
    <w:rPr>
      <w:rFonts w:ascii="Arial" w:hAnsi="Arial" w:eastAsia="Arial" w:cs="Arial"/>
      <w:sz w:val="40"/>
      <w:szCs w:val="40"/>
    </w:rPr>
  </w:style>
  <w:style w:type="character" w:styleId="15">
    <w:name w:val="Heading 2 Char"/>
    <w:basedOn w:val="1118"/>
    <w:link w:val="1110"/>
    <w:uiPriority w:val="9"/>
    <w:rPr>
      <w:rFonts w:ascii="Arial" w:hAnsi="Arial" w:eastAsia="Arial" w:cs="Arial"/>
      <w:sz w:val="34"/>
    </w:rPr>
  </w:style>
  <w:style w:type="character" w:styleId="17">
    <w:name w:val="Heading 3 Char"/>
    <w:basedOn w:val="1118"/>
    <w:link w:val="1111"/>
    <w:uiPriority w:val="9"/>
    <w:rPr>
      <w:rFonts w:ascii="Arial" w:hAnsi="Arial" w:eastAsia="Arial" w:cs="Arial"/>
      <w:sz w:val="30"/>
      <w:szCs w:val="30"/>
    </w:rPr>
  </w:style>
  <w:style w:type="character" w:styleId="19">
    <w:name w:val="Heading 4 Char"/>
    <w:basedOn w:val="1118"/>
    <w:link w:val="1112"/>
    <w:uiPriority w:val="9"/>
    <w:rPr>
      <w:rFonts w:ascii="Arial" w:hAnsi="Arial" w:eastAsia="Arial" w:cs="Arial"/>
      <w:b/>
      <w:bCs/>
      <w:sz w:val="26"/>
      <w:szCs w:val="26"/>
    </w:rPr>
  </w:style>
  <w:style w:type="character" w:styleId="21">
    <w:name w:val="Heading 5 Char"/>
    <w:basedOn w:val="1118"/>
    <w:link w:val="1113"/>
    <w:uiPriority w:val="9"/>
    <w:rPr>
      <w:rFonts w:ascii="Arial" w:hAnsi="Arial" w:eastAsia="Arial" w:cs="Arial"/>
      <w:b/>
      <w:bCs/>
      <w:sz w:val="24"/>
      <w:szCs w:val="24"/>
    </w:rPr>
  </w:style>
  <w:style w:type="character" w:styleId="23">
    <w:name w:val="Heading 6 Char"/>
    <w:basedOn w:val="1118"/>
    <w:link w:val="1114"/>
    <w:uiPriority w:val="9"/>
    <w:rPr>
      <w:rFonts w:ascii="Arial" w:hAnsi="Arial" w:eastAsia="Arial" w:cs="Arial"/>
      <w:b/>
      <w:bCs/>
      <w:sz w:val="22"/>
      <w:szCs w:val="22"/>
    </w:rPr>
  </w:style>
  <w:style w:type="character" w:styleId="25">
    <w:name w:val="Heading 7 Char"/>
    <w:basedOn w:val="1118"/>
    <w:link w:val="1115"/>
    <w:uiPriority w:val="9"/>
    <w:rPr>
      <w:rFonts w:ascii="Arial" w:hAnsi="Arial" w:eastAsia="Arial" w:cs="Arial"/>
      <w:b/>
      <w:bCs/>
      <w:i/>
      <w:iCs/>
      <w:sz w:val="22"/>
      <w:szCs w:val="22"/>
    </w:rPr>
  </w:style>
  <w:style w:type="character" w:styleId="27">
    <w:name w:val="Heading 8 Char"/>
    <w:basedOn w:val="1118"/>
    <w:link w:val="1116"/>
    <w:uiPriority w:val="9"/>
    <w:rPr>
      <w:rFonts w:ascii="Arial" w:hAnsi="Arial" w:eastAsia="Arial" w:cs="Arial"/>
      <w:i/>
      <w:iCs/>
      <w:sz w:val="22"/>
      <w:szCs w:val="22"/>
    </w:rPr>
  </w:style>
  <w:style w:type="character" w:styleId="29">
    <w:name w:val="Heading 9 Char"/>
    <w:basedOn w:val="1118"/>
    <w:link w:val="1117"/>
    <w:uiPriority w:val="9"/>
    <w:rPr>
      <w:rFonts w:ascii="Arial" w:hAnsi="Arial" w:eastAsia="Arial" w:cs="Arial"/>
      <w:i/>
      <w:iCs/>
      <w:sz w:val="21"/>
      <w:szCs w:val="21"/>
    </w:rPr>
  </w:style>
  <w:style w:type="character" w:styleId="34">
    <w:name w:val="Title Char"/>
    <w:basedOn w:val="1118"/>
    <w:link w:val="1154"/>
    <w:uiPriority w:val="10"/>
    <w:rPr>
      <w:sz w:val="48"/>
      <w:szCs w:val="48"/>
    </w:rPr>
  </w:style>
  <w:style w:type="character" w:styleId="36">
    <w:name w:val="Subtitle Char"/>
    <w:basedOn w:val="1118"/>
    <w:link w:val="1145"/>
    <w:uiPriority w:val="11"/>
    <w:rPr>
      <w:sz w:val="24"/>
      <w:szCs w:val="24"/>
    </w:rPr>
  </w:style>
  <w:style w:type="paragraph" w:styleId="37">
    <w:name w:val="Quote"/>
    <w:basedOn w:val="1108"/>
    <w:next w:val="1108"/>
    <w:link w:val="38"/>
    <w:uiPriority w:val="29"/>
    <w:qFormat/>
    <w:pPr>
      <w:ind w:left="720" w:right="720"/>
    </w:pPr>
    <w:rPr>
      <w:i/>
    </w:rPr>
  </w:style>
  <w:style w:type="character" w:styleId="38">
    <w:name w:val="Quote Char"/>
    <w:link w:val="37"/>
    <w:uiPriority w:val="29"/>
    <w:rPr>
      <w:i/>
    </w:rPr>
  </w:style>
  <w:style w:type="paragraph" w:styleId="39">
    <w:name w:val="Intense Quote"/>
    <w:basedOn w:val="1108"/>
    <w:next w:val="11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18"/>
    <w:link w:val="1142"/>
    <w:uiPriority w:val="99"/>
  </w:style>
  <w:style w:type="character" w:styleId="44">
    <w:name w:val="Footer Char"/>
    <w:basedOn w:val="1118"/>
    <w:link w:val="1140"/>
    <w:uiPriority w:val="99"/>
  </w:style>
  <w:style w:type="character" w:styleId="46">
    <w:name w:val="Caption Char"/>
    <w:basedOn w:val="1124"/>
    <w:link w:val="1140"/>
    <w:uiPriority w:val="99"/>
  </w:style>
  <w:style w:type="table" w:styleId="48">
    <w:name w:val="Table Grid Light"/>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1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1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1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1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1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1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1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1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1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1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1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1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1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1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1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1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1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1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1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1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1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1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1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1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1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1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1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146"/>
    <w:uiPriority w:val="99"/>
    <w:rPr>
      <w:sz w:val="18"/>
    </w:rPr>
  </w:style>
  <w:style w:type="character" w:styleId="176">
    <w:name w:val="footnote reference"/>
    <w:basedOn w:val="1118"/>
    <w:uiPriority w:val="99"/>
    <w:unhideWhenUsed/>
    <w:rPr>
      <w:vertAlign w:val="superscript"/>
    </w:rPr>
  </w:style>
  <w:style w:type="paragraph" w:styleId="177">
    <w:name w:val="endnote text"/>
    <w:basedOn w:val="11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18"/>
    <w:uiPriority w:val="99"/>
    <w:semiHidden/>
    <w:unhideWhenUsed/>
    <w:rPr>
      <w:vertAlign w:val="superscript"/>
    </w:rPr>
  </w:style>
  <w:style w:type="paragraph" w:styleId="189">
    <w:name w:val="TOC Heading"/>
    <w:uiPriority w:val="39"/>
    <w:unhideWhenUsed/>
  </w:style>
  <w:style w:type="paragraph" w:styleId="190">
    <w:name w:val="table of figures"/>
    <w:basedOn w:val="1108"/>
    <w:next w:val="1108"/>
    <w:uiPriority w:val="99"/>
    <w:unhideWhenUsed/>
    <w:pPr>
      <w:spacing w:after="0" w:afterAutospacing="0"/>
    </w:pPr>
  </w:style>
  <w:style w:type="paragraph" w:styleId="11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09">
    <w:name w:val="Heading 1"/>
    <w:basedOn w:val="1108"/>
    <w:next w:val="1108"/>
    <w:link w:val="1167"/>
    <w:uiPriority w:val="0"/>
    <w:qFormat/>
    <w:pPr>
      <w:jc w:val="center"/>
      <w:keepLines/>
      <w:keepNext/>
      <w:spacing w:before="240" w:after="120" w:line="300" w:lineRule="auto"/>
      <w:outlineLvl w:val="0"/>
    </w:pPr>
    <w:rPr>
      <w:rFonts w:ascii="宋体"/>
      <w:b/>
      <w:sz w:val="32"/>
      <w:szCs w:val="20"/>
    </w:rPr>
  </w:style>
  <w:style w:type="paragraph" w:styleId="1110">
    <w:name w:val="Heading 2"/>
    <w:basedOn w:val="1108"/>
    <w:next w:val="1108"/>
    <w:link w:val="1168"/>
    <w:uiPriority w:val="0"/>
    <w:qFormat/>
    <w:pPr>
      <w:jc w:val="center"/>
      <w:keepLines/>
      <w:keepNext/>
      <w:spacing w:before="120" w:line="300" w:lineRule="auto"/>
      <w:outlineLvl w:val="1"/>
    </w:pPr>
    <w:rPr>
      <w:rFonts w:ascii="Arial" w:hAnsi="Arial" w:eastAsia="黑体"/>
      <w:b/>
      <w:sz w:val="30"/>
      <w:szCs w:val="20"/>
    </w:rPr>
  </w:style>
  <w:style w:type="paragraph" w:styleId="1111">
    <w:name w:val="Heading 3"/>
    <w:basedOn w:val="1108"/>
    <w:next w:val="1108"/>
    <w:link w:val="1170"/>
    <w:uiPriority w:val="0"/>
    <w:qFormat/>
    <w:pPr>
      <w:jc w:val="left"/>
      <w:keepLines/>
      <w:keepNext/>
      <w:spacing w:before="360" w:after="120"/>
      <w:outlineLvl w:val="2"/>
    </w:pPr>
    <w:rPr>
      <w:rFonts w:ascii="宋体"/>
      <w:b/>
      <w:sz w:val="24"/>
      <w:szCs w:val="20"/>
      <w:u w:val="single"/>
    </w:rPr>
  </w:style>
  <w:style w:type="paragraph" w:styleId="1112">
    <w:name w:val="Heading 4"/>
    <w:basedOn w:val="1108"/>
    <w:next w:val="1120"/>
    <w:link w:val="1171"/>
    <w:uiPriority w:val="0"/>
    <w:qFormat/>
    <w:pPr>
      <w:keepLines/>
      <w:keepNext/>
      <w:spacing w:before="280" w:after="290" w:line="376" w:lineRule="atLeast"/>
      <w:outlineLvl w:val="3"/>
    </w:pPr>
    <w:rPr>
      <w:rFonts w:ascii="Arial" w:hAnsi="Arial" w:eastAsia="黑体"/>
      <w:b/>
      <w:sz w:val="28"/>
      <w:szCs w:val="20"/>
    </w:rPr>
  </w:style>
  <w:style w:type="paragraph" w:styleId="1113">
    <w:name w:val="Heading 5"/>
    <w:basedOn w:val="1108"/>
    <w:next w:val="1108"/>
    <w:link w:val="1172"/>
    <w:uiPriority w:val="0"/>
    <w:qFormat/>
    <w:pPr>
      <w:keepLines/>
      <w:keepNext/>
      <w:spacing w:before="280" w:after="290" w:line="376" w:lineRule="atLeast"/>
      <w:outlineLvl w:val="4"/>
    </w:pPr>
    <w:rPr>
      <w:b/>
      <w:sz w:val="28"/>
      <w:szCs w:val="20"/>
    </w:rPr>
  </w:style>
  <w:style w:type="paragraph" w:styleId="1114">
    <w:name w:val="Heading 6"/>
    <w:basedOn w:val="1108"/>
    <w:next w:val="1108"/>
    <w:link w:val="1173"/>
    <w:uiPriority w:val="0"/>
    <w:qFormat/>
    <w:pPr>
      <w:keepLines/>
      <w:keepNext/>
      <w:spacing w:before="240" w:after="64" w:line="320" w:lineRule="atLeast"/>
      <w:outlineLvl w:val="5"/>
    </w:pPr>
    <w:rPr>
      <w:rFonts w:ascii="Arial" w:hAnsi="Arial" w:eastAsia="黑体"/>
      <w:b/>
      <w:sz w:val="24"/>
      <w:szCs w:val="20"/>
    </w:rPr>
  </w:style>
  <w:style w:type="paragraph" w:styleId="1115">
    <w:name w:val="Heading 7"/>
    <w:basedOn w:val="1108"/>
    <w:next w:val="1108"/>
    <w:link w:val="1174"/>
    <w:uiPriority w:val="0"/>
    <w:qFormat/>
    <w:pPr>
      <w:keepLines/>
      <w:keepNext/>
      <w:spacing w:before="240" w:after="64" w:line="320" w:lineRule="atLeast"/>
      <w:outlineLvl w:val="6"/>
    </w:pPr>
    <w:rPr>
      <w:b/>
      <w:sz w:val="24"/>
      <w:szCs w:val="20"/>
    </w:rPr>
  </w:style>
  <w:style w:type="paragraph" w:styleId="1116">
    <w:name w:val="Heading 8"/>
    <w:basedOn w:val="1108"/>
    <w:next w:val="1108"/>
    <w:link w:val="1175"/>
    <w:uiPriority w:val="0"/>
    <w:qFormat/>
    <w:pPr>
      <w:keepLines/>
      <w:keepNext/>
      <w:spacing w:before="240" w:after="64" w:line="320" w:lineRule="atLeast"/>
      <w:outlineLvl w:val="7"/>
    </w:pPr>
    <w:rPr>
      <w:rFonts w:ascii="Arial" w:hAnsi="Arial" w:eastAsia="黑体"/>
      <w:sz w:val="24"/>
      <w:szCs w:val="20"/>
    </w:rPr>
  </w:style>
  <w:style w:type="paragraph" w:styleId="1117">
    <w:name w:val="Heading 9"/>
    <w:basedOn w:val="1108"/>
    <w:next w:val="1108"/>
    <w:link w:val="1176"/>
    <w:uiPriority w:val="0"/>
    <w:qFormat/>
    <w:pPr>
      <w:keepLines/>
      <w:keepNext/>
      <w:spacing w:before="240" w:after="64" w:line="320" w:lineRule="atLeast"/>
      <w:outlineLvl w:val="8"/>
    </w:pPr>
    <w:rPr>
      <w:rFonts w:ascii="Arial" w:hAnsi="Arial" w:eastAsia="黑体"/>
      <w:szCs w:val="20"/>
    </w:rPr>
  </w:style>
  <w:style w:type="character" w:styleId="1118" w:default="1">
    <w:name w:val="Default Paragraph Font"/>
    <w:uiPriority w:val="1"/>
    <w:semiHidden/>
    <w:unhideWhenUsed/>
    <w:qFormat/>
  </w:style>
  <w:style w:type="table" w:styleId="1119" w:default="1">
    <w:name w:val="Normal Table"/>
    <w:uiPriority w:val="99"/>
    <w:semiHidden/>
    <w:unhideWhenUsed/>
    <w:qFormat/>
    <w:tblPr>
      <w:tblCellMar>
        <w:left w:w="108" w:type="dxa"/>
        <w:top w:w="0" w:type="dxa"/>
        <w:right w:w="108" w:type="dxa"/>
        <w:bottom w:w="0" w:type="dxa"/>
      </w:tblCellMar>
    </w:tblPr>
  </w:style>
  <w:style w:type="paragraph" w:styleId="1120">
    <w:name w:val="Normal Indent"/>
    <w:basedOn w:val="1108"/>
    <w:link w:val="1169"/>
    <w:uiPriority w:val="0"/>
    <w:qFormat/>
    <w:pPr>
      <w:ind w:firstLine="420"/>
      <w:jc w:val="left"/>
    </w:pPr>
    <w:rPr>
      <w:rFonts w:ascii="宋体"/>
      <w:sz w:val="24"/>
    </w:rPr>
  </w:style>
  <w:style w:type="paragraph" w:styleId="1121">
    <w:name w:val="toc 7"/>
    <w:basedOn w:val="1108"/>
    <w:next w:val="1108"/>
    <w:uiPriority w:val="0"/>
    <w:qFormat/>
    <w:pPr>
      <w:ind w:left="2520"/>
    </w:pPr>
  </w:style>
  <w:style w:type="paragraph" w:styleId="1122">
    <w:name w:val="table of authorities"/>
    <w:next w:val="1123"/>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1123" w:customStyle="1">
    <w:name w:val="正文 A"/>
    <w:next w:val="1122"/>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24">
    <w:name w:val="Caption"/>
    <w:basedOn w:val="1108"/>
    <w:next w:val="1108"/>
    <w:uiPriority w:val="0"/>
    <w:qFormat/>
    <w:pPr>
      <w:spacing w:line="480" w:lineRule="auto"/>
    </w:pPr>
    <w:rPr>
      <w:rFonts w:ascii="华文中宋" w:hAnsi="华文中宋" w:eastAsia="华文中宋"/>
      <w:sz w:val="36"/>
      <w:szCs w:val="20"/>
    </w:rPr>
  </w:style>
  <w:style w:type="paragraph" w:styleId="1125">
    <w:name w:val="index 5"/>
    <w:basedOn w:val="1108"/>
    <w:next w:val="1108"/>
    <w:uiPriority w:val="99"/>
    <w:unhideWhenUsed/>
    <w:qFormat/>
    <w:pPr>
      <w:ind w:left="800"/>
    </w:pPr>
  </w:style>
  <w:style w:type="paragraph" w:styleId="1126">
    <w:name w:val="Document Map"/>
    <w:basedOn w:val="1108"/>
    <w:link w:val="1177"/>
    <w:uiPriority w:val="0"/>
    <w:qFormat/>
    <w:pPr>
      <w:shd w:val="clear" w:color="auto" w:fill="000080"/>
    </w:pPr>
  </w:style>
  <w:style w:type="paragraph" w:styleId="1127">
    <w:name w:val="annotation text"/>
    <w:basedOn w:val="1108"/>
    <w:link w:val="1178"/>
    <w:uiPriority w:val="0"/>
    <w:qFormat/>
    <w:pPr>
      <w:jc w:val="left"/>
    </w:pPr>
  </w:style>
  <w:style w:type="paragraph" w:styleId="1128">
    <w:name w:val="Body Text 3"/>
    <w:basedOn w:val="1108"/>
    <w:link w:val="1179"/>
    <w:uiPriority w:val="0"/>
    <w:qFormat/>
    <w:pPr>
      <w:spacing w:after="120"/>
    </w:pPr>
    <w:rPr>
      <w:sz w:val="16"/>
      <w:szCs w:val="16"/>
    </w:rPr>
  </w:style>
  <w:style w:type="paragraph" w:styleId="1129">
    <w:name w:val="Body Text"/>
    <w:basedOn w:val="1108"/>
    <w:link w:val="1180"/>
    <w:uiPriority w:val="0"/>
    <w:qFormat/>
    <w:pPr>
      <w:spacing w:before="120" w:line="22" w:lineRule="atLeast"/>
      <w:tabs>
        <w:tab w:val="left" w:pos="567" w:leader="none"/>
      </w:tabs>
    </w:pPr>
    <w:rPr>
      <w:rFonts w:ascii="宋体" w:hAnsi="宋体"/>
      <w:sz w:val="24"/>
    </w:rPr>
  </w:style>
  <w:style w:type="paragraph" w:styleId="1130">
    <w:name w:val="Body Text Indent"/>
    <w:basedOn w:val="1108"/>
    <w:next w:val="1108"/>
    <w:link w:val="1181"/>
    <w:uiPriority w:val="0"/>
    <w:qFormat/>
    <w:pPr>
      <w:ind w:firstLine="570"/>
      <w:spacing w:line="360" w:lineRule="auto"/>
    </w:pPr>
    <w:rPr>
      <w:sz w:val="24"/>
    </w:rPr>
  </w:style>
  <w:style w:type="paragraph" w:styleId="1131">
    <w:name w:val="List 2"/>
    <w:basedOn w:val="1108"/>
    <w:uiPriority w:val="0"/>
    <w:qFormat/>
    <w:pPr>
      <w:ind w:left="100" w:hanging="200"/>
    </w:pPr>
  </w:style>
  <w:style w:type="paragraph" w:styleId="1132">
    <w:name w:val="Block Text"/>
    <w:basedOn w:val="1108"/>
    <w:uiPriority w:val="0"/>
    <w:qFormat/>
    <w:pPr>
      <w:ind w:left="480" w:right="-341" w:firstLine="513"/>
      <w:widowControl/>
    </w:pPr>
    <w:rPr>
      <w:sz w:val="24"/>
      <w:szCs w:val="20"/>
    </w:rPr>
  </w:style>
  <w:style w:type="paragraph" w:styleId="1133">
    <w:name w:val="toc 5"/>
    <w:basedOn w:val="1108"/>
    <w:next w:val="1108"/>
    <w:uiPriority w:val="0"/>
    <w:qFormat/>
    <w:pPr>
      <w:ind w:left="1680"/>
    </w:pPr>
  </w:style>
  <w:style w:type="paragraph" w:styleId="1134">
    <w:name w:val="toc 3"/>
    <w:basedOn w:val="1108"/>
    <w:next w:val="1108"/>
    <w:uiPriority w:val="39"/>
    <w:qFormat/>
    <w:pPr>
      <w:ind w:left="840"/>
    </w:pPr>
  </w:style>
  <w:style w:type="paragraph" w:styleId="1135">
    <w:name w:val="Plain Text"/>
    <w:basedOn w:val="1108"/>
    <w:next w:val="1120"/>
    <w:link w:val="1182"/>
    <w:uiPriority w:val="0"/>
    <w:qFormat/>
    <w:rPr>
      <w:rFonts w:hint="eastAsia" w:ascii="宋体" w:hAnsi="Courier New"/>
      <w:szCs w:val="20"/>
    </w:rPr>
  </w:style>
  <w:style w:type="paragraph" w:styleId="1136">
    <w:name w:val="toc 8"/>
    <w:basedOn w:val="1108"/>
    <w:next w:val="1108"/>
    <w:uiPriority w:val="0"/>
    <w:qFormat/>
    <w:pPr>
      <w:ind w:left="2940"/>
    </w:pPr>
  </w:style>
  <w:style w:type="paragraph" w:styleId="1137">
    <w:name w:val="Date"/>
    <w:basedOn w:val="1108"/>
    <w:next w:val="1108"/>
    <w:link w:val="1183"/>
    <w:uiPriority w:val="0"/>
    <w:qFormat/>
    <w:pPr>
      <w:ind w:left="100"/>
    </w:pPr>
    <w:rPr>
      <w:rFonts w:ascii="仿宋_GB2312" w:hAnsi="宋体" w:eastAsia="仿宋_GB2312"/>
      <w:color w:val="000000"/>
      <w:sz w:val="24"/>
    </w:rPr>
  </w:style>
  <w:style w:type="paragraph" w:styleId="1138">
    <w:name w:val="Body Text Indent 2"/>
    <w:basedOn w:val="1108"/>
    <w:link w:val="1184"/>
    <w:uiPriority w:val="0"/>
    <w:qFormat/>
    <w:pPr>
      <w:ind w:firstLine="480"/>
    </w:pPr>
    <w:rPr>
      <w:rFonts w:ascii="仿宋_GB2312" w:eastAsia="仿宋_GB2312"/>
      <w:sz w:val="24"/>
    </w:rPr>
  </w:style>
  <w:style w:type="paragraph" w:styleId="1139">
    <w:name w:val="Balloon Text"/>
    <w:basedOn w:val="1108"/>
    <w:link w:val="1185"/>
    <w:uiPriority w:val="0"/>
    <w:qFormat/>
    <w:rPr>
      <w:sz w:val="18"/>
      <w:szCs w:val="18"/>
    </w:rPr>
  </w:style>
  <w:style w:type="paragraph" w:styleId="1140">
    <w:name w:val="Footer"/>
    <w:basedOn w:val="1108"/>
    <w:link w:val="1186"/>
    <w:uiPriority w:val="99"/>
    <w:qFormat/>
    <w:pPr>
      <w:jc w:val="left"/>
      <w:tabs>
        <w:tab w:val="center" w:pos="4153" w:leader="none"/>
        <w:tab w:val="right" w:pos="8306" w:leader="none"/>
      </w:tabs>
    </w:pPr>
    <w:rPr>
      <w:rFonts w:ascii="宋体"/>
      <w:sz w:val="18"/>
      <w:szCs w:val="20"/>
    </w:rPr>
  </w:style>
  <w:style w:type="paragraph" w:styleId="1141">
    <w:name w:val="envelope return"/>
    <w:basedOn w:val="1108"/>
    <w:uiPriority w:val="0"/>
    <w:qFormat/>
    <w:rPr>
      <w:rFonts w:ascii="Arial" w:hAnsi="Arial"/>
    </w:rPr>
  </w:style>
  <w:style w:type="paragraph" w:styleId="1142">
    <w:name w:val="Header"/>
    <w:basedOn w:val="1108"/>
    <w:link w:val="1187"/>
    <w:uiPriority w:val="0"/>
    <w:qFormat/>
    <w:pPr>
      <w:jc w:val="center"/>
      <w:tabs>
        <w:tab w:val="center" w:pos="4153" w:leader="none"/>
        <w:tab w:val="right" w:pos="8306" w:leader="none"/>
      </w:tabs>
      <w:pBdr>
        <w:bottom w:val="single" w:color="auto" w:sz="6" w:space="1"/>
      </w:pBdr>
    </w:pPr>
    <w:rPr>
      <w:sz w:val="18"/>
      <w:szCs w:val="18"/>
    </w:rPr>
  </w:style>
  <w:style w:type="paragraph" w:styleId="1143">
    <w:name w:val="toc 1"/>
    <w:basedOn w:val="1108"/>
    <w:next w:val="1108"/>
    <w:uiPriority w:val="39"/>
    <w:qFormat/>
    <w:pPr>
      <w:spacing w:line="300" w:lineRule="auto"/>
      <w:tabs>
        <w:tab w:val="left" w:pos="1050" w:leader="none"/>
        <w:tab w:val="right" w:pos="8937" w:leader="dot"/>
      </w:tabs>
    </w:pPr>
    <w:rPr>
      <w:rFonts w:ascii="宋体" w:hAnsi="宋体"/>
      <w:b/>
      <w:sz w:val="24"/>
    </w:rPr>
  </w:style>
  <w:style w:type="paragraph" w:styleId="1144">
    <w:name w:val="toc 4"/>
    <w:basedOn w:val="1108"/>
    <w:next w:val="1108"/>
    <w:uiPriority w:val="0"/>
    <w:qFormat/>
    <w:pPr>
      <w:ind w:left="1260"/>
    </w:pPr>
  </w:style>
  <w:style w:type="paragraph" w:styleId="1145">
    <w:name w:val="Subtitle"/>
    <w:basedOn w:val="1108"/>
    <w:next w:val="1108"/>
    <w:uiPriority w:val="0"/>
    <w:qFormat/>
    <w:pPr>
      <w:jc w:val="center"/>
      <w:spacing w:before="240" w:after="60" w:line="312" w:lineRule="auto"/>
      <w:outlineLvl w:val="1"/>
    </w:pPr>
    <w:rPr>
      <w:rFonts w:ascii="Arial" w:hAnsi="Arial" w:cs="Arial"/>
      <w:b/>
      <w:bCs/>
      <w:sz w:val="32"/>
      <w:szCs w:val="32"/>
    </w:rPr>
  </w:style>
  <w:style w:type="paragraph" w:styleId="1146">
    <w:name w:val="footnote text"/>
    <w:basedOn w:val="1108"/>
    <w:next w:val="1125"/>
    <w:uiPriority w:val="0"/>
    <w:qFormat/>
    <w:pPr>
      <w:ind w:firstLine="425"/>
      <w:jc w:val="left"/>
      <w:spacing w:before="120" w:line="360" w:lineRule="auto"/>
    </w:pPr>
    <w:rPr>
      <w:sz w:val="18"/>
      <w:szCs w:val="20"/>
    </w:rPr>
  </w:style>
  <w:style w:type="paragraph" w:styleId="1147">
    <w:name w:val="toc 6"/>
    <w:basedOn w:val="1108"/>
    <w:next w:val="1108"/>
    <w:uiPriority w:val="0"/>
    <w:qFormat/>
    <w:pPr>
      <w:ind w:left="2100"/>
    </w:pPr>
  </w:style>
  <w:style w:type="paragraph" w:styleId="1148">
    <w:name w:val="Body Text Indent 3"/>
    <w:basedOn w:val="1108"/>
    <w:link w:val="1188"/>
    <w:uiPriority w:val="0"/>
    <w:qFormat/>
    <w:pPr>
      <w:ind w:left="720" w:firstLine="480"/>
      <w:jc w:val="left"/>
      <w:spacing w:before="120" w:line="22" w:lineRule="atLeast"/>
    </w:pPr>
    <w:rPr>
      <w:rFonts w:ascii="宋体"/>
      <w:sz w:val="24"/>
      <w:szCs w:val="20"/>
    </w:rPr>
  </w:style>
  <w:style w:type="paragraph" w:styleId="1149">
    <w:name w:val="toc 2"/>
    <w:basedOn w:val="1108"/>
    <w:next w:val="1108"/>
    <w:uiPriority w:val="39"/>
    <w:qFormat/>
    <w:pPr>
      <w:ind w:left="420"/>
      <w:spacing w:line="312" w:lineRule="auto"/>
      <w:tabs>
        <w:tab w:val="right" w:pos="8937" w:leader="dot"/>
      </w:tabs>
    </w:pPr>
  </w:style>
  <w:style w:type="paragraph" w:styleId="1150">
    <w:name w:val="toc 9"/>
    <w:basedOn w:val="1108"/>
    <w:next w:val="1108"/>
    <w:uiPriority w:val="0"/>
    <w:qFormat/>
    <w:pPr>
      <w:ind w:left="3360"/>
    </w:pPr>
  </w:style>
  <w:style w:type="paragraph" w:styleId="1151">
    <w:name w:val="HTML Preformatted"/>
    <w:basedOn w:val="1108"/>
    <w:link w:val="11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52">
    <w:name w:val="Normal (Web)"/>
    <w:basedOn w:val="1108"/>
    <w:uiPriority w:val="0"/>
    <w:unhideWhenUsed/>
    <w:qFormat/>
    <w:pPr>
      <w:jc w:val="left"/>
      <w:spacing w:before="100" w:beforeAutospacing="1" w:after="100" w:afterAutospacing="1"/>
      <w:widowControl/>
    </w:pPr>
    <w:rPr>
      <w:rFonts w:ascii="宋体" w:hAnsi="宋体" w:cs="宋体"/>
      <w:sz w:val="24"/>
    </w:rPr>
  </w:style>
  <w:style w:type="paragraph" w:styleId="1153">
    <w:name w:val="index 1"/>
    <w:basedOn w:val="1108"/>
    <w:next w:val="1108"/>
    <w:uiPriority w:val="0"/>
    <w:qFormat/>
    <w:rPr>
      <w:szCs w:val="20"/>
    </w:rPr>
  </w:style>
  <w:style w:type="paragraph" w:styleId="1154">
    <w:name w:val="Title"/>
    <w:basedOn w:val="1108"/>
    <w:link w:val="1190"/>
    <w:uiPriority w:val="0"/>
    <w:qFormat/>
    <w:pPr>
      <w:jc w:val="center"/>
      <w:outlineLvl w:val="0"/>
    </w:pPr>
    <w:rPr>
      <w:b/>
      <w:sz w:val="32"/>
      <w:szCs w:val="20"/>
    </w:rPr>
  </w:style>
  <w:style w:type="paragraph" w:styleId="1155">
    <w:name w:val="annotation subject"/>
    <w:basedOn w:val="1127"/>
    <w:next w:val="1127"/>
    <w:link w:val="1191"/>
    <w:uiPriority w:val="0"/>
    <w:qFormat/>
    <w:rPr>
      <w:b/>
      <w:bCs/>
    </w:rPr>
  </w:style>
  <w:style w:type="paragraph" w:styleId="1156">
    <w:name w:val="Body Text First Indent 2"/>
    <w:basedOn w:val="1108"/>
    <w:next w:val="1108"/>
    <w:link w:val="1193"/>
    <w:uiPriority w:val="0"/>
    <w:qFormat/>
    <w:pPr>
      <w:ind w:left="420" w:firstLine="420"/>
      <w:spacing w:after="120" w:line="480" w:lineRule="exact"/>
    </w:pPr>
    <w:rPr>
      <w:szCs w:val="20"/>
    </w:rPr>
  </w:style>
  <w:style w:type="table" w:styleId="1157">
    <w:name w:val="Table Grid"/>
    <w:basedOn w:val="11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name w:val="Medium Grid 1 Accent 2"/>
    <w:basedOn w:val="111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59">
    <w:name w:val="Strong"/>
    <w:basedOn w:val="1118"/>
    <w:uiPriority w:val="0"/>
    <w:qFormat/>
    <w:rPr>
      <w:b/>
      <w:bCs/>
    </w:rPr>
  </w:style>
  <w:style w:type="character" w:styleId="1160">
    <w:name w:val="page number"/>
    <w:uiPriority w:val="0"/>
    <w:qFormat/>
  </w:style>
  <w:style w:type="character" w:styleId="1161">
    <w:name w:val="FollowedHyperlink"/>
    <w:uiPriority w:val="0"/>
    <w:qFormat/>
    <w:rPr>
      <w:color w:val="800080"/>
      <w:u w:val="single"/>
    </w:rPr>
  </w:style>
  <w:style w:type="character" w:styleId="1162">
    <w:name w:val="Emphasis"/>
    <w:uiPriority w:val="0"/>
    <w:qFormat/>
    <w:rPr>
      <w:color w:val="cc0033"/>
    </w:rPr>
  </w:style>
  <w:style w:type="character" w:styleId="1163">
    <w:name w:val="Hyperlink"/>
    <w:uiPriority w:val="99"/>
    <w:qFormat/>
    <w:rPr>
      <w:color w:val="0000ff"/>
      <w:u w:val="single"/>
    </w:rPr>
  </w:style>
  <w:style w:type="character" w:styleId="1164">
    <w:name w:val="annotation reference"/>
    <w:uiPriority w:val="99"/>
    <w:qFormat/>
    <w:rPr>
      <w:sz w:val="21"/>
      <w:szCs w:val="21"/>
    </w:rPr>
  </w:style>
  <w:style w:type="character" w:styleId="1165">
    <w:name w:val="HTML Cite"/>
    <w:uiPriority w:val="0"/>
    <w:qFormat/>
    <w:rPr>
      <w:i/>
      <w:iCs/>
    </w:rPr>
  </w:style>
  <w:style w:type="paragraph" w:styleId="1166" w:customStyle="1">
    <w:name w:val="段"/>
    <w:next w:val="1108"/>
    <w:uiPriority w:val="0"/>
    <w:qFormat/>
    <w:pPr>
      <w:ind w:firstLine="200"/>
      <w:jc w:val="both"/>
    </w:pPr>
    <w:rPr>
      <w:rFonts w:ascii="宋体" w:hAnsi="Times New Roman" w:eastAsia="宋体" w:cs="Times New Roman"/>
      <w:sz w:val="21"/>
      <w:lang w:val="en-US" w:eastAsia="zh-CN" w:bidi="ar-SA"/>
    </w:rPr>
  </w:style>
  <w:style w:type="character" w:styleId="1167" w:customStyle="1">
    <w:name w:val="标题 1 字符"/>
    <w:link w:val="1109"/>
    <w:uiPriority w:val="0"/>
    <w:qFormat/>
    <w:rPr>
      <w:rFonts w:ascii="宋体"/>
      <w:b/>
      <w:sz w:val="32"/>
    </w:rPr>
  </w:style>
  <w:style w:type="character" w:styleId="1168" w:customStyle="1">
    <w:name w:val="标题 2 字符"/>
    <w:link w:val="1110"/>
    <w:uiPriority w:val="0"/>
    <w:qFormat/>
    <w:rPr>
      <w:rFonts w:ascii="Arial" w:hAnsi="Arial" w:eastAsia="黑体"/>
      <w:b/>
      <w:sz w:val="30"/>
      <w:lang w:val="en-US" w:eastAsia="zh-CN" w:bidi="ar-SA"/>
    </w:rPr>
  </w:style>
  <w:style w:type="character" w:styleId="1169" w:customStyle="1">
    <w:name w:val="正文缩进 字符"/>
    <w:link w:val="1120"/>
    <w:uiPriority w:val="0"/>
    <w:qFormat/>
    <w:rPr>
      <w:rFonts w:ascii="宋体" w:eastAsia="宋体"/>
      <w:sz w:val="24"/>
      <w:szCs w:val="24"/>
      <w:lang w:val="en-US" w:eastAsia="zh-CN" w:bidi="ar-SA"/>
    </w:rPr>
  </w:style>
  <w:style w:type="character" w:styleId="1170" w:customStyle="1">
    <w:name w:val="标题 3 字符"/>
    <w:link w:val="1111"/>
    <w:uiPriority w:val="0"/>
    <w:qFormat/>
    <w:rPr>
      <w:rFonts w:ascii="宋体" w:eastAsia="宋体"/>
      <w:b/>
      <w:sz w:val="24"/>
      <w:u w:val="single"/>
      <w:lang w:val="en-US" w:eastAsia="zh-CN" w:bidi="ar-SA"/>
    </w:rPr>
  </w:style>
  <w:style w:type="character" w:styleId="1171" w:customStyle="1">
    <w:name w:val="标题 4 字符"/>
    <w:link w:val="1112"/>
    <w:uiPriority w:val="0"/>
    <w:qFormat/>
    <w:rPr>
      <w:rFonts w:ascii="Arial" w:hAnsi="Arial" w:eastAsia="黑体"/>
      <w:b/>
      <w:sz w:val="28"/>
    </w:rPr>
  </w:style>
  <w:style w:type="character" w:styleId="1172" w:customStyle="1">
    <w:name w:val="标题 5 字符"/>
    <w:link w:val="1113"/>
    <w:uiPriority w:val="0"/>
    <w:qFormat/>
    <w:rPr>
      <w:b/>
      <w:sz w:val="28"/>
    </w:rPr>
  </w:style>
  <w:style w:type="character" w:styleId="1173" w:customStyle="1">
    <w:name w:val="标题 6 字符"/>
    <w:link w:val="1114"/>
    <w:uiPriority w:val="0"/>
    <w:qFormat/>
    <w:rPr>
      <w:rFonts w:ascii="Arial" w:hAnsi="Arial" w:eastAsia="黑体"/>
      <w:b/>
      <w:sz w:val="24"/>
    </w:rPr>
  </w:style>
  <w:style w:type="character" w:styleId="1174" w:customStyle="1">
    <w:name w:val="标题 7 字符"/>
    <w:link w:val="1115"/>
    <w:uiPriority w:val="0"/>
    <w:qFormat/>
    <w:rPr>
      <w:b/>
      <w:sz w:val="24"/>
    </w:rPr>
  </w:style>
  <w:style w:type="character" w:styleId="1175" w:customStyle="1">
    <w:name w:val="标题 8 字符"/>
    <w:link w:val="1116"/>
    <w:uiPriority w:val="0"/>
    <w:qFormat/>
    <w:rPr>
      <w:rFonts w:ascii="Arial" w:hAnsi="Arial" w:eastAsia="黑体"/>
      <w:sz w:val="24"/>
    </w:rPr>
  </w:style>
  <w:style w:type="character" w:styleId="1176" w:customStyle="1">
    <w:name w:val="标题 9 字符"/>
    <w:link w:val="1117"/>
    <w:uiPriority w:val="0"/>
    <w:qFormat/>
    <w:rPr>
      <w:rFonts w:ascii="Arial" w:hAnsi="Arial" w:eastAsia="黑体"/>
      <w:sz w:val="21"/>
    </w:rPr>
  </w:style>
  <w:style w:type="character" w:styleId="1177" w:customStyle="1">
    <w:name w:val="文档结构图 字符"/>
    <w:link w:val="1126"/>
    <w:uiPriority w:val="0"/>
    <w:qFormat/>
    <w:rPr>
      <w:sz w:val="21"/>
      <w:szCs w:val="24"/>
      <w:shd w:val="clear" w:color="auto" w:fill="000080"/>
    </w:rPr>
  </w:style>
  <w:style w:type="character" w:styleId="1178" w:customStyle="1">
    <w:name w:val="批注文字 字符1"/>
    <w:link w:val="1127"/>
    <w:uiPriority w:val="99"/>
    <w:qFormat/>
    <w:rPr>
      <w:sz w:val="21"/>
      <w:szCs w:val="24"/>
    </w:rPr>
  </w:style>
  <w:style w:type="character" w:styleId="1179" w:customStyle="1">
    <w:name w:val="正文文本 3 字符"/>
    <w:link w:val="1128"/>
    <w:uiPriority w:val="0"/>
    <w:qFormat/>
    <w:rPr>
      <w:sz w:val="16"/>
      <w:szCs w:val="16"/>
    </w:rPr>
  </w:style>
  <w:style w:type="character" w:styleId="1180" w:customStyle="1">
    <w:name w:val="正文文本 字符"/>
    <w:link w:val="1129"/>
    <w:uiPriority w:val="0"/>
    <w:qFormat/>
    <w:rPr>
      <w:rFonts w:ascii="宋体" w:hAnsi="宋体"/>
      <w:sz w:val="24"/>
      <w:szCs w:val="24"/>
    </w:rPr>
  </w:style>
  <w:style w:type="character" w:styleId="1181" w:customStyle="1">
    <w:name w:val="正文文本缩进 字符"/>
    <w:link w:val="1130"/>
    <w:uiPriority w:val="0"/>
    <w:qFormat/>
    <w:rPr>
      <w:rFonts w:eastAsia="宋体"/>
      <w:sz w:val="24"/>
      <w:szCs w:val="24"/>
      <w:lang w:val="en-US" w:eastAsia="zh-CN" w:bidi="ar-SA"/>
    </w:rPr>
  </w:style>
  <w:style w:type="character" w:styleId="1182" w:customStyle="1">
    <w:name w:val="纯文本 字符2"/>
    <w:link w:val="1135"/>
    <w:uiPriority w:val="0"/>
    <w:qFormat/>
    <w:rPr>
      <w:rFonts w:hint="eastAsia" w:ascii="宋体" w:hAnsi="Courier New" w:eastAsia="宋体" w:cs="宋体"/>
      <w:sz w:val="21"/>
    </w:rPr>
  </w:style>
  <w:style w:type="character" w:styleId="1183" w:customStyle="1">
    <w:name w:val="日期 字符"/>
    <w:link w:val="1137"/>
    <w:uiPriority w:val="0"/>
    <w:qFormat/>
    <w:rPr>
      <w:rFonts w:ascii="仿宋_GB2312" w:hAnsi="宋体" w:eastAsia="仿宋_GB2312"/>
      <w:color w:val="000000"/>
      <w:sz w:val="24"/>
      <w:szCs w:val="24"/>
    </w:rPr>
  </w:style>
  <w:style w:type="character" w:styleId="1184" w:customStyle="1">
    <w:name w:val="正文文本缩进 2 字符"/>
    <w:link w:val="1138"/>
    <w:uiPriority w:val="0"/>
    <w:qFormat/>
    <w:rPr>
      <w:rFonts w:ascii="仿宋_GB2312" w:eastAsia="仿宋_GB2312"/>
      <w:sz w:val="24"/>
      <w:szCs w:val="24"/>
    </w:rPr>
  </w:style>
  <w:style w:type="character" w:styleId="1185" w:customStyle="1">
    <w:name w:val="批注框文本 字符"/>
    <w:link w:val="1139"/>
    <w:uiPriority w:val="0"/>
    <w:qFormat/>
    <w:rPr>
      <w:sz w:val="18"/>
      <w:szCs w:val="18"/>
    </w:rPr>
  </w:style>
  <w:style w:type="character" w:styleId="1186" w:customStyle="1">
    <w:name w:val="页脚 字符"/>
    <w:link w:val="1140"/>
    <w:uiPriority w:val="99"/>
    <w:qFormat/>
    <w:rPr>
      <w:rFonts w:ascii="宋体" w:eastAsia="宋体"/>
      <w:sz w:val="18"/>
      <w:lang w:val="en-US" w:eastAsia="zh-CN" w:bidi="ar-SA"/>
    </w:rPr>
  </w:style>
  <w:style w:type="character" w:styleId="1187" w:customStyle="1">
    <w:name w:val="页眉 字符"/>
    <w:link w:val="1142"/>
    <w:uiPriority w:val="0"/>
    <w:qFormat/>
    <w:rPr>
      <w:rFonts w:eastAsia="宋体"/>
      <w:sz w:val="18"/>
      <w:szCs w:val="18"/>
      <w:lang w:val="en-US" w:eastAsia="zh-CN" w:bidi="ar-SA"/>
    </w:rPr>
  </w:style>
  <w:style w:type="character" w:styleId="1188" w:customStyle="1">
    <w:name w:val="正文文本缩进 3 字符"/>
    <w:link w:val="1148"/>
    <w:uiPriority w:val="0"/>
    <w:qFormat/>
    <w:rPr>
      <w:rFonts w:ascii="宋体"/>
      <w:sz w:val="24"/>
    </w:rPr>
  </w:style>
  <w:style w:type="character" w:styleId="1189" w:customStyle="1">
    <w:name w:val="HTML 预设格式 字符"/>
    <w:link w:val="1151"/>
    <w:uiPriority w:val="0"/>
    <w:qFormat/>
    <w:rPr>
      <w:rFonts w:ascii="宋体" w:hAnsi="宋体" w:cs="宋体"/>
      <w:sz w:val="24"/>
      <w:szCs w:val="24"/>
    </w:rPr>
  </w:style>
  <w:style w:type="character" w:styleId="1190" w:customStyle="1">
    <w:name w:val="标题 字符"/>
    <w:link w:val="1154"/>
    <w:uiPriority w:val="0"/>
    <w:qFormat/>
    <w:rPr>
      <w:b/>
      <w:sz w:val="32"/>
    </w:rPr>
  </w:style>
  <w:style w:type="character" w:styleId="1191" w:customStyle="1">
    <w:name w:val="批注主题 字符"/>
    <w:link w:val="1155"/>
    <w:uiPriority w:val="0"/>
    <w:qFormat/>
    <w:rPr>
      <w:rFonts w:ascii="Times New Roman" w:hAnsi="Times New Roman" w:eastAsia="宋体" w:cs="Times New Roman"/>
      <w:b/>
      <w:bCs/>
      <w:sz w:val="21"/>
      <w:szCs w:val="24"/>
      <w:lang w:val="en-US" w:eastAsia="zh-CN" w:bidi="ar-SA"/>
    </w:rPr>
  </w:style>
  <w:style w:type="character" w:styleId="1192" w:customStyle="1">
    <w:name w:val="批注文字 字符"/>
    <w:uiPriority w:val="99"/>
    <w:qFormat/>
    <w:rPr>
      <w:rFonts w:ascii="Times New Roman" w:hAnsi="Times New Roman" w:eastAsia="宋体" w:cs="Times New Roman"/>
      <w:sz w:val="24"/>
      <w:lang w:val="en-US" w:eastAsia="zh-CN" w:bidi="ar-SA"/>
    </w:rPr>
  </w:style>
  <w:style w:type="character" w:styleId="1193" w:customStyle="1">
    <w:name w:val="正文首行缩进 2 字符"/>
    <w:link w:val="1156"/>
    <w:uiPriority w:val="0"/>
    <w:qFormat/>
    <w:rPr>
      <w:rFonts w:eastAsia="宋体"/>
      <w:sz w:val="24"/>
      <w:szCs w:val="24"/>
      <w:lang w:val="en-US" w:eastAsia="zh-CN" w:bidi="ar-SA"/>
    </w:rPr>
  </w:style>
  <w:style w:type="character" w:styleId="1194" w:customStyle="1">
    <w:name w:val="Char Char111"/>
    <w:uiPriority w:val="0"/>
    <w:qFormat/>
    <w:rPr>
      <w:rFonts w:ascii="宋体" w:eastAsia="宋体"/>
      <w:b/>
      <w:sz w:val="24"/>
      <w:u w:val="single"/>
      <w:lang w:val="en-US" w:eastAsia="zh-CN" w:bidi="ar-SA"/>
    </w:rPr>
  </w:style>
  <w:style w:type="character" w:styleId="1195" w:customStyle="1">
    <w:name w:val="bjh-p"/>
    <w:uiPriority w:val="0"/>
    <w:qFormat/>
  </w:style>
  <w:style w:type="character" w:styleId="1196" w:customStyle="1">
    <w:name w:val="纯文本 字符"/>
    <w:uiPriority w:val="99"/>
    <w:qFormat/>
    <w:rPr>
      <w:rFonts w:ascii="宋体" w:hAnsi="Courier New" w:eastAsia="宋体" w:cs="Times New Roman"/>
      <w:sz w:val="21"/>
      <w:szCs w:val="21"/>
      <w:lang w:val="en-US" w:eastAsia="zh-CN" w:bidi="ar-SA"/>
    </w:rPr>
  </w:style>
  <w:style w:type="character" w:styleId="1197" w:customStyle="1">
    <w:name w:val="正文重点 Char"/>
    <w:link w:val="1198"/>
    <w:uiPriority w:val="0"/>
    <w:qFormat/>
    <w:rPr>
      <w:b/>
      <w:sz w:val="24"/>
    </w:rPr>
  </w:style>
  <w:style w:type="paragraph" w:styleId="1198" w:customStyle="1">
    <w:name w:val="正文重点"/>
    <w:basedOn w:val="1108"/>
    <w:link w:val="1197"/>
    <w:uiPriority w:val="0"/>
    <w:qFormat/>
    <w:pPr>
      <w:ind w:firstLine="482"/>
      <w:jc w:val="left"/>
      <w:spacing w:line="360" w:lineRule="auto"/>
    </w:pPr>
    <w:rPr>
      <w:b/>
      <w:sz w:val="24"/>
      <w:szCs w:val="20"/>
    </w:rPr>
  </w:style>
  <w:style w:type="character" w:styleId="1199" w:customStyle="1">
    <w:name w:val="Char Char11"/>
    <w:uiPriority w:val="0"/>
    <w:qFormat/>
    <w:rPr>
      <w:rFonts w:ascii="宋体" w:eastAsia="宋体"/>
      <w:b/>
      <w:sz w:val="24"/>
      <w:u w:val="single"/>
      <w:lang w:val="en-US" w:eastAsia="zh-CN" w:bidi="ar-SA"/>
    </w:rPr>
  </w:style>
  <w:style w:type="character" w:styleId="1200" w:customStyle="1">
    <w:name w:val="chanpin1"/>
    <w:uiPriority w:val="0"/>
    <w:qFormat/>
    <w:rPr>
      <w:rFonts w:hint="default" w:ascii="ˎ̥" w:hAnsi="ˎ̥"/>
      <w:color w:val="000000"/>
      <w:sz w:val="20"/>
      <w:szCs w:val="20"/>
      <w:u w:val="none"/>
    </w:rPr>
  </w:style>
  <w:style w:type="character" w:styleId="1201" w:customStyle="1">
    <w:name w:val="标题 Char"/>
    <w:uiPriority w:val="0"/>
    <w:qFormat/>
    <w:rPr>
      <w:b/>
      <w:sz w:val="32"/>
    </w:rPr>
  </w:style>
  <w:style w:type="character" w:styleId="1202" w:customStyle="1">
    <w:name w:val="段1 Char"/>
    <w:uiPriority w:val="0"/>
    <w:qFormat/>
    <w:rPr>
      <w:rFonts w:ascii="宋体" w:eastAsia="宋体"/>
      <w:sz w:val="24"/>
      <w:lang w:val="en-US" w:eastAsia="zh-CN" w:bidi="ar-SA"/>
    </w:rPr>
  </w:style>
  <w:style w:type="character" w:styleId="1203" w:customStyle="1">
    <w:name w:val="页脚 Char"/>
    <w:uiPriority w:val="0"/>
    <w:qFormat/>
    <w:rPr>
      <w:rFonts w:ascii="宋体" w:eastAsia="宋体"/>
      <w:sz w:val="18"/>
      <w:lang w:val="en-US" w:eastAsia="zh-CN" w:bidi="ar-SA"/>
    </w:rPr>
  </w:style>
  <w:style w:type="character" w:styleId="1204" w:customStyle="1">
    <w:name w:val="c21"/>
    <w:uiPriority w:val="0"/>
    <w:qFormat/>
    <w:rPr>
      <w:rFonts w:hint="default" w:ascii="ˎ̥" w:hAnsi="ˎ̥"/>
      <w:color w:val="000000"/>
      <w:sz w:val="20"/>
      <w:szCs w:val="20"/>
      <w:u w:val="none"/>
    </w:rPr>
  </w:style>
  <w:style w:type="character" w:styleId="1205" w:customStyle="1">
    <w:name w:val="标题 3 Char"/>
    <w:uiPriority w:val="0"/>
    <w:qFormat/>
    <w:rPr>
      <w:rFonts w:ascii="宋体" w:eastAsia="宋体"/>
      <w:b/>
      <w:sz w:val="24"/>
      <w:u w:val="single"/>
      <w:lang w:val="en-US" w:eastAsia="zh-CN" w:bidi="ar-SA"/>
    </w:rPr>
  </w:style>
  <w:style w:type="character" w:styleId="1206" w:customStyle="1">
    <w:name w:val="正文大标题 Char"/>
    <w:link w:val="1207"/>
    <w:uiPriority w:val="0"/>
    <w:qFormat/>
    <w:rPr>
      <w:rFonts w:ascii="宋体" w:hAnsi="宋体"/>
      <w:b/>
      <w:color w:val="000000"/>
      <w:sz w:val="28"/>
      <w:szCs w:val="21"/>
    </w:rPr>
  </w:style>
  <w:style w:type="paragraph" w:styleId="1207" w:customStyle="1">
    <w:name w:val="正文大标题"/>
    <w:basedOn w:val="1208"/>
    <w:next w:val="1120"/>
    <w:link w:val="1206"/>
    <w:uiPriority w:val="0"/>
    <w:qFormat/>
    <w:pPr>
      <w:jc w:val="center"/>
    </w:pPr>
    <w:rPr>
      <w:i w:val="0"/>
      <w:color w:val="000000"/>
      <w:sz w:val="28"/>
      <w:szCs w:val="21"/>
    </w:rPr>
  </w:style>
  <w:style w:type="paragraph" w:styleId="1208" w:customStyle="1">
    <w:name w:val="正文小标题"/>
    <w:basedOn w:val="1108"/>
    <w:next w:val="1120"/>
    <w:link w:val="1209"/>
    <w:uiPriority w:val="0"/>
    <w:qFormat/>
    <w:pPr>
      <w:ind w:firstLine="482"/>
      <w:jc w:val="left"/>
      <w:spacing w:before="312" w:after="312"/>
    </w:pPr>
    <w:rPr>
      <w:rFonts w:ascii="宋体" w:hAnsi="宋体"/>
      <w:b/>
      <w:i/>
      <w:color w:val="ff0000"/>
      <w:sz w:val="24"/>
      <w:szCs w:val="20"/>
    </w:rPr>
  </w:style>
  <w:style w:type="character" w:styleId="1209" w:customStyle="1">
    <w:name w:val="正文小标题 Char"/>
    <w:link w:val="1208"/>
    <w:uiPriority w:val="0"/>
    <w:qFormat/>
    <w:rPr>
      <w:rFonts w:ascii="宋体" w:hAnsi="宋体"/>
      <w:b/>
      <w:i/>
      <w:color w:val="ff0000"/>
      <w:sz w:val="24"/>
    </w:rPr>
  </w:style>
  <w:style w:type="character" w:styleId="1210" w:customStyle="1">
    <w:name w:val="正文格式 Char"/>
    <w:link w:val="1211"/>
    <w:uiPriority w:val="0"/>
    <w:qFormat/>
    <w:rPr>
      <w:rFonts w:ascii="宋体" w:hAnsi="宋体"/>
      <w:sz w:val="24"/>
      <w:szCs w:val="24"/>
      <w:lang w:val="en-GB"/>
    </w:rPr>
  </w:style>
  <w:style w:type="paragraph" w:styleId="1211" w:customStyle="1">
    <w:name w:val="正文格式"/>
    <w:basedOn w:val="1108"/>
    <w:link w:val="1210"/>
    <w:uiPriority w:val="0"/>
    <w:qFormat/>
    <w:pPr>
      <w:ind w:firstLine="480"/>
      <w:spacing w:line="360" w:lineRule="auto"/>
    </w:pPr>
    <w:rPr>
      <w:rFonts w:ascii="宋体" w:hAnsi="宋体"/>
      <w:sz w:val="24"/>
      <w:lang w:val="en-GB"/>
    </w:rPr>
  </w:style>
  <w:style w:type="character" w:styleId="1212" w:customStyle="1">
    <w:name w:val="中等深浅网格 1 - 强调文字颜色 2 Char"/>
    <w:link w:val="1213"/>
    <w:uiPriority w:val="0"/>
    <w:qFormat/>
    <w:rPr>
      <w:sz w:val="21"/>
      <w:szCs w:val="24"/>
      <w:lang w:val="zh-CN" w:eastAsia="zh-CN" w:bidi="ar-SA"/>
    </w:rPr>
  </w:style>
  <w:style w:type="paragraph" w:styleId="1213" w:customStyle="1">
    <w:name w:val="1"/>
    <w:link w:val="1212"/>
    <w:uiPriority w:val="0"/>
    <w:qFormat/>
    <w:rPr>
      <w:rFonts w:ascii="Times New Roman" w:hAnsi="Times New Roman" w:eastAsia="宋体" w:cs="Times New Roman"/>
      <w:sz w:val="21"/>
      <w:szCs w:val="24"/>
      <w:lang w:val="zh-CN" w:eastAsia="zh-CN" w:bidi="ar-SA"/>
    </w:rPr>
  </w:style>
  <w:style w:type="character" w:styleId="1214" w:customStyle="1">
    <w:name w:val="locality"/>
    <w:uiPriority w:val="0"/>
    <w:qFormat/>
  </w:style>
  <w:style w:type="character" w:styleId="1215" w:customStyle="1">
    <w:name w:val="批注文字 Char"/>
    <w:uiPriority w:val="99"/>
    <w:qFormat/>
    <w:rPr>
      <w:sz w:val="21"/>
      <w:szCs w:val="24"/>
    </w:rPr>
  </w:style>
  <w:style w:type="character" w:styleId="1216" w:customStyle="1">
    <w:name w:val="正文表格 Char"/>
    <w:link w:val="1217"/>
    <w:uiPriority w:val="0"/>
    <w:qFormat/>
    <w:rPr>
      <w:rFonts w:ascii="宋体" w:hAnsi="宋体"/>
      <w:color w:val="000000"/>
      <w:sz w:val="21"/>
      <w:szCs w:val="21"/>
    </w:rPr>
  </w:style>
  <w:style w:type="paragraph" w:styleId="1217" w:customStyle="1">
    <w:name w:val="正文表格"/>
    <w:basedOn w:val="1108"/>
    <w:link w:val="1216"/>
    <w:uiPriority w:val="0"/>
    <w:qFormat/>
    <w:pPr>
      <w:jc w:val="left"/>
    </w:pPr>
    <w:rPr>
      <w:rFonts w:ascii="宋体" w:hAnsi="宋体"/>
      <w:color w:val="000000"/>
      <w:szCs w:val="21"/>
    </w:rPr>
  </w:style>
  <w:style w:type="character" w:styleId="1218" w:customStyle="1">
    <w:name w:val="纯文本 字符1"/>
    <w:uiPriority w:val="0"/>
    <w:qFormat/>
    <w:rPr>
      <w:rFonts w:ascii="宋体" w:hAnsi="Courier New"/>
    </w:rPr>
  </w:style>
  <w:style w:type="character" w:styleId="1219" w:customStyle="1">
    <w:name w:val="纯文本 Char1"/>
    <w:uiPriority w:val="0"/>
    <w:qFormat/>
    <w:rPr>
      <w:rFonts w:ascii="宋体" w:hAnsi="Courier New" w:eastAsia="宋体"/>
      <w:sz w:val="21"/>
      <w:lang w:val="en-US" w:eastAsia="zh-CN" w:bidi="ar-SA"/>
    </w:rPr>
  </w:style>
  <w:style w:type="character" w:styleId="1220" w:customStyle="1">
    <w:name w:val="street-address"/>
    <w:uiPriority w:val="0"/>
    <w:qFormat/>
  </w:style>
  <w:style w:type="character" w:styleId="1221" w:customStyle="1">
    <w:name w:val="列出段落 字符"/>
    <w:link w:val="1222"/>
    <w:uiPriority w:val="34"/>
    <w:qFormat/>
    <w:rPr>
      <w:rFonts w:ascii="Calibri" w:hAnsi="Calibri" w:eastAsia="宋体"/>
      <w:sz w:val="21"/>
      <w:szCs w:val="22"/>
      <w:lang w:val="en-US" w:eastAsia="zh-CN" w:bidi="ar-SA"/>
    </w:rPr>
  </w:style>
  <w:style w:type="paragraph" w:styleId="1222">
    <w:name w:val="List Paragraph"/>
    <w:basedOn w:val="1108"/>
    <w:link w:val="1221"/>
    <w:uiPriority w:val="34"/>
    <w:qFormat/>
    <w:pPr>
      <w:ind w:firstLine="420"/>
    </w:pPr>
    <w:rPr>
      <w:rFonts w:ascii="Calibri" w:hAnsi="Calibri"/>
      <w:szCs w:val="22"/>
    </w:rPr>
  </w:style>
  <w:style w:type="character" w:styleId="1223" w:customStyle="1">
    <w:name w:val="txt"/>
    <w:uiPriority w:val="0"/>
    <w:qFormat/>
  </w:style>
  <w:style w:type="character" w:styleId="1224" w:customStyle="1">
    <w:name w:val="列出段落 Char"/>
    <w:uiPriority w:val="0"/>
    <w:qFormat/>
    <w:rPr>
      <w:rFonts w:ascii="Calibri" w:hAnsi="Calibri" w:eastAsia="宋体"/>
      <w:sz w:val="21"/>
      <w:szCs w:val="22"/>
      <w:lang w:val="en-US" w:eastAsia="zh-CN" w:bidi="ar-SA"/>
    </w:rPr>
  </w:style>
  <w:style w:type="character" w:styleId="1225" w:customStyle="1">
    <w:name w:val="black1"/>
    <w:uiPriority w:val="0"/>
    <w:qFormat/>
    <w:rPr>
      <w:color w:val="000000"/>
    </w:rPr>
  </w:style>
  <w:style w:type="character" w:styleId="1226" w:customStyle="1">
    <w:name w:val="正文文本缩进 Char"/>
    <w:uiPriority w:val="0"/>
    <w:qFormat/>
    <w:rPr>
      <w:rFonts w:eastAsia="宋体"/>
      <w:sz w:val="24"/>
      <w:szCs w:val="24"/>
      <w:lang w:val="en-US" w:eastAsia="zh-CN" w:bidi="ar-SA"/>
    </w:rPr>
  </w:style>
  <w:style w:type="character" w:styleId="1227" w:customStyle="1">
    <w:name w:val="正文缩进 Char Char"/>
    <w:link w:val="1228"/>
    <w:uiPriority w:val="0"/>
    <w:qFormat/>
    <w:rPr>
      <w:rFonts w:ascii="宋体" w:eastAsia="宋体"/>
      <w:color w:val="000000"/>
      <w:sz w:val="28"/>
      <w:lang w:bidi="ar-SA"/>
    </w:rPr>
  </w:style>
  <w:style w:type="paragraph" w:styleId="1228" w:customStyle="1">
    <w:name w:val="正文缩进1"/>
    <w:basedOn w:val="1108"/>
    <w:link w:val="1227"/>
    <w:uiPriority w:val="0"/>
    <w:qFormat/>
    <w:pPr>
      <w:ind w:firstLine="567"/>
      <w:spacing w:line="480" w:lineRule="exact"/>
      <w:widowControl/>
    </w:pPr>
    <w:rPr>
      <w:rFonts w:ascii="宋体"/>
      <w:color w:val="000000"/>
      <w:sz w:val="28"/>
      <w:szCs w:val="20"/>
    </w:rPr>
  </w:style>
  <w:style w:type="character" w:styleId="1229" w:customStyle="1">
    <w:name w:val="标题 2 Char Char"/>
    <w:uiPriority w:val="0"/>
    <w:qFormat/>
    <w:rPr>
      <w:rFonts w:ascii="Arial" w:hAnsi="Arial" w:eastAsia="黑体"/>
      <w:b/>
      <w:bCs/>
      <w:sz w:val="32"/>
      <w:szCs w:val="32"/>
      <w:lang w:val="en-US" w:eastAsia="zh-CN" w:bidi="ar-SA"/>
    </w:rPr>
  </w:style>
  <w:style w:type="character" w:styleId="1230" w:customStyle="1">
    <w:name w:val="正文缩进 Char"/>
    <w:uiPriority w:val="0"/>
    <w:qFormat/>
    <w:rPr>
      <w:rFonts w:ascii="宋体" w:eastAsia="宋体"/>
      <w:sz w:val="24"/>
      <w:szCs w:val="24"/>
      <w:lang w:val="en-US" w:eastAsia="zh-CN" w:bidi="ar-SA"/>
    </w:rPr>
  </w:style>
  <w:style w:type="character" w:styleId="1231" w:customStyle="1">
    <w:name w:val="普通文字1 Char1"/>
    <w:uiPriority w:val="0"/>
    <w:qFormat/>
    <w:rPr>
      <w:rFonts w:ascii="宋体" w:hAnsi="Courier New" w:eastAsia="宋体"/>
      <w:sz w:val="21"/>
      <w:lang w:val="en-US" w:eastAsia="zh-CN" w:bidi="ar-SA"/>
    </w:rPr>
  </w:style>
  <w:style w:type="character" w:styleId="1232" w:customStyle="1">
    <w:name w:val="页眉 Char"/>
    <w:uiPriority w:val="0"/>
    <w:qFormat/>
    <w:rPr>
      <w:rFonts w:eastAsia="宋体"/>
      <w:sz w:val="18"/>
      <w:szCs w:val="18"/>
      <w:lang w:val="en-US" w:eastAsia="zh-CN" w:bidi="ar-SA"/>
    </w:rPr>
  </w:style>
  <w:style w:type="character" w:styleId="1233" w:customStyle="1">
    <w:name w:val="注释 Char"/>
    <w:link w:val="1234"/>
    <w:uiPriority w:val="0"/>
    <w:qFormat/>
    <w:rPr>
      <w:rFonts w:ascii="宋体" w:hAnsi="宋体"/>
      <w:sz w:val="21"/>
      <w:szCs w:val="21"/>
    </w:rPr>
  </w:style>
  <w:style w:type="paragraph" w:styleId="1234" w:customStyle="1">
    <w:name w:val="注释"/>
    <w:basedOn w:val="1108"/>
    <w:link w:val="1233"/>
    <w:uiPriority w:val="0"/>
    <w:qFormat/>
    <w:pPr>
      <w:ind w:left="420" w:hanging="420"/>
      <w:jc w:val="left"/>
    </w:pPr>
    <w:rPr>
      <w:rFonts w:ascii="宋体" w:hAnsi="宋体"/>
      <w:szCs w:val="21"/>
    </w:rPr>
  </w:style>
  <w:style w:type="character" w:styleId="1235" w:customStyle="1">
    <w:name w:val="成文日期 Char"/>
    <w:link w:val="1236"/>
    <w:uiPriority w:val="0"/>
    <w:qFormat/>
    <w:rPr>
      <w:rFonts w:ascii="仿宋_GB2312" w:eastAsia="仿宋_GB2312"/>
      <w:sz w:val="32"/>
    </w:rPr>
  </w:style>
  <w:style w:type="paragraph" w:styleId="1236" w:customStyle="1">
    <w:name w:val="成文日期"/>
    <w:basedOn w:val="1108"/>
    <w:link w:val="1235"/>
    <w:uiPriority w:val="0"/>
    <w:qFormat/>
    <w:pPr>
      <w:ind w:right="400" w:firstLine="200"/>
      <w:jc w:val="right"/>
      <w:spacing w:line="570" w:lineRule="exact"/>
    </w:pPr>
    <w:rPr>
      <w:rFonts w:ascii="仿宋_GB2312" w:eastAsia="仿宋_GB2312"/>
      <w:sz w:val="32"/>
      <w:szCs w:val="20"/>
    </w:rPr>
  </w:style>
  <w:style w:type="character" w:styleId="1237" w:customStyle="1">
    <w:name w:val="apple-style-span"/>
    <w:uiPriority w:val="0"/>
    <w:qFormat/>
    <w:rPr>
      <w:rFonts w:cs="Times New Roman"/>
    </w:rPr>
  </w:style>
  <w:style w:type="character" w:styleId="1238" w:customStyle="1">
    <w:name w:val="title4"/>
    <w:uiPriority w:val="0"/>
    <w:qFormat/>
    <w:rPr>
      <w:b/>
      <w:bCs/>
      <w:color w:val="1d87b3"/>
      <w:sz w:val="15"/>
      <w:szCs w:val="15"/>
    </w:rPr>
  </w:style>
  <w:style w:type="character" w:styleId="1239" w:customStyle="1">
    <w:name w:val="标题 2 Char"/>
    <w:uiPriority w:val="0"/>
    <w:qFormat/>
    <w:rPr>
      <w:rFonts w:ascii="Arial" w:hAnsi="Arial" w:eastAsia="黑体"/>
      <w:b/>
      <w:sz w:val="30"/>
      <w:lang w:val="en-US" w:eastAsia="zh-CN" w:bidi="ar-SA"/>
    </w:rPr>
  </w:style>
  <w:style w:type="character" w:styleId="1240" w:customStyle="1">
    <w:name w:val="标题 3 Char Char"/>
    <w:uiPriority w:val="0"/>
    <w:qFormat/>
    <w:rPr>
      <w:rFonts w:eastAsia="宋体"/>
      <w:b/>
      <w:bCs/>
      <w:sz w:val="32"/>
      <w:szCs w:val="32"/>
      <w:lang w:val="en-US" w:eastAsia="zh-CN" w:bidi="ar-SA"/>
    </w:rPr>
  </w:style>
  <w:style w:type="character" w:styleId="1241" w:customStyle="1">
    <w:name w:val="正文文本缩进 Char1"/>
    <w:link w:val="1242"/>
    <w:uiPriority w:val="0"/>
    <w:qFormat/>
    <w:rPr>
      <w:rFonts w:ascii="宋体" w:hAnsi="宋体" w:eastAsia="宋体"/>
      <w:sz w:val="24"/>
      <w:szCs w:val="24"/>
      <w:lang w:bidi="ar-SA"/>
    </w:rPr>
  </w:style>
  <w:style w:type="paragraph" w:styleId="1242" w:customStyle="1">
    <w:name w:val="正文文本缩进1"/>
    <w:basedOn w:val="1108"/>
    <w:link w:val="1241"/>
    <w:uiPriority w:val="0"/>
    <w:qFormat/>
    <w:pPr>
      <w:ind w:firstLine="480"/>
      <w:spacing w:line="480" w:lineRule="exact"/>
    </w:pPr>
    <w:rPr>
      <w:rFonts w:ascii="宋体" w:hAnsi="宋体"/>
      <w:sz w:val="24"/>
    </w:rPr>
  </w:style>
  <w:style w:type="character" w:styleId="1243" w:customStyle="1">
    <w:name w:val="chanpin拷贝"/>
    <w:uiPriority w:val="0"/>
    <w:qFormat/>
  </w:style>
  <w:style w:type="paragraph" w:styleId="1244" w:customStyle="1">
    <w:name w:val="样式 标题 2 + 宋体 五号 行距: 单倍行距"/>
    <w:basedOn w:val="1110"/>
    <w:uiPriority w:val="0"/>
    <w:qFormat/>
    <w:pPr>
      <w:numPr>
        <w:ilvl w:val="1"/>
        <w:numId w:val="1"/>
      </w:numPr>
      <w:jc w:val="left"/>
      <w:spacing w:before="260" w:after="260" w:line="240" w:lineRule="auto"/>
    </w:pPr>
    <w:rPr>
      <w:rFonts w:ascii="宋体" w:hAnsi="宋体" w:eastAsia="宋体"/>
      <w:bCs/>
      <w:sz w:val="21"/>
    </w:rPr>
  </w:style>
  <w:style w:type="paragraph" w:styleId="1245" w:customStyle="1">
    <w:name w:val="正文须知-1级"/>
    <w:basedOn w:val="1108"/>
    <w:next w:val="1108"/>
    <w:uiPriority w:val="0"/>
    <w:qFormat/>
    <w:pPr>
      <w:numPr>
        <w:ilvl w:val="0"/>
        <w:numId w:val="2"/>
      </w:numPr>
      <w:spacing w:line="300" w:lineRule="auto"/>
    </w:pPr>
    <w:rPr>
      <w:rFonts w:ascii="宋体" w:hAnsi="Calibri"/>
      <w:sz w:val="24"/>
      <w:szCs w:val="21"/>
    </w:rPr>
  </w:style>
  <w:style w:type="paragraph" w:styleId="1246" w:customStyle="1">
    <w:name w:val="background1"/>
    <w:basedOn w:val="1108"/>
    <w:uiPriority w:val="0"/>
    <w:qFormat/>
    <w:pPr>
      <w:jc w:val="left"/>
      <w:spacing w:before="100" w:beforeAutospacing="1" w:after="100" w:afterAutospacing="1"/>
      <w:widowControl/>
    </w:pPr>
    <w:rPr>
      <w:rFonts w:ascii="宋体" w:hAnsi="宋体" w:cs="宋体"/>
      <w:sz w:val="24"/>
    </w:rPr>
  </w:style>
  <w:style w:type="paragraph" w:styleId="1247" w:customStyle="1">
    <w:name w:val="xl40"/>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8" w:customStyle="1">
    <w:name w:val="纯文本1"/>
    <w:next w:val="1144"/>
    <w:uiPriority w:val="0"/>
    <w:qFormat/>
    <w:pPr>
      <w:jc w:val="both"/>
      <w:widowControl w:val="off"/>
    </w:pPr>
    <w:rPr>
      <w:rFonts w:ascii="宋体" w:hAnsi="宋体" w:eastAsia="宋体" w:cs="Times New Roman"/>
      <w:sz w:val="26"/>
      <w:lang w:val="en-US" w:eastAsia="zh-CN" w:bidi="ar-SA"/>
    </w:rPr>
  </w:style>
  <w:style w:type="paragraph" w:styleId="1249" w:customStyle="1">
    <w:name w:val="修订1"/>
    <w:uiPriority w:val="0"/>
    <w:qFormat/>
    <w:rPr>
      <w:rFonts w:ascii="Times New Roman" w:hAnsi="Times New Roman" w:eastAsia="宋体" w:cs="Times New Roman"/>
      <w:sz w:val="21"/>
      <w:szCs w:val="24"/>
      <w:lang w:val="en-US" w:eastAsia="zh-CN" w:bidi="ar-SA"/>
    </w:rPr>
  </w:style>
  <w:style w:type="paragraph" w:styleId="1250" w:customStyle="1">
    <w:name w:val="二级条标题"/>
    <w:basedOn w:val="1251"/>
    <w:next w:val="110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1" w:customStyle="1">
    <w:name w:val="一级条标题"/>
    <w:basedOn w:val="1252"/>
    <w:next w:val="1108"/>
    <w:uiPriority w:val="0"/>
    <w:qFormat/>
    <w:pPr>
      <w:numPr>
        <w:ilvl w:val="1"/>
      </w:numPr>
      <w:ind w:left="0" w:hanging="840"/>
      <w:tabs>
        <w:tab w:val="left" w:pos="360" w:leader="none"/>
        <w:tab w:val="left" w:pos="840" w:leader="none"/>
      </w:tabs>
      <w:outlineLvl w:val="1"/>
    </w:pPr>
  </w:style>
  <w:style w:type="paragraph" w:styleId="1252" w:customStyle="1">
    <w:name w:val="章标题"/>
    <w:next w:val="1108"/>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3" w:customStyle="1">
    <w:name w:val="Char Char1 Char Char Char Char Char Char Char Char"/>
    <w:basedOn w:val="1108"/>
    <w:uiPriority w:val="0"/>
    <w:qFormat/>
    <w:pPr>
      <w:jc w:val="left"/>
      <w:spacing w:after="160" w:line="240" w:lineRule="exact"/>
      <w:widowControl/>
    </w:pPr>
    <w:rPr>
      <w:rFonts w:ascii="Verdana" w:hAnsi="Verdana"/>
      <w:sz w:val="20"/>
      <w:szCs w:val="20"/>
      <w:lang w:eastAsia="en-US"/>
    </w:rPr>
  </w:style>
  <w:style w:type="paragraph" w:styleId="1254" w:customStyle="1">
    <w:name w:val="Char Char Char1 Char"/>
    <w:basedOn w:val="1108"/>
    <w:uiPriority w:val="0"/>
    <w:qFormat/>
    <w:rPr>
      <w:rFonts w:ascii="Tahoma" w:hAnsi="Tahoma"/>
      <w:sz w:val="24"/>
      <w:szCs w:val="20"/>
    </w:rPr>
  </w:style>
  <w:style w:type="paragraph" w:styleId="1255" w:customStyle="1">
    <w:name w:val="xl42"/>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56" w:customStyle="1">
    <w:name w:val="xl24"/>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7" w:customStyle="1">
    <w:name w:val="Char2 Char Char Char Char Char Char"/>
    <w:basedOn w:val="1108"/>
    <w:uiPriority w:val="0"/>
    <w:qFormat/>
    <w:pPr>
      <w:jc w:val="center"/>
      <w:spacing w:line="400" w:lineRule="exact"/>
      <w:widowControl/>
    </w:pPr>
  </w:style>
  <w:style w:type="paragraph" w:styleId="1258" w:customStyle="1">
    <w:name w:val="xl39"/>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9" w:customStyle="1">
    <w:name w:val="1 Char Char Char Char"/>
    <w:basedOn w:val="1108"/>
    <w:uiPriority w:val="0"/>
    <w:qFormat/>
    <w:rPr>
      <w:rFonts w:ascii="Tahoma" w:hAnsi="Tahoma"/>
      <w:sz w:val="24"/>
      <w:szCs w:val="20"/>
    </w:rPr>
  </w:style>
  <w:style w:type="paragraph" w:styleId="1260" w:customStyle="1">
    <w:name w:val="xl43"/>
    <w:basedOn w:val="11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61" w:customStyle="1">
    <w:name w:val="字元 字元"/>
    <w:basedOn w:val="1108"/>
    <w:uiPriority w:val="0"/>
    <w:qFormat/>
    <w:rPr>
      <w:rFonts w:ascii="Tahoma" w:hAnsi="Tahoma"/>
      <w:sz w:val="24"/>
      <w:szCs w:val="20"/>
    </w:rPr>
  </w:style>
  <w:style w:type="paragraph" w:styleId="1262" w:customStyle="1">
    <w:name w:val="font7"/>
    <w:basedOn w:val="1108"/>
    <w:uiPriority w:val="0"/>
    <w:qFormat/>
    <w:pPr>
      <w:jc w:val="left"/>
      <w:spacing w:before="100" w:beforeAutospacing="1" w:after="100" w:afterAutospacing="1"/>
      <w:widowControl/>
    </w:pPr>
    <w:rPr>
      <w:rFonts w:eastAsia="Arial Unicode MS"/>
      <w:b/>
      <w:bCs/>
      <w:color w:val="000000"/>
      <w:sz w:val="20"/>
      <w:szCs w:val="20"/>
    </w:rPr>
  </w:style>
  <w:style w:type="paragraph" w:styleId="1263" w:customStyle="1">
    <w:name w:val="Char Char1 Char Char Char Char Char Char1"/>
    <w:basedOn w:val="1108"/>
    <w:uiPriority w:val="0"/>
    <w:qFormat/>
    <w:pPr>
      <w:jc w:val="left"/>
      <w:spacing w:after="160" w:line="240" w:lineRule="exact"/>
      <w:widowControl/>
    </w:pPr>
    <w:rPr>
      <w:rFonts w:ascii="Verdana" w:hAnsi="Verdana" w:eastAsia="仿宋_GB2312"/>
      <w:sz w:val="24"/>
      <w:szCs w:val="20"/>
      <w:lang w:eastAsia="en-US"/>
    </w:rPr>
  </w:style>
  <w:style w:type="paragraph" w:styleId="1264" w:customStyle="1">
    <w:name w:val="字元 字元1"/>
    <w:basedOn w:val="1108"/>
    <w:uiPriority w:val="0"/>
    <w:qFormat/>
    <w:rPr>
      <w:rFonts w:ascii="Tahoma" w:hAnsi="Tahoma"/>
      <w:sz w:val="24"/>
      <w:szCs w:val="20"/>
    </w:rPr>
  </w:style>
  <w:style w:type="paragraph" w:styleId="1265" w:customStyle="1">
    <w:name w:val="Char Char1 Char Char Char Char Char Char"/>
    <w:basedOn w:val="1108"/>
    <w:uiPriority w:val="0"/>
    <w:qFormat/>
    <w:pPr>
      <w:jc w:val="left"/>
      <w:spacing w:after="160" w:line="240" w:lineRule="exact"/>
      <w:widowControl/>
    </w:pPr>
    <w:rPr>
      <w:rFonts w:ascii="Verdana" w:hAnsi="Verdana" w:eastAsia="仿宋_GB2312"/>
      <w:sz w:val="24"/>
      <w:szCs w:val="20"/>
      <w:lang w:eastAsia="en-US"/>
    </w:rPr>
  </w:style>
  <w:style w:type="paragraph" w:styleId="1266" w:customStyle="1">
    <w:name w:val="xl26"/>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67" w:customStyle="1">
    <w:name w:val="font8"/>
    <w:basedOn w:val="1108"/>
    <w:uiPriority w:val="0"/>
    <w:qFormat/>
    <w:pPr>
      <w:jc w:val="left"/>
      <w:spacing w:before="100" w:beforeAutospacing="1" w:after="100" w:afterAutospacing="1"/>
      <w:widowControl/>
    </w:pPr>
    <w:rPr>
      <w:sz w:val="36"/>
      <w:szCs w:val="36"/>
    </w:rPr>
  </w:style>
  <w:style w:type="paragraph" w:styleId="1268" w:customStyle="1">
    <w:name w:val="Char Char41"/>
    <w:basedOn w:val="1108"/>
    <w:uiPriority w:val="0"/>
    <w:qFormat/>
    <w:pPr>
      <w:jc w:val="center"/>
      <w:spacing w:line="400" w:lineRule="exact"/>
      <w:widowControl/>
    </w:pPr>
  </w:style>
  <w:style w:type="paragraph" w:styleId="1269" w:customStyle="1">
    <w:name w:val="Char2"/>
    <w:basedOn w:val="1108"/>
    <w:uiPriority w:val="0"/>
    <w:qFormat/>
    <w:rPr>
      <w:rFonts w:ascii="Tahoma" w:hAnsi="Tahoma"/>
      <w:sz w:val="24"/>
      <w:szCs w:val="20"/>
    </w:rPr>
  </w:style>
  <w:style w:type="paragraph" w:styleId="1270" w:customStyle="1">
    <w:name w:val="正文文本样式 加粗"/>
    <w:basedOn w:val="1271"/>
    <w:uiPriority w:val="0"/>
    <w:qFormat/>
    <w:rPr>
      <w:b/>
    </w:rPr>
  </w:style>
  <w:style w:type="paragraph" w:styleId="1271" w:customStyle="1">
    <w:name w:val="正文文本样式"/>
    <w:basedOn w:val="1108"/>
    <w:uiPriority w:val="0"/>
    <w:qFormat/>
    <w:pPr>
      <w:ind w:firstLine="482"/>
      <w:spacing w:line="360" w:lineRule="auto"/>
    </w:pPr>
    <w:rPr>
      <w:rFonts w:cs="宋体"/>
      <w:sz w:val="24"/>
      <w:szCs w:val="20"/>
    </w:rPr>
  </w:style>
  <w:style w:type="paragraph" w:styleId="1272" w:customStyle="1">
    <w:name w:val="项目编号1"/>
    <w:basedOn w:val="1108"/>
    <w:uiPriority w:val="0"/>
    <w:qFormat/>
    <w:pPr>
      <w:numPr>
        <w:ilvl w:val="0"/>
        <w:numId w:val="4"/>
      </w:numPr>
      <w:spacing w:before="100" w:beforeAutospacing="1" w:after="100" w:afterAutospacing="1" w:line="360" w:lineRule="auto"/>
    </w:pPr>
    <w:rPr>
      <w:sz w:val="24"/>
    </w:rPr>
  </w:style>
  <w:style w:type="paragraph" w:styleId="1273" w:customStyle="1">
    <w:name w:val="xl23"/>
    <w:basedOn w:val="1108"/>
    <w:uiPriority w:val="0"/>
    <w:qFormat/>
    <w:pPr>
      <w:spacing w:before="100" w:beforeAutospacing="1" w:after="100" w:afterAutospacing="1" w:line="360" w:lineRule="auto"/>
      <w:widowControl/>
    </w:pPr>
    <w:rPr>
      <w:sz w:val="24"/>
      <w:szCs w:val="20"/>
    </w:rPr>
  </w:style>
  <w:style w:type="paragraph" w:styleId="1274" w:customStyle="1">
    <w:name w:val="_Style 15"/>
    <w:basedOn w:val="1108"/>
    <w:next w:val="1108"/>
    <w:uiPriority w:val="0"/>
    <w:qFormat/>
    <w:pPr>
      <w:ind w:left="420" w:firstLine="420"/>
      <w:spacing w:after="120"/>
    </w:pPr>
    <w:rPr>
      <w:szCs w:val="22"/>
    </w:rPr>
  </w:style>
  <w:style w:type="paragraph" w:styleId="1275" w:customStyle="1">
    <w:name w:val="xl32"/>
    <w:basedOn w:val="11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76" w:customStyle="1">
    <w:name w:val="正文须知-3级"/>
    <w:basedOn w:val="1108"/>
    <w:uiPriority w:val="0"/>
    <w:qFormat/>
    <w:pPr>
      <w:numPr>
        <w:ilvl w:val="2"/>
        <w:numId w:val="2"/>
      </w:numPr>
      <w:ind w:hanging="355"/>
      <w:spacing w:line="300" w:lineRule="auto"/>
    </w:pPr>
    <w:rPr>
      <w:rFonts w:ascii="宋体" w:hAnsi="Calibri"/>
      <w:sz w:val="24"/>
      <w:szCs w:val="21"/>
    </w:rPr>
  </w:style>
  <w:style w:type="paragraph" w:styleId="1277" w:customStyle="1">
    <w:name w:val="标题1-附件"/>
    <w:basedOn w:val="1109"/>
    <w:uiPriority w:val="0"/>
    <w:qFormat/>
    <w:pPr>
      <w:jc w:val="left"/>
    </w:pPr>
    <w:rPr>
      <w:sz w:val="24"/>
      <w:szCs w:val="24"/>
    </w:rPr>
  </w:style>
  <w:style w:type="paragraph" w:styleId="1278" w:customStyle="1">
    <w:name w:val="Char3"/>
    <w:basedOn w:val="1108"/>
    <w:uiPriority w:val="0"/>
    <w:qFormat/>
    <w:pPr>
      <w:tabs>
        <w:tab w:val="left" w:pos="360" w:leader="none"/>
      </w:tabs>
    </w:pPr>
    <w:rPr>
      <w:sz w:val="24"/>
    </w:rPr>
  </w:style>
  <w:style w:type="paragraph" w:styleId="1279" w:customStyle="1">
    <w:name w:val="xl31"/>
    <w:basedOn w:val="11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80" w:customStyle="1">
    <w:name w:val="xl53"/>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1" w:customStyle="1">
    <w:name w:val="font6"/>
    <w:basedOn w:val="1108"/>
    <w:uiPriority w:val="0"/>
    <w:qFormat/>
    <w:pPr>
      <w:jc w:val="left"/>
      <w:spacing w:before="100" w:beforeAutospacing="1" w:after="100" w:afterAutospacing="1"/>
      <w:widowControl/>
    </w:pPr>
    <w:rPr>
      <w:rFonts w:ascii="宋体" w:hAnsi="宋体" w:cs="宋体"/>
      <w:sz w:val="20"/>
      <w:szCs w:val="20"/>
    </w:rPr>
  </w:style>
  <w:style w:type="paragraph" w:styleId="1282" w:customStyle="1">
    <w:name w:val="xl35"/>
    <w:basedOn w:val="11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customStyle="1">
    <w:name w:val="Char Char Char1 Char2"/>
    <w:basedOn w:val="1108"/>
    <w:uiPriority w:val="0"/>
    <w:qFormat/>
    <w:rPr>
      <w:rFonts w:ascii="Tahoma" w:hAnsi="Tahoma"/>
      <w:sz w:val="24"/>
      <w:szCs w:val="20"/>
    </w:rPr>
  </w:style>
  <w:style w:type="paragraph" w:styleId="1284" w:customStyle="1">
    <w:name w:val="正文列项_字母"/>
    <w:basedOn w:val="1108"/>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285" w:customStyle="1">
    <w:name w:val="1名"/>
    <w:basedOn w:val="1108"/>
    <w:uiPriority w:val="0"/>
    <w:qFormat/>
    <w:pPr>
      <w:numPr>
        <w:ilvl w:val="0"/>
        <w:numId w:val="5"/>
      </w:numPr>
      <w:spacing w:before="120"/>
    </w:pPr>
    <w:rPr>
      <w:rFonts w:ascii="宋体"/>
      <w:sz w:val="28"/>
      <w:szCs w:val="20"/>
    </w:rPr>
  </w:style>
  <w:style w:type="paragraph" w:styleId="1286" w:customStyle="1">
    <w:name w:val="样式 宋体 五号 行距: 单倍行距"/>
    <w:basedOn w:val="1108"/>
    <w:uiPriority w:val="0"/>
    <w:qFormat/>
    <w:pPr>
      <w:jc w:val="left"/>
    </w:pPr>
    <w:rPr>
      <w:rFonts w:ascii="宋体" w:hAnsi="宋体"/>
      <w:szCs w:val="20"/>
    </w:rPr>
  </w:style>
  <w:style w:type="paragraph" w:styleId="1287" w:customStyle="1">
    <w:name w:val="表格1"/>
    <w:basedOn w:val="1108"/>
    <w:uiPriority w:val="0"/>
    <w:qFormat/>
    <w:pPr>
      <w:ind w:firstLine="480"/>
      <w:jc w:val="center"/>
    </w:pPr>
    <w:rPr>
      <w:sz w:val="24"/>
      <w:szCs w:val="20"/>
    </w:rPr>
  </w:style>
  <w:style w:type="paragraph" w:styleId="1288" w:customStyle="1">
    <w:name w:val="字元 字元2"/>
    <w:basedOn w:val="1108"/>
    <w:uiPriority w:val="0"/>
    <w:qFormat/>
    <w:rPr>
      <w:rFonts w:ascii="Tahoma" w:hAnsi="Tahoma"/>
      <w:sz w:val="24"/>
      <w:szCs w:val="20"/>
    </w:rPr>
  </w:style>
  <w:style w:type="paragraph" w:styleId="1289" w:customStyle="1">
    <w:name w:val="文档正文"/>
    <w:basedOn w:val="1108"/>
    <w:uiPriority w:val="0"/>
    <w:qFormat/>
    <w:pPr>
      <w:spacing w:before="120" w:after="120" w:line="180" w:lineRule="auto"/>
    </w:pPr>
    <w:rPr>
      <w:rFonts w:ascii="Arial" w:hAnsi="Arial"/>
      <w:szCs w:val="20"/>
    </w:rPr>
  </w:style>
  <w:style w:type="paragraph" w:styleId="1290" w:customStyle="1">
    <w:name w:val="xl48"/>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91" w:customStyle="1">
    <w:name w:val="xl51"/>
    <w:basedOn w:val="11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2" w:customStyle="1">
    <w:name w:val="xl37"/>
    <w:basedOn w:val="11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3" w:customStyle="1">
    <w:name w:val="Char1 Char Char Char1"/>
    <w:basedOn w:val="1108"/>
    <w:uiPriority w:val="0"/>
    <w:qFormat/>
    <w:rPr>
      <w:rFonts w:ascii="Tahoma" w:hAnsi="Tahoma" w:cs="仿宋_GB2312"/>
      <w:sz w:val="24"/>
      <w:szCs w:val="28"/>
    </w:rPr>
  </w:style>
  <w:style w:type="paragraph" w:styleId="1294" w:customStyle="1">
    <w:name w:val="图例"/>
    <w:basedOn w:val="1108"/>
    <w:uiPriority w:val="0"/>
    <w:qFormat/>
    <w:pPr>
      <w:jc w:val="center"/>
      <w:spacing w:before="120" w:after="120" w:line="360" w:lineRule="auto"/>
    </w:pPr>
    <w:rPr>
      <w:rFonts w:eastAsia="仿宋_GB2312"/>
      <w:b/>
      <w:sz w:val="24"/>
      <w:szCs w:val="20"/>
    </w:rPr>
  </w:style>
  <w:style w:type="paragraph" w:styleId="1295" w:customStyle="1">
    <w:name w:val="Char Char1"/>
    <w:basedOn w:val="1126"/>
    <w:uiPriority w:val="0"/>
    <w:qFormat/>
    <w:rPr>
      <w:rFonts w:ascii="Tahoma" w:hAnsi="Tahoma"/>
      <w:sz w:val="24"/>
    </w:rPr>
  </w:style>
  <w:style w:type="paragraph" w:styleId="1296" w:customStyle="1">
    <w:name w:val="Char Char Char Char Char Char Char Char Char Char Char Char Char Char Char Char"/>
    <w:basedOn w:val="1108"/>
    <w:uiPriority w:val="0"/>
    <w:qFormat/>
    <w:pPr>
      <w:jc w:val="center"/>
      <w:spacing w:after="160" w:line="240" w:lineRule="exact"/>
      <w:widowControl/>
    </w:pPr>
    <w:rPr>
      <w:rFonts w:ascii="宋体" w:hAnsi="宋体"/>
      <w:b/>
      <w:sz w:val="30"/>
      <w:szCs w:val="30"/>
      <w:lang w:eastAsia="en-US"/>
    </w:rPr>
  </w:style>
  <w:style w:type="paragraph" w:styleId="1297" w:customStyle="1">
    <w:name w:val="xl25"/>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8" w:customStyle="1">
    <w:name w:val="正文列项_数字"/>
    <w:basedOn w:val="1108"/>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299" w:customStyle="1">
    <w:name w:val="默认段落字体 Para Char Char Char Char"/>
    <w:basedOn w:val="1108"/>
    <w:uiPriority w:val="0"/>
    <w:qFormat/>
    <w:rPr>
      <w:rFonts w:ascii="Arial" w:hAnsi="Arial" w:cs="Arial"/>
      <w:szCs w:val="21"/>
    </w:rPr>
  </w:style>
  <w:style w:type="paragraph" w:styleId="1300" w:customStyle="1">
    <w:name w:val="xl44"/>
    <w:basedOn w:val="11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01" w:customStyle="1">
    <w:name w:val="xl29"/>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2" w:customStyle="1">
    <w:name w:val="font9"/>
    <w:basedOn w:val="110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3" w:customStyle="1">
    <w:name w:val="Char Char Char Char Char Char Char1"/>
    <w:basedOn w:val="1108"/>
    <w:uiPriority w:val="0"/>
    <w:qFormat/>
    <w:pPr>
      <w:ind w:firstLine="200"/>
      <w:spacing w:line="360" w:lineRule="auto"/>
    </w:pPr>
    <w:rPr>
      <w:rFonts w:eastAsia="仿宋_GB2312"/>
      <w:sz w:val="24"/>
    </w:rPr>
  </w:style>
  <w:style w:type="paragraph" w:styleId="1304" w:customStyle="1">
    <w:name w:val="Char Char4"/>
    <w:basedOn w:val="1108"/>
    <w:uiPriority w:val="0"/>
    <w:qFormat/>
    <w:pPr>
      <w:jc w:val="center"/>
      <w:spacing w:line="400" w:lineRule="exact"/>
      <w:widowControl/>
    </w:pPr>
  </w:style>
  <w:style w:type="paragraph" w:styleId="1305" w:customStyle="1">
    <w:name w:val="xl50"/>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06" w:customStyle="1">
    <w:name w:val="xl52"/>
    <w:basedOn w:val="11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07" w:customStyle="1">
    <w:name w:val="Char Char Char"/>
    <w:basedOn w:val="1108"/>
    <w:uiPriority w:val="0"/>
    <w:qFormat/>
    <w:rPr>
      <w:rFonts w:ascii="Tahoma" w:hAnsi="Tahoma"/>
      <w:sz w:val="24"/>
      <w:szCs w:val="20"/>
    </w:rPr>
  </w:style>
  <w:style w:type="paragraph" w:styleId="1308" w:customStyle="1">
    <w:name w:val="项目编号2"/>
    <w:basedOn w:val="1272"/>
    <w:uiPriority w:val="0"/>
    <w:qFormat/>
    <w:pPr>
      <w:numPr>
        <w:numId w:val="6"/>
      </w:numPr>
    </w:pPr>
  </w:style>
  <w:style w:type="paragraph" w:styleId="1309" w:customStyle="1">
    <w:name w:val="正文须知-2级"/>
    <w:basedOn w:val="1108"/>
    <w:uiPriority w:val="0"/>
    <w:qFormat/>
    <w:pPr>
      <w:numPr>
        <w:ilvl w:val="1"/>
        <w:numId w:val="2"/>
      </w:numPr>
      <w:spacing w:line="300" w:lineRule="auto"/>
    </w:pPr>
    <w:rPr>
      <w:rFonts w:ascii="宋体" w:hAnsi="Calibri"/>
      <w:sz w:val="24"/>
      <w:szCs w:val="21"/>
    </w:rPr>
  </w:style>
  <w:style w:type="paragraph" w:styleId="1310" w:customStyle="1">
    <w:name w:val="Char Char Char Char Char Char Char2"/>
    <w:basedOn w:val="1108"/>
    <w:uiPriority w:val="0"/>
    <w:qFormat/>
    <w:pPr>
      <w:ind w:firstLine="200"/>
      <w:spacing w:line="360" w:lineRule="auto"/>
    </w:pPr>
    <w:rPr>
      <w:rFonts w:eastAsia="仿宋_GB2312"/>
      <w:sz w:val="24"/>
    </w:rPr>
  </w:style>
  <w:style w:type="paragraph" w:styleId="131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12" w:customStyle="1">
    <w:name w:val="Char Char Char2"/>
    <w:basedOn w:val="1108"/>
    <w:uiPriority w:val="0"/>
    <w:qFormat/>
    <w:rPr>
      <w:rFonts w:ascii="Tahoma" w:hAnsi="Tahoma"/>
      <w:sz w:val="24"/>
      <w:szCs w:val="20"/>
    </w:rPr>
  </w:style>
  <w:style w:type="paragraph" w:styleId="1313" w:customStyle="1">
    <w:name w:val="Revision"/>
    <w:uiPriority w:val="99"/>
    <w:unhideWhenUsed/>
    <w:qFormat/>
    <w:rPr>
      <w:rFonts w:ascii="Times New Roman" w:hAnsi="Times New Roman" w:eastAsia="宋体" w:cs="Times New Roman"/>
      <w:sz w:val="21"/>
      <w:szCs w:val="24"/>
      <w:lang w:val="en-US" w:eastAsia="zh-CN" w:bidi="ar-SA"/>
    </w:rPr>
  </w:style>
  <w:style w:type="paragraph" w:styleId="1314" w:customStyle="1">
    <w:name w:val="xl45"/>
    <w:basedOn w:val="11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15" w:customStyle="1">
    <w:name w:val="列出段落2"/>
    <w:basedOn w:val="1108"/>
    <w:uiPriority w:val="0"/>
    <w:qFormat/>
    <w:pPr>
      <w:ind w:firstLine="420"/>
    </w:pPr>
    <w:rPr>
      <w:rFonts w:ascii="Calibri" w:hAnsi="Calibri"/>
      <w:szCs w:val="22"/>
    </w:rPr>
  </w:style>
  <w:style w:type="paragraph" w:styleId="1316" w:customStyle="1">
    <w:name w:val="xl30"/>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7" w:customStyle="1">
    <w:name w:val="图中文字"/>
    <w:basedOn w:val="1108"/>
    <w:uiPriority w:val="0"/>
    <w:qFormat/>
    <w:pPr>
      <w:jc w:val="center"/>
      <w:spacing w:line="0" w:lineRule="atLeast"/>
    </w:pPr>
    <w:rPr>
      <w:sz w:val="24"/>
      <w:szCs w:val="20"/>
    </w:rPr>
  </w:style>
  <w:style w:type="paragraph" w:styleId="1318" w:customStyle="1">
    <w:name w:val="Table Paragraph"/>
    <w:basedOn w:val="1108"/>
    <w:uiPriority w:val="1"/>
    <w:qFormat/>
    <w:pPr>
      <w:jc w:val="left"/>
    </w:pPr>
    <w:rPr>
      <w:rFonts w:ascii="宋体" w:hAnsi="宋体" w:cs="宋体"/>
      <w:sz w:val="22"/>
      <w:szCs w:val="22"/>
      <w:lang w:eastAsia="en-US"/>
    </w:rPr>
  </w:style>
  <w:style w:type="paragraph" w:styleId="1319" w:customStyle="1">
    <w:name w:val="正文 + 楷体_GB2312"/>
    <w:basedOn w:val="1108"/>
    <w:uiPriority w:val="0"/>
    <w:qFormat/>
    <w:pPr>
      <w:jc w:val="left"/>
      <w:widowControl/>
    </w:pPr>
    <w:rPr>
      <w:rFonts w:ascii="楷体_GB2312" w:eastAsia="楷体_GB2312" w:cs="Arial"/>
      <w:sz w:val="24"/>
    </w:rPr>
  </w:style>
  <w:style w:type="paragraph" w:styleId="1320" w:customStyle="1">
    <w:name w:val="缺省文本"/>
    <w:basedOn w:val="1108"/>
    <w:uiPriority w:val="0"/>
    <w:qFormat/>
    <w:pPr>
      <w:jc w:val="left"/>
    </w:pPr>
    <w:rPr>
      <w:sz w:val="24"/>
    </w:rPr>
  </w:style>
  <w:style w:type="paragraph" w:styleId="1321" w:customStyle="1">
    <w:name w:val="样式2"/>
    <w:basedOn w:val="1153"/>
    <w:uiPriority w:val="0"/>
    <w:qFormat/>
    <w:pPr>
      <w:jc w:val="center"/>
      <w:spacing w:line="360" w:lineRule="auto"/>
    </w:pPr>
    <w:rPr>
      <w:sz w:val="24"/>
    </w:rPr>
  </w:style>
  <w:style w:type="paragraph" w:styleId="1322" w:customStyle="1">
    <w:name w:val="_Style 11"/>
    <w:basedOn w:val="1108"/>
    <w:next w:val="1108"/>
    <w:uiPriority w:val="0"/>
    <w:qFormat/>
    <w:pPr>
      <w:ind w:left="420" w:firstLine="420"/>
      <w:spacing w:after="120"/>
    </w:pPr>
  </w:style>
  <w:style w:type="paragraph" w:styleId="1323" w:customStyle="1">
    <w:name w:val="图文"/>
    <w:basedOn w:val="1108"/>
    <w:uiPriority w:val="0"/>
    <w:qFormat/>
    <w:pPr>
      <w:spacing w:after="50" w:line="360" w:lineRule="auto"/>
    </w:pPr>
    <w:rPr>
      <w:sz w:val="24"/>
    </w:rPr>
  </w:style>
  <w:style w:type="paragraph" w:styleId="1324" w:customStyle="1">
    <w:name w:val="Char2 Char Char Char Char Char Char1"/>
    <w:basedOn w:val="1108"/>
    <w:uiPriority w:val="0"/>
    <w:qFormat/>
    <w:pPr>
      <w:jc w:val="center"/>
      <w:spacing w:line="400" w:lineRule="exact"/>
      <w:widowControl/>
    </w:pPr>
  </w:style>
  <w:style w:type="paragraph" w:styleId="1325" w:customStyle="1">
    <w:name w:val="Char Char Char Char Char Char Char Char Char Char1"/>
    <w:basedOn w:val="1108"/>
    <w:uiPriority w:val="0"/>
    <w:qFormat/>
    <w:rPr>
      <w:rFonts w:ascii="宋体" w:hAnsi="宋体" w:cs="Courier New"/>
      <w:sz w:val="32"/>
      <w:szCs w:val="32"/>
    </w:rPr>
  </w:style>
  <w:style w:type="paragraph" w:styleId="1326" w:customStyle="1">
    <w:name w:val="Char3 Char Char Char2"/>
    <w:basedOn w:val="1108"/>
    <w:uiPriority w:val="0"/>
    <w:qFormat/>
    <w:rPr>
      <w:rFonts w:ascii="Tahoma" w:hAnsi="Tahoma"/>
      <w:sz w:val="24"/>
      <w:szCs w:val="20"/>
    </w:rPr>
  </w:style>
  <w:style w:type="paragraph" w:styleId="1327" w:customStyle="1">
    <w:name w:val="Char1"/>
    <w:basedOn w:val="1108"/>
    <w:uiPriority w:val="0"/>
    <w:qFormat/>
    <w:pPr>
      <w:tabs>
        <w:tab w:val="left" w:pos="360" w:leader="none"/>
      </w:tabs>
    </w:pPr>
    <w:rPr>
      <w:sz w:val="24"/>
    </w:rPr>
  </w:style>
  <w:style w:type="paragraph" w:styleId="1328" w:customStyle="1">
    <w:name w:val="Char Char Char1"/>
    <w:basedOn w:val="1108"/>
    <w:uiPriority w:val="0"/>
    <w:qFormat/>
    <w:rPr>
      <w:rFonts w:ascii="Tahoma" w:hAnsi="Tahoma"/>
      <w:sz w:val="24"/>
      <w:szCs w:val="20"/>
    </w:rPr>
  </w:style>
  <w:style w:type="paragraph" w:styleId="1329" w:customStyle="1">
    <w:name w:val="xl46"/>
    <w:basedOn w:val="110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30" w:customStyle="1">
    <w:name w:val="_Style 160"/>
    <w:uiPriority w:val="0"/>
    <w:qFormat/>
    <w:rPr>
      <w:rFonts w:ascii="Times New Roman" w:hAnsi="Times New Roman" w:eastAsia="宋体" w:cs="Times New Roman"/>
      <w:sz w:val="21"/>
      <w:szCs w:val="24"/>
      <w:lang w:val="en-US" w:eastAsia="zh-CN" w:bidi="ar-SA"/>
    </w:rPr>
  </w:style>
  <w:style w:type="paragraph" w:styleId="1331" w:customStyle="1">
    <w:name w:val="无标题条"/>
    <w:next w:val="1108"/>
    <w:uiPriority w:val="0"/>
    <w:qFormat/>
    <w:pPr>
      <w:jc w:val="both"/>
    </w:pPr>
    <w:rPr>
      <w:rFonts w:ascii="Times New Roman" w:hAnsi="Times New Roman" w:eastAsia="宋体" w:cs="Times New Roman"/>
      <w:sz w:val="21"/>
      <w:lang w:val="en-US" w:eastAsia="zh-CN" w:bidi="ar-SA"/>
    </w:rPr>
  </w:style>
  <w:style w:type="paragraph" w:styleId="1332" w:customStyle="1">
    <w:name w:val="Char Char Char Char Char Char Char Char Char Char"/>
    <w:basedOn w:val="1108"/>
    <w:uiPriority w:val="0"/>
    <w:qFormat/>
  </w:style>
  <w:style w:type="paragraph" w:styleId="1333" w:customStyle="1">
    <w:name w:val="列出段落1"/>
    <w:basedOn w:val="1108"/>
    <w:uiPriority w:val="0"/>
    <w:qFormat/>
    <w:pPr>
      <w:ind w:firstLine="420"/>
    </w:pPr>
    <w:rPr>
      <w:rFonts w:ascii="Calibri" w:hAnsi="Calibri"/>
      <w:szCs w:val="22"/>
    </w:rPr>
  </w:style>
  <w:style w:type="paragraph" w:styleId="1334" w:customStyle="1">
    <w:name w:val="xl47"/>
    <w:basedOn w:val="11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5" w:customStyle="1">
    <w:name w:val="xl38"/>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36" w:customStyle="1">
    <w:name w:val="Char Char Char Char Char Char Char Char Char Char2"/>
    <w:basedOn w:val="1108"/>
    <w:uiPriority w:val="0"/>
    <w:qFormat/>
    <w:rPr>
      <w:rFonts w:ascii="宋体" w:hAnsi="宋体" w:cs="Courier New"/>
      <w:sz w:val="32"/>
      <w:szCs w:val="32"/>
    </w:rPr>
  </w:style>
  <w:style w:type="paragraph" w:styleId="1337" w:customStyle="1">
    <w:name w:val="Char Char Char Char Char Char Char Char Char Char Char Char Char Char Char Char1"/>
    <w:basedOn w:val="1108"/>
    <w:uiPriority w:val="0"/>
    <w:qFormat/>
    <w:pPr>
      <w:jc w:val="center"/>
      <w:spacing w:after="160" w:line="240" w:lineRule="exact"/>
      <w:widowControl/>
    </w:pPr>
    <w:rPr>
      <w:rFonts w:ascii="宋体" w:hAnsi="宋体"/>
      <w:b/>
      <w:sz w:val="30"/>
      <w:szCs w:val="30"/>
      <w:lang w:eastAsia="en-US"/>
    </w:rPr>
  </w:style>
  <w:style w:type="paragraph" w:styleId="1338" w:customStyle="1">
    <w:name w:val="Char Char Char Char Char Char Char"/>
    <w:basedOn w:val="1108"/>
    <w:uiPriority w:val="0"/>
    <w:qFormat/>
    <w:pPr>
      <w:ind w:firstLine="200"/>
      <w:spacing w:line="360" w:lineRule="auto"/>
    </w:pPr>
    <w:rPr>
      <w:rFonts w:eastAsia="仿宋_GB2312"/>
      <w:sz w:val="24"/>
    </w:rPr>
  </w:style>
  <w:style w:type="paragraph" w:styleId="1339" w:customStyle="1">
    <w:name w:val="三级条标题"/>
    <w:basedOn w:val="1250"/>
    <w:next w:val="1108"/>
    <w:uiPriority w:val="0"/>
    <w:qFormat/>
    <w:pPr>
      <w:numPr>
        <w:ilvl w:val="3"/>
        <w:numId w:val="3"/>
      </w:numPr>
      <w:ind w:left="0" w:hanging="840"/>
      <w:outlineLvl w:val="3"/>
    </w:pPr>
  </w:style>
  <w:style w:type="paragraph" w:styleId="1340" w:customStyle="1">
    <w:name w:val="正文缩进2"/>
    <w:basedOn w:val="1108"/>
    <w:uiPriority w:val="0"/>
    <w:qFormat/>
    <w:pPr>
      <w:ind w:firstLine="567"/>
      <w:spacing w:line="480" w:lineRule="exact"/>
      <w:widowControl/>
    </w:pPr>
    <w:rPr>
      <w:rFonts w:ascii="宋体"/>
      <w:color w:val="000000"/>
      <w:sz w:val="28"/>
      <w:szCs w:val="20"/>
      <w:lang w:val="zh-CN"/>
    </w:rPr>
  </w:style>
  <w:style w:type="paragraph" w:styleId="1341" w:customStyle="1">
    <w:name w:val="正文 + 宋体"/>
    <w:basedOn w:val="1108"/>
    <w:uiPriority w:val="0"/>
    <w:qFormat/>
    <w:pPr>
      <w:ind w:left="360" w:hanging="360"/>
      <w:jc w:val="left"/>
      <w:widowControl/>
    </w:pPr>
    <w:rPr>
      <w:rFonts w:ascii="宋体" w:hAnsi="宋体" w:cs="宋体"/>
      <w:b/>
      <w:bCs/>
      <w:color w:val="000000"/>
      <w:sz w:val="18"/>
      <w:szCs w:val="18"/>
    </w:rPr>
  </w:style>
  <w:style w:type="paragraph" w:styleId="1342" w:customStyle="1">
    <w:name w:val="项目编号3"/>
    <w:basedOn w:val="1271"/>
    <w:uiPriority w:val="0"/>
    <w:qFormat/>
    <w:pPr>
      <w:numPr>
        <w:ilvl w:val="0"/>
        <w:numId w:val="7"/>
      </w:numPr>
    </w:pPr>
  </w:style>
  <w:style w:type="paragraph" w:styleId="1343" w:customStyle="1">
    <w:name w:val="xl27"/>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4" w:customStyle="1">
    <w:name w:val="xl28"/>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5" w:customStyle="1">
    <w:name w:val="正文文本缩进2"/>
    <w:basedOn w:val="1108"/>
    <w:uiPriority w:val="0"/>
    <w:qFormat/>
    <w:pPr>
      <w:ind w:firstLine="480"/>
      <w:spacing w:line="480" w:lineRule="exact"/>
    </w:pPr>
    <w:rPr>
      <w:rFonts w:ascii="宋体" w:hAnsi="宋体"/>
      <w:sz w:val="24"/>
      <w:lang w:val="zh-CN"/>
    </w:rPr>
  </w:style>
  <w:style w:type="paragraph" w:styleId="1346" w:customStyle="1">
    <w:name w:val="Char3 Char Char Char"/>
    <w:basedOn w:val="1108"/>
    <w:uiPriority w:val="0"/>
    <w:qFormat/>
    <w:rPr>
      <w:rFonts w:ascii="Tahoma" w:hAnsi="Tahoma"/>
      <w:sz w:val="24"/>
      <w:szCs w:val="20"/>
    </w:rPr>
  </w:style>
  <w:style w:type="paragraph" w:styleId="1347" w:customStyle="1">
    <w:name w:val="Char21"/>
    <w:basedOn w:val="1108"/>
    <w:uiPriority w:val="0"/>
    <w:qFormat/>
    <w:rPr>
      <w:rFonts w:ascii="Tahoma" w:hAnsi="Tahoma"/>
      <w:sz w:val="24"/>
      <w:szCs w:val="20"/>
    </w:rPr>
  </w:style>
  <w:style w:type="paragraph" w:styleId="1348" w:customStyle="1">
    <w:name w:val="List Paragraph1"/>
    <w:basedOn w:val="1108"/>
    <w:uiPriority w:val="0"/>
    <w:qFormat/>
    <w:pPr>
      <w:ind w:firstLine="420"/>
    </w:pPr>
    <w:rPr>
      <w:rFonts w:ascii="Calibri" w:hAnsi="Calibri"/>
      <w:szCs w:val="22"/>
    </w:rPr>
  </w:style>
  <w:style w:type="paragraph" w:styleId="1349" w:customStyle="1">
    <w:name w:val="四级条标题"/>
    <w:basedOn w:val="1339"/>
    <w:next w:val="1108"/>
    <w:uiPriority w:val="0"/>
    <w:qFormat/>
    <w:pPr>
      <w:numPr>
        <w:ilvl w:val="4"/>
      </w:numPr>
      <w:ind w:left="0" w:hanging="840"/>
      <w:outlineLvl w:val="4"/>
    </w:pPr>
  </w:style>
  <w:style w:type="paragraph" w:styleId="135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xl49"/>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52" w:customStyle="1">
    <w:name w:val="font5"/>
    <w:basedOn w:val="1108"/>
    <w:uiPriority w:val="0"/>
    <w:qFormat/>
    <w:pPr>
      <w:jc w:val="left"/>
      <w:spacing w:before="100" w:beforeAutospacing="1" w:after="100" w:afterAutospacing="1"/>
      <w:widowControl/>
    </w:pPr>
    <w:rPr>
      <w:rFonts w:ascii="宋体" w:hAnsi="宋体" w:cs="宋体"/>
      <w:sz w:val="18"/>
      <w:szCs w:val="18"/>
    </w:rPr>
  </w:style>
  <w:style w:type="paragraph" w:styleId="1353" w:customStyle="1">
    <w:name w:val="Char Char Char1 Char1"/>
    <w:basedOn w:val="1108"/>
    <w:uiPriority w:val="0"/>
    <w:qFormat/>
    <w:rPr>
      <w:rFonts w:ascii="Tahoma" w:hAnsi="Tahoma"/>
      <w:sz w:val="24"/>
      <w:szCs w:val="20"/>
    </w:rPr>
  </w:style>
  <w:style w:type="paragraph" w:styleId="1354"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55" w:customStyle="1">
    <w:name w:val="项目符号1"/>
    <w:basedOn w:val="1271"/>
    <w:uiPriority w:val="0"/>
    <w:qFormat/>
    <w:pPr>
      <w:ind w:left="-25" w:firstLine="0"/>
    </w:pPr>
  </w:style>
  <w:style w:type="paragraph" w:styleId="1356" w:customStyle="1">
    <w:name w:val="xl33"/>
    <w:basedOn w:val="11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57" w:customStyle="1">
    <w:name w:val="22222222222222"/>
    <w:basedOn w:val="1108"/>
    <w:uiPriority w:val="0"/>
    <w:qFormat/>
    <w:pPr>
      <w:ind w:firstLine="480"/>
      <w:jc w:val="left"/>
      <w:spacing w:line="360" w:lineRule="auto"/>
      <w:widowControl/>
    </w:pPr>
    <w:rPr>
      <w:color w:val="ff0000"/>
      <w:sz w:val="24"/>
      <w:szCs w:val="20"/>
    </w:rPr>
  </w:style>
  <w:style w:type="paragraph" w:styleId="1358" w:customStyle="1">
    <w:name w:val="xl34"/>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59" w:customStyle="1">
    <w:name w:val="Char22"/>
    <w:basedOn w:val="1108"/>
    <w:uiPriority w:val="0"/>
    <w:qFormat/>
    <w:rPr>
      <w:rFonts w:ascii="Tahoma" w:hAnsi="Tahoma"/>
      <w:sz w:val="24"/>
      <w:szCs w:val="20"/>
    </w:rPr>
  </w:style>
  <w:style w:type="paragraph" w:styleId="1360" w:customStyle="1">
    <w:name w:val="Char3 Char Char Char1"/>
    <w:basedOn w:val="1108"/>
    <w:uiPriority w:val="0"/>
    <w:qFormat/>
    <w:rPr>
      <w:rFonts w:ascii="Tahoma" w:hAnsi="Tahoma"/>
      <w:sz w:val="24"/>
      <w:szCs w:val="20"/>
    </w:rPr>
  </w:style>
  <w:style w:type="paragraph" w:styleId="1361" w:customStyle="1">
    <w:name w:val="五级条标题"/>
    <w:basedOn w:val="1349"/>
    <w:next w:val="1108"/>
    <w:uiPriority w:val="0"/>
    <w:qFormat/>
    <w:pPr>
      <w:numPr>
        <w:ilvl w:val="5"/>
      </w:numPr>
      <w:ind w:left="0" w:hanging="840"/>
      <w:outlineLvl w:val="5"/>
    </w:pPr>
  </w:style>
  <w:style w:type="paragraph" w:styleId="1362" w:customStyle="1">
    <w:name w:val="表格文字"/>
    <w:basedOn w:val="1130"/>
    <w:uiPriority w:val="0"/>
    <w:qFormat/>
    <w:pPr>
      <w:ind w:firstLine="0"/>
      <w:spacing w:before="20" w:after="20" w:line="240" w:lineRule="auto"/>
    </w:pPr>
    <w:rPr>
      <w:rFonts w:ascii="Century Gothic" w:hAnsi="Century Gothic"/>
      <w:sz w:val="20"/>
      <w:szCs w:val="20"/>
    </w:rPr>
  </w:style>
  <w:style w:type="paragraph" w:styleId="1363" w:customStyle="1">
    <w:name w:val="default"/>
    <w:basedOn w:val="1108"/>
    <w:uiPriority w:val="0"/>
    <w:qFormat/>
    <w:pPr>
      <w:jc w:val="left"/>
      <w:spacing w:before="100" w:beforeAutospacing="1" w:after="100" w:afterAutospacing="1"/>
      <w:widowControl/>
    </w:pPr>
    <w:rPr>
      <w:rFonts w:ascii="宋体" w:hAnsi="宋体" w:cs="宋体"/>
      <w:sz w:val="24"/>
    </w:rPr>
  </w:style>
  <w:style w:type="paragraph" w:styleId="1364" w:customStyle="1">
    <w:name w:val="xl36"/>
    <w:basedOn w:val="110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5" w:customStyle="1">
    <w:name w:val="一级无"/>
    <w:basedOn w:val="1108"/>
    <w:uiPriority w:val="0"/>
    <w:qFormat/>
    <w:pPr>
      <w:jc w:val="left"/>
      <w:widowControl/>
      <w:outlineLvl w:val="2"/>
    </w:pPr>
    <w:rPr>
      <w:rFonts w:ascii="宋体"/>
      <w:szCs w:val="21"/>
    </w:rPr>
  </w:style>
  <w:style w:type="paragraph" w:styleId="1366" w:customStyle="1">
    <w:name w:val="Char"/>
    <w:basedOn w:val="1108"/>
    <w:uiPriority w:val="0"/>
    <w:qFormat/>
    <w:pPr>
      <w:tabs>
        <w:tab w:val="left" w:pos="360" w:leader="none"/>
      </w:tabs>
    </w:pPr>
    <w:rPr>
      <w:sz w:val="24"/>
    </w:rPr>
  </w:style>
  <w:style w:type="paragraph" w:styleId="1367" w:customStyle="1">
    <w:name w:val="xl41"/>
    <w:basedOn w:val="11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136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369" w:customStyle="1">
    <w:name w:val="NormalCharacter"/>
    <w:uiPriority w:val="0"/>
    <w:qFormat/>
    <w:rPr>
      <w:rFonts w:ascii="Calibri" w:hAnsi="Calibri" w:eastAsia="宋体" w:cs="Times New Roman"/>
      <w:sz w:val="21"/>
      <w:szCs w:val="22"/>
      <w:lang w:val="en-US" w:eastAsia="zh-CN" w:bidi="ar-SA"/>
    </w:rPr>
  </w:style>
  <w:style w:type="character" w:styleId="1370" w:customStyle="1">
    <w:name w:val="font11"/>
    <w:uiPriority w:val="0"/>
    <w:qFormat/>
    <w:rPr>
      <w:rFonts w:hint="eastAsia" w:ascii="仿宋_GB2312" w:eastAsia="仿宋_GB2312" w:cs="仿宋_GB2312"/>
      <w:color w:val="000000"/>
      <w:sz w:val="24"/>
      <w:szCs w:val="24"/>
      <w:u w:val="none"/>
    </w:rPr>
  </w:style>
  <w:style w:type="paragraph" w:styleId="1371" w:customStyle="1">
    <w:name w:val="表"/>
    <w:basedOn w:val="1108"/>
    <w:uiPriority w:val="0"/>
    <w:qFormat/>
    <w:pPr>
      <w:jc w:val="center"/>
    </w:pPr>
    <w:rPr>
      <w:rFonts w:hint="eastAsia" w:cs="方正仿宋_GB2312"/>
      <w:sz w:val="24"/>
      <w:szCs w:val="22"/>
      <w:lang w:val="zh-CN" w:bidi="zh-CN"/>
    </w:rPr>
  </w:style>
  <w:style w:type="paragraph" w:styleId="1372" w:customStyle="1">
    <w:name w:val="Table Text"/>
    <w:basedOn w:val="1108"/>
    <w:uiPriority w:val="0"/>
    <w:semiHidden/>
    <w:qFormat/>
    <w:rPr>
      <w:rFonts w:ascii="Times New Roman" w:hAnsi="Times New Roman" w:eastAsia="Times New Roman" w:cs="Times New Roman"/>
      <w:sz w:val="24"/>
      <w:szCs w:val="24"/>
      <w:lang w:eastAsia="en-US"/>
    </w:rPr>
  </w:style>
  <w:style w:type="paragraph" w:styleId="1373" w:customStyle="1">
    <w:name w:val="null3"/>
    <w:uiPriority w:val="0"/>
    <w:qFormat/>
    <w:rPr>
      <w:rFonts w:hint="eastAsia" w:ascii="Calibri" w:hAnsi="Calibri" w:eastAsia="宋体" w:cs="Times New Roman"/>
      <w:lang w:val="en-US" w:eastAsia="zh-CN" w:bidi="ar-SA"/>
    </w:rPr>
  </w:style>
  <w:style w:type="paragraph" w:styleId="1374" w:customStyle="1">
    <w:name w:val="p0"/>
    <w:basedOn w:val="1108"/>
    <w:uiPriority w:val="0"/>
    <w:qFormat/>
    <w:pPr>
      <w:widowControl/>
    </w:pPr>
    <w:rPr>
      <w:szCs w:val="24"/>
    </w:rPr>
  </w:style>
  <w:style w:type="character" w:styleId="1375" w:customStyle="1">
    <w:name w:val="font51"/>
    <w:basedOn w:val="1118"/>
    <w:uiPriority w:val="0"/>
    <w:qFormat/>
    <w:rPr>
      <w:rFonts w:ascii="黑体" w:hAnsi="宋体" w:eastAsia="黑体" w:cs="黑体"/>
      <w:color w:val="000000"/>
      <w:sz w:val="16"/>
      <w:szCs w:val="16"/>
      <w:u w:val="none"/>
    </w:rPr>
  </w:style>
  <w:style w:type="paragraph" w:styleId="1376" w:customStyle="1">
    <w:name w:val="msolistparagraph"/>
    <w:basedOn w:val="1108"/>
    <w:uiPriority w:val="0"/>
    <w:qFormat/>
    <w:pPr>
      <w:ind w:firstLine="420"/>
    </w:pPr>
    <w:rPr>
      <w:rFonts w:hint="eastAsia" w:ascii="等线" w:hAnsi="等线" w:eastAsia="等线" w:cs="Times New Roman"/>
      <w:szCs w:val="22"/>
    </w:rPr>
  </w:style>
  <w:style w:type="character" w:styleId="1377" w:customStyle="1">
    <w:name w:val="font31"/>
    <w:basedOn w:val="1118"/>
    <w:uiPriority w:val="0"/>
    <w:qFormat/>
    <w:rPr>
      <w:rFonts w:hint="eastAsia" w:ascii="宋体" w:hAnsi="宋体" w:eastAsia="宋体" w:cs="宋体"/>
      <w:color w:val="000000"/>
      <w:sz w:val="18"/>
      <w:szCs w:val="18"/>
      <w:u w:val="none"/>
    </w:rPr>
  </w:style>
  <w:style w:type="paragraph" w:styleId="1378" w:customStyle="1">
    <w:name w:val="正文文本1"/>
    <w:basedOn w:val="1108"/>
    <w:next w:val="1108"/>
    <w:uiPriority w:val="0"/>
    <w:qFormat/>
    <w:pPr>
      <w:spacing w:before="120" w:line="22" w:lineRule="atLeast"/>
      <w:tabs>
        <w:tab w:val="left" w:pos="567" w:leader="none"/>
      </w:tabs>
    </w:pPr>
    <w:rPr>
      <w:rFonts w:ascii="宋体" w:hAnsi="宋体"/>
      <w:sz w:val="24"/>
    </w:rPr>
  </w:style>
  <w:style w:type="paragraph" w:styleId="1379" w:customStyle="1">
    <w:name w:val="自定义"/>
    <w:basedOn w:val="1108"/>
    <w:uiPriority w:val="0"/>
    <w:qFormat/>
    <w:pPr>
      <w:ind w:firstLine="916"/>
      <w:spacing w:line="560" w:lineRule="exact"/>
    </w:pPr>
    <w:rPr>
      <w:rFonts w:hint="eastAsia" w:ascii="Arial" w:hAnsi="Arial" w:eastAsia="宋体"/>
      <w:sz w:val="30"/>
    </w:rPr>
  </w:style>
  <w:style w:type="paragraph" w:styleId="1380" w:customStyle="1">
    <w:name w:val="正文首行缩进 21"/>
    <w:basedOn w:val="1381"/>
    <w:uiPriority w:val="0"/>
    <w:qFormat/>
    <w:pPr>
      <w:ind w:left="420" w:firstLine="420"/>
      <w:spacing w:after="120" w:line="480" w:lineRule="exact"/>
    </w:pPr>
    <w:rPr>
      <w:szCs w:val="20"/>
    </w:rPr>
  </w:style>
  <w:style w:type="paragraph" w:styleId="1381" w:customStyle="1">
    <w:name w:val="正文文本缩进11"/>
    <w:basedOn w:val="1108"/>
    <w:next w:val="1108"/>
    <w:uiPriority w:val="0"/>
    <w:qFormat/>
    <w:pPr>
      <w:ind w:firstLine="570"/>
      <w:spacing w:line="360" w:lineRule="auto"/>
    </w:pPr>
    <w:rPr>
      <w:sz w:val="24"/>
    </w:rPr>
  </w:style>
  <w:style w:type="numbering" w:styleId="158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a</dc:creator>
  <cp:lastModifiedBy>单馨莹</cp:lastModifiedBy>
  <cp:revision>1</cp:revision>
  <dcterms:created xsi:type="dcterms:W3CDTF">2024-07-24T04:09:00Z</dcterms:created>
  <dcterms:modified xsi:type="dcterms:W3CDTF">2026-09-15T03:03:23Z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8B03443F22C54DDA828F5E882D88C54A_13</vt:lpwstr>
  </property>
  <property fmtid="{D5CDD505-2E9C-101B-9397-08002B2CF9AE}" pid="4" name="KSOTemplateDocerSaveRecord">
    <vt:lpwstr>eyJoZGlkIjoiNDgwM2ZmY2UyZmQ4YTJiYjdmNWJjNTgzNmE5NDc4NGQiLCJ1c2VySWQiOiIzMDY1NzQ5NDQifQ==</vt:lpwstr>
  </property>
</Properties>
</file>