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bookmarkStart w:id="9" w:name="_GoBack"/>
      <w:r/>
      <w:bookmarkEnd w:id="9"/>
      <w:r>
        <w:rPr>
          <w:rFonts w:hint="eastAsia"/>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126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rPr>
        <w:t xml:space="preserve">JSZC-320500-HWZX-G2026-0575</w:t>
      </w:r>
      <w:r/>
    </w:p>
    <w:p>
      <w:pPr>
        <w:ind w:left="126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126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：单细胞光导系统</w:t>
      </w:r>
      <w:r/>
    </w:p>
    <w:p>
      <w:pPr>
        <w:ind w:left="126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762"/>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rPr>
        <w:t xml:space="preserve">九</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8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636"/>
        <w:gridCol w:w="6684"/>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单细胞光导系统</w:t>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中标供应商应当在合同签订后6个月内将货物运送至采购人指定实验室（采购方另行约定的时间除外，但最迟不得晚于2027年3月31日）</w:t>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人民币780万元</w:t>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人民币780万元</w:t>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申请人的资格要求</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不</w:t>
            </w: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w:t>
            </w:r>
            <w:r>
              <w:rPr>
                <w:rFonts w:hint="eastAsia" w:ascii="宋体" w:hAnsi="宋体" w:eastAsia="宋体" w:cs="宋体"/>
                <w:sz w:val="24"/>
                <w:highlight w:val="none"/>
              </w:rPr>
              <w:t xml:space="preserve">需</w:t>
            </w:r>
            <w:r>
              <w:rPr>
                <w:rFonts w:ascii="宋体" w:hAnsi="宋体" w:eastAsia="宋体" w:cs="宋体"/>
                <w:sz w:val="24"/>
                <w:highlight w:val="none"/>
              </w:rPr>
              <w:t xml:space="preserve">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w:t>
            </w:r>
            <w:r>
              <w:rPr>
                <w:rFonts w:hint="eastAsia" w:ascii="宋体" w:hAnsi="宋体" w:eastAsia="宋体" w:cs="宋体"/>
                <w:sz w:val="24"/>
                <w:highlight w:val="none"/>
              </w:rPr>
              <w:t xml:space="preserve">标（成交）人支付，投标人报价内须包含代理服务费，支付金额的收费标准为以下方式差额累计法计算后3折计取：预算金额100万以下费率为预算金额的1.5%；预算金额100万-500万费率为预算金额的1.1%；预算金额500万-1000万费率为预算金额的0.8%；预算金额1000万-5000万费率为预算金额的0.5%；服务费最高1.2万元。确定收费标准的依据是苏州市级政府采购代理服务收费公告；收取方式：中标（成交）人在领取中标（成交）通知书前，一次性向采购代理机构足额支付；支付方式为银行转账。服务费金额：1.2万元。</w:t>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2026年10月16日13时30分（北京时间）</w:t>
            </w:r>
            <w:r/>
          </w:p>
        </w:tc>
      </w:tr>
      <w:tr>
        <w:trPr>
          <w:trHeight w:val="399"/>
        </w:trPr>
        <w:tc>
          <w:tcPr>
            <w:shd w:val="clear" w:color="auto" w:fill="auto"/>
            <w:tcW w:w="406"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w:t>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2026年10月16日13时30分（北京时间）</w:t>
            </w:r>
            <w:r/>
          </w:p>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w:t>
            </w:r>
            <w:r>
              <w:rPr>
                <w:rFonts w:ascii="宋体" w:hAnsi="宋体" w:eastAsia="宋体" w:cs="宋体"/>
                <w:sz w:val="24"/>
                <w:highlight w:val="none"/>
              </w:rPr>
              <w:t xml:space="preserve">授权评标委员会按照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要求确定中标</w:t>
            </w:r>
            <w:r>
              <w:rPr>
                <w:rFonts w:hint="eastAsia" w:ascii="宋体" w:hAnsi="宋体" w:eastAsia="宋体" w:cs="宋体"/>
                <w:sz w:val="24"/>
                <w:highlight w:val="none"/>
              </w:rPr>
              <w:t xml:space="preserve">单位</w:t>
            </w:r>
            <w:r>
              <w:rPr>
                <w:rFonts w:ascii="宋体" w:hAnsi="宋体" w:eastAsia="宋体" w:cs="宋体"/>
                <w:sz w:val="24"/>
                <w:highlight w:val="none"/>
              </w:rPr>
              <w:t xml:space="preserve">。</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金额：合同金额的10%，相关条款详见招标文件。</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（）不提交</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769"/>
            <w:spacing w:after="0" w:line="480" w:lineRule="auto"/>
            <w:tabs>
              <w:tab w:val="right" w:pos="9355" w:leader="dot"/>
            </w:tabs>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项目概况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单细胞光导系统</w:t>
      </w:r>
      <w:r>
        <w:rPr>
          <w:rFonts w:ascii="宋体" w:hAnsi="宋体" w:eastAsia="宋体" w:cs="宋体"/>
          <w:sz w:val="24"/>
          <w:szCs w:val="24"/>
          <w:highlight w:val="none"/>
        </w:rPr>
        <w:t xml:space="preserve">的潜在</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应在</w:t>
      </w:r>
      <w:r>
        <w:rPr>
          <w:rFonts w:ascii="宋体" w:hAnsi="宋体" w:eastAsia="宋体" w:cs="宋体"/>
          <w:sz w:val="24"/>
          <w:szCs w:val="24"/>
          <w:highlight w:val="none"/>
          <w:u w:val="single"/>
        </w:rPr>
        <w:t xml:space="preserve">“苏采云”系统</w:t>
      </w:r>
      <w:r>
        <w:rPr>
          <w:rFonts w:ascii="宋体" w:hAnsi="宋体" w:eastAsia="宋体" w:cs="宋体"/>
          <w:sz w:val="24"/>
          <w:szCs w:val="24"/>
          <w:highlight w:val="none"/>
        </w:rPr>
        <w:t xml:space="preserve">获取</w:t>
      </w:r>
      <w:r>
        <w:rPr>
          <w:rFonts w:hint="eastAsia" w:ascii="宋体" w:hAnsi="宋体" w:eastAsia="宋体" w:cs="宋体"/>
          <w:sz w:val="24"/>
          <w:szCs w:val="24"/>
          <w:highlight w:val="none"/>
        </w:rPr>
        <w:t xml:space="preserve">招标文件</w:t>
      </w:r>
      <w:r>
        <w:rPr>
          <w:rFonts w:ascii="宋体" w:hAnsi="宋体" w:eastAsia="宋体" w:cs="宋体"/>
          <w:sz w:val="24"/>
          <w:szCs w:val="24"/>
          <w:highlight w:val="none"/>
        </w:rPr>
        <w:t xml:space="preserve">，并于</w:t>
      </w:r>
      <w:r>
        <w:rPr>
          <w:rFonts w:hint="eastAsia" w:ascii="宋体" w:hAnsi="宋体" w:eastAsia="宋体" w:cs="宋体"/>
          <w:sz w:val="24"/>
          <w:szCs w:val="24"/>
          <w:highlight w:val="none"/>
          <w:u w:val="single"/>
        </w:rPr>
        <w:t xml:space="preserve">2026年10月16日13时30分（北京时间）</w:t>
      </w:r>
      <w:r>
        <w:rPr>
          <w:rFonts w:ascii="宋体" w:hAnsi="宋体" w:eastAsia="宋体" w:cs="宋体"/>
          <w:sz w:val="24"/>
          <w:szCs w:val="24"/>
          <w:highlight w:val="none"/>
        </w:rPr>
        <w:t xml:space="preserve">前递交投标文件。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一、项目基本情况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项目编号：</w:t>
      </w:r>
      <w:r>
        <w:rPr>
          <w:rFonts w:hint="eastAsia" w:ascii="宋体" w:hAnsi="宋体" w:eastAsia="宋体" w:cs="宋体"/>
          <w:sz w:val="24"/>
          <w:szCs w:val="24"/>
          <w:highlight w:val="none"/>
        </w:rPr>
        <w:t xml:space="preserve">JSZC-320500-HWZX-G2026-0575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项目名称：</w:t>
      </w:r>
      <w:r>
        <w:rPr>
          <w:rFonts w:hint="eastAsia" w:ascii="宋体" w:hAnsi="宋体" w:eastAsia="宋体" w:cs="宋体"/>
          <w:sz w:val="24"/>
          <w:szCs w:val="24"/>
          <w:highlight w:val="none"/>
        </w:rPr>
        <w:t xml:space="preserve">单细胞光导系统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预算金额：</w:t>
      </w:r>
      <w:r>
        <w:rPr>
          <w:rFonts w:hint="eastAsia" w:ascii="宋体" w:hAnsi="宋体" w:eastAsia="宋体" w:cs="宋体"/>
          <w:sz w:val="24"/>
          <w:szCs w:val="24"/>
          <w:highlight w:val="none"/>
        </w:rPr>
        <w:t xml:space="preserve">人民币780万元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最高限价：</w:t>
      </w:r>
      <w:r>
        <w:rPr>
          <w:rFonts w:hint="eastAsia" w:ascii="宋体" w:hAnsi="宋体" w:eastAsia="宋体" w:cs="宋体"/>
          <w:sz w:val="24"/>
          <w:szCs w:val="24"/>
          <w:highlight w:val="none"/>
        </w:rPr>
        <w:t xml:space="preserve">人民币780万元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交货地点：苏州大学指定地点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采购需求：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单细胞光导系统1套。具体采购需求详见招标文件。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合同履行期限：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中标供应商应当在合同签订后6个月内将货物运送至采购人指定实验室（采购方另行约定的时间除外，但最迟不得晚于2027年3月31日）。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本项目(是/否)接受联合体投标:否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二、申请人的资格要求：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满足《中华人民共和国政府采购法》第二十二条规定</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1.1具有独立承担民事责任的能力；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1.2具有良好的商业信誉和健全的财务会计制度；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1.3具有履行合同所必需的设备和专业技术能力；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1.4具有依法缴纳税收和社会保障资金的良好记录；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1.5参加政府采购活动前三年内</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在经营活动中没有重大违法记录；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1.7法律、行政法规规定的其他条件；</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2.落实政府采购政策需满足的资格要求：</w:t>
      </w:r>
      <w:r>
        <w:rPr>
          <w:rFonts w:hint="eastAsia" w:ascii="宋体" w:hAnsi="宋体" w:eastAsia="宋体" w:cs="宋体"/>
          <w:b/>
          <w:bCs/>
          <w:sz w:val="24"/>
          <w:szCs w:val="24"/>
          <w:highlight w:val="none"/>
        </w:rPr>
        <w:t xml:space="preserve">本项目专门面向中小企业，所属行业为工业，供应商应为中小微企业、残疾人福利性单位或监狱企业</w:t>
      </w:r>
      <w:r>
        <w:rPr>
          <w:rFonts w:hint="eastAsia" w:ascii="宋体" w:hAnsi="宋体" w:eastAsia="宋体" w:cs="宋体"/>
          <w:bCs/>
          <w:color w:val="000000"/>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本项目的特定资格要求：</w:t>
      </w:r>
      <w:r>
        <w:rPr>
          <w:rFonts w:hint="eastAsia" w:ascii="宋体" w:hAnsi="宋体" w:eastAsia="宋体" w:cs="宋体"/>
          <w:sz w:val="24"/>
          <w:szCs w:val="24"/>
          <w:highlight w:val="none"/>
        </w:rPr>
        <w:t xml:space="preserve">无。</w:t>
      </w:r>
      <w:r/>
    </w:p>
    <w:p>
      <w:pPr>
        <w:pStyle w:val="759"/>
        <w:ind w:left="0" w:right="0" w:firstLine="480"/>
        <w:rPr>
          <w:rFonts w:hint="default" w:ascii="宋体" w:hAnsi="宋体" w:eastAsia="宋体" w:cs="宋体"/>
          <w:sz w:val="24"/>
          <w:szCs w:val="24"/>
          <w:highlight w:val="none"/>
        </w:rPr>
      </w:pPr>
      <w:r>
        <w:rPr>
          <w:rFonts w:ascii="宋体" w:hAnsi="宋体" w:eastAsia="宋体" w:cs="宋体"/>
          <w:sz w:val="24"/>
          <w:szCs w:val="24"/>
          <w:highlight w:val="none"/>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三、获取</w:t>
      </w:r>
      <w:r>
        <w:rPr>
          <w:rFonts w:hint="eastAsia" w:ascii="宋体" w:hAnsi="宋体" w:eastAsia="宋体" w:cs="宋体"/>
          <w:sz w:val="24"/>
          <w:szCs w:val="24"/>
          <w:highlight w:val="none"/>
        </w:rPr>
        <w:t xml:space="preserve">招标文件</w:t>
      </w:r>
      <w:r>
        <w:rPr>
          <w:rFonts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时间：自招标文件公告发布之日起5个工作日 </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地点：“苏采云”系统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方式：线上获取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售价：</w:t>
      </w:r>
      <w:r>
        <w:rPr>
          <w:rFonts w:hint="eastAsia" w:ascii="宋体" w:hAnsi="宋体" w:eastAsia="宋体" w:cs="宋体"/>
          <w:sz w:val="24"/>
          <w:szCs w:val="24"/>
          <w:highlight w:val="none"/>
        </w:rPr>
        <w:t xml:space="preserve">0.00</w:t>
      </w:r>
      <w:r>
        <w:rPr>
          <w:rFonts w:ascii="宋体" w:hAnsi="宋体" w:eastAsia="宋体" w:cs="宋体"/>
          <w:sz w:val="24"/>
          <w:szCs w:val="24"/>
          <w:highlight w:val="none"/>
        </w:rPr>
        <w:t xml:space="preserve">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四、提交投标文件截止时间、开标时间和地点：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时间：</w:t>
      </w:r>
      <w:r>
        <w:rPr>
          <w:rFonts w:hint="eastAsia" w:ascii="宋体" w:hAnsi="宋体" w:eastAsia="宋体" w:cs="宋体"/>
          <w:sz w:val="24"/>
          <w:szCs w:val="24"/>
          <w:highlight w:val="none"/>
        </w:rPr>
        <w:t xml:space="preserve">2026年10月16日13时30分（北京时间）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地点：“苏采云”系统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五、公告期限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个工作日。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六、其他补充事项：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线上获取方式：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（1）CA证书办理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（3）电子投标准备</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在系统操作过程中如有疑问，请按以下方式联系：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注册咨询：18261002950；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CA技术咨询电话：400-608-6099；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签章使用问题：025-83633811、025-83633812、15380932027、15371015030；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系统使用指导与咨询：联系电话：18261002950；QQ：3048755361、1315179389、895706745。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szCs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w:t>
      </w:r>
      <w:r>
        <w:rPr>
          <w:rFonts w:ascii="宋体" w:hAnsi="宋体" w:eastAsia="宋体" w:cs="宋体"/>
          <w:sz w:val="24"/>
          <w:szCs w:val="24"/>
          <w:highlight w:val="none"/>
        </w:rPr>
        <w:t xml:space="preserve">本项目获取招标文件截止日期之后仍可以下载招标文件，但截止日期之后下载的招标文件</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视为非有效方式且不作为供应商权益受到损害的证明材料和依据。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w:t>
      </w:r>
      <w:r>
        <w:rPr>
          <w:rFonts w:ascii="宋体" w:hAnsi="宋体" w:eastAsia="宋体" w:cs="宋体"/>
          <w:sz w:val="24"/>
          <w:szCs w:val="24"/>
          <w:highlight w:val="none"/>
        </w:rPr>
        <w:t xml:space="preserve">更正(补充)公告及附件的获取</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8</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政府采购监督管理电话：</w:t>
      </w:r>
      <w:r>
        <w:rPr>
          <w:rFonts w:hint="eastAsia" w:ascii="宋体" w:hAnsi="宋体" w:eastAsia="宋体" w:cs="宋体"/>
          <w:sz w:val="24"/>
          <w:szCs w:val="24"/>
          <w:highlight w:val="none"/>
        </w:rPr>
        <w:t xml:space="preserve">025-83633058</w:t>
      </w:r>
      <w:r>
        <w:rPr>
          <w:rFonts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9</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本次采购的有关信息将在苏州市政府采购网、江苏政府采购网、中国政府采购网上发布，敬请留意！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七、对本次招标提出的询问，请按以下方式联系。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采购人信息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联系人：罗老师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：0512-67504198</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江苏海外集团国际工程咨询有限公司</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10.2供应商应自行对有关现场和周围环境进行考察，以获取编制投标文件和签署合同所需的信息。考察现场所发生的费用由供应商自己承担。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落实政府采购政策需满足的资格要求：本项目专门面向中小企业，所属行业为工业，供应商应为中小微企业、残疾人福利性单位或监狱企业。提供《中小企业声明函》或《残疾人福利性单位声明函》或省级以上监狱管理局、戒毒管理局（含新疆生产建设兵团）出具的属于监狱企业的证明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15.20投标函（详见投标文件格式）；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15.21《开标一览表》；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15.22货物清单表（含投标货物名称、数量、材质、规格、品牌型号、性能、技术指标说明与描述、质量要求等）；</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15.23技术规格偏离表和商务条款偏离表（详见投标文件格式）；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15.24供应商对招标文件其他符合性条款的响应情况（如有）。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15.25招标文件评分标准中规定提交的相关材料。</w:t>
      </w:r>
      <w:r/>
    </w:p>
    <w:p>
      <w:pPr>
        <w:ind w:firstLine="468"/>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15.27关于符合本国产品标准的声明函。</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16.3《开标一览表》为在开标时唱标的内容，要求按格式填写，统一规范，不得自行增减内容。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23.8核对评标结果，有政府采购相关规定情形的，要求评标委员会复核或者书面说明理由，评标委员会拒绝的，应予记录并向本级财政部门报告；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3）投标文件载明的交货期限不满足招标文件规定；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32.中标单位的确认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32.3本项目中标单位数量：1家。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本项目专门面向中小企业。</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招标文件。</w:t>
      </w:r>
      <w:r/>
    </w:p>
    <w:p>
      <w:pPr>
        <w:ind w:firstLine="480"/>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其中，供应商提供的货物既有中小企业制造货物，也有大型企业制造货物的，不享受中小企业扶持政策，视为非实质性响应招标文件。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highlight w:val="none"/>
        </w:rPr>
        <w:t xml:space="preserve">未提交则视为</w:t>
      </w:r>
      <w:r>
        <w:rPr>
          <w:rFonts w:ascii="宋体" w:hAnsi="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rPr>
          <w:rFonts w:ascii="宋体" w:hAnsi="宋体" w:cs="宋体"/>
          <w:color w:val="000000"/>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未提交则视为</w:t>
      </w:r>
      <w:r>
        <w:rPr>
          <w:rFonts w:hint="eastAsia" w:ascii="宋体" w:hAnsi="宋体" w:eastAsia="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777"/>
        <w:ind w:firstLine="482"/>
        <w:spacing w:before="0" w:beforeAutospacing="0" w:after="0" w:afterAutospacing="0" w:line="360" w:lineRule="auto"/>
        <w:rPr>
          <w:rFonts w:ascii="宋体" w:hAnsi="宋体" w:eastAsia="宋体" w:cs="宋体"/>
          <w:szCs w:val="24"/>
          <w:highlight w:val="none"/>
        </w:rPr>
      </w:pPr>
      <w:r>
        <w:rPr>
          <w:rStyle w:val="783"/>
          <w:rFonts w:hint="eastAsia" w:ascii="宋体" w:hAnsi="宋体" w:eastAsia="宋体" w:cs="宋体"/>
          <w:szCs w:val="24"/>
          <w:highlight w:val="none"/>
          <w:shd w:val="clear" w:color="auto" w:fill="ffffff"/>
        </w:rPr>
        <w:t xml:space="preserve">41.1本国产品标准</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（1）在中国境内生产</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①为确保产品在运输或者储存期间保持某种状态而进行的操作；</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②为产品运输或者销售进行的包装或者展示；</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③在产品或者其包装上粘贴或者印刷品牌、标志、标识以及其他用于区别的标记；</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④简单的上漆、磨光和分装；</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⑤其他不属于属性改变的情形。</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（2）在中国境内生产的组件成本占比达到规定比例</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77"/>
        <w:jc w:val="center"/>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1">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1" o:title=""/>
              </v:shape>
            </w:pict>
          </mc:Fallback>
        </mc:AlternateContent>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（3）特定产品的关键组件、关键工序符合相关要求</w:t>
      </w:r>
      <w:r/>
    </w:p>
    <w:p>
      <w:pPr>
        <w:pStyle w:val="77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7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77"/>
        <w:jc w:val="center"/>
        <w:spacing w:before="20" w:beforeAutospacing="0" w:after="20" w:afterAutospacing="0" w:line="320" w:lineRule="atLeast"/>
        <w:rPr>
          <w:rFonts w:ascii="宋体" w:hAnsi="宋体" w:eastAsia="宋体" w:cs="宋体"/>
          <w:sz w:val="16"/>
          <w:szCs w:val="16"/>
          <w:highlight w:val="none"/>
        </w:rPr>
      </w:pPr>
      <w:r>
        <w:rPr>
          <w:rStyle w:val="783"/>
          <w:rFonts w:hint="eastAsia" w:ascii="宋体" w:hAnsi="宋体" w:eastAsia="宋体" w:cs="宋体"/>
          <w:szCs w:val="24"/>
          <w:highlight w:val="none"/>
          <w:shd w:val="clear" w:color="auto" w:fill="ffffff"/>
        </w:rPr>
        <w:t xml:space="preserve">中国境内生产的组件成本核算基本规则</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①产品的一级组件是指直接组成产品的组件。产品的二级组件是指直接组成产品一级组件的组件。一级组件不可分解的，视同二级组件。</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③产品总成本和组件成本以相关会计核算数据、采购合同、进货记录等为基础进行计算。</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④需要对成本核算规则予以进一步明确的其他有关事项，由财政部会同有关部门另行规定。</w:t>
      </w:r>
      <w:r/>
    </w:p>
    <w:p>
      <w:pPr>
        <w:pStyle w:val="777"/>
        <w:ind w:firstLine="482"/>
        <w:spacing w:before="0" w:beforeAutospacing="0" w:after="0" w:afterAutospacing="0" w:line="360" w:lineRule="auto"/>
        <w:rPr>
          <w:rFonts w:ascii="宋体" w:hAnsi="宋体" w:eastAsia="宋体" w:cs="宋体"/>
          <w:szCs w:val="24"/>
          <w:highlight w:val="none"/>
        </w:rPr>
      </w:pPr>
      <w:r>
        <w:rPr>
          <w:rStyle w:val="783"/>
          <w:rFonts w:hint="eastAsia" w:ascii="宋体" w:hAnsi="宋体" w:eastAsia="宋体" w:cs="宋体"/>
          <w:szCs w:val="24"/>
          <w:highlight w:val="none"/>
          <w:shd w:val="clear" w:color="auto" w:fill="ffffff"/>
        </w:rPr>
        <w:t xml:space="preserve">41.2本国产品标准的适用范围</w:t>
      </w:r>
      <w:r/>
    </w:p>
    <w:p>
      <w:pPr>
        <w:pStyle w:val="77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7"/>
        <w:ind w:firstLine="482"/>
        <w:spacing w:before="0" w:beforeAutospacing="0" w:after="0" w:afterAutospacing="0" w:line="360" w:lineRule="auto"/>
        <w:rPr>
          <w:rFonts w:ascii="宋体" w:hAnsi="宋体" w:eastAsia="宋体" w:cs="宋体"/>
          <w:szCs w:val="24"/>
          <w:highlight w:val="none"/>
        </w:rPr>
      </w:pPr>
      <w:r>
        <w:rPr>
          <w:rStyle w:val="783"/>
          <w:rFonts w:hint="eastAsia" w:ascii="宋体" w:hAnsi="宋体" w:eastAsia="宋体" w:cs="宋体"/>
          <w:szCs w:val="24"/>
          <w:highlight w:val="none"/>
          <w:shd w:val="clear" w:color="auto" w:fill="ffffff"/>
        </w:rPr>
        <w:t xml:space="preserve">41.3对本国产品的支持政策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758"/>
        <w:ind w:left="0"/>
        <w:rPr>
          <w:highlight w:val="none"/>
        </w:rP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w:t>
      </w:r>
      <w:r>
        <w:rPr>
          <w:rFonts w:hint="eastAsia" w:ascii="宋体" w:hAnsi="宋体" w:eastAsia="宋体" w:cs="宋体"/>
          <w:color w:val="000000"/>
          <w:sz w:val="24"/>
          <w:szCs w:val="24"/>
          <w:highlight w:val="none"/>
        </w:rPr>
        <w:t xml:space="preserve">包括完成本项目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79"/>
        <w:gridCol w:w="2011"/>
        <w:gridCol w:w="2152"/>
        <w:gridCol w:w="2455"/>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8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761"/>
        <w:gridCol w:w="873"/>
        <w:gridCol w:w="1786"/>
        <w:gridCol w:w="799"/>
        <w:gridCol w:w="934"/>
        <w:gridCol w:w="735"/>
        <w:gridCol w:w="860"/>
        <w:gridCol w:w="799"/>
        <w:gridCol w:w="869"/>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取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tbl>
      <w:tblPr>
        <w:tblStyle w:val="78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886"/>
        <w:gridCol w:w="1015"/>
        <w:gridCol w:w="1015"/>
        <w:gridCol w:w="785"/>
        <w:gridCol w:w="2242"/>
        <w:gridCol w:w="2225"/>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2"/>
        <w:gridCol w:w="3580"/>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75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09"/>
        <w:gridCol w:w="1904"/>
        <w:gridCol w:w="1436"/>
        <w:gridCol w:w="1893"/>
        <w:gridCol w:w="1212"/>
      </w:tblGrid>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754"/>
              <w:ind w:firstLine="960"/>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gridSpan w:val="2"/>
            <w:tcW w:w="1838"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gridSpan w:val="2"/>
            <w:tcW w:w="1714"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754"/>
              <w:ind w:firstLine="0"/>
              <w:rPr>
                <w:rFonts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Height w:val="560"/>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048"/>
        <w:gridCol w:w="2021"/>
        <w:gridCol w:w="2023"/>
        <w:gridCol w:w="202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920"/>
        <w:gridCol w:w="1939"/>
        <w:gridCol w:w="1823"/>
        <w:gridCol w:w="1560"/>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754"/>
        <w:ind w:firstLine="0"/>
        <w:spacing w:after="312"/>
        <w:rPr>
          <w:rFonts w:ascii="宋体" w:hAnsi="宋体" w:eastAsia="宋体" w:cs="宋体"/>
          <w:highlight w:val="none"/>
        </w:rPr>
      </w:pPr>
      <w:r>
        <w:rPr>
          <w:rFonts w:hint="eastAsia" w:ascii="宋体" w:hAnsi="宋体" w:eastAsia="宋体" w:cs="宋体"/>
          <w:highlight w:val="none"/>
        </w:rPr>
        <w:t xml:space="preserve">招标编号：</w:t>
      </w:r>
      <w:r/>
    </w:p>
    <w:tbl>
      <w:tblPr>
        <w:tblStyle w:val="75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2747"/>
        <w:gridCol w:w="1721"/>
        <w:gridCol w:w="2604"/>
        <w:gridCol w:w="941"/>
      </w:tblGrid>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highlight w:val="none"/>
        </w:rPr>
      </w:r>
      <w:r/>
    </w:p>
    <w:p>
      <w:pPr>
        <w:jc w:val="center"/>
        <w:spacing w:line="85" w:lineRule="atLeast"/>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rPr>
          <w:rFonts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3422"/>
        <w:gridCol w:w="2294"/>
        <w:gridCol w:w="241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77"/>
        <w:ind w:firstLine="420"/>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85"/>
          <w:rFonts w:hint="eastAsia" w:ascii="宋体" w:hAnsi="宋体" w:eastAsia="宋体" w:cs="宋体"/>
          <w:i w:val="0"/>
          <w:szCs w:val="24"/>
          <w:highlight w:val="none"/>
          <w:u w:val="single"/>
          <w:shd w:val="clear" w:color="auto" w:fill="ffffff"/>
        </w:rPr>
        <w:t xml:space="preserve">（产品名称1）</w:t>
      </w:r>
      <w:r>
        <w:rPr>
          <w:rStyle w:val="785"/>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85"/>
          <w:rFonts w:hint="eastAsia" w:ascii="宋体" w:hAnsi="宋体" w:eastAsia="宋体" w:cs="宋体"/>
          <w:i w:val="0"/>
          <w:szCs w:val="24"/>
          <w:highlight w:val="none"/>
          <w:u w:val="single"/>
          <w:shd w:val="clear" w:color="auto" w:fill="ffffff"/>
        </w:rPr>
        <w:t xml:space="preserve">（厂名）</w:t>
      </w:r>
      <w:r>
        <w:rPr>
          <w:rStyle w:val="785"/>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8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85"/>
          <w:rFonts w:hint="eastAsia" w:ascii="宋体" w:hAnsi="宋体" w:eastAsia="宋体" w:cs="宋体"/>
          <w:i w:val="0"/>
          <w:szCs w:val="24"/>
          <w:highlight w:val="none"/>
          <w:u w:val="single"/>
          <w:shd w:val="clear" w:color="auto" w:fill="ffffff"/>
        </w:rPr>
        <w:t xml:space="preserve">（规定比例）</w:t>
      </w:r>
      <w:r>
        <w:rPr>
          <w:rStyle w:val="785"/>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（关键组件）</w:t>
      </w:r>
      <w:r>
        <w:rPr>
          <w:rStyle w:val="785"/>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8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（关键工序）</w:t>
      </w:r>
      <w:r>
        <w:rPr>
          <w:rStyle w:val="785"/>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85"/>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8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85"/>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7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7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77"/>
        <w:spacing w:before="20" w:beforeAutospacing="0" w:after="20" w:afterAutospacing="0" w:line="360" w:lineRule="auto"/>
        <w:rPr>
          <w:rFonts w:ascii="宋体" w:hAnsi="宋体" w:eastAsia="宋体" w:cs="宋体"/>
          <w:szCs w:val="24"/>
          <w:highlight w:val="none"/>
        </w:rPr>
      </w:pPr>
      <w:r>
        <w:rPr>
          <w:rFonts w:ascii="宋体" w:hAnsi="宋体" w:eastAsia="宋体" w:cs="宋体"/>
          <w:szCs w:val="24"/>
          <w:highlight w:val="none"/>
        </w:rPr>
      </w:r>
      <w:r/>
    </w:p>
    <w:p>
      <w:pPr>
        <w:pStyle w:val="77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w:t>
      </w:r>
      <w:r/>
    </w:p>
    <w:p>
      <w:pPr>
        <w:pStyle w:val="77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77"/>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7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7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7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7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7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8"/>
          <w:footerReference w:type="first" r:id="rId9"/>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highlight w:val="none"/>
        </w:rPr>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w:t>
      </w:r>
      <w:r>
        <w:rPr>
          <w:rFonts w:hint="eastAsia" w:ascii="宋体" w:hAnsi="宋体" w:eastAsia="宋体" w:cs="宋体"/>
          <w:b/>
          <w:bCs/>
          <w:sz w:val="24"/>
          <w:highlight w:val="none"/>
        </w:rPr>
        <w:t xml:space="preserve">采购</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rPr>
        <w:t xml:space="preserve">单细胞光导系统</w:t>
      </w:r>
      <w:r>
        <w:rPr>
          <w:rFonts w:hint="eastAsia" w:ascii="宋体" w:hAnsi="宋体" w:eastAsia="宋体" w:cs="宋体"/>
          <w:b/>
          <w:bCs/>
          <w:sz w:val="24"/>
          <w:szCs w:val="24"/>
          <w:highlight w:val="none"/>
        </w:rPr>
        <w:t xml:space="preserve">进行国内公开招标。</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rPr>
        <w:t xml:space="preserve">JSZC-320500-HWZX-G2026-0575</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二、招标内容：</w:t>
      </w:r>
      <w:r>
        <w:rPr>
          <w:rFonts w:hint="eastAsia" w:ascii="宋体" w:hAnsi="宋体" w:eastAsia="宋体" w:cs="宋体"/>
          <w:b/>
          <w:bCs/>
          <w:sz w:val="24"/>
          <w:szCs w:val="24"/>
          <w:highlight w:val="none"/>
        </w:rPr>
        <w:t xml:space="preserve">单细胞光导系统   1套</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人民币780万元；最高限价：人民币780万元。</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2"/>
        <w:spacing w:line="360" w:lineRule="auto"/>
        <w:tabs>
          <w:tab w:val="left" w:pos="360"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本项目核心产品：</w:t>
      </w:r>
      <w:r>
        <w:rPr>
          <w:rFonts w:hint="eastAsia" w:ascii="宋体" w:hAnsi="宋体" w:eastAsia="宋体" w:cs="宋体"/>
          <w:b/>
          <w:bCs/>
          <w:sz w:val="24"/>
          <w:szCs w:val="24"/>
          <w:highlight w:val="none"/>
        </w:rPr>
        <w:t xml:space="preserve">单细胞光导系统</w:t>
      </w:r>
      <w:r/>
    </w:p>
    <w:p>
      <w:pPr>
        <w:contextualSpacing/>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（一）技术参数</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基于光电镊技术实现定向移动细胞，通过弱介电泳力在芯片流道到微腔之间移入导出细胞，不影响细胞活性；</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采用高功率光源，寿命≥2万小时； </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配备不少于5种光学滤镜：包含明场，可选Cy5(Ex590-650nm/Em663-738nm，TxRed(Ex542-582nm/Em604-644nm)，FITC(Ex450-490nm/Em500-550nm，DAPI(Ex370-410nm/Em448-473nm)，PE(Ex533-558nm/Em570-640nm)；</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可对移入到芯片微腔中的细胞进行培养；细胞移入与导出等过程全程影像追踪，并具备细胞计数功能；</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软件操作功能模块化，灵活选择分步或全部操作流程依次自动化运行；</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细胞导入时间：单轮≤20 min；</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可实现小上样体积≤3微升,可确保低的样品损耗；</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8</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流速范围0.01μL/s⁓20μL/s；</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★9</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支持不少于3种芯片规格（包含1750/14000/24000个纳升级微腔的三种规格芯片）；并支持定制芯片；温控4℃⁓50</w:t>
      </w:r>
      <w:bookmarkStart w:id="4" w:name="_Hlk240787568"/>
      <w:r>
        <w:rPr>
          <w:rFonts w:hint="eastAsia" w:ascii="宋体" w:hAnsi="宋体" w:eastAsia="宋体" w:cs="宋体"/>
          <w:bCs/>
          <w:sz w:val="24"/>
          <w:szCs w:val="24"/>
          <w:highlight w:val="none"/>
        </w:rPr>
        <w:t xml:space="preserve">℃</w:t>
      </w:r>
      <w:bookmarkEnd w:id="4"/>
      <w:r>
        <w:rPr>
          <w:rFonts w:hint="eastAsia" w:ascii="宋体" w:hAnsi="宋体" w:eastAsia="宋体" w:cs="宋体"/>
          <w:bCs/>
          <w:sz w:val="24"/>
          <w:szCs w:val="24"/>
          <w:highlight w:val="none"/>
        </w:rPr>
        <w:t xml:space="preserve">；</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0.</w:t>
      </w:r>
      <w:r>
        <w:rPr>
          <w:rFonts w:hint="eastAsia" w:ascii="宋体" w:hAnsi="宋体" w:eastAsia="宋体" w:cs="宋体"/>
          <w:bCs/>
          <w:sz w:val="24"/>
          <w:szCs w:val="24"/>
          <w:highlight w:val="none"/>
        </w:rPr>
        <w:t xml:space="preserve">可提供超快混合半导体芯片（包含≥10000个纳升级微腔），在流道流速5μL/s时流道与微腔内液体百分百混合时间≤5s；</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细胞导出双96孔板，温控</w:t>
      </w:r>
      <w:bookmarkStart w:id="5" w:name="_Hlk240790092"/>
      <w:r>
        <w:rPr>
          <w:rFonts w:hint="eastAsia" w:ascii="宋体" w:hAnsi="宋体" w:eastAsia="宋体" w:cs="宋体"/>
          <w:bCs/>
          <w:sz w:val="24"/>
          <w:szCs w:val="24"/>
          <w:highlight w:val="none"/>
        </w:rPr>
        <w:t xml:space="preserve">4℃⁓50</w:t>
      </w:r>
      <w:bookmarkStart w:id="6" w:name="_Hlk240787527"/>
      <w:r>
        <w:rPr>
          <w:rFonts w:hint="eastAsia" w:ascii="宋体" w:hAnsi="宋体" w:eastAsia="宋体" w:cs="宋体"/>
          <w:bCs/>
          <w:sz w:val="24"/>
          <w:szCs w:val="24"/>
          <w:highlight w:val="none"/>
        </w:rPr>
        <w:t xml:space="preserve">℃</w:t>
      </w:r>
      <w:bookmarkEnd w:id="5"/>
      <w:r/>
      <w:bookmarkEnd w:id="6"/>
      <w:r>
        <w:rPr>
          <w:rFonts w:hint="eastAsia" w:ascii="宋体" w:hAnsi="宋体" w:eastAsia="宋体" w:cs="宋体"/>
          <w:bCs/>
          <w:sz w:val="24"/>
          <w:szCs w:val="24"/>
          <w:highlight w:val="none"/>
        </w:rPr>
        <w:t xml:space="preserve">,搭载CO2培养系统用于细胞株开发；</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超高像素CMOS相机≥2000万像素；</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单芯片视野数≤23个，可分视野单独使用；</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导出体积≤5μL；</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单细胞导出时间：高精度≤5 min/cell；</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检测模式：抗原-抗体结合，配体-受体阻断，抗原-抗体交叉反应，细胞表面标志物表征，细胞因子分泌检测，细胞毒性检测等；</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7.</w:t>
      </w:r>
      <w:r>
        <w:rPr>
          <w:rFonts w:hint="eastAsia" w:ascii="宋体" w:hAnsi="宋体" w:eastAsia="宋体" w:cs="宋体"/>
          <w:bCs/>
          <w:sz w:val="24"/>
          <w:szCs w:val="24"/>
          <w:highlight w:val="none"/>
        </w:rPr>
        <w:t xml:space="preserve">保证长期使用配件和耗材供应链稳定；</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8</w:t>
      </w:r>
      <w:r>
        <w:rPr>
          <w:rFonts w:hint="eastAsia" w:ascii="宋体" w:hAnsi="宋体" w:eastAsia="宋体" w:cs="宋体"/>
          <w:bCs/>
          <w:sz w:val="24"/>
          <w:szCs w:val="24"/>
          <w:highlight w:val="none"/>
        </w:rPr>
        <w:t xml:space="preserve">.可定制化芯片开发服务，提供转化医学所需的定制化芯片开发应用技术服务;</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9.</w:t>
      </w:r>
      <w:r>
        <w:rPr>
          <w:rFonts w:hint="eastAsia" w:ascii="宋体" w:hAnsi="宋体" w:eastAsia="宋体" w:cs="宋体"/>
          <w:bCs/>
          <w:sz w:val="24"/>
          <w:szCs w:val="24"/>
          <w:highlight w:val="none"/>
        </w:rPr>
        <w:t xml:space="preserve">支持单B细胞导出至标准96孔板，衔接实验室自动化系统完成转录组建库与基因序列测定全流程，须提供证明材料；</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0.装验收单日需提供IQ和OQ验证服务及报告。</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（二）主要配置（清单）</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1.单细胞光导系统设备主机                     1  套</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2.微流控芯片及液路系统                       1  个</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（三）付款条款</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签订后30日内，采购人向中标供应商支付合同总价90%的预付款。中标供应商须在收到预付款前（一般为合同签订后5天内），向采购人提供与该预付款等额的、由商业银行出具的不可撤销的、无条件的见索即付独立预付款保函（保函格式及内容须事先经采购人确认）。该保函在设备最终验收合格后30日内无息退还； </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（2）全部设备完成安装、调试并正常运行后，经采购人签署最终验收合格证明文件（以采购人统一制式标准及签章为准），采购人再行支付合同总价10%的尾款；</w:t>
      </w:r>
      <w:r/>
    </w:p>
    <w:p>
      <w:pPr>
        <w:ind w:firstLine="480"/>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（3）每次付款前，中标单位均须提供对应金额的、合法有效增值税专用发票。</w:t>
      </w:r>
      <w:r>
        <w:rPr>
          <w:rFonts w:hint="eastAsia" w:ascii="宋体" w:hAnsi="宋体" w:eastAsia="宋体" w:cs="宋体"/>
          <w:b/>
          <w:bCs/>
          <w:color w:val="000000"/>
          <w:sz w:val="24"/>
          <w:szCs w:val="24"/>
          <w:highlight w:val="none"/>
        </w:rPr>
        <w:t xml:space="preserve">（四）履约保证金</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供应商须在签订合同前向采购人缴纳合同金额的</w:t>
      </w:r>
      <w:r>
        <w:rPr>
          <w:rFonts w:ascii="宋体" w:hAnsi="宋体" w:eastAsia="宋体" w:cs="宋体"/>
          <w:color w:val="000000"/>
          <w:sz w:val="24"/>
          <w:szCs w:val="24"/>
          <w:highlight w:val="none"/>
        </w:rPr>
        <w:t xml:space="preserve">10%作为履约保证金，至采购人签署最终验收合格证明之日起稳定运行1年后无息退还。</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履约保证金形式：以转账、支票、汇票、本票或者金融机构、担保机构出具的见索即付保函等非现金形式提交（保函内容须经学校认可）。</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（五）交付及安装调试</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1．交付流程：中标供应商应当在合同签订后6个月内将货物运送至采购人指定实验室（采购方另行约定的时间除外，但最迟不得晚于2027年3月31日）。</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2．安装、调试及培训：供应商将设备运送至指定地点后的7个工作日内，采购人与供应商应确认安装调试日期，供应商派专人到现场进行安装调试，并对采购方人员进行相关培训。</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（六）验收标准</w:t>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（七）采购主要标的物数量、交付期及交付方式、付款方式、质保期、质保方式及标注“★”参数属于实质性响应要求，不得出现负偏离，否则视为无效投标。</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（八）质保服务要求</w:t>
      </w:r>
      <w:r/>
    </w:p>
    <w:p>
      <w:pPr>
        <w:ind w:firstLine="482"/>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b/>
          <w:bCs/>
          <w:color w:val="000000"/>
          <w:sz w:val="24"/>
          <w:szCs w:val="24"/>
          <w:highlight w:val="none"/>
        </w:rPr>
        <w:t xml:space="preserve">1．设备免费质保期不少于5年，自最终验收完成合格之日起算，终身维修</w:t>
      </w:r>
      <w:r>
        <w:rPr>
          <w:rFonts w:ascii="宋体" w:hAnsi="宋体" w:eastAsia="宋体" w:cs="宋体"/>
          <w:color w:val="000000"/>
          <w:sz w:val="24"/>
          <w:szCs w:val="24"/>
          <w:highlight w:val="none"/>
        </w:rPr>
        <w:t xml:space="preserve">；</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人提出，如供应商未能在二次运输开展前提出异议，则视为异议不成立。</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（九）报价要求</w:t>
      </w:r>
      <w:r/>
    </w:p>
    <w:p>
      <w:pPr>
        <w:ind w:firstLine="480"/>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1.报价币种为人民币。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报价应包括完成本项目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jc w:val="center"/>
        <w:rPr>
          <w:rFonts w:ascii="宋体" w:hAnsi="宋体" w:eastAsia="宋体" w:cs="宋体"/>
          <w:sz w:val="24"/>
          <w:highlight w:val="none"/>
        </w:rPr>
      </w:pPr>
      <w:r>
        <w:rPr>
          <w:rFonts w:hint="eastAsia" w:ascii="宋体" w:hAnsi="宋体" w:eastAsia="宋体" w:cs="宋体"/>
          <w:sz w:val="24"/>
          <w:highlight w:val="none"/>
        </w:rPr>
        <w:br w:type="page" w:clear="all"/>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7"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7"/>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widowControl w:val="off"/>
        <w:rPr>
          <w:rFonts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合同主要条款</w:t>
      </w:r>
      <w:r/>
    </w:p>
    <w:p>
      <w:pPr>
        <w:ind w:firstLine="425"/>
        <w:jc w:val="both"/>
        <w:spacing w:line="400" w:lineRule="exact"/>
        <w:widowControl w:val="off"/>
        <w:rPr>
          <w:rFonts w:ascii="宋体" w:hAnsi="宋体" w:eastAsia="宋体" w:cs="宋体"/>
          <w:szCs w:val="21"/>
          <w:highlight w:val="none"/>
        </w:rPr>
      </w:pPr>
      <w:r>
        <w:rPr>
          <w:rFonts w:ascii="宋体" w:hAnsi="宋体" w:eastAsia="宋体" w:cs="宋体"/>
          <w:szCs w:val="21"/>
          <w:highlight w:val="none"/>
        </w:rPr>
      </w:r>
      <w:r/>
    </w:p>
    <w:p>
      <w:pPr>
        <w:ind w:firstLine="5262"/>
        <w:jc w:val="both"/>
        <w:widowControl w:val="off"/>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合同编号：</w:t>
      </w:r>
      <w:r/>
    </w:p>
    <w:p>
      <w:pPr>
        <w:ind w:firstLine="5262"/>
        <w:jc w:val="both"/>
        <w:widowControl w:val="off"/>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ind w:firstLine="480"/>
        <w:jc w:val="both"/>
        <w:spacing w:line="360" w:lineRule="auto"/>
        <w:widowControl w:val="off"/>
        <w:rPr>
          <w:rFonts w:ascii="Times New Roman" w:hAnsi="Times New Roman" w:eastAsia="宋体" w:cs="Times New Roman"/>
          <w:sz w:val="24"/>
          <w:szCs w:val="24"/>
          <w:highlight w:val="none"/>
        </w:rPr>
      </w:pPr>
      <w:r>
        <w:rPr>
          <w:rFonts w:ascii="Times New Roman" w:hAnsi="宋体" w:eastAsia="宋体" w:cs="Times New Roman"/>
          <w:sz w:val="24"/>
          <w:szCs w:val="24"/>
          <w:highlight w:val="none"/>
          <w:lang w:val="zh-CN"/>
        </w:rPr>
        <w:t xml:space="preserve">甲方：</w:t>
      </w:r>
      <w:r>
        <w:rPr>
          <w:rFonts w:hint="eastAsia" w:ascii="Times New Roman" w:hAnsi="Times New Roman" w:eastAsia="宋体" w:cs="Times New Roman"/>
          <w:sz w:val="24"/>
          <w:szCs w:val="24"/>
          <w:highlight w:val="none"/>
          <w:lang w:val="zh-CN"/>
        </w:rPr>
        <w:t xml:space="preserve">苏州大学</w:t>
      </w:r>
      <w:r>
        <w:rPr>
          <w:rFonts w:ascii="Times New Roman" w:hAnsi="Times New Roman" w:eastAsia="宋体" w:cs="Times New Roman"/>
          <w:sz w:val="24"/>
          <w:szCs w:val="24"/>
          <w:highlight w:val="none"/>
          <w:lang w:val="zh-CN"/>
        </w:rPr>
        <w:t xml:space="preserve"> </w:t>
      </w:r>
      <w:r/>
    </w:p>
    <w:p>
      <w:pPr>
        <w:ind w:firstLine="480"/>
        <w:jc w:val="both"/>
        <w:spacing w:line="360" w:lineRule="auto"/>
        <w:widowControl w:val="off"/>
        <w:rPr>
          <w:rFonts w:ascii="Times New Roman" w:hAnsi="Times New Roman" w:eastAsia="宋体" w:cs="Times New Roman"/>
          <w:sz w:val="24"/>
          <w:szCs w:val="24"/>
          <w:highlight w:val="none"/>
          <w:u w:val="single"/>
        </w:rPr>
      </w:pPr>
      <w:r>
        <w:rPr>
          <w:rFonts w:ascii="Times New Roman" w:hAnsi="宋体" w:eastAsia="宋体" w:cs="Times New Roman"/>
          <w:sz w:val="24"/>
          <w:szCs w:val="24"/>
          <w:highlight w:val="none"/>
          <w:lang w:val="zh-CN"/>
        </w:rPr>
        <w:t xml:space="preserve">乙方：</w:t>
      </w:r>
      <w:r>
        <w:rPr>
          <w:rFonts w:ascii="Times New Roman" w:hAnsi="Times New Roman" w:eastAsia="宋体" w:cs="Times New Roman"/>
          <w:sz w:val="24"/>
          <w:szCs w:val="24"/>
          <w:highlight w:val="none"/>
          <w:u w:val="single"/>
          <w:lang w:val="zh-CN"/>
        </w:rPr>
        <w:t xml:space="preserve">                </w:t>
      </w:r>
      <w:r/>
    </w:p>
    <w:p>
      <w:pPr>
        <w:ind w:firstLine="480"/>
        <w:jc w:val="both"/>
        <w:spacing w:line="360" w:lineRule="auto"/>
        <w:widowControl w:val="off"/>
        <w:rPr>
          <w:rFonts w:ascii="Times New Roman" w:hAnsi="宋体" w:eastAsia="宋体" w:cs="Times New Roman"/>
          <w:sz w:val="24"/>
          <w:szCs w:val="24"/>
          <w:highlight w:val="none"/>
          <w:lang w:val="zh-CN"/>
        </w:rPr>
      </w:pPr>
      <w:r>
        <w:rPr>
          <w:rFonts w:ascii="Times New Roman" w:hAnsi="宋体" w:eastAsia="宋体" w:cs="Times New Roman"/>
          <w:sz w:val="24"/>
          <w:szCs w:val="24"/>
          <w:highlight w:val="none"/>
          <w:lang w:val="zh-CN"/>
        </w:rPr>
      </w:r>
      <w:r/>
    </w:p>
    <w:p>
      <w:pPr>
        <w:ind w:firstLine="480"/>
        <w:jc w:val="both"/>
        <w:spacing w:line="360" w:lineRule="auto"/>
        <w:widowControl w:val="off"/>
        <w:rPr>
          <w:rFonts w:ascii="Times New Roman" w:hAnsi="Times New Roman" w:eastAsia="宋体" w:cs="Times New Roman"/>
          <w:sz w:val="24"/>
          <w:szCs w:val="24"/>
          <w:highlight w:val="none"/>
        </w:rPr>
      </w:pPr>
      <w:r>
        <w:rPr>
          <w:rFonts w:ascii="Times New Roman" w:hAnsi="宋体" w:eastAsia="宋体" w:cs="Times New Roman"/>
          <w:sz w:val="24"/>
          <w:szCs w:val="24"/>
          <w:highlight w:val="none"/>
          <w:lang w:val="zh-CN"/>
        </w:rPr>
        <w:t xml:space="preserve">根据政府采购编号</w:t>
      </w:r>
      <w:r>
        <w:rPr>
          <w:rFonts w:hint="eastAsia" w:ascii="Times New Roman" w:hAnsi="宋体" w:eastAsia="宋体" w:cs="Times New Roman"/>
          <w:sz w:val="24"/>
          <w:szCs w:val="24"/>
          <w:highlight w:val="none"/>
          <w:u w:val="single"/>
        </w:rPr>
        <w:t xml:space="preserve">            </w:t>
      </w:r>
      <w:r>
        <w:rPr>
          <w:rFonts w:hint="eastAsia" w:ascii="Times New Roman" w:hAnsi="Times New Roman" w:eastAsia="宋体" w:cs="Times New Roman"/>
          <w:sz w:val="24"/>
          <w:szCs w:val="24"/>
          <w:highlight w:val="none"/>
          <w:lang w:val="zh-CN"/>
        </w:rPr>
        <w:t xml:space="preserve">号</w:t>
      </w:r>
      <w:r>
        <w:rPr>
          <w:rFonts w:ascii="Times New Roman" w:hAnsi="宋体" w:eastAsia="宋体" w:cs="Times New Roman"/>
          <w:sz w:val="24"/>
          <w:szCs w:val="24"/>
          <w:highlight w:val="none"/>
          <w:lang w:val="zh-CN"/>
        </w:rPr>
        <w:t xml:space="preserve">采购文件及乙方中标的投标文件和中标通知书，甲乙双方就此次中标的</w:t>
      </w:r>
      <w:r>
        <w:rPr>
          <w:rFonts w:ascii="Times New Roman" w:hAnsi="Times New Roman" w:eastAsia="宋体" w:cs="Times New Roman"/>
          <w:sz w:val="24"/>
          <w:szCs w:val="24"/>
          <w:highlight w:val="none"/>
          <w:u w:val="single"/>
        </w:rPr>
        <w:t xml:space="preserve">                  </w:t>
      </w:r>
      <w:r>
        <w:rPr>
          <w:rFonts w:ascii="Times New Roman" w:hAnsi="宋体" w:eastAsia="宋体" w:cs="Times New Roman"/>
          <w:sz w:val="24"/>
          <w:szCs w:val="24"/>
          <w:highlight w:val="none"/>
          <w:lang w:val="zh-CN"/>
        </w:rPr>
        <w:t xml:space="preserve">事宜，签订本合同书。</w:t>
      </w:r>
      <w:r/>
    </w:p>
    <w:p>
      <w:pPr>
        <w:ind w:firstLine="482"/>
        <w:spacing w:line="360" w:lineRule="auto"/>
        <w:widowControl w:val="off"/>
        <w:rPr>
          <w:rFonts w:ascii="宋体" w:hAnsi="宋体" w:eastAsia="宋体" w:cs="宋体"/>
          <w:sz w:val="24"/>
          <w:szCs w:val="24"/>
          <w:highlight w:val="none"/>
        </w:rPr>
      </w:pPr>
      <w:r>
        <w:rPr>
          <w:rFonts w:ascii="宋体" w:hAnsi="宋体" w:eastAsia="宋体" w:cs="宋体"/>
          <w:b/>
          <w:sz w:val="24"/>
          <w:szCs w:val="24"/>
          <w:highlight w:val="none"/>
        </w:rPr>
        <w:t xml:space="preserve">第一条</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乙方根据甲方需求提供下列货物：</w:t>
      </w:r>
      <w:r/>
    </w:p>
    <w:tbl>
      <w:tblPr>
        <w:tblStyle w:val="75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326"/>
        <w:gridCol w:w="1694"/>
        <w:gridCol w:w="847"/>
        <w:gridCol w:w="1512"/>
        <w:gridCol w:w="1455"/>
        <w:gridCol w:w="706"/>
        <w:gridCol w:w="1095"/>
      </w:tblGrid>
      <w:tr>
        <w:trPr/>
        <w:tc>
          <w:tcPr>
            <w:tcW w:w="348"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714"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912"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型号、规格</w:t>
            </w:r>
            <w:r/>
          </w:p>
        </w:tc>
        <w:tc>
          <w:tcPr>
            <w:tcW w:w="456"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814"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单价（万元人民币）</w:t>
            </w:r>
            <w:r/>
          </w:p>
        </w:tc>
        <w:tc>
          <w:tcPr>
            <w:tcW w:w="783"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总价（万元人民币）</w:t>
            </w:r>
            <w:r/>
          </w:p>
        </w:tc>
        <w:tc>
          <w:tcPr>
            <w:tcW w:w="380"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品牌</w:t>
            </w:r>
            <w:r/>
          </w:p>
        </w:tc>
        <w:tc>
          <w:tcPr>
            <w:tcW w:w="589"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产地</w:t>
            </w:r>
            <w:r/>
          </w:p>
        </w:tc>
      </w:tr>
      <w:tr>
        <w:trPr>
          <w:trHeight w:val="300"/>
        </w:trPr>
        <w:tc>
          <w:tcPr>
            <w:tcW w:w="348"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14"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912"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456"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814"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783"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380"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589"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r>
      <w:tr>
        <w:trPr>
          <w:trHeight w:val="300"/>
        </w:trPr>
        <w:tc>
          <w:tcPr>
            <w:tcW w:w="348"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14"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912"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456"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814"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783"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380"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589"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r>
      <w:tr>
        <w:trPr>
          <w:trHeight w:val="150"/>
        </w:trPr>
        <w:tc>
          <w:tcPr>
            <w:tcW w:w="348" w:type="pct"/>
            <w:textDirection w:val="lrTb"/>
            <w:noWrap w:val="false"/>
          </w:tcPr>
          <w:p>
            <w:pPr>
              <w:jc w:val="center"/>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714"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912"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456"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814"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783"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380"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589"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r>
    </w:tbl>
    <w:p>
      <w:pPr>
        <w:ind w:firstLine="480"/>
        <w:spacing w:line="360" w:lineRule="auto"/>
        <w:widowControl w:val="off"/>
        <w:rPr>
          <w:rFonts w:ascii="宋体" w:hAnsi="宋体" w:eastAsia="宋体" w:cs="宋体"/>
          <w:b/>
          <w:sz w:val="24"/>
          <w:szCs w:val="24"/>
          <w:highlight w:val="none"/>
        </w:rPr>
      </w:pPr>
      <w:r>
        <w:rPr>
          <w:rFonts w:hint="eastAsia" w:ascii="Times New Roman" w:hAnsi="Times New Roman" w:eastAsia="宋体" w:cs="Times New Roman"/>
          <w:sz w:val="24"/>
          <w:highlight w:val="none"/>
        </w:rPr>
        <w:t xml:space="preserve">设备配置、技术指标、安装条件及验收指标等详见附件一技术协议。</w:t>
      </w:r>
      <w:r/>
    </w:p>
    <w:p>
      <w:pPr>
        <w:ind w:firstLine="482"/>
        <w:spacing w:line="360" w:lineRule="auto"/>
        <w:widowControl w:val="off"/>
        <w:rPr>
          <w:rFonts w:ascii="宋体" w:hAnsi="宋体" w:eastAsia="宋体" w:cs="宋体"/>
          <w:b/>
          <w:sz w:val="24"/>
          <w:szCs w:val="24"/>
          <w:highlight w:val="none"/>
        </w:rPr>
      </w:pPr>
      <w:r>
        <w:rPr>
          <w:rFonts w:ascii="宋体" w:hAnsi="宋体" w:eastAsia="宋体" w:cs="宋体"/>
          <w:b/>
          <w:sz w:val="24"/>
          <w:szCs w:val="24"/>
          <w:highlight w:val="none"/>
        </w:rPr>
        <w:t xml:space="preserve">第二条</w:t>
      </w:r>
      <w:r>
        <w:rPr>
          <w:rFonts w:hint="eastAsia" w:ascii="宋体" w:hAnsi="宋体" w:eastAsia="宋体" w:cs="宋体"/>
          <w:b/>
          <w:sz w:val="24"/>
          <w:szCs w:val="24"/>
          <w:highlight w:val="none"/>
        </w:rPr>
        <w:t xml:space="preserve"> 合同总价款   </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本合同项下货物总价款为人民币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本合同总价款</w:t>
      </w:r>
      <w:r>
        <w:rPr>
          <w:rFonts w:hint="eastAsia" w:ascii="宋体" w:hAnsi="宋体" w:eastAsia="宋体" w:cs="宋体"/>
          <w:color w:val="000000"/>
          <w:sz w:val="24"/>
          <w:szCs w:val="24"/>
          <w:highlight w:val="none"/>
        </w:rPr>
        <w:t xml:space="preserve">包括完成本项目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eastAsia="宋体" w:cs="宋体"/>
          <w:sz w:val="24"/>
          <w:szCs w:val="24"/>
          <w:highlight w:val="none"/>
        </w:rPr>
        <w:t xml:space="preserve">。</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第三条  履约保证金</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乙方须在签订合同前向甲方缴纳合同金额的</w:t>
      </w:r>
      <w:r>
        <w:rPr>
          <w:rFonts w:ascii="宋体" w:hAnsi="宋体" w:eastAsia="宋体" w:cs="宋体"/>
          <w:color w:val="000000"/>
          <w:sz w:val="24"/>
          <w:szCs w:val="24"/>
          <w:highlight w:val="none"/>
        </w:rPr>
        <w:t xml:space="preserve">10%作为履约保证金，至</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签署最终验收合格证明之日起稳定运行1年后无息退还。</w:t>
      </w:r>
      <w:r/>
    </w:p>
    <w:p>
      <w:pPr>
        <w:ind w:firstLine="480"/>
        <w:spacing w:line="360" w:lineRule="auto"/>
        <w:widowControl w:val="off"/>
        <w:rPr>
          <w:rFonts w:ascii="宋体" w:hAnsi="宋体" w:eastAsia="宋体" w:cs="宋体"/>
          <w:b/>
          <w:sz w:val="24"/>
          <w:szCs w:val="24"/>
          <w:highlight w:val="none"/>
        </w:rPr>
      </w:pPr>
      <w:r>
        <w:rPr>
          <w:rFonts w:hint="eastAsia" w:ascii="宋体" w:hAnsi="宋体" w:eastAsia="宋体" w:cs="宋体"/>
          <w:color w:val="000000"/>
          <w:sz w:val="24"/>
          <w:szCs w:val="24"/>
          <w:highlight w:val="none"/>
        </w:rPr>
        <w:t xml:space="preserve">履约保证金形式：以转账、支票、汇票、本票或者金融机构、担保机构出具的见索即付保函等非现金形式提交（保函内容须经学校认可）。</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第四条  权利保证</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第五条  质量保证</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3、设备的质保期为最终验收合格之日起</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个月。质保期内仪器设备本身所发生的问题（人为因素除外），由乙方提供完全无偿的维修服务。</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第六条  包装要求</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2、每一包装单元内应附详细的装箱单、质量合格凭证以及其他必须的相关材料。</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第七条  交货</w:t>
      </w:r>
      <w:r/>
    </w:p>
    <w:p>
      <w:pPr>
        <w:ind w:firstLine="480"/>
        <w:spacing w:line="360" w:lineRule="auto"/>
        <w:shd w:val="clear" w:color="auto" w:fill="ffffff"/>
        <w:rPr>
          <w:rFonts w:ascii="宋体" w:hAnsi="宋体" w:eastAsia="宋体" w:cs="宋体"/>
          <w:sz w:val="24"/>
          <w:szCs w:val="24"/>
          <w:highlight w:val="none"/>
        </w:rPr>
      </w:pPr>
      <w:r>
        <w:rPr>
          <w:rFonts w:hint="eastAsia" w:ascii="宋体" w:hAnsi="宋体" w:eastAsia="宋体" w:cs="宋体"/>
          <w:sz w:val="24"/>
          <w:szCs w:val="24"/>
          <w:highlight w:val="none"/>
        </w:rPr>
        <w:t xml:space="preserve">1、乙方</w:t>
      </w:r>
      <w:r>
        <w:rPr>
          <w:rFonts w:ascii="宋体" w:hAnsi="宋体" w:eastAsia="宋体" w:cs="宋体"/>
          <w:sz w:val="24"/>
          <w:szCs w:val="24"/>
          <w:highlight w:val="none"/>
        </w:rPr>
        <w:t xml:space="preserve">应当在合同签订</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个月</w:t>
      </w:r>
      <w:r>
        <w:rPr>
          <w:rFonts w:hint="eastAsia" w:ascii="宋体" w:hAnsi="宋体" w:eastAsia="宋体" w:cs="宋体"/>
          <w:color w:val="000000"/>
          <w:sz w:val="24"/>
          <w:szCs w:val="24"/>
          <w:highlight w:val="none"/>
        </w:rPr>
        <w:t xml:space="preserve">内将货物运送至采购人指定实验室（采购方另行约定的时间除外，但最迟不得晚于2027年3月31日）</w:t>
      </w:r>
      <w:r>
        <w:rPr>
          <w:rFonts w:ascii="宋体" w:hAnsi="宋体" w:eastAsia="宋体" w:cs="宋体"/>
          <w:sz w:val="24"/>
          <w:szCs w:val="24"/>
          <w:highlight w:val="none"/>
        </w:rPr>
        <w:t xml:space="preserve">。</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第八条 安装调试、培训和验收</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安装调试完毕，由</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组织最终验收，设备配置、所有技术参数须符合招标文件和</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投标响应文件要求。验收内容还包括资料完整性、设备“三漏”(漏水、漏电、漏气)检查、设备运行稳定性、技术规格符合性。各项指标还应符合国家质量和安全标准，设备可以在现有条件下安全稳定运行。</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验收完成后，应当签署最终验收证明，载明验收是否合格。若验收不合格，验收证明应同时列明不合格的具体原因，乙方应当在</w:t>
      </w:r>
      <w:r>
        <w:rPr>
          <w:rFonts w:ascii="宋体" w:hAnsi="宋体" w:eastAsia="宋体" w:cs="宋体"/>
          <w:sz w:val="24"/>
          <w:szCs w:val="24"/>
          <w:highlight w:val="none"/>
        </w:rPr>
        <w:t xml:space="preserve">30</w:t>
      </w:r>
      <w:r>
        <w:rPr>
          <w:rFonts w:hint="eastAsia" w:ascii="宋体" w:hAnsi="宋体" w:eastAsia="宋体" w:cs="宋体"/>
          <w:sz w:val="24"/>
          <w:szCs w:val="24"/>
          <w:highlight w:val="none"/>
        </w:rPr>
        <w:t xml:space="preserve">天内通过免费更换、维修等方式予以补正，双方再次验收。若再次验收仍不合格，乙方应当再次在</w:t>
      </w:r>
      <w:r>
        <w:rPr>
          <w:rFonts w:ascii="宋体" w:hAnsi="宋体" w:eastAsia="宋体" w:cs="宋体"/>
          <w:sz w:val="24"/>
          <w:szCs w:val="24"/>
          <w:highlight w:val="none"/>
        </w:rPr>
        <w:t xml:space="preserve">30</w:t>
      </w:r>
      <w:r>
        <w:rPr>
          <w:rFonts w:hint="eastAsia" w:ascii="宋体" w:hAnsi="宋体" w:eastAsia="宋体" w:cs="宋体"/>
          <w:sz w:val="24"/>
          <w:szCs w:val="24"/>
          <w:highlight w:val="none"/>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天内向甲方赔偿不足部分。</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如果双方对验收结果有争议，可委托双方一致认可的国家相关权威检测中心进行检测，以检测结果作为最终验收结果，费用由乙方承担。</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第九条  伴随服务／售后服务</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1、乙方应按照国家有关法律法规规章和“三包”规定以及合同所附的“服务承诺”（如果有）提供服务。</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2、除前款规定外，乙方还应提供下列服务：</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（1）货物的现场安装、调试和/或启动监督；</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（2）就货物的安装、启动、运行及维护等对甲方人员进行免费培训。</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3、质保期内，乙方负责对其提供的货物整机进行维修和系统维护（乙方上门服务），不再收取任何费用。</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4、货物故障报修的响应时间为：</w:t>
      </w:r>
      <w:r>
        <w:rPr>
          <w:rFonts w:ascii="宋体" w:hAnsi="宋体" w:eastAsia="宋体" w:cs="宋体"/>
          <w:color w:val="000000"/>
          <w:sz w:val="24"/>
          <w:szCs w:val="24"/>
          <w:highlight w:val="none"/>
        </w:rPr>
        <w:t xml:space="preserve">质保期内设备发生任何部件故障，</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须在48小时内上门免费维修</w:t>
      </w:r>
      <w:r>
        <w:rPr>
          <w:rFonts w:hint="eastAsia" w:ascii="宋体" w:hAnsi="宋体" w:eastAsia="宋体" w:cs="宋体"/>
          <w:sz w:val="24"/>
          <w:szCs w:val="24"/>
          <w:highlight w:val="none"/>
        </w:rPr>
        <w:t xml:space="preserve">。</w:t>
      </w:r>
      <w:r/>
    </w:p>
    <w:p>
      <w:pPr>
        <w:ind w:firstLine="480"/>
        <w:spacing w:line="360" w:lineRule="auto"/>
        <w:widowControl w:val="off"/>
        <w:tabs>
          <w:tab w:val="left" w:pos="1620" w:leader="none"/>
        </w:tabs>
        <w:rPr>
          <w:rFonts w:ascii="宋体" w:hAnsi="宋体" w:eastAsia="宋体" w:cs="宋体"/>
          <w:sz w:val="24"/>
          <w:szCs w:val="24"/>
          <w:highlight w:val="none"/>
        </w:rPr>
      </w:pPr>
      <w:r>
        <w:rPr>
          <w:rFonts w:ascii="宋体" w:hAnsi="宋体" w:eastAsia="宋体" w:cs="宋体"/>
          <w:sz w:val="24"/>
          <w:szCs w:val="24"/>
          <w:highlight w:val="none"/>
        </w:rPr>
        <w:t xml:space="preserve">5、</w:t>
      </w:r>
      <w:r>
        <w:rPr>
          <w:rFonts w:ascii="宋体" w:hAnsi="宋体" w:eastAsia="宋体" w:cs="宋体"/>
          <w:color w:val="000000"/>
          <w:sz w:val="24"/>
          <w:szCs w:val="24"/>
          <w:highlight w:val="none"/>
        </w:rPr>
        <w:t xml:space="preserve">若货物故障在维修48小时后仍无法排除，</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应在72小时内免费提供不低于故障货物规格型号档次的备用货物供</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使用，直至故障货物修复</w:t>
      </w:r>
      <w:r>
        <w:rPr>
          <w:rFonts w:hint="eastAsia" w:ascii="宋体" w:hAnsi="宋体" w:eastAsia="宋体" w:cs="宋体"/>
          <w:sz w:val="24"/>
          <w:szCs w:val="24"/>
          <w:highlight w:val="none"/>
        </w:rPr>
        <w:t xml:space="preserve">。</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6、质保期后的货物维护由双方协商确定。</w:t>
      </w:r>
      <w:r/>
    </w:p>
    <w:p>
      <w:pPr>
        <w:ind w:firstLine="482"/>
        <w:spacing w:line="360" w:lineRule="auto"/>
        <w:widowControl w:val="off"/>
        <w:tabs>
          <w:tab w:val="left" w:pos="1620"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第十条   货款支付</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2、本合同按照以下付款节点及条件支付：</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w:t>
      </w:r>
      <w:r>
        <w:rPr>
          <w:rFonts w:hint="eastAsia" w:ascii="宋体" w:hAnsi="宋体" w:eastAsia="宋体" w:cs="宋体"/>
          <w:sz w:val="24"/>
          <w:szCs w:val="24"/>
          <w:highlight w:val="none"/>
        </w:rPr>
        <w:t xml:space="preserve"> </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rPr>
        <w:t xml:space="preserve">全部设备完成安装、调试并正常运行后，经甲方签署最终验收合格证明文件（以甲方统一制式标准及签章为准），甲方再行支付合同总价10%的尾款；</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（3）每次付款前，乙方均须提供对应金额的、合法有效增值税专用发票。</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乙方开户银行：</w:t>
      </w:r>
      <w:r>
        <w:rPr>
          <w:rFonts w:ascii="宋体" w:hAnsi="宋体" w:eastAsia="宋体" w:cs="宋体"/>
          <w:sz w:val="24"/>
          <w:szCs w:val="24"/>
          <w:highlight w:val="none"/>
          <w:u w:val="single"/>
        </w:rPr>
        <w:t xml:space="preserve">                           </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银行账号：</w:t>
      </w:r>
      <w:r>
        <w:rPr>
          <w:rFonts w:ascii="宋体" w:hAnsi="宋体" w:eastAsia="宋体" w:cs="宋体"/>
          <w:sz w:val="24"/>
          <w:szCs w:val="24"/>
          <w:highlight w:val="none"/>
          <w:u w:val="single"/>
        </w:rPr>
        <w:t xml:space="preserve">                              </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3、付款方式：银行汇票或转账</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4、增值税专用发票开票信息</w:t>
      </w:r>
      <w:r/>
    </w:p>
    <w:tbl>
      <w:tblPr>
        <w:tblStyle w:val="75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473"/>
        <w:gridCol w:w="2823"/>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苏州大学增值税开票资料"/>
                              <pic:cNvPicPr>
                                <a:picLocks noChangeAspect="1"/>
                              </pic:cNvPicPr>
                              <pic:nvPr/>
                            </pic:nvPicPr>
                            <pic:blipFill>
                              <a:blip r:embed="rId12"/>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2"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第十一条　违约责任</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1、乙方逾期将货物运送至甲方指定地点的，每逾期1周（不足1周按1周计算），乙方向甲方偿付逾期交货部分货款总额的5‰的滞纳金。如乙方逾期</w:t>
      </w:r>
      <w:r>
        <w:rPr>
          <w:rFonts w:ascii="宋体" w:hAnsi="宋体" w:eastAsia="宋体" w:cs="宋体"/>
          <w:sz w:val="24"/>
          <w:szCs w:val="24"/>
          <w:highlight w:val="none"/>
          <w:u w:val="single"/>
        </w:rPr>
        <w:t xml:space="preserve">15</w:t>
      </w:r>
      <w:r>
        <w:rPr>
          <w:rFonts w:hint="eastAsia" w:ascii="宋体" w:hAnsi="宋体" w:eastAsia="宋体" w:cs="宋体"/>
          <w:sz w:val="24"/>
          <w:szCs w:val="24"/>
          <w:highlight w:val="none"/>
        </w:rPr>
        <w:t xml:space="preserve">天仍未交齐货物的，甲方有权终止合同，乙方则应按合同总价的5%向甲方支付违约金，并全额退还甲方所有预付给乙方的货款。</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2、乙方所交付的货物品种、型号、规格不符合合同规定的，甲方有权拒收，乙方应向甲方支付货款总额</w:t>
      </w:r>
      <w:r>
        <w:rPr>
          <w:rFonts w:ascii="宋体" w:hAnsi="宋体" w:eastAsia="宋体" w:cs="宋体"/>
          <w:sz w:val="24"/>
          <w:szCs w:val="24"/>
          <w:highlight w:val="none"/>
        </w:rPr>
        <w:t xml:space="preserve">10</w:t>
      </w:r>
      <w:r>
        <w:rPr>
          <w:rFonts w:hint="eastAsia" w:ascii="宋体" w:hAnsi="宋体" w:eastAsia="宋体" w:cs="宋体"/>
          <w:sz w:val="24"/>
          <w:szCs w:val="24"/>
          <w:highlight w:val="none"/>
        </w:rPr>
        <w:t xml:space="preserve">%的违约金，甲方有权直接从乙方缴纳的履约保证金中扣除上述违约金。</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eastAsia="宋体" w:cs="宋体"/>
          <w:sz w:val="24"/>
          <w:szCs w:val="24"/>
          <w:highlight w:val="none"/>
        </w:rPr>
        <w:t xml:space="preserve">0%</w:t>
      </w:r>
      <w:r>
        <w:rPr>
          <w:rFonts w:hint="eastAsia" w:ascii="宋体" w:hAnsi="宋体" w:eastAsia="宋体" w:cs="宋体"/>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天内向甲方赔偿不足部分。</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4、乙方未按本合同的规定和“服务承诺”提供伴随服务/售后服务的，应按合同总价款的5%向甲方承担违约责任。</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第十二条  不可抗力</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2、因不可抗力致使完全不能履行合同的，本协议终止，双方无须承担任何责任，但本协议另有规定的除外。</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5、因合同一方延迟履行合同后发生不可抗力的，不能免除延迟履行方的相应责任。</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第十三条　合同的变更和终止</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本合同一经签订，甲乙双方不得擅自变更、中止或终止合同。</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第十四条　合同的转让</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未经甲方书面同意，乙方不得擅自部分或全部转让其应履行的合同义务。</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第十五条  争议的解决</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第十六条   合同生效及其他</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1、下列文件作为本合同不可分割的部分：</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采购文件及其附件；</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乙方的响应文件；</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乙方在采购过程中所作的其他承诺、声明、书面澄清等；</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合同附件等。</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2、本合同自合同双方签字、盖章之日起生效。</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3、本合同一式5 份，甲方执 3 份，乙方执 1 份，代理机构执1份，具有同等法律效力。</w:t>
      </w:r>
      <w:r/>
    </w:p>
    <w:p>
      <w:pPr>
        <w:ind w:firstLine="480"/>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甲方（盖章）：                   乙方（盖章）：    </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单位地址：                       单位地址： </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设备购置负责人：                 授权代表：</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电话：                           电话：</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采购部门经办人：                 经办人：</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 </w:t>
      </w:r>
      <w:r>
        <w:rPr>
          <w:rFonts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 xml:space="preserve">审核人</w:t>
      </w:r>
      <w:r>
        <w:rPr>
          <w:rFonts w:ascii="Times New Roman" w:hAnsi="Times New Roman" w:eastAsia="宋体" w:cs="Times New Roman"/>
          <w:sz w:val="24"/>
          <w:szCs w:val="24"/>
          <w:highlight w:val="none"/>
        </w:rPr>
        <w:t xml:space="preserve">：</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电话：                           电话：                          </w:t>
      </w:r>
      <w:r/>
    </w:p>
    <w:p>
      <w:pPr>
        <w:ind w:firstLine="480"/>
        <w:jc w:val="both"/>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         日期：   年     月    日</w:t>
      </w:r>
      <w:r/>
    </w:p>
    <w:p>
      <w:pPr>
        <w:ind w:firstLine="480"/>
        <w:jc w:val="both"/>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jc w:val="both"/>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widowControl w:val="off"/>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特别</w:t>
      </w:r>
      <w:r>
        <w:rPr>
          <w:rFonts w:ascii="Times New Roman" w:hAnsi="Times New Roman" w:eastAsia="宋体" w:cs="Times New Roman"/>
          <w:sz w:val="24"/>
          <w:highlight w:val="none"/>
        </w:rPr>
        <w:t xml:space="preserve">提醒：</w:t>
      </w:r>
      <w:r>
        <w:rPr>
          <w:rFonts w:hint="eastAsia" w:ascii="Times New Roman" w:hAnsi="Times New Roman" w:eastAsia="宋体" w:cs="Times New Roman"/>
          <w:sz w:val="24"/>
          <w:highlight w:val="none"/>
        </w:rPr>
        <w:t xml:space="preserve">合同文本的签字盖章页与合同正文应当同处一面（打印时</w:t>
      </w:r>
      <w:r>
        <w:rPr>
          <w:rFonts w:ascii="Times New Roman" w:hAnsi="Times New Roman" w:eastAsia="宋体" w:cs="Times New Roman"/>
          <w:sz w:val="24"/>
          <w:highlight w:val="none"/>
        </w:rPr>
        <w:t xml:space="preserve">请删除此</w:t>
      </w:r>
      <w:r>
        <w:rPr>
          <w:rFonts w:hint="eastAsia" w:ascii="Times New Roman" w:hAnsi="Times New Roman" w:eastAsia="宋体" w:cs="Times New Roman"/>
          <w:sz w:val="24"/>
          <w:highlight w:val="none"/>
        </w:rPr>
        <w:t xml:space="preserve">行）</w:t>
      </w:r>
      <w:r/>
    </w:p>
    <w:p>
      <w:pPr>
        <w:ind w:firstLine="482"/>
        <w:spacing w:line="360" w:lineRule="auto"/>
        <w:widowControl w:val="off"/>
        <w:rPr>
          <w:rFonts w:ascii="宋体" w:hAnsi="宋体" w:eastAsia="宋体" w:cs="宋体"/>
          <w:b/>
          <w:sz w:val="24"/>
          <w:highlight w:val="none"/>
        </w:rPr>
      </w:pPr>
      <w:r>
        <w:rPr>
          <w:rFonts w:hint="eastAsia" w:ascii="宋体" w:hAnsi="宋体" w:eastAsia="宋体" w:cs="宋体"/>
          <w:b/>
          <w:sz w:val="24"/>
          <w:highlight w:val="none"/>
        </w:rPr>
        <w:t xml:space="preserve">附件一 </w:t>
      </w:r>
      <w:r>
        <w:rPr>
          <w:rFonts w:ascii="宋体" w:hAnsi="宋体" w:eastAsia="宋体" w:cs="宋体"/>
          <w:b/>
          <w:sz w:val="24"/>
          <w:highlight w:val="none"/>
        </w:rPr>
        <w:t xml:space="preserve"> </w:t>
      </w:r>
      <w:r>
        <w:rPr>
          <w:rFonts w:hint="eastAsia" w:ascii="宋体" w:hAnsi="宋体" w:eastAsia="宋体" w:cs="宋体"/>
          <w:b/>
          <w:sz w:val="24"/>
          <w:highlight w:val="none"/>
        </w:rPr>
        <w:t xml:space="preserve">技术协议</w:t>
      </w:r>
      <w:r/>
    </w:p>
    <w:p>
      <w:pPr>
        <w:ind w:firstLine="4604"/>
        <w:jc w:val="both"/>
        <w:spacing w:line="312" w:lineRule="auto"/>
        <w:widowControl w:val="off"/>
        <w:rPr>
          <w:rFonts w:ascii="宋体" w:hAnsi="宋体" w:eastAsia="宋体" w:cs="宋体"/>
          <w:b/>
          <w:sz w:val="24"/>
          <w:szCs w:val="21"/>
          <w:highlight w:val="none"/>
        </w:rPr>
      </w:pPr>
      <w:r>
        <w:rPr>
          <w:rFonts w:ascii="宋体" w:hAnsi="宋体" w:eastAsia="宋体" w:cs="宋体"/>
          <w:b/>
          <w:sz w:val="24"/>
          <w:szCs w:val="21"/>
          <w:highlight w:val="none"/>
        </w:rPr>
      </w:r>
      <w:r/>
    </w:p>
    <w:p>
      <w:pPr>
        <w:jc w:val="both"/>
        <w:spacing w:line="312" w:lineRule="auto"/>
        <w:widowControl w:val="off"/>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rPr>
          <w:rFonts w:ascii="宋体" w:hAnsi="宋体" w:eastAsia="宋体" w:cs="宋体"/>
          <w:b/>
          <w:sz w:val="44"/>
          <w:highlight w:val="none"/>
        </w:rPr>
      </w:pPr>
      <w:r/>
      <w:bookmarkStart w:id="8" w:name="_Toc9204"/>
      <w:r/>
      <w:r/>
    </w:p>
    <w:p>
      <w:pPr>
        <w:pStyle w:val="74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4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8"/>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w:t>
      </w:r>
      <w:r>
        <w:rPr>
          <w:rFonts w:ascii="宋体" w:hAnsi="宋体" w:eastAsia="宋体" w:cs="宋体"/>
          <w:b/>
          <w:sz w:val="24"/>
          <w:highlight w:val="none"/>
        </w:rPr>
        <w:t xml:space="preserve">：</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9"/>
        <w:ind w:left="0" w:right="0" w:firstLine="482"/>
        <w:rPr>
          <w:rFonts w:hint="default"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759"/>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eastAsia="宋体" w:cs="宋体"/>
          <w:b/>
          <w:bCs/>
          <w:color w:val="000000"/>
          <w:sz w:val="24"/>
          <w:szCs w:val="24"/>
          <w:highlight w:val="none"/>
        </w:rPr>
        <w:t xml:space="preserve">本项目为专门面向中小企业采购的项目，不再执行价格评审优惠的扶持政策。</w:t>
      </w:r>
      <w:r/>
    </w:p>
    <w:p>
      <w:pPr>
        <w:pStyle w:val="759"/>
        <w:ind w:left="0" w:right="0" w:firstLine="482"/>
        <w:rPr>
          <w:rFonts w:hint="default"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783"/>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759"/>
        <w:ind w:left="0" w:right="0" w:firstLine="480"/>
        <w:rPr>
          <w:rFonts w:hint="default"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ind w:firstLine="480"/>
        <w:spacing w:line="360" w:lineRule="auto"/>
        <w:widowControl w:val="off"/>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w:t>
      </w:r>
      <w:r/>
    </w:p>
    <w:p>
      <w:pPr>
        <w:ind w:firstLine="480"/>
        <w:spacing w:line="360" w:lineRule="auto"/>
        <w:widowControl w:val="off"/>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（一）价格（30分）</w:t>
      </w:r>
      <w:r/>
    </w:p>
    <w:p>
      <w:pPr>
        <w:ind w:firstLine="480"/>
        <w:spacing w:line="360" w:lineRule="auto"/>
        <w:widowControl w:val="off"/>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以通过评标初审，实质性响应采购文件要求且报价最低的投标报价为评标基准价（须未超过</w:t>
      </w:r>
      <w:r>
        <w:rPr>
          <w:rFonts w:hint="eastAsia" w:ascii="宋体" w:hAnsi="宋体" w:eastAsia="宋体" w:cs="宋体"/>
          <w:bCs/>
          <w:sz w:val="24"/>
          <w:szCs w:val="24"/>
          <w:highlight w:val="none"/>
        </w:rPr>
        <w:t xml:space="preserve">采购预算和最高限价），其价格分为满分30分。其他投标人的价格分统一按照下列公式计算：</w:t>
      </w:r>
      <w:r/>
    </w:p>
    <w:p>
      <w:pPr>
        <w:ind w:firstLine="480"/>
        <w:spacing w:line="360" w:lineRule="auto"/>
        <w:widowControl w:val="off"/>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投标报价得分=（评标基准价/投标报价）×价格权值×100（价格权值为30%）</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（二）技术参数及技术方案（</w:t>
      </w:r>
      <w:r>
        <w:rPr>
          <w:rFonts w:ascii="宋体" w:hAnsi="宋体" w:eastAsia="宋体" w:cs="宋体"/>
          <w:b/>
          <w:bCs/>
          <w:color w:val="000000"/>
          <w:sz w:val="24"/>
          <w:szCs w:val="24"/>
          <w:highlight w:val="none"/>
        </w:rPr>
        <w:t xml:space="preserve">30分）</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技术参数及配置（20分）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以供应商提供的能直接反映该产品技术参数的彩页或产品说明书等作为主要评判依据，其他情况由评标委员会根据实际情况进行评判。</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所提供产品不满足招标文件要求（负偏离）、配置不详、技术参数不明确、缺漏项的，每处扣</w:t>
      </w:r>
      <w:r>
        <w:rPr>
          <w:rFonts w:ascii="宋体" w:hAnsi="宋体" w:eastAsia="宋体" w:cs="宋体"/>
          <w:color w:val="000000"/>
          <w:sz w:val="24"/>
          <w:szCs w:val="24"/>
          <w:highlight w:val="none"/>
        </w:rPr>
        <w:t xml:space="preserve">2分，扣完为止。（20分）</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技术方案（10分）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供应商提供为实现本项目招标文件技术参数要求而制定的技术方案。</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技术方案详尽、合理、针对性强，能完全符合用户科研需求的得</w:t>
      </w:r>
      <w:r>
        <w:rPr>
          <w:rFonts w:ascii="宋体" w:hAnsi="宋体" w:eastAsia="宋体" w:cs="宋体"/>
          <w:color w:val="000000"/>
          <w:sz w:val="24"/>
          <w:szCs w:val="24"/>
          <w:highlight w:val="none"/>
        </w:rPr>
        <w:t xml:space="preserve">10分。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技术方案规范、较合理、针对性一般，能符合用户科研需求的得</w:t>
      </w:r>
      <w:r>
        <w:rPr>
          <w:rFonts w:ascii="宋体" w:hAnsi="宋体" w:eastAsia="宋体" w:cs="宋体"/>
          <w:color w:val="000000"/>
          <w:sz w:val="24"/>
          <w:szCs w:val="24"/>
          <w:highlight w:val="none"/>
        </w:rPr>
        <w:t xml:space="preserve">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技术方案有疏漏、合理性一般、没有针对性，部分符合用户科研需求的得</w:t>
      </w:r>
      <w:r>
        <w:rPr>
          <w:rFonts w:ascii="宋体" w:hAnsi="宋体" w:eastAsia="宋体" w:cs="宋体"/>
          <w:color w:val="000000"/>
          <w:sz w:val="24"/>
          <w:szCs w:val="24"/>
          <w:highlight w:val="none"/>
        </w:rPr>
        <w:t xml:space="preserve">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技术方案完全不能符合用户科研需求或未提供技术方案的不得分。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（三）项目实施方案（</w:t>
      </w:r>
      <w:r>
        <w:rPr>
          <w:rFonts w:ascii="宋体" w:hAnsi="宋体" w:eastAsia="宋体" w:cs="宋体"/>
          <w:b/>
          <w:bCs/>
          <w:color w:val="000000"/>
          <w:sz w:val="24"/>
          <w:szCs w:val="24"/>
          <w:highlight w:val="none"/>
        </w:rPr>
        <w:t xml:space="preserve">9分）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应包括但不限于（</w:t>
      </w:r>
      <w:r>
        <w:rPr>
          <w:rFonts w:ascii="宋体" w:hAnsi="宋体" w:eastAsia="宋体" w:cs="宋体"/>
          <w:color w:val="000000"/>
          <w:sz w:val="24"/>
          <w:szCs w:val="24"/>
          <w:highlight w:val="none"/>
        </w:rPr>
        <w:t xml:space="preserve">1）安装调试、系统集成、试运行测试调优等内容，（2）组织机构、工作时间进度表、工作程序和步骤、管理措施；（3）实施协调方法、关键步骤的思路和要点等：</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3分；方案合理性较弱、可行性有所欠缺、操作性不强、与项目实际贴合度不高的得1分；每项叙述内容完全脱离采购需求或未作完整叙述的不得分。本项最高得9分。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（四）综合商务（</w:t>
      </w:r>
      <w:r>
        <w:rPr>
          <w:rFonts w:ascii="宋体" w:hAnsi="宋体" w:eastAsia="宋体" w:cs="宋体"/>
          <w:b/>
          <w:bCs/>
          <w:color w:val="000000"/>
          <w:sz w:val="24"/>
          <w:szCs w:val="24"/>
          <w:highlight w:val="none"/>
        </w:rPr>
        <w:t xml:space="preserve">31分）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1.业绩（4分）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供应商提供自</w:t>
      </w:r>
      <w:r>
        <w:rPr>
          <w:rFonts w:ascii="宋体" w:hAnsi="宋体" w:eastAsia="宋体" w:cs="宋体"/>
          <w:color w:val="000000"/>
          <w:sz w:val="24"/>
          <w:szCs w:val="24"/>
          <w:highlight w:val="none"/>
        </w:rPr>
        <w:t xml:space="preserve">2023年起至今同类型设备销售业绩，每提供1份业绩得1分，满分4分。（注：①提供业绩合同复印件；②以合同签订日期为准；③同一单位业绩不重复计分。）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2.市场反馈情况（5分）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供应商提供同型号设备现有用户反馈情况，每提供</w:t>
      </w:r>
      <w:r>
        <w:rPr>
          <w:rFonts w:ascii="宋体" w:hAnsi="宋体" w:eastAsia="宋体" w:cs="宋体"/>
          <w:color w:val="000000"/>
          <w:sz w:val="24"/>
          <w:szCs w:val="24"/>
          <w:highlight w:val="none"/>
        </w:rPr>
        <w:t xml:space="preserve">1份得1分，满分5分。反馈情况需含项目名称、型号、采购时间、满意度、联系人及电话（注：材料须加盖所属用户单位公章）。</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3.售后服务（20分）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1）售后服务方案（12分）：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w:t>
      </w:r>
      <w:r>
        <w:rPr>
          <w:rFonts w:ascii="宋体" w:hAnsi="宋体" w:eastAsia="宋体" w:cs="宋体"/>
          <w:color w:val="000000"/>
          <w:sz w:val="24"/>
          <w:szCs w:val="24"/>
          <w:highlight w:val="none"/>
        </w:rPr>
        <w:t xml:space="preserve">1）针对本项目制定的售后服务响应机制及响应时间；（2）针对投标人服务体系的完备性；（3）投入技术服务人员技术力量。</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4分；方案合理性较弱、可行性有所欠缺、操作性不强、与项目实际贴合度不高的得2分；每项叙述内容完全脱离采购需求或未作完整叙述的不得分。本项最高得12分。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2）投标人培训方案情况比较（8分）：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w:t>
      </w:r>
      <w:r>
        <w:rPr>
          <w:rFonts w:ascii="宋体" w:hAnsi="宋体" w:eastAsia="宋体" w:cs="宋体"/>
          <w:color w:val="000000"/>
          <w:sz w:val="24"/>
          <w:szCs w:val="24"/>
          <w:highlight w:val="none"/>
        </w:rPr>
        <w:t xml:space="preserve">1）培训内容、时间、地点、人次、安装维护、调试、配置；（2）使用技能、业务人员培训、应用操作及使用等。</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4分；方案合理性较弱、可行性有所欠缺、操作性不强、与项目实际贴合度不高的得2分；每项叙述内容完全脱离采购需求或未作完整叙述的不得分。本项最高得8分。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4．其它优惠措施（2分）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根据供应商提供的在招标文件要求范围以外，评标委员会认可的优惠措施综合评定。</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优惠措施内容具体明确，具有实际价值及可行性高的得</w:t>
      </w:r>
      <w:r>
        <w:rPr>
          <w:rFonts w:ascii="宋体" w:hAnsi="宋体" w:eastAsia="宋体" w:cs="宋体"/>
          <w:color w:val="000000"/>
          <w:sz w:val="24"/>
          <w:szCs w:val="24"/>
          <w:highlight w:val="none"/>
        </w:rPr>
        <w:t xml:space="preserve">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优惠措施内容较为具体明确，实际价值及可行性较高的得</w:t>
      </w:r>
      <w:r>
        <w:rPr>
          <w:rFonts w:ascii="宋体" w:hAnsi="宋体" w:eastAsia="宋体" w:cs="宋体"/>
          <w:color w:val="000000"/>
          <w:sz w:val="24"/>
          <w:szCs w:val="24"/>
          <w:highlight w:val="none"/>
        </w:rPr>
        <w:t xml:space="preserve">1分；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优惠措施内容不够具体明确，实际价值及可行性较低的得</w:t>
      </w:r>
      <w:r>
        <w:rPr>
          <w:rFonts w:ascii="宋体" w:hAnsi="宋体" w:eastAsia="宋体" w:cs="宋体"/>
          <w:color w:val="000000"/>
          <w:sz w:val="24"/>
          <w:szCs w:val="24"/>
          <w:highlight w:val="none"/>
        </w:rPr>
        <w:t xml:space="preserve">0.5分；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不具备可行性或未提供具体内容的不得分。</w:t>
      </w:r>
      <w:r/>
    </w:p>
    <w:p>
      <w:pPr>
        <w:ind w:firstLine="480"/>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51"/>
    <w:link w:val="742"/>
    <w:uiPriority w:val="9"/>
    <w:rPr>
      <w:rFonts w:ascii="Arial" w:hAnsi="Arial" w:eastAsia="Arial" w:cs="Arial"/>
      <w:sz w:val="40"/>
      <w:szCs w:val="40"/>
    </w:rPr>
  </w:style>
  <w:style w:type="character" w:styleId="705">
    <w:name w:val="Heading 2 Char"/>
    <w:basedOn w:val="751"/>
    <w:link w:val="743"/>
    <w:uiPriority w:val="9"/>
    <w:rPr>
      <w:rFonts w:ascii="Arial" w:hAnsi="Arial" w:eastAsia="Arial" w:cs="Arial"/>
      <w:sz w:val="34"/>
    </w:rPr>
  </w:style>
  <w:style w:type="character" w:styleId="706">
    <w:name w:val="Heading 3 Char"/>
    <w:basedOn w:val="751"/>
    <w:link w:val="744"/>
    <w:uiPriority w:val="9"/>
    <w:rPr>
      <w:rFonts w:ascii="Arial" w:hAnsi="Arial" w:eastAsia="Arial" w:cs="Arial"/>
      <w:sz w:val="30"/>
      <w:szCs w:val="30"/>
    </w:rPr>
  </w:style>
  <w:style w:type="character" w:styleId="707">
    <w:name w:val="Heading 4 Char"/>
    <w:basedOn w:val="751"/>
    <w:link w:val="745"/>
    <w:uiPriority w:val="9"/>
    <w:rPr>
      <w:rFonts w:ascii="Arial" w:hAnsi="Arial" w:eastAsia="Arial" w:cs="Arial"/>
      <w:b/>
      <w:bCs/>
      <w:sz w:val="26"/>
      <w:szCs w:val="26"/>
    </w:rPr>
  </w:style>
  <w:style w:type="character" w:styleId="708">
    <w:name w:val="Heading 5 Char"/>
    <w:basedOn w:val="751"/>
    <w:link w:val="746"/>
    <w:uiPriority w:val="9"/>
    <w:rPr>
      <w:rFonts w:ascii="Arial" w:hAnsi="Arial" w:eastAsia="Arial" w:cs="Arial"/>
      <w:b/>
      <w:bCs/>
      <w:sz w:val="24"/>
      <w:szCs w:val="24"/>
    </w:rPr>
  </w:style>
  <w:style w:type="character" w:styleId="709">
    <w:name w:val="Heading 6 Char"/>
    <w:basedOn w:val="751"/>
    <w:link w:val="747"/>
    <w:uiPriority w:val="9"/>
    <w:rPr>
      <w:rFonts w:ascii="Arial" w:hAnsi="Arial" w:eastAsia="Arial" w:cs="Arial"/>
      <w:b/>
      <w:bCs/>
      <w:sz w:val="22"/>
      <w:szCs w:val="22"/>
    </w:rPr>
  </w:style>
  <w:style w:type="character" w:styleId="710">
    <w:name w:val="Heading 7 Char"/>
    <w:basedOn w:val="751"/>
    <w:link w:val="748"/>
    <w:uiPriority w:val="9"/>
    <w:rPr>
      <w:rFonts w:ascii="Arial" w:hAnsi="Arial" w:eastAsia="Arial" w:cs="Arial"/>
      <w:b/>
      <w:bCs/>
      <w:i/>
      <w:iCs/>
      <w:sz w:val="22"/>
      <w:szCs w:val="22"/>
    </w:rPr>
  </w:style>
  <w:style w:type="character" w:styleId="711">
    <w:name w:val="Heading 8 Char"/>
    <w:basedOn w:val="751"/>
    <w:link w:val="749"/>
    <w:uiPriority w:val="9"/>
    <w:rPr>
      <w:rFonts w:ascii="Arial" w:hAnsi="Arial" w:eastAsia="Arial" w:cs="Arial"/>
      <w:i/>
      <w:iCs/>
      <w:sz w:val="22"/>
      <w:szCs w:val="22"/>
    </w:rPr>
  </w:style>
  <w:style w:type="character" w:styleId="712">
    <w:name w:val="Heading 9 Char"/>
    <w:basedOn w:val="751"/>
    <w:link w:val="750"/>
    <w:uiPriority w:val="9"/>
    <w:rPr>
      <w:rFonts w:ascii="Arial" w:hAnsi="Arial" w:eastAsia="Arial" w:cs="Arial"/>
      <w:i/>
      <w:iCs/>
      <w:sz w:val="21"/>
      <w:szCs w:val="21"/>
    </w:rPr>
  </w:style>
  <w:style w:type="character" w:styleId="713">
    <w:name w:val="Title Char"/>
    <w:basedOn w:val="751"/>
    <w:link w:val="778"/>
    <w:uiPriority w:val="10"/>
    <w:rPr>
      <w:sz w:val="48"/>
      <w:szCs w:val="48"/>
    </w:rPr>
  </w:style>
  <w:style w:type="character" w:styleId="714">
    <w:name w:val="Subtitle Char"/>
    <w:basedOn w:val="751"/>
    <w:link w:val="771"/>
    <w:uiPriority w:val="11"/>
    <w:rPr>
      <w:sz w:val="24"/>
      <w:szCs w:val="24"/>
    </w:rPr>
  </w:style>
  <w:style w:type="character" w:styleId="715">
    <w:name w:val="Quote Char"/>
    <w:link w:val="802"/>
    <w:uiPriority w:val="29"/>
    <w:rPr>
      <w:i/>
    </w:rPr>
  </w:style>
  <w:style w:type="character" w:styleId="716">
    <w:name w:val="Intense Quote Char"/>
    <w:link w:val="804"/>
    <w:uiPriority w:val="30"/>
    <w:rPr>
      <w:i/>
    </w:rPr>
  </w:style>
  <w:style w:type="character" w:styleId="717">
    <w:name w:val="Header Char"/>
    <w:basedOn w:val="751"/>
    <w:link w:val="768"/>
    <w:uiPriority w:val="99"/>
  </w:style>
  <w:style w:type="character" w:styleId="718">
    <w:name w:val="Caption Char"/>
    <w:basedOn w:val="755"/>
    <w:link w:val="766"/>
    <w:uiPriority w:val="99"/>
  </w:style>
  <w:style w:type="table" w:styleId="71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72"/>
    <w:uiPriority w:val="99"/>
    <w:rPr>
      <w:sz w:val="18"/>
    </w:rPr>
  </w:style>
  <w:style w:type="character" w:styleId="739">
    <w:name w:val="Endnote Text Char"/>
    <w:link w:val="764"/>
    <w:uiPriority w:val="99"/>
    <w:rPr>
      <w:sz w:val="20"/>
    </w:rPr>
  </w:style>
  <w:style w:type="paragraph" w:styleId="740">
    <w:name w:val="TOC Heading"/>
    <w:uiPriority w:val="39"/>
    <w:unhideWhenUsed/>
  </w:style>
  <w:style w:type="paragraph" w:styleId="741" w:default="1">
    <w:name w:val="Normal"/>
    <w:uiPriority w:val="0"/>
    <w:qFormat/>
    <w:rPr>
      <w:rFonts w:asciiTheme="minorHAnsi" w:hAnsiTheme="minorHAnsi" w:eastAsiaTheme="minorEastAsia" w:cstheme="minorBidi"/>
      <w:sz w:val="21"/>
      <w:szCs w:val="22"/>
      <w:lang w:val="en-US" w:eastAsia="zh-CN" w:bidi="ar-SA"/>
    </w:rPr>
  </w:style>
  <w:style w:type="paragraph" w:styleId="742">
    <w:name w:val="Heading 1"/>
    <w:basedOn w:val="741"/>
    <w:next w:val="741"/>
    <w:link w:val="789"/>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90"/>
    <w:uiPriority w:val="9"/>
    <w:unhideWhenUsed/>
    <w:qFormat/>
    <w:pPr>
      <w:keepLines/>
      <w:keepNext/>
      <w:spacing w:before="360" w:after="200"/>
      <w:outlineLvl w:val="1"/>
    </w:pPr>
    <w:rPr>
      <w:rFonts w:ascii="Arial" w:hAnsi="Arial" w:eastAsia="Arial" w:cs="Arial"/>
      <w:sz w:val="34"/>
    </w:rPr>
  </w:style>
  <w:style w:type="paragraph" w:styleId="744">
    <w:name w:val="Heading 3"/>
    <w:link w:val="79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45">
    <w:name w:val="Heading 4"/>
    <w:link w:val="79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46">
    <w:name w:val="Heading 5"/>
    <w:link w:val="79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47">
    <w:name w:val="Heading 6"/>
    <w:link w:val="79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48">
    <w:name w:val="Heading 7"/>
    <w:link w:val="79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49">
    <w:name w:val="Heading 8"/>
    <w:link w:val="79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0">
    <w:name w:val="Heading 9"/>
    <w:link w:val="79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54">
    <w:name w:val="Normal Indent"/>
    <w:basedOn w:val="741"/>
    <w:next w:val="741"/>
    <w:uiPriority w:val="0"/>
    <w:unhideWhenUsed/>
    <w:qFormat/>
    <w:pPr>
      <w:ind w:firstLine="420"/>
    </w:pPr>
    <w:rPr>
      <w:sz w:val="24"/>
    </w:rPr>
  </w:style>
  <w:style w:type="paragraph" w:styleId="75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56">
    <w:name w:val="annotation text"/>
    <w:basedOn w:val="741"/>
    <w:link w:val="960"/>
    <w:uiPriority w:val="99"/>
    <w:semiHidden/>
    <w:unhideWhenUsed/>
    <w:qFormat/>
    <w:rPr>
      <w:rFonts w:eastAsia="宋体"/>
      <w:b/>
      <w:sz w:val="24"/>
    </w:rPr>
  </w:style>
  <w:style w:type="paragraph" w:styleId="757">
    <w:name w:val="Body Text"/>
    <w:basedOn w:val="741"/>
    <w:next w:val="741"/>
    <w:uiPriority w:val="0"/>
    <w:unhideWhenUsed/>
    <w:qFormat/>
    <w:pPr>
      <w:spacing w:after="120"/>
    </w:pPr>
    <w:rPr>
      <w:rFonts w:ascii="Times New Roman" w:hAnsi="Times New Roman"/>
    </w:rPr>
  </w:style>
  <w:style w:type="paragraph" w:styleId="758">
    <w:name w:val="Body Text Indent"/>
    <w:basedOn w:val="741"/>
    <w:next w:val="741"/>
    <w:link w:val="952"/>
    <w:uiPriority w:val="0"/>
    <w:qFormat/>
    <w:pPr>
      <w:ind w:left="570"/>
      <w:spacing w:line="520" w:lineRule="exact"/>
    </w:pPr>
    <w:rPr>
      <w:rFonts w:ascii="方正仿宋简体" w:hAnsi="创艺简仿宋" w:eastAsia="方正仿宋简体"/>
      <w:sz w:val="24"/>
      <w:szCs w:val="20"/>
    </w:rPr>
  </w:style>
  <w:style w:type="paragraph" w:styleId="759">
    <w:name w:val="Block Text"/>
    <w:basedOn w:val="741"/>
    <w:uiPriority w:val="0"/>
    <w:qFormat/>
    <w:pPr>
      <w:ind w:left="630" w:right="-609" w:firstLine="420"/>
      <w:spacing w:line="360" w:lineRule="auto"/>
    </w:pPr>
    <w:rPr>
      <w:rFonts w:hint="eastAsia" w:ascii="仿宋_GB2312" w:eastAsia="仿宋_GB2312"/>
    </w:rPr>
  </w:style>
  <w:style w:type="paragraph" w:styleId="76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6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62">
    <w:name w:val="Plain Text"/>
    <w:basedOn w:val="741"/>
    <w:uiPriority w:val="0"/>
    <w:qFormat/>
    <w:rPr>
      <w:rFonts w:hint="eastAsia" w:ascii="宋体" w:hAnsi="Courier New"/>
    </w:rPr>
  </w:style>
  <w:style w:type="paragraph" w:styleId="76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64">
    <w:name w:val="endnote text"/>
    <w:link w:val="935"/>
    <w:uiPriority w:val="99"/>
    <w:semiHidden/>
    <w:unhideWhenUsed/>
    <w:qFormat/>
    <w:rPr>
      <w:rFonts w:asciiTheme="minorHAnsi" w:hAnsiTheme="minorHAnsi" w:eastAsiaTheme="minorEastAsia" w:cstheme="minorBidi"/>
      <w:szCs w:val="22"/>
      <w:lang w:val="en-US" w:eastAsia="zh-CN" w:bidi="ar-SA"/>
    </w:rPr>
  </w:style>
  <w:style w:type="paragraph" w:styleId="765">
    <w:name w:val="Balloon Text"/>
    <w:basedOn w:val="741"/>
    <w:link w:val="951"/>
    <w:uiPriority w:val="99"/>
    <w:semiHidden/>
    <w:unhideWhenUsed/>
    <w:qFormat/>
    <w:rPr>
      <w:sz w:val="18"/>
      <w:szCs w:val="18"/>
    </w:rPr>
  </w:style>
  <w:style w:type="paragraph" w:styleId="766">
    <w:name w:val="Footer"/>
    <w:link w:val="808"/>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7">
    <w:name w:val="envelope return"/>
    <w:basedOn w:val="741"/>
    <w:uiPriority w:val="0"/>
    <w:qFormat/>
    <w:rPr>
      <w:rFonts w:ascii="Arial" w:hAnsi="Arial" w:eastAsia="宋体"/>
      <w:szCs w:val="24"/>
    </w:rPr>
  </w:style>
  <w:style w:type="paragraph" w:styleId="768">
    <w:name w:val="Header"/>
    <w:link w:val="80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7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71">
    <w:name w:val="Subtitle"/>
    <w:link w:val="801"/>
    <w:uiPriority w:val="11"/>
    <w:qFormat/>
    <w:pPr>
      <w:spacing w:before="200" w:after="200"/>
    </w:pPr>
    <w:rPr>
      <w:rFonts w:asciiTheme="minorHAnsi" w:hAnsiTheme="minorHAnsi" w:eastAsiaTheme="minorEastAsia" w:cstheme="minorBidi"/>
      <w:sz w:val="24"/>
      <w:szCs w:val="24"/>
      <w:lang w:val="en-US" w:eastAsia="zh-CN" w:bidi="ar-SA"/>
    </w:rPr>
  </w:style>
  <w:style w:type="paragraph" w:styleId="772">
    <w:name w:val="footnote text"/>
    <w:link w:val="934"/>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7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7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7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7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77">
    <w:name w:val="Normal (Web)"/>
    <w:basedOn w:val="741"/>
    <w:uiPriority w:val="0"/>
    <w:qFormat/>
    <w:pPr>
      <w:spacing w:before="100" w:beforeAutospacing="1" w:after="100" w:afterAutospacing="1"/>
    </w:pPr>
    <w:rPr>
      <w:rFonts w:cs="Times New Roman"/>
      <w:sz w:val="24"/>
    </w:rPr>
  </w:style>
  <w:style w:type="paragraph" w:styleId="778">
    <w:name w:val="Title"/>
    <w:link w:val="800"/>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79">
    <w:name w:val="annotation subject"/>
    <w:basedOn w:val="756"/>
    <w:next w:val="756"/>
    <w:link w:val="961"/>
    <w:uiPriority w:val="99"/>
    <w:semiHidden/>
    <w:unhideWhenUsed/>
    <w:qFormat/>
    <w:rPr>
      <w:rFonts w:eastAsiaTheme="minorEastAsia"/>
      <w:bCs/>
      <w:sz w:val="21"/>
    </w:rPr>
  </w:style>
  <w:style w:type="paragraph" w:styleId="780">
    <w:name w:val="Body Text First Indent"/>
    <w:basedOn w:val="757"/>
    <w:uiPriority w:val="0"/>
    <w:qFormat/>
    <w:pPr>
      <w:ind w:firstLine="420"/>
    </w:pPr>
  </w:style>
  <w:style w:type="paragraph" w:styleId="781">
    <w:name w:val="Body Text First Indent 2"/>
    <w:basedOn w:val="758"/>
    <w:next w:val="741"/>
    <w:uiPriority w:val="0"/>
    <w:qFormat/>
    <w:pPr>
      <w:ind w:firstLine="420"/>
    </w:p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1"/>
    <w:uiPriority w:val="22"/>
    <w:qFormat/>
    <w:rPr>
      <w:b/>
    </w:rPr>
  </w:style>
  <w:style w:type="character" w:styleId="784">
    <w:name w:val="endnote reference"/>
    <w:uiPriority w:val="99"/>
    <w:semiHidden/>
    <w:unhideWhenUsed/>
    <w:qFormat/>
    <w:rPr>
      <w:vertAlign w:val="superscript"/>
    </w:rPr>
  </w:style>
  <w:style w:type="character" w:styleId="785">
    <w:name w:val="Emphasis"/>
    <w:basedOn w:val="751"/>
    <w:uiPriority w:val="0"/>
    <w:qFormat/>
    <w:rPr>
      <w:i/>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annotation reference"/>
    <w:basedOn w:val="751"/>
    <w:uiPriority w:val="0"/>
    <w:qFormat/>
    <w:rPr>
      <w:sz w:val="21"/>
      <w:szCs w:val="21"/>
    </w:rPr>
  </w:style>
  <w:style w:type="character" w:styleId="788">
    <w:name w:val="footnote reference"/>
    <w:uiPriority w:val="99"/>
    <w:unhideWhenUsed/>
    <w:qFormat/>
    <w:rPr>
      <w:vertAlign w:val="superscript"/>
    </w:rPr>
  </w:style>
  <w:style w:type="character" w:styleId="789" w:customStyle="1">
    <w:name w:val="标题 1 字符"/>
    <w:link w:val="742"/>
    <w:uiPriority w:val="9"/>
    <w:qFormat/>
    <w:rPr>
      <w:rFonts w:ascii="Arial" w:hAnsi="Arial" w:eastAsia="Arial" w:cs="Arial"/>
      <w:sz w:val="40"/>
      <w:szCs w:val="40"/>
    </w:rPr>
  </w:style>
  <w:style w:type="character" w:styleId="790" w:customStyle="1">
    <w:name w:val="标题 2 字符"/>
    <w:link w:val="743"/>
    <w:uiPriority w:val="9"/>
    <w:qFormat/>
    <w:rPr>
      <w:rFonts w:ascii="Arial" w:hAnsi="Arial" w:eastAsia="Arial" w:cs="Arial"/>
      <w:sz w:val="34"/>
    </w:rPr>
  </w:style>
  <w:style w:type="character" w:styleId="791" w:customStyle="1">
    <w:name w:val="标题 3 字符"/>
    <w:link w:val="744"/>
    <w:uiPriority w:val="9"/>
    <w:qFormat/>
    <w:rPr>
      <w:rFonts w:ascii="Arial" w:hAnsi="Arial" w:eastAsia="Arial" w:cs="Arial"/>
      <w:sz w:val="30"/>
      <w:szCs w:val="30"/>
    </w:rPr>
  </w:style>
  <w:style w:type="character" w:styleId="792" w:customStyle="1">
    <w:name w:val="标题 4 字符"/>
    <w:link w:val="745"/>
    <w:uiPriority w:val="9"/>
    <w:qFormat/>
    <w:rPr>
      <w:rFonts w:ascii="Arial" w:hAnsi="Arial" w:eastAsia="Arial" w:cs="Arial"/>
      <w:b/>
      <w:bCs/>
      <w:sz w:val="26"/>
      <w:szCs w:val="26"/>
    </w:rPr>
  </w:style>
  <w:style w:type="character" w:styleId="793" w:customStyle="1">
    <w:name w:val="标题 5 字符"/>
    <w:link w:val="746"/>
    <w:uiPriority w:val="9"/>
    <w:qFormat/>
    <w:rPr>
      <w:rFonts w:ascii="Arial" w:hAnsi="Arial" w:eastAsia="Arial" w:cs="Arial"/>
      <w:b/>
      <w:bCs/>
      <w:sz w:val="24"/>
      <w:szCs w:val="24"/>
    </w:rPr>
  </w:style>
  <w:style w:type="character" w:styleId="794" w:customStyle="1">
    <w:name w:val="标题 6 字符"/>
    <w:link w:val="747"/>
    <w:uiPriority w:val="9"/>
    <w:qFormat/>
    <w:rPr>
      <w:rFonts w:ascii="Arial" w:hAnsi="Arial" w:eastAsia="Arial" w:cs="Arial"/>
      <w:b/>
      <w:bCs/>
      <w:sz w:val="22"/>
      <w:szCs w:val="22"/>
    </w:rPr>
  </w:style>
  <w:style w:type="character" w:styleId="795" w:customStyle="1">
    <w:name w:val="标题 7 字符"/>
    <w:link w:val="748"/>
    <w:uiPriority w:val="9"/>
    <w:qFormat/>
    <w:rPr>
      <w:rFonts w:ascii="Arial" w:hAnsi="Arial" w:eastAsia="Arial" w:cs="Arial"/>
      <w:b/>
      <w:bCs/>
      <w:i/>
      <w:iCs/>
      <w:sz w:val="22"/>
      <w:szCs w:val="22"/>
    </w:rPr>
  </w:style>
  <w:style w:type="character" w:styleId="796" w:customStyle="1">
    <w:name w:val="标题 8 字符"/>
    <w:link w:val="749"/>
    <w:uiPriority w:val="9"/>
    <w:qFormat/>
    <w:rPr>
      <w:rFonts w:ascii="Arial" w:hAnsi="Arial" w:eastAsia="Arial" w:cs="Arial"/>
      <w:i/>
      <w:iCs/>
      <w:sz w:val="22"/>
      <w:szCs w:val="22"/>
    </w:rPr>
  </w:style>
  <w:style w:type="character" w:styleId="797" w:customStyle="1">
    <w:name w:val="标题 9 字符"/>
    <w:link w:val="750"/>
    <w:uiPriority w:val="9"/>
    <w:qFormat/>
    <w:rPr>
      <w:rFonts w:ascii="Arial" w:hAnsi="Arial" w:eastAsia="Arial" w:cs="Arial"/>
      <w:i/>
      <w:iCs/>
      <w:sz w:val="21"/>
      <w:szCs w:val="21"/>
    </w:rPr>
  </w:style>
  <w:style w:type="paragraph" w:styleId="798">
    <w:name w:val="List Paragraph"/>
    <w:basedOn w:val="741"/>
    <w:uiPriority w:val="34"/>
    <w:qFormat/>
    <w:pPr>
      <w:contextualSpacing/>
      <w:ind w:left="720"/>
    </w:pPr>
  </w:style>
  <w:style w:type="paragraph" w:styleId="799">
    <w:name w:val="No Spacing"/>
    <w:uiPriority w:val="1"/>
    <w:qFormat/>
    <w:rPr>
      <w:rFonts w:asciiTheme="minorHAnsi" w:hAnsiTheme="minorHAnsi" w:eastAsiaTheme="minorEastAsia" w:cstheme="minorBidi"/>
      <w:sz w:val="21"/>
      <w:szCs w:val="22"/>
      <w:lang w:val="en-US" w:eastAsia="zh-CN" w:bidi="ar-SA"/>
    </w:rPr>
  </w:style>
  <w:style w:type="character" w:styleId="800" w:customStyle="1">
    <w:name w:val="标题 字符"/>
    <w:link w:val="778"/>
    <w:uiPriority w:val="10"/>
    <w:qFormat/>
    <w:rPr>
      <w:sz w:val="48"/>
      <w:szCs w:val="48"/>
    </w:rPr>
  </w:style>
  <w:style w:type="character" w:styleId="801" w:customStyle="1">
    <w:name w:val="副标题 字符"/>
    <w:link w:val="771"/>
    <w:uiPriority w:val="11"/>
    <w:qFormat/>
    <w:rPr>
      <w:sz w:val="24"/>
      <w:szCs w:val="24"/>
    </w:rPr>
  </w:style>
  <w:style w:type="paragraph" w:styleId="802">
    <w:name w:val="Quote"/>
    <w:link w:val="803"/>
    <w:uiPriority w:val="29"/>
    <w:qFormat/>
    <w:pPr>
      <w:ind w:left="720" w:right="720"/>
    </w:pPr>
    <w:rPr>
      <w:rFonts w:asciiTheme="minorHAnsi" w:hAnsiTheme="minorHAnsi" w:eastAsiaTheme="minorEastAsia" w:cstheme="minorBidi"/>
      <w:i/>
      <w:sz w:val="21"/>
      <w:szCs w:val="22"/>
      <w:lang w:val="en-US" w:eastAsia="zh-CN" w:bidi="ar-SA"/>
    </w:rPr>
  </w:style>
  <w:style w:type="character" w:styleId="803" w:customStyle="1">
    <w:name w:val="引用 字符"/>
    <w:link w:val="802"/>
    <w:uiPriority w:val="29"/>
    <w:qFormat/>
    <w:rPr>
      <w:i/>
    </w:rPr>
  </w:style>
  <w:style w:type="paragraph" w:styleId="804">
    <w:name w:val="Intense Quote"/>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05" w:customStyle="1">
    <w:name w:val="明显引用 字符"/>
    <w:link w:val="804"/>
    <w:uiPriority w:val="30"/>
    <w:qFormat/>
    <w:rPr>
      <w:i/>
    </w:rPr>
  </w:style>
  <w:style w:type="character" w:styleId="806" w:customStyle="1">
    <w:name w:val="页眉 字符"/>
    <w:link w:val="768"/>
    <w:uiPriority w:val="99"/>
    <w:qFormat/>
  </w:style>
  <w:style w:type="character" w:styleId="807" w:customStyle="1">
    <w:name w:val="Footer Char"/>
    <w:uiPriority w:val="99"/>
    <w:qFormat/>
  </w:style>
  <w:style w:type="character" w:styleId="808" w:customStyle="1">
    <w:name w:val="页脚 字符"/>
    <w:link w:val="766"/>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72"/>
    <w:uiPriority w:val="99"/>
    <w:qFormat/>
    <w:rPr>
      <w:sz w:val="18"/>
    </w:rPr>
  </w:style>
  <w:style w:type="character" w:styleId="935" w:customStyle="1">
    <w:name w:val="尾注文本 字符"/>
    <w:link w:val="764"/>
    <w:uiPriority w:val="99"/>
    <w:qFormat/>
    <w:rPr>
      <w:sz w:val="20"/>
    </w:rPr>
  </w:style>
  <w:style w:type="paragraph" w:styleId="936"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37" w:customStyle="1">
    <w:name w:val="WPSOffice手动目录 1"/>
    <w:uiPriority w:val="0"/>
    <w:qFormat/>
    <w:rPr>
      <w:rFonts w:asciiTheme="minorHAnsi" w:hAnsiTheme="minorHAnsi" w:eastAsiaTheme="minorEastAsia" w:cstheme="minorBidi"/>
      <w:lang w:val="en-US" w:eastAsia="zh-CN" w:bidi="ar-SA"/>
    </w:rPr>
  </w:style>
  <w:style w:type="character" w:styleId="938" w:customStyle="1">
    <w:name w:val="font71"/>
    <w:basedOn w:val="751"/>
    <w:uiPriority w:val="0"/>
    <w:qFormat/>
    <w:rPr>
      <w:rFonts w:ascii="Arial" w:hAnsi="Arial" w:cs="Arial"/>
      <w:color w:val="000000"/>
      <w:sz w:val="20"/>
      <w:szCs w:val="20"/>
      <w:u w:val="none"/>
    </w:rPr>
  </w:style>
  <w:style w:type="character" w:styleId="939" w:customStyle="1">
    <w:name w:val="font11"/>
    <w:basedOn w:val="751"/>
    <w:uiPriority w:val="0"/>
    <w:qFormat/>
    <w:rPr>
      <w:rFonts w:hint="eastAsia" w:ascii="宋体" w:hAnsi="宋体" w:eastAsia="宋体" w:cs="宋体"/>
      <w:color w:val="000000"/>
      <w:sz w:val="20"/>
      <w:szCs w:val="20"/>
      <w:u w:val="none"/>
    </w:rPr>
  </w:style>
  <w:style w:type="character" w:styleId="940" w:customStyle="1">
    <w:name w:val="font81"/>
    <w:basedOn w:val="751"/>
    <w:uiPriority w:val="0"/>
    <w:qFormat/>
    <w:rPr>
      <w:rFonts w:hint="default" w:ascii="Times New Roman" w:hAnsi="Times New Roman" w:cs="Times New Roman"/>
      <w:color w:val="000000"/>
      <w:sz w:val="20"/>
      <w:szCs w:val="20"/>
      <w:u w:val="none"/>
    </w:rPr>
  </w:style>
  <w:style w:type="paragraph" w:styleId="941" w:customStyle="1">
    <w:name w:val="Normal_17"/>
    <w:uiPriority w:val="0"/>
    <w:qFormat/>
    <w:rPr>
      <w:rFonts w:ascii="Times New Roman" w:hAnsi="Times New Roman" w:eastAsia="Times New Roman" w:cs="Times New Roman"/>
      <w:sz w:val="24"/>
      <w:szCs w:val="24"/>
      <w:lang w:val="en-US" w:eastAsia="zh-CN" w:bidi="ar-SA"/>
    </w:rPr>
  </w:style>
  <w:style w:type="character" w:styleId="942" w:customStyle="1">
    <w:name w:val="font21"/>
    <w:basedOn w:val="751"/>
    <w:uiPriority w:val="0"/>
    <w:qFormat/>
    <w:rPr>
      <w:rFonts w:hint="eastAsia" w:ascii="宋体" w:hAnsi="宋体" w:eastAsia="宋体" w:cs="宋体"/>
      <w:color w:val="ff0000"/>
      <w:sz w:val="20"/>
      <w:szCs w:val="20"/>
      <w:u w:val="none"/>
    </w:rPr>
  </w:style>
  <w:style w:type="paragraph" w:styleId="943" w:customStyle="1">
    <w:name w:val="纯文本1"/>
    <w:basedOn w:val="741"/>
    <w:uiPriority w:val="0"/>
    <w:qFormat/>
    <w:rPr>
      <w:rFonts w:ascii="宋体" w:hAnsi="Courier New" w:eastAsia="楷体_GB2312"/>
      <w:sz w:val="26"/>
    </w:rPr>
  </w:style>
  <w:style w:type="character" w:styleId="944" w:customStyle="1">
    <w:name w:val="font51"/>
    <w:basedOn w:val="751"/>
    <w:uiPriority w:val="0"/>
    <w:qFormat/>
    <w:rPr>
      <w:rFonts w:hint="eastAsia" w:ascii="华文细黑" w:hAnsi="华文细黑" w:eastAsia="华文细黑" w:cs="华文细黑"/>
      <w:color w:val="000000"/>
      <w:sz w:val="20"/>
      <w:szCs w:val="20"/>
      <w:u w:val="none"/>
      <w:vertAlign w:val="superscript"/>
    </w:rPr>
  </w:style>
  <w:style w:type="paragraph" w:styleId="945" w:customStyle="1">
    <w:name w:val="标题 11"/>
    <w:basedOn w:val="741"/>
    <w:next w:val="741"/>
    <w:uiPriority w:val="0"/>
    <w:qFormat/>
    <w:pPr>
      <w:jc w:val="center"/>
      <w:keepNext/>
      <w:outlineLvl w:val="0"/>
    </w:pPr>
    <w:rPr>
      <w:rFonts w:ascii="楷体_GB2312" w:hAnsi="Times New Roman" w:eastAsia="楷体_GB2312" w:cs="Times New Roman"/>
      <w:sz w:val="28"/>
      <w:szCs w:val="28"/>
    </w:rPr>
  </w:style>
  <w:style w:type="paragraph" w:styleId="946" w:customStyle="1">
    <w:name w:val="Table Paragraph"/>
    <w:basedOn w:val="741"/>
    <w:uiPriority w:val="1"/>
    <w:qFormat/>
    <w:rPr>
      <w:sz w:val="24"/>
    </w:rPr>
  </w:style>
  <w:style w:type="paragraph" w:styleId="947" w:customStyle="1">
    <w:name w:val="首行缩进"/>
    <w:basedOn w:val="741"/>
    <w:uiPriority w:val="0"/>
    <w:qFormat/>
    <w:pPr>
      <w:ind w:firstLine="480"/>
    </w:pPr>
    <w:rPr>
      <w:lang w:val="zh-CN"/>
    </w:rPr>
  </w:style>
  <w:style w:type="paragraph" w:styleId="948" w:customStyle="1">
    <w:name w:val="Table Text"/>
    <w:basedOn w:val="741"/>
    <w:uiPriority w:val="0"/>
    <w:semiHidden/>
    <w:qFormat/>
    <w:rPr>
      <w:rFonts w:ascii="仿宋" w:hAnsi="仿宋" w:eastAsia="仿宋" w:cs="宋体"/>
      <w:color w:val="000000"/>
      <w:sz w:val="28"/>
      <w:szCs w:val="28"/>
    </w:rPr>
  </w:style>
  <w:style w:type="paragraph" w:styleId="949"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50"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51" w:customStyle="1">
    <w:name w:val="批注框文本 字符"/>
    <w:basedOn w:val="751"/>
    <w:link w:val="765"/>
    <w:uiPriority w:val="99"/>
    <w:semiHidden/>
    <w:qFormat/>
    <w:rPr>
      <w:rFonts w:asciiTheme="minorHAnsi" w:hAnsiTheme="minorHAnsi" w:eastAsiaTheme="minorEastAsia" w:cstheme="minorBidi"/>
      <w:sz w:val="18"/>
      <w:szCs w:val="18"/>
    </w:rPr>
  </w:style>
  <w:style w:type="character" w:styleId="952" w:customStyle="1">
    <w:name w:val="正文文本缩进 字符"/>
    <w:basedOn w:val="751"/>
    <w:link w:val="758"/>
    <w:uiPriority w:val="0"/>
    <w:qFormat/>
    <w:rPr>
      <w:rFonts w:ascii="方正仿宋简体" w:hAnsi="创艺简仿宋" w:eastAsia="方正仿宋简体" w:cstheme="minorBidi"/>
      <w:sz w:val="24"/>
    </w:rPr>
  </w:style>
  <w:style w:type="paragraph" w:styleId="953" w:customStyle="1">
    <w:name w:val="段"/>
    <w:next w:val="74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54"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55" w:customStyle="1">
    <w:name w:val="p_text_indent_2"/>
    <w:basedOn w:val="741"/>
    <w:uiPriority w:val="0"/>
    <w:qFormat/>
    <w:pPr>
      <w:spacing w:before="100" w:beforeAutospacing="1" w:after="100" w:afterAutospacing="1"/>
    </w:pPr>
    <w:rPr>
      <w:rFonts w:ascii="宋体" w:hAnsi="宋体" w:eastAsia="宋体" w:cs="宋体"/>
      <w:sz w:val="24"/>
      <w:szCs w:val="24"/>
    </w:rPr>
  </w:style>
  <w:style w:type="paragraph" w:styleId="956"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57" w:customStyle="1">
    <w:name w:val="列表段落1"/>
    <w:basedOn w:val="741"/>
    <w:uiPriority w:val="34"/>
    <w:qFormat/>
    <w:pPr>
      <w:ind w:firstLine="420"/>
      <w:spacing w:line="360" w:lineRule="auto"/>
    </w:pPr>
    <w:rPr>
      <w:rFonts w:ascii="Tahoma" w:hAnsi="Tahoma" w:eastAsia="宋体"/>
      <w:sz w:val="22"/>
    </w:rPr>
  </w:style>
  <w:style w:type="paragraph" w:styleId="958"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59" w:customStyle="1">
    <w:name w:val="修订5"/>
    <w:hidden/>
    <w:uiPriority w:val="99"/>
    <w:unhideWhenUsed/>
    <w:qFormat/>
    <w:rPr>
      <w:rFonts w:asciiTheme="minorHAnsi" w:hAnsiTheme="minorHAnsi" w:eastAsiaTheme="minorEastAsia" w:cstheme="minorBidi"/>
      <w:sz w:val="21"/>
      <w:szCs w:val="22"/>
      <w:lang w:val="en-US" w:eastAsia="zh-CN" w:bidi="ar-SA"/>
    </w:rPr>
  </w:style>
  <w:style w:type="character" w:styleId="960" w:customStyle="1">
    <w:name w:val="批注文字 字符"/>
    <w:basedOn w:val="751"/>
    <w:link w:val="756"/>
    <w:uiPriority w:val="99"/>
    <w:semiHidden/>
    <w:qFormat/>
    <w:rPr>
      <w:rFonts w:asciiTheme="minorHAnsi" w:hAnsiTheme="minorHAnsi" w:cstheme="minorBidi"/>
      <w:b/>
      <w:sz w:val="24"/>
      <w:szCs w:val="22"/>
    </w:rPr>
  </w:style>
  <w:style w:type="character" w:styleId="961" w:customStyle="1">
    <w:name w:val="批注主题 字符"/>
    <w:basedOn w:val="960"/>
    <w:link w:val="779"/>
    <w:uiPriority w:val="99"/>
    <w:semiHidden/>
    <w:qFormat/>
    <w:rPr>
      <w:rFonts w:asciiTheme="minorHAnsi" w:hAnsiTheme="minorHAnsi" w:eastAsiaTheme="minorEastAsia" w:cstheme="minorBidi"/>
      <w:bCs/>
      <w:sz w:val="21"/>
      <w:szCs w:val="22"/>
    </w:rPr>
  </w:style>
  <w:style w:type="paragraph" w:styleId="962" w:customStyle="1">
    <w:name w:val="_Style 26"/>
    <w:basedOn w:val="741"/>
    <w:next w:val="798"/>
    <w:uiPriority w:val="34"/>
    <w:qFormat/>
    <w:pPr>
      <w:ind w:firstLine="420"/>
    </w:pPr>
    <w:rPr>
      <w:rFonts w:ascii="Calibri" w:hAnsi="Calibri" w:cs="Times New Roman"/>
    </w:r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6</cp:revision>
  <dcterms:created xsi:type="dcterms:W3CDTF">2026-09-23T08:54:00Z</dcterms:created>
  <dcterms:modified xsi:type="dcterms:W3CDTF">2026-09-24T08:51:25Z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AD23FF77110940B6A97E8D8EADE0912E_13</vt:lpwstr>
  </property>
  <property fmtid="{D5CDD505-2E9C-101B-9397-08002B2CF9AE}" pid="4" name="KSOTemplateDocerSaveRecord">
    <vt:lpwstr>eyJoZGlkIjoiMjI3NzRiYzFjN2ZmNzdjZjA2Nzg2OTM4N2EwMGI1NjIiLCJ1c2VySWQiOiIxMTAwNzg1MTUyIn0=</vt:lpwstr>
  </property>
</Properties>
</file>