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center"/>
        <w:spacing w:line="85" w:lineRule="atLeast"/>
        <w:shd w:val="clear" w:color="ffffff" w:fill="ffffff"/>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rPr>
        <w:t xml:space="preserve">液相色谱串联三重四级杆质谱联用仪采购</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bookmarkStart w:id="138" w:name="_GoBack"/>
      <w:r/>
      <w:bookmarkEnd w:id="138"/>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JSZC-320115-DCZX-G2026-0032</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江苏大成工程咨询有限公司</w:t>
      </w:r>
      <w:r/>
    </w:p>
    <w:p>
      <w:pPr>
        <w:jc w:val="center"/>
        <w:spacing w:line="85" w:lineRule="atLeast"/>
        <w:shd w:val="clear" w:color="ffffff" w:fill="ffffff"/>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2026年</w:t>
      </w:r>
      <w:r>
        <w:rPr>
          <w:rFonts w:hint="eastAsia" w:ascii="宋体" w:hAnsi="宋体" w:eastAsia="宋体" w:cs="宋体"/>
          <w:b/>
          <w:color w:val="auto"/>
          <w:sz w:val="36"/>
          <w:highlight w:val="none"/>
          <w:lang w:val="en-US" w:eastAsia="zh-CN"/>
        </w:rPr>
        <w:t xml:space="preserve">8</w:t>
      </w:r>
      <w:r>
        <w:rPr>
          <w:rFonts w:hint="eastAsia" w:ascii="宋体" w:hAnsi="宋体" w:eastAsia="宋体" w:cs="宋体"/>
          <w:b/>
          <w:color w:val="auto"/>
          <w:sz w:val="36"/>
          <w:highlight w:val="none"/>
        </w:rPr>
        <w:t xml:space="preserve">月</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753"/>
          <w:rFonts w:ascii="宋体" w:hAnsi="宋体" w:eastAsia="宋体" w:cs="宋体"/>
          <w:color w:val="auto"/>
          <w:sz w:val="24"/>
          <w:highlight w:val="none"/>
          <w:u w:val="none"/>
        </w:rPr>
        <w:t xml:space="preserve">第一章 招标公告</w:t>
      </w:r>
      <w:r>
        <w:rPr>
          <w:rStyle w:val="753"/>
          <w:rFonts w:ascii="宋体" w:hAnsi="宋体" w:eastAsia="宋体" w:cs="宋体"/>
          <w:color w:val="auto"/>
          <w:sz w:val="24"/>
          <w:highlight w:val="none"/>
          <w:u w:val="none"/>
        </w:rPr>
        <w:fldChar w:fldCharType="end"/>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753"/>
          <w:rFonts w:ascii="宋体" w:hAnsi="宋体" w:eastAsia="宋体" w:cs="宋体"/>
          <w:color w:val="auto"/>
          <w:sz w:val="24"/>
          <w:highlight w:val="none"/>
          <w:u w:val="none"/>
        </w:rPr>
        <w:t xml:space="preserve">第二章 投标人须知</w:t>
      </w:r>
      <w:r>
        <w:rPr>
          <w:rStyle w:val="753"/>
          <w:rFonts w:ascii="宋体" w:hAnsi="宋体" w:eastAsia="宋体" w:cs="宋体"/>
          <w:color w:val="auto"/>
          <w:sz w:val="24"/>
          <w:highlight w:val="none"/>
          <w:u w:val="none"/>
        </w:rPr>
        <w:fldChar w:fldCharType="end"/>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753"/>
          <w:rFonts w:ascii="宋体" w:hAnsi="宋体" w:eastAsia="宋体" w:cs="宋体"/>
          <w:color w:val="auto"/>
          <w:sz w:val="24"/>
          <w:highlight w:val="none"/>
          <w:u w:val="none"/>
        </w:rPr>
        <w:t xml:space="preserve">第三章 评标标准</w:t>
      </w:r>
      <w:r>
        <w:rPr>
          <w:rStyle w:val="753"/>
          <w:rFonts w:ascii="宋体" w:hAnsi="宋体" w:eastAsia="宋体" w:cs="宋体"/>
          <w:color w:val="auto"/>
          <w:sz w:val="24"/>
          <w:highlight w:val="none"/>
          <w:u w:val="none"/>
        </w:rPr>
        <w:fldChar w:fldCharType="end"/>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753"/>
          <w:rFonts w:ascii="宋体" w:hAnsi="宋体" w:eastAsia="宋体" w:cs="宋体"/>
          <w:color w:val="auto"/>
          <w:sz w:val="24"/>
          <w:highlight w:val="none"/>
          <w:u w:val="none"/>
        </w:rPr>
        <w:t xml:space="preserve">第四章 采购需求</w:t>
      </w:r>
      <w:r>
        <w:rPr>
          <w:rStyle w:val="753"/>
          <w:rFonts w:ascii="宋体" w:hAnsi="宋体" w:eastAsia="宋体" w:cs="宋体"/>
          <w:color w:val="auto"/>
          <w:sz w:val="24"/>
          <w:highlight w:val="none"/>
          <w:u w:val="none"/>
        </w:rPr>
        <w:fldChar w:fldCharType="end"/>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753"/>
          <w:rFonts w:ascii="宋体" w:hAnsi="宋体" w:eastAsia="宋体" w:cs="宋体"/>
          <w:color w:val="auto"/>
          <w:sz w:val="24"/>
          <w:highlight w:val="none"/>
          <w:u w:val="none"/>
        </w:rPr>
        <w:t xml:space="preserve">第五章 合同主要条款及格式</w:t>
      </w:r>
      <w:r>
        <w:rPr>
          <w:rStyle w:val="753"/>
          <w:rFonts w:ascii="宋体" w:hAnsi="宋体" w:eastAsia="宋体" w:cs="宋体"/>
          <w:color w:val="auto"/>
          <w:sz w:val="24"/>
          <w:highlight w:val="none"/>
          <w:u w:val="none"/>
        </w:rPr>
        <w:fldChar w:fldCharType="end"/>
      </w:r>
      <w:r/>
    </w:p>
    <w:p>
      <w:pPr>
        <w:jc w:val="both"/>
        <w:spacing w:line="48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753"/>
          <w:rFonts w:ascii="宋体" w:hAnsi="宋体" w:eastAsia="宋体" w:cs="宋体"/>
          <w:color w:val="auto"/>
          <w:sz w:val="24"/>
          <w:highlight w:val="none"/>
          <w:u w:val="none"/>
        </w:rPr>
        <w:t xml:space="preserve">第六章 投标文件格式及附件</w:t>
      </w:r>
      <w:r>
        <w:rPr>
          <w:rStyle w:val="753"/>
          <w:rFonts w:ascii="宋体" w:hAnsi="宋体" w:eastAsia="宋体" w:cs="宋体"/>
          <w:color w:val="auto"/>
          <w:sz w:val="24"/>
          <w:highlight w:val="none"/>
          <w:u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10"/>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850" w:header="709" w:footer="709" w:gutter="0"/>
          <w:cols w:num="1" w:sep="0" w:space="0" w:equalWidth="1"/>
          <w:docGrid w:linePitch="360"/>
        </w:sectPr>
      </w:pPr>
      <w:r>
        <w:rPr>
          <w:rFonts w:hint="eastAsia" w:ascii="宋体" w:hAnsi="宋体" w:eastAsia="宋体" w:cs="宋体"/>
          <w:b/>
          <w:color w:val="auto"/>
          <w:sz w:val="32"/>
          <w:highlight w:val="none"/>
        </w:rPr>
      </w:r>
      <w:r/>
    </w:p>
    <w:p>
      <w:pPr>
        <w:pStyle w:val="710"/>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一</w:t>
      </w:r>
      <w:r>
        <w:rPr>
          <w:rFonts w:ascii="宋体" w:hAnsi="宋体" w:eastAsia="宋体" w:cs="宋体"/>
          <w:b/>
          <w:color w:val="auto"/>
          <w:sz w:val="32"/>
          <w:highlight w:val="none"/>
        </w:rPr>
        <w:t xml:space="preserve">章 招标公告</w:t>
      </w:r>
      <w:r/>
    </w:p>
    <w:p>
      <w:pPr>
        <w:ind w:firstLine="420"/>
        <w:spacing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454"/>
        <w:spacing w:line="360" w:lineRule="auto"/>
        <w:rPr>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8"/>
          <w:szCs w:val="21"/>
          <w:highlight w:val="none"/>
          <w:u w:val="single"/>
        </w:rPr>
        <w:t xml:space="preserve">液相色谱串联三重四级杆质谱联用仪采购</w:t>
      </w:r>
      <w:r>
        <w:rPr>
          <w:rFonts w:hint="eastAsia" w:ascii="宋体" w:hAnsi="宋体" w:eastAsia="宋体" w:cs="宋体"/>
          <w:color w:val="auto"/>
          <w:szCs w:val="21"/>
          <w:highlight w:val="none"/>
        </w:rPr>
        <w:t xml:space="preserve">招标项目的潜在投标人应在</w:t>
      </w:r>
      <w:r>
        <w:rPr>
          <w:rFonts w:hint="eastAsia" w:ascii="宋体" w:hAnsi="宋体" w:eastAsia="宋体" w:cs="宋体"/>
          <w:b/>
          <w:bCs/>
          <w:color w:val="auto"/>
          <w:szCs w:val="21"/>
          <w:highlight w:val="none"/>
          <w:u w:val="single"/>
        </w:rPr>
        <w:t xml:space="preserve">江苏政府采购网</w:t>
      </w:r>
      <w:r>
        <w:rPr>
          <w:rFonts w:hint="eastAsia" w:ascii="宋体" w:hAnsi="宋体" w:eastAsia="宋体" w:cs="宋体"/>
          <w:color w:val="auto"/>
          <w:szCs w:val="21"/>
          <w:highlight w:val="none"/>
        </w:rPr>
        <w:t xml:space="preserve">获取招标文件，并于</w:t>
      </w:r>
      <w:r>
        <w:rPr>
          <w:rFonts w:hint="eastAsia" w:ascii="宋体" w:hAnsi="宋体" w:eastAsia="宋体" w:cs="宋体"/>
          <w:b/>
          <w:bCs/>
          <w:color w:val="auto"/>
          <w:szCs w:val="21"/>
          <w:highlight w:val="none"/>
          <w:u w:val="single"/>
        </w:rPr>
        <w:t xml:space="preserve">2026年</w:t>
      </w:r>
      <w:r>
        <w:rPr>
          <w:rFonts w:hint="eastAsia" w:ascii="宋体" w:hAnsi="宋体" w:eastAsia="宋体" w:cs="宋体"/>
          <w:b/>
          <w:bCs/>
          <w:color w:val="auto"/>
          <w:szCs w:val="21"/>
          <w:highlight w:val="none"/>
          <w:u w:val="single"/>
          <w:lang w:val="en-US" w:eastAsia="zh-CN"/>
        </w:rPr>
        <w:t xml:space="preserve">9</w:t>
      </w:r>
      <w:r>
        <w:rPr>
          <w:rFonts w:hint="eastAsia" w:ascii="宋体" w:hAnsi="宋体" w:eastAsia="宋体" w:cs="宋体"/>
          <w:b/>
          <w:bCs/>
          <w:color w:val="auto"/>
          <w:szCs w:val="21"/>
          <w:highlight w:val="none"/>
          <w:u w:val="single"/>
        </w:rPr>
        <w:t xml:space="preserve">月</w:t>
      </w:r>
      <w:r>
        <w:rPr>
          <w:rFonts w:hint="eastAsia" w:ascii="宋体" w:hAnsi="宋体" w:eastAsia="宋体" w:cs="宋体"/>
          <w:b/>
          <w:bCs/>
          <w:color w:val="auto"/>
          <w:szCs w:val="21"/>
          <w:highlight w:val="none"/>
          <w:u w:val="single"/>
          <w:lang w:val="en-US" w:eastAsia="zh-CN"/>
        </w:rPr>
        <w:t xml:space="preserve">8</w:t>
      </w:r>
      <w:r>
        <w:rPr>
          <w:rFonts w:hint="eastAsia" w:ascii="宋体" w:hAnsi="宋体" w:eastAsia="宋体" w:cs="宋体"/>
          <w:b/>
          <w:bCs/>
          <w:color w:val="auto"/>
          <w:szCs w:val="21"/>
          <w:highlight w:val="none"/>
          <w:u w:val="single"/>
        </w:rPr>
        <w:t xml:space="preserve">日9点30分</w:t>
      </w:r>
      <w:r>
        <w:rPr>
          <w:rFonts w:hint="eastAsia" w:ascii="宋体" w:hAnsi="宋体" w:eastAsia="宋体" w:cs="宋体"/>
          <w:bCs/>
          <w:color w:val="auto"/>
          <w:szCs w:val="21"/>
          <w:highlight w:val="none"/>
        </w:rPr>
        <w:t xml:space="preserve">（北京时间）前递交投标文件</w:t>
      </w:r>
      <w:r>
        <w:rPr>
          <w:rFonts w:hint="eastAsia" w:ascii="宋体" w:hAnsi="宋体" w:eastAsia="宋体" w:cs="宋体"/>
          <w:color w:val="auto"/>
          <w:szCs w:val="21"/>
          <w:highlight w:val="none"/>
        </w:rPr>
        <w:t xml:space="preserve">。</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 </w:t>
      </w:r>
      <w:r>
        <w:rPr>
          <w:rFonts w:ascii="宋体" w:hAnsi="宋体" w:eastAsia="宋体" w:cs="宋体"/>
          <w:b/>
          <w:color w:val="auto"/>
          <w:spacing w:val="8"/>
          <w:sz w:val="24"/>
          <w:highlight w:val="none"/>
        </w:rPr>
        <w:t xml:space="preserve">一、项目基本情况</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1.1项目编号：</w:t>
      </w:r>
      <w:r>
        <w:rPr>
          <w:rFonts w:hint="eastAsia" w:ascii="宋体" w:hAnsi="宋体" w:eastAsia="宋体" w:cs="宋体"/>
          <w:color w:val="auto"/>
          <w:spacing w:val="8"/>
          <w:highlight w:val="none"/>
          <w:lang w:eastAsia="zh-CN"/>
        </w:rPr>
        <w:t xml:space="preserve">JSZC-320115-DCZX-G2026-0032</w:t>
      </w:r>
      <w:r>
        <w:rPr>
          <w:rFonts w:ascii="宋体" w:hAnsi="宋体" w:eastAsia="宋体" w:cs="宋体"/>
          <w:color w:val="auto"/>
          <w:spacing w:val="8"/>
          <w:highlight w:val="none"/>
        </w:rPr>
        <w:t xml:space="preserve">  </w:t>
      </w:r>
      <w:r/>
    </w:p>
    <w:p>
      <w:pPr>
        <w:ind w:firstLine="370"/>
        <w:jc w:val="both"/>
        <w:spacing w:line="360" w:lineRule="auto"/>
        <w:shd w:val="clear" w:color="ffffff" w:fill="ffff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1.2项目名称：</w:t>
      </w:r>
      <w:r>
        <w:rPr>
          <w:rFonts w:hint="eastAsia" w:ascii="宋体" w:hAnsi="宋体" w:eastAsia="宋体" w:cs="宋体"/>
          <w:color w:val="auto"/>
          <w:spacing w:val="8"/>
          <w:highlight w:val="none"/>
        </w:rPr>
        <w:t xml:space="preserve">液相色谱串联三重四级杆质谱联用仪采购</w:t>
      </w:r>
      <w:r/>
    </w:p>
    <w:p>
      <w:pPr>
        <w:ind w:firstLine="370"/>
        <w:jc w:val="both"/>
        <w:spacing w:line="360" w:lineRule="auto"/>
        <w:shd w:val="clear" w:color="ffffff" w:fill="ffff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1.3预算金额：</w:t>
      </w:r>
      <w:r>
        <w:rPr>
          <w:rFonts w:hint="eastAsia" w:ascii="宋体" w:hAnsi="宋体" w:eastAsia="宋体" w:cs="宋体"/>
          <w:color w:val="auto"/>
          <w:spacing w:val="8"/>
          <w:highlight w:val="none"/>
        </w:rPr>
        <w:t xml:space="preserve">300万元</w:t>
      </w:r>
      <w:r/>
    </w:p>
    <w:p>
      <w:pPr>
        <w:ind w:firstLine="37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1.4最高限价：</w:t>
      </w:r>
      <w:r>
        <w:rPr>
          <w:rFonts w:hint="eastAsia" w:ascii="宋体" w:hAnsi="宋体" w:eastAsia="宋体" w:cs="宋体"/>
          <w:color w:val="auto"/>
          <w:spacing w:val="8"/>
          <w:highlight w:val="none"/>
        </w:rPr>
        <w:t xml:space="preserve">300万元</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1.5采购需求：</w:t>
      </w:r>
      <w:r>
        <w:rPr>
          <w:rFonts w:hint="eastAsia" w:ascii="宋体" w:hAnsi="宋体" w:eastAsia="宋体" w:cs="宋体"/>
          <w:color w:val="auto"/>
          <w:spacing w:val="8"/>
          <w:highlight w:val="none"/>
        </w:rPr>
        <w:t xml:space="preserve">液相色谱串联三重四级杆质谱联用仪采购</w:t>
      </w:r>
      <w:r>
        <w:rPr>
          <w:rFonts w:ascii="宋体" w:hAnsi="宋体" w:eastAsia="宋体" w:cs="宋体"/>
          <w:color w:val="auto"/>
          <w:spacing w:val="8"/>
          <w:highlight w:val="none"/>
        </w:rPr>
        <w:t xml:space="preserve">，具体要求见</w:t>
      </w:r>
      <w:r>
        <w:rPr>
          <w:rFonts w:hint="eastAsia" w:ascii="宋体" w:hAnsi="宋体" w:eastAsia="宋体" w:cs="宋体"/>
          <w:color w:val="auto"/>
          <w:spacing w:val="8"/>
          <w:highlight w:val="none"/>
        </w:rPr>
        <w:t xml:space="preserve">本</w:t>
      </w:r>
      <w:r>
        <w:rPr>
          <w:rFonts w:ascii="宋体" w:hAnsi="宋体" w:eastAsia="宋体" w:cs="宋体"/>
          <w:color w:val="auto"/>
          <w:spacing w:val="8"/>
          <w:highlight w:val="none"/>
        </w:rPr>
        <w:t xml:space="preserve">招标文件</w:t>
      </w:r>
      <w:r>
        <w:rPr>
          <w:rFonts w:hint="eastAsia" w:ascii="宋体" w:hAnsi="宋体" w:eastAsia="宋体" w:cs="宋体"/>
          <w:color w:val="auto"/>
          <w:spacing w:val="8"/>
          <w:highlight w:val="none"/>
        </w:rPr>
        <w:t xml:space="preserve">采购需求</w:t>
      </w:r>
      <w:r>
        <w:rPr>
          <w:rFonts w:ascii="宋体" w:hAnsi="宋体" w:eastAsia="宋体" w:cs="宋体"/>
          <w:color w:val="auto"/>
          <w:spacing w:val="8"/>
          <w:highlight w:val="none"/>
        </w:rPr>
        <w:t xml:space="preserve">。</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1.6合同履行期限：</w:t>
      </w:r>
      <w:r>
        <w:rPr>
          <w:rFonts w:hint="eastAsia" w:ascii="宋体" w:hAnsi="宋体" w:cs="宋体"/>
          <w:color w:val="auto"/>
          <w:highlight w:val="none"/>
        </w:rPr>
        <w:t xml:space="preserve">自合同签订后90日内完成供货</w:t>
      </w:r>
      <w:r>
        <w:rPr>
          <w:rFonts w:ascii="宋体" w:hAnsi="宋体" w:eastAsia="宋体" w:cs="宋体"/>
          <w:color w:val="auto"/>
          <w:spacing w:val="8"/>
          <w:highlight w:val="none"/>
        </w:rPr>
        <w:t xml:space="preserve">。</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1.7行业划分：工业</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1.8本项目（非专门）面向中小企业（或监狱企业或残疾人福利性单位）采购。</w:t>
      </w:r>
      <w:r/>
    </w:p>
    <w:p>
      <w:pPr>
        <w:ind w:firstLine="37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1.9本项目不接受进口产品投标。</w:t>
      </w:r>
      <w:r/>
    </w:p>
    <w:p>
      <w:pPr>
        <w:ind w:firstLine="37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1.10本项目不接受联合体投标。</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二、申请人的资格要求</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2.1满足《中华人民共和国政府采购法》第二十二条规定；</w:t>
      </w:r>
      <w:r/>
    </w:p>
    <w:p>
      <w:pPr>
        <w:pStyle w:val="746"/>
        <w:ind w:firstLine="420"/>
        <w:spacing w:before="75" w:beforeAutospacing="0" w:after="75" w:afterAutospacing="0" w:line="360" w:lineRule="auto"/>
        <w:rPr>
          <w:rFonts w:hint="eastAsia" w:ascii="宋体" w:hAnsi="宋体" w:eastAsia="宋体" w:cs="宋体"/>
          <w:color w:val="auto"/>
          <w:szCs w:val="21"/>
          <w:highlight w:val="none"/>
        </w:rPr>
      </w:pPr>
      <w:r>
        <w:rPr>
          <w:rFonts w:ascii="宋体" w:hAnsi="宋体" w:eastAsia="宋体" w:cs="宋体"/>
          <w:color w:val="auto"/>
          <w:highlight w:val="none"/>
        </w:rPr>
        <w:t xml:space="preserve">（1）</w:t>
      </w:r>
      <w:r>
        <w:rPr>
          <w:rFonts w:hint="eastAsia" w:ascii="宋体" w:hAnsi="宋体" w:eastAsia="宋体" w:cs="宋体"/>
          <w:color w:val="auto"/>
          <w:szCs w:val="21"/>
          <w:highlight w:val="none"/>
        </w:rPr>
        <w:t xml:space="preserve">具有独立承担民事责任的能力；（提供法人或者其他组织的营业执照等证明文件，供应商为自然人的，提供其身份证，扫描件加盖公章）</w:t>
      </w:r>
      <w:r/>
    </w:p>
    <w:p>
      <w:pPr>
        <w:pStyle w:val="746"/>
        <w:ind w:firstLine="420"/>
        <w:spacing w:before="75" w:beforeAutospacing="0" w:after="75" w:afterAutospacing="0" w:line="360" w:lineRule="auto"/>
        <w:rPr>
          <w:rFonts w:hint="eastAsia" w:ascii="宋体" w:hAnsi="宋体" w:eastAsia="宋体" w:cs="宋体"/>
          <w:color w:val="auto"/>
          <w:szCs w:val="21"/>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2</w:t>
      </w:r>
      <w:r>
        <w:rPr>
          <w:rFonts w:ascii="宋体" w:hAnsi="宋体" w:eastAsia="宋体" w:cs="宋体"/>
          <w:color w:val="auto"/>
          <w:highlight w:val="none"/>
        </w:rPr>
        <w:t xml:space="preserve">）</w:t>
      </w:r>
      <w:r>
        <w:rPr>
          <w:rFonts w:hint="eastAsia" w:ascii="宋体" w:hAnsi="宋体" w:eastAsia="宋体" w:cs="宋体"/>
          <w:color w:val="auto"/>
          <w:szCs w:val="21"/>
          <w:highlight w:val="none"/>
        </w:rPr>
        <w:t xml:space="preserve">具有良好的商业信誉和健全的财务会计制度；（提供《</w:t>
      </w:r>
      <w:r>
        <w:rPr>
          <w:rFonts w:hint="eastAsia" w:ascii="宋体" w:hAnsi="宋体" w:eastAsia="宋体" w:cs="宋体"/>
          <w:color w:val="auto"/>
          <w:szCs w:val="21"/>
          <w:highlight w:val="none"/>
          <w:lang w:eastAsia="zh-CN"/>
        </w:rPr>
        <w:t xml:space="preserve">南京市政府采购供应商信用承诺书</w:t>
      </w:r>
      <w:r>
        <w:rPr>
          <w:rFonts w:hint="eastAsia" w:ascii="宋体" w:hAnsi="宋体" w:eastAsia="宋体" w:cs="宋体"/>
          <w:color w:val="auto"/>
          <w:szCs w:val="21"/>
          <w:highlight w:val="none"/>
        </w:rPr>
        <w:t xml:space="preserve">》，法定代表人签字并盖单位公章）</w:t>
      </w:r>
      <w:r/>
    </w:p>
    <w:p>
      <w:pPr>
        <w:pStyle w:val="746"/>
        <w:ind w:firstLine="420"/>
        <w:spacing w:before="75" w:beforeAutospacing="0" w:after="75" w:afterAutospacing="0" w:line="360" w:lineRule="auto"/>
        <w:rPr>
          <w:rFonts w:hint="eastAsia" w:ascii="宋体" w:hAnsi="宋体" w:eastAsia="宋体" w:cs="宋体"/>
          <w:color w:val="auto"/>
          <w:szCs w:val="21"/>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3</w:t>
      </w:r>
      <w:r>
        <w:rPr>
          <w:rFonts w:ascii="宋体" w:hAnsi="宋体" w:eastAsia="宋体" w:cs="宋体"/>
          <w:color w:val="auto"/>
          <w:highlight w:val="none"/>
        </w:rPr>
        <w:t xml:space="preserve">）</w:t>
      </w:r>
      <w:r>
        <w:rPr>
          <w:rFonts w:hint="eastAsia" w:ascii="宋体" w:hAnsi="宋体" w:eastAsia="宋体" w:cs="宋体"/>
          <w:color w:val="auto"/>
          <w:szCs w:val="21"/>
          <w:highlight w:val="none"/>
        </w:rPr>
        <w:t xml:space="preserve">具有履行合同所必需的设备和专业技术能力；（提供《</w:t>
      </w:r>
      <w:r>
        <w:rPr>
          <w:rFonts w:hint="eastAsia" w:ascii="宋体" w:hAnsi="宋体" w:eastAsia="宋体" w:cs="宋体"/>
          <w:color w:val="auto"/>
          <w:szCs w:val="21"/>
          <w:highlight w:val="none"/>
          <w:lang w:eastAsia="zh-CN"/>
        </w:rPr>
        <w:t xml:space="preserve">南京市政府采购供应商信用承诺书</w:t>
      </w:r>
      <w:r>
        <w:rPr>
          <w:rFonts w:hint="eastAsia" w:ascii="宋体" w:hAnsi="宋体" w:eastAsia="宋体" w:cs="宋体"/>
          <w:color w:val="auto"/>
          <w:szCs w:val="21"/>
          <w:highlight w:val="none"/>
        </w:rPr>
        <w:t xml:space="preserve">》，法定代表人签字并盖单位公章）</w:t>
      </w:r>
      <w:r/>
    </w:p>
    <w:p>
      <w:pPr>
        <w:pStyle w:val="746"/>
        <w:ind w:firstLine="420"/>
        <w:spacing w:before="75" w:beforeAutospacing="0" w:after="75" w:afterAutospacing="0" w:line="360" w:lineRule="auto"/>
        <w:rPr>
          <w:rFonts w:hint="eastAsia" w:ascii="宋体" w:hAnsi="宋体" w:eastAsia="宋体" w:cs="宋体"/>
          <w:color w:val="auto"/>
          <w:szCs w:val="21"/>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w:t>
      </w:r>
      <w:r>
        <w:rPr>
          <w:rFonts w:hint="eastAsia" w:ascii="宋体" w:hAnsi="宋体" w:eastAsia="宋体" w:cs="宋体"/>
          <w:color w:val="auto"/>
          <w:szCs w:val="21"/>
          <w:highlight w:val="none"/>
        </w:rPr>
        <w:t xml:space="preserve">有依法缴纳税收和社会保障资金的良好记录；（提供《</w:t>
      </w:r>
      <w:r>
        <w:rPr>
          <w:rFonts w:hint="eastAsia" w:ascii="宋体" w:hAnsi="宋体" w:eastAsia="宋体" w:cs="宋体"/>
          <w:color w:val="auto"/>
          <w:szCs w:val="21"/>
          <w:highlight w:val="none"/>
          <w:lang w:eastAsia="zh-CN"/>
        </w:rPr>
        <w:t xml:space="preserve">南京市政府采购供应商信用承诺书</w:t>
      </w:r>
      <w:r>
        <w:rPr>
          <w:rFonts w:hint="eastAsia" w:ascii="宋体" w:hAnsi="宋体" w:eastAsia="宋体" w:cs="宋体"/>
          <w:color w:val="auto"/>
          <w:szCs w:val="21"/>
          <w:highlight w:val="none"/>
        </w:rPr>
        <w:t xml:space="preserve">》，法定代表人签字并盖单位公章）</w:t>
      </w:r>
      <w:r/>
    </w:p>
    <w:p>
      <w:pPr>
        <w:pStyle w:val="746"/>
        <w:ind w:firstLine="420"/>
        <w:spacing w:before="75" w:beforeAutospacing="0" w:after="75" w:afterAutospacing="0" w:line="360" w:lineRule="auto"/>
        <w:rPr>
          <w:rFonts w:hint="eastAsia" w:ascii="宋体" w:hAnsi="宋体" w:eastAsia="宋体" w:cs="宋体"/>
          <w:color w:val="auto"/>
          <w:szCs w:val="21"/>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w:t>
      </w:r>
      <w:r>
        <w:rPr>
          <w:rFonts w:hint="eastAsia" w:ascii="宋体" w:hAnsi="宋体" w:eastAsia="宋体" w:cs="宋体"/>
          <w:color w:val="auto"/>
          <w:szCs w:val="21"/>
          <w:highlight w:val="none"/>
        </w:rPr>
        <w:t xml:space="preserve">参加政府采购活动前三年内，在经营活动中没有重大违法记录；（提供《</w:t>
      </w:r>
      <w:r>
        <w:rPr>
          <w:rFonts w:hint="eastAsia" w:ascii="宋体" w:hAnsi="宋体" w:eastAsia="宋体" w:cs="宋体"/>
          <w:color w:val="auto"/>
          <w:szCs w:val="21"/>
          <w:highlight w:val="none"/>
          <w:lang w:eastAsia="zh-CN"/>
        </w:rPr>
        <w:t xml:space="preserve">南京市政府采购供应商信用承诺书</w:t>
      </w:r>
      <w:r>
        <w:rPr>
          <w:rFonts w:hint="eastAsia" w:ascii="宋体" w:hAnsi="宋体" w:eastAsia="宋体" w:cs="宋体"/>
          <w:color w:val="auto"/>
          <w:szCs w:val="21"/>
          <w:highlight w:val="none"/>
        </w:rPr>
        <w:t xml:space="preserve">》，法定代表人签字并盖单位公章）</w:t>
      </w:r>
      <w:r/>
    </w:p>
    <w:p>
      <w:pPr>
        <w:pStyle w:val="746"/>
        <w:ind w:firstLine="420"/>
        <w:spacing w:before="75" w:beforeAutospacing="0" w:after="75" w:afterAutospacing="0" w:line="360" w:lineRule="auto"/>
        <w:rPr>
          <w:rFonts w:hint="eastAsia" w:ascii="宋体" w:hAnsi="宋体" w:eastAsia="宋体" w:cs="宋体"/>
          <w:color w:val="auto"/>
          <w:szCs w:val="21"/>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w:t>
      </w:r>
      <w:r>
        <w:rPr>
          <w:rFonts w:hint="eastAsia" w:ascii="宋体" w:hAnsi="宋体" w:eastAsia="宋体" w:cs="宋体"/>
          <w:color w:val="auto"/>
          <w:szCs w:val="21"/>
          <w:highlight w:val="none"/>
        </w:rPr>
        <w:t xml:space="preserve">法律、行政法规和采购文件规定的其他条件</w:t>
      </w:r>
      <w:r>
        <w:rPr>
          <w:rFonts w:hint="eastAsia" w:cs="宋体"/>
          <w:color w:val="auto"/>
          <w:szCs w:val="21"/>
          <w:highlight w:val="none"/>
        </w:rPr>
        <w:t xml:space="preserve">：无</w:t>
      </w:r>
      <w:r>
        <w:rPr>
          <w:rFonts w:hint="eastAsia" w:ascii="宋体" w:hAnsi="宋体" w:eastAsia="宋体" w:cs="宋体"/>
          <w:color w:val="auto"/>
          <w:szCs w:val="21"/>
          <w:highlight w:val="none"/>
        </w:rPr>
        <w:t xml:space="preserve">。</w:t>
      </w:r>
      <w:r/>
    </w:p>
    <w:p>
      <w:pPr>
        <w:ind w:firstLine="454"/>
        <w:jc w:val="both"/>
        <w:spacing w:line="360" w:lineRule="auto"/>
        <w:rPr>
          <w:rFonts w:hint="eastAsia" w:ascii="宋体" w:hAnsi="宋体" w:eastAsia="宋体" w:cs="宋体"/>
          <w:b/>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2.2落实政府采购政策需满足的资格要求：</w:t>
      </w:r>
      <w:r>
        <w:rPr>
          <w:rFonts w:hint="eastAsia" w:ascii="宋体" w:hAnsi="宋体" w:eastAsia="宋体" w:cs="宋体"/>
          <w:b/>
          <w:color w:val="auto"/>
          <w:spacing w:val="8"/>
          <w:highlight w:val="none"/>
        </w:rPr>
        <w:t xml:space="preserve">无。</w:t>
      </w:r>
      <w:r/>
    </w:p>
    <w:p>
      <w:pPr>
        <w:ind w:firstLine="454"/>
        <w:jc w:val="both"/>
        <w:spacing w:line="360" w:lineRule="auto"/>
        <w:rPr>
          <w:rFonts w:hint="eastAsia" w:ascii="宋体" w:hAnsi="宋体" w:eastAsia="宋体" w:cs="宋体"/>
          <w:b/>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2.3</w:t>
      </w:r>
      <w:r>
        <w:rPr>
          <w:rFonts w:hint="eastAsia" w:ascii="宋体" w:hAnsi="宋体" w:eastAsia="宋体" w:cs="宋体"/>
          <w:b/>
          <w:color w:val="auto"/>
          <w:spacing w:val="8"/>
          <w:highlight w:val="none"/>
        </w:rPr>
        <w:t xml:space="preserve">采购人根据采购项目的特殊要求规定的特定条件：无。</w:t>
      </w:r>
      <w:r/>
    </w:p>
    <w:p>
      <w:pPr>
        <w:ind w:firstLine="42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三、获取招标文件</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3.1时间：自</w:t>
      </w:r>
      <w:r>
        <w:rPr>
          <w:rFonts w:hint="eastAsia" w:ascii="宋体" w:hAnsi="宋体" w:eastAsia="宋体" w:cs="宋体"/>
          <w:color w:val="auto"/>
          <w:spacing w:val="8"/>
          <w:highlight w:val="none"/>
        </w:rPr>
        <w:t xml:space="preserve">招标文件公告发布之日起5个工作日</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3.3方式：</w:t>
      </w:r>
      <w:r>
        <w:rPr>
          <w:rFonts w:hint="eastAsia" w:ascii="宋体" w:hAnsi="宋体" w:eastAsia="宋体" w:cs="宋体"/>
          <w:color w:val="auto"/>
          <w:spacing w:val="8"/>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3.4售价：0元。</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四、提交投标文件截止时间、开标时间和地点</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4.1时间：2026年</w:t>
      </w:r>
      <w:r>
        <w:rPr>
          <w:rFonts w:hint="eastAsia" w:ascii="宋体" w:hAnsi="宋体" w:eastAsia="宋体" w:cs="宋体"/>
          <w:color w:val="auto"/>
          <w:spacing w:val="8"/>
          <w:highlight w:val="none"/>
          <w:lang w:val="en-US" w:eastAsia="zh-CN"/>
        </w:rPr>
        <w:t xml:space="preserve">9</w:t>
      </w:r>
      <w:r>
        <w:rPr>
          <w:rFonts w:hint="eastAsia" w:ascii="宋体" w:hAnsi="宋体" w:eastAsia="宋体" w:cs="宋体"/>
          <w:color w:val="auto"/>
          <w:spacing w:val="8"/>
          <w:highlight w:val="none"/>
        </w:rPr>
        <w:t xml:space="preserve">月</w:t>
      </w:r>
      <w:r>
        <w:rPr>
          <w:rFonts w:hint="eastAsia" w:ascii="宋体" w:hAnsi="宋体" w:eastAsia="宋体" w:cs="宋体"/>
          <w:color w:val="auto"/>
          <w:spacing w:val="8"/>
          <w:highlight w:val="none"/>
          <w:lang w:val="en-US" w:eastAsia="zh-CN"/>
        </w:rPr>
        <w:t xml:space="preserve">8</w:t>
      </w:r>
      <w:r>
        <w:rPr>
          <w:rFonts w:hint="eastAsia" w:ascii="宋体" w:hAnsi="宋体" w:eastAsia="宋体" w:cs="宋体"/>
          <w:color w:val="auto"/>
          <w:spacing w:val="8"/>
          <w:highlight w:val="none"/>
        </w:rPr>
        <w:t xml:space="preserve">日 09:30（北京时间）</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4.2地点：江苏省政府采购管理交易系统（苏采云） </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五、公告期限</w:t>
      </w:r>
      <w:r/>
    </w:p>
    <w:p>
      <w:pPr>
        <w:ind w:firstLine="370"/>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自本公告发布之日起5个工作日。</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六、其他补充事宜</w:t>
      </w:r>
      <w:r/>
      <w:r>
        <w:rPr>
          <w:rFonts w:hint="eastAsia" w:ascii="宋体" w:hAnsi="宋体" w:eastAsia="宋体" w:cs="宋体"/>
          <w:color w:val="auto"/>
          <w:spacing w:val="8"/>
          <w:highlight w:val="none"/>
        </w:rPr>
      </w:r>
      <w:r/>
      <w:r>
        <w:rPr>
          <w:color w:val="auto"/>
          <w:highlight w:val="none"/>
        </w:rP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6.1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360"/>
        <w:jc w:val="both"/>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操作手册下载地址：http://www.ccgp-jiangsu.gov.cn/jiangsu/zlxz/ee/ee3a4bc5a3454aa2b0d9312230633ce9.html</w:t>
      </w:r>
      <w:r/>
    </w:p>
    <w:p>
      <w:pPr>
        <w:ind w:firstLine="363"/>
        <w:jc w:val="both"/>
        <w:spacing w:line="360" w:lineRule="auto"/>
        <w:shd w:val="clear" w:color="ffffff" w:fill="ffff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首次登录“苏采云”系统的新用户，登录网址后，点击“用户注册”--“新CA办理指南”--获取CA后绑定、登录系统--采购项目参与--下载采购文件（文件后缀名为“.kedt”）。</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“苏采云”南京地区客服热线025-83633744、025-83633743。</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6.2勘察现场：无</w:t>
      </w:r>
      <w:r/>
    </w:p>
    <w:p>
      <w:pPr>
        <w:ind w:firstLine="365"/>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6.3供应商诚信档案管理</w:t>
      </w:r>
      <w:r/>
    </w:p>
    <w:p>
      <w:pPr>
        <w:ind w:firstLine="560"/>
        <w:spacing w:line="400" w:lineRule="exact"/>
        <w:rPr>
          <w:rFonts w:ascii="宋体" w:hAnsi="宋体" w:eastAsia="宋体" w:cs="宋体"/>
          <w:color w:val="auto"/>
          <w:sz w:val="22"/>
          <w:highlight w:val="none"/>
        </w:rPr>
      </w:pPr>
      <w:r>
        <w:rPr>
          <w:rFonts w:ascii="宋体" w:hAnsi="宋体" w:eastAsia="宋体" w:cs="宋体"/>
          <w:color w:val="auto"/>
          <w:sz w:val="22"/>
          <w:highlight w:val="none"/>
        </w:rPr>
        <w:t xml:space="preserve">根据《关于在政府采购活动中推行信用承诺制的通知》宁财购通〔2021〕5号规定， 参加南京地区政府采购活动的供应商，应以书面形式向采购人或政府采购代理机构作出信用承诺。</w:t>
      </w:r>
      <w:r>
        <w:rPr>
          <w:rFonts w:hint="eastAsia" w:ascii="宋体" w:hAnsi="宋体" w:eastAsia="宋体" w:cs="宋体"/>
          <w:color w:val="auto"/>
          <w:sz w:val="22"/>
          <w:highlight w:val="none"/>
        </w:rPr>
        <w:t xml:space="preserve">根据附件《</w:t>
      </w:r>
      <w:r>
        <w:rPr>
          <w:rFonts w:hint="eastAsia" w:ascii="宋体" w:hAnsi="宋体" w:eastAsia="宋体" w:cs="宋体"/>
          <w:color w:val="auto"/>
          <w:sz w:val="22"/>
          <w:highlight w:val="none"/>
          <w:lang w:eastAsia="zh-CN"/>
        </w:rPr>
        <w:t xml:space="preserve">南京市政府采购供应商信用承诺书</w:t>
      </w:r>
      <w:r>
        <w:rPr>
          <w:rFonts w:hint="eastAsia" w:ascii="宋体" w:hAnsi="宋体" w:eastAsia="宋体" w:cs="宋体"/>
          <w:color w:val="auto"/>
          <w:sz w:val="22"/>
          <w:highlight w:val="none"/>
        </w:rPr>
        <w:t xml:space="preserve">》格式，</w:t>
      </w:r>
      <w:r>
        <w:rPr>
          <w:rFonts w:hint="eastAsia" w:ascii="宋体" w:hAnsi="宋体" w:eastAsia="宋体" w:cs="宋体"/>
          <w:color w:val="auto"/>
          <w:sz w:val="22"/>
          <w:highlight w:val="none"/>
          <w:lang w:eastAsia="zh-CN"/>
        </w:rPr>
        <w:t xml:space="preserve">由法定代表人签字并盖单位公章，</w:t>
      </w:r>
      <w:r>
        <w:rPr>
          <w:rFonts w:hint="eastAsia" w:ascii="宋体" w:hAnsi="宋体" w:eastAsia="宋体" w:cs="宋体"/>
          <w:color w:val="auto"/>
          <w:sz w:val="22"/>
          <w:highlight w:val="none"/>
        </w:rPr>
        <w:t xml:space="preserve">随响应文件一并递交。</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在政府采购资格审查环节，供应商只需提供书面《</w:t>
      </w:r>
      <w:r>
        <w:rPr>
          <w:rFonts w:hint="eastAsia" w:ascii="宋体" w:hAnsi="宋体" w:eastAsia="宋体" w:cs="宋体"/>
          <w:color w:val="auto"/>
          <w:sz w:val="22"/>
          <w:highlight w:val="none"/>
          <w:lang w:eastAsia="zh-CN"/>
        </w:rPr>
        <w:t xml:space="preserve">南京市政府采购供应商信用承诺书</w:t>
      </w:r>
      <w:r>
        <w:rPr>
          <w:rFonts w:ascii="宋体" w:hAnsi="宋体" w:eastAsia="宋体" w:cs="宋体"/>
          <w:color w:val="auto"/>
          <w:sz w:val="22"/>
          <w:highlight w:val="none"/>
        </w:rPr>
        <w:t xml:space="preserve">》，即可替代以下证明材料：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符合国家相关规定的财务状况报告</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依法缴纳税收的证明材料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依法缴纳社会保障资金的证明材料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w:t>
      </w:r>
      <w:r>
        <w:rPr>
          <w:rFonts w:ascii="宋体" w:hAnsi="宋体" w:eastAsia="宋体" w:cs="宋体"/>
          <w:color w:val="auto"/>
          <w:sz w:val="22"/>
          <w:highlight w:val="none"/>
        </w:rPr>
        <w:t xml:space="preserve">具备履行政府采购合同所必需的设备和专业技术能力的证明材料；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w:t>
      </w:r>
      <w:r>
        <w:rPr>
          <w:rFonts w:ascii="宋体" w:hAnsi="宋体" w:eastAsia="宋体" w:cs="宋体"/>
          <w:color w:val="auto"/>
          <w:sz w:val="22"/>
          <w:highlight w:val="none"/>
        </w:rPr>
        <w:t xml:space="preserve">参加政府采购活动前三年内在经营活动中没有重大违法记录的证明材料；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w:t>
      </w:r>
      <w:r>
        <w:rPr>
          <w:rFonts w:ascii="宋体" w:hAnsi="宋体" w:eastAsia="宋体" w:cs="宋体"/>
          <w:color w:val="auto"/>
          <w:sz w:val="22"/>
          <w:highlight w:val="none"/>
        </w:rPr>
        <w:t xml:space="preserve">未被列入失信被执行人、重大税收违法失信主体、政府采购严重违法失信行为记录名单的证明材料。</w:t>
      </w:r>
      <w:r/>
    </w:p>
    <w:p>
      <w:pPr>
        <w:ind w:firstLine="363"/>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根据宁财购通</w:t>
      </w:r>
      <w:r>
        <w:rPr>
          <w:rFonts w:ascii="Arial" w:hAnsi="Arial" w:eastAsia="Arial" w:cs="Arial"/>
          <w:color w:val="auto"/>
          <w:sz w:val="22"/>
          <w:highlight w:val="none"/>
        </w:rPr>
        <w:t xml:space="preserve">[2021]5</w:t>
      </w:r>
      <w:r>
        <w:rPr>
          <w:rFonts w:ascii="宋体" w:hAnsi="宋体" w:eastAsia="宋体" w:cs="宋体"/>
          <w:color w:val="auto"/>
          <w:sz w:val="22"/>
          <w:highlight w:val="non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360" w:lineRule="auto"/>
        <w:shd w:val="clear" w:color="ffffff" w:fill="ffffff"/>
        <w:rPr>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2"/>
          <w:highlight w:val="none"/>
        </w:rPr>
        <w:t xml:space="preserve">供应商涉及一下情形的，不适用信用承诺：</w:t>
      </w:r>
      <w:r/>
    </w:p>
    <w:p>
      <w:pPr>
        <w:ind w:firstLine="365"/>
        <w:jc w:val="both"/>
        <w:spacing w:line="360" w:lineRule="auto"/>
        <w:shd w:val="clear" w:color="ffffff" w:fill="ffffff"/>
        <w:rPr>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（1）</w:t>
      </w:r>
      <w:r>
        <w:rPr>
          <w:rFonts w:ascii="宋体" w:hAnsi="宋体" w:eastAsia="宋体" w:cs="宋体"/>
          <w:bCs/>
          <w:color w:val="auto"/>
          <w:sz w:val="22"/>
          <w:highlight w:val="none"/>
        </w:rPr>
        <w:t xml:space="preserve">供应商被列入严重失信主体名单；</w:t>
      </w:r>
      <w:r/>
    </w:p>
    <w:p>
      <w:pPr>
        <w:ind w:firstLine="365"/>
        <w:jc w:val="both"/>
        <w:spacing w:line="360" w:lineRule="auto"/>
        <w:shd w:val="clear" w:color="ffffff" w:fill="ffffff"/>
        <w:rPr>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（2）</w:t>
      </w:r>
      <w:r>
        <w:rPr>
          <w:rFonts w:ascii="宋体" w:hAnsi="宋体" w:eastAsia="宋体" w:cs="宋体"/>
          <w:bCs/>
          <w:color w:val="auto"/>
          <w:sz w:val="22"/>
          <w:highlight w:val="none"/>
        </w:rPr>
        <w:t xml:space="preserve">被相关监管部门做出行政处罚且尚在出发有效期内；</w:t>
      </w:r>
      <w:r/>
    </w:p>
    <w:p>
      <w:pPr>
        <w:ind w:firstLine="365"/>
        <w:jc w:val="both"/>
        <w:spacing w:line="360" w:lineRule="auto"/>
        <w:shd w:val="clear" w:color="ffffff" w:fill="ffffff"/>
        <w:rPr>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（3）</w:t>
      </w:r>
      <w:r>
        <w:rPr>
          <w:rFonts w:ascii="宋体" w:hAnsi="宋体" w:eastAsia="宋体" w:cs="宋体"/>
          <w:bCs/>
          <w:color w:val="auto"/>
          <w:sz w:val="22"/>
          <w:highlight w:val="none"/>
        </w:rPr>
        <w:t xml:space="preserve">被其他法律、行政法规规定的不适用信用承诺的情形。</w:t>
      </w:r>
      <w:r/>
    </w:p>
    <w:p>
      <w:pPr>
        <w:ind w:firstLine="365"/>
        <w:jc w:val="both"/>
        <w:spacing w:line="360" w:lineRule="auto"/>
        <w:shd w:val="clear" w:color="ffffff" w:fill="ffffff"/>
        <w:rPr>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2"/>
          <w:highlight w:val="none"/>
        </w:rPr>
        <w:t xml:space="preserve">供应商对信用承诺内容的真实性、合法性、有效性负责。如作出虚假信用承诺，视同为“提供虚假材料谋取中标、成交”的违法行为。</w:t>
      </w:r>
      <w:r/>
    </w:p>
    <w:p>
      <w:pPr>
        <w:ind w:firstLine="363"/>
        <w:jc w:val="both"/>
        <w:spacing w:line="360" w:lineRule="auto"/>
        <w:shd w:val="clear" w:color="ffffff" w:fill="ffff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rPr>
          <w:rFonts w:hint="eastAsia" w:ascii="宋体" w:hAnsi="宋体" w:eastAsia="宋体" w:cs="宋体"/>
          <w:color w:val="auto"/>
          <w:highlight w:val="none"/>
        </w:rPr>
        <w:t xml:space="preserve">6.4</w:t>
      </w:r>
      <w:r>
        <w:rPr>
          <w:rFonts w:hint="eastAsia" w:ascii="宋体" w:hAnsi="宋体" w:eastAsia="宋体" w:cs="宋体"/>
          <w:b/>
          <w:bCs/>
          <w:color w:val="auto"/>
          <w:szCs w:val="21"/>
          <w:highlight w:val="none"/>
        </w:rPr>
        <w:t xml:space="preserve">本</w:t>
      </w:r>
      <w:r>
        <w:rPr>
          <w:rFonts w:hint="eastAsia" w:ascii="宋体" w:hAnsi="宋体" w:cs="宋体"/>
          <w:b/>
          <w:bCs/>
          <w:color w:val="auto"/>
          <w:szCs w:val="21"/>
          <w:highlight w:val="none"/>
        </w:rPr>
        <w:t xml:space="preserve">项目不专门面向中小微企业采购，执行价格扣除优惠政策，对供应商为小微企业的，报价给予10%的扣除。本项目采购标的对应的中小企业划分标准所属行业为：</w:t>
      </w:r>
      <w:r>
        <w:rPr>
          <w:rFonts w:hint="eastAsia" w:ascii="宋体" w:hAnsi="宋体" w:cs="宋体"/>
          <w:b/>
          <w:bCs/>
          <w:color w:val="auto"/>
          <w:highlight w:val="none"/>
          <w:u w:val="single"/>
        </w:rPr>
        <w:t xml:space="preserve">工业</w:t>
      </w:r>
      <w:r>
        <w:rPr>
          <w:rFonts w:hint="eastAsia" w:ascii="宋体" w:hAnsi="宋体" w:cs="宋体"/>
          <w:b/>
          <w:bCs/>
          <w:color w:val="auto"/>
          <w:szCs w:val="21"/>
          <w:highlight w:val="none"/>
        </w:rPr>
        <w:t xml:space="preserve">。根据《中小企业划型标准规定》工信部联企业[2011]300号规定。</w:t>
      </w:r>
      <w:r/>
    </w:p>
    <w:p>
      <w:pPr>
        <w:ind w:firstLine="365"/>
        <w:jc w:val="both"/>
        <w:spacing w:line="360" w:lineRule="auto"/>
        <w:shd w:val="clear" w:color="ffffff" w:fill="ffffff"/>
        <w:rPr>
          <w:rFonts w:hint="eastAsia" w:ascii="宋体" w:hAnsi="宋体" w:eastAsia="宋体" w:cs="宋体"/>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6.5拒绝下述供应商参加本次招标活动：</w:t>
      </w:r>
      <w:r/>
    </w:p>
    <w:p>
      <w:pPr>
        <w:ind w:firstLine="365"/>
        <w:jc w:val="both"/>
        <w:spacing w:line="360" w:lineRule="auto"/>
        <w:shd w:val="clear" w:color="ffffff" w:fill="ffffff"/>
        <w:rPr>
          <w:rFonts w:hint="eastAsia" w:ascii="宋体" w:hAnsi="宋体" w:eastAsia="宋体" w:cs="宋体"/>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1.供应商单位负责人为同一人或者存在直接控股、管理关系的不同供应商，参加同一合同项下的政府采购活动。</w:t>
      </w:r>
      <w:r/>
    </w:p>
    <w:p>
      <w:pPr>
        <w:ind w:firstLine="365"/>
        <w:jc w:val="both"/>
        <w:spacing w:line="360" w:lineRule="auto"/>
        <w:shd w:val="clear" w:color="ffffff" w:fill="ffffff"/>
        <w:rPr>
          <w:rFonts w:hint="eastAsia" w:ascii="宋体" w:hAnsi="宋体" w:eastAsia="宋体" w:cs="宋体"/>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2.为采购项目提供整体设计、规范编制或者项目管理、监理、检测等服务的供应商，参加本项目的采购活动。</w:t>
      </w:r>
      <w:r/>
    </w:p>
    <w:p>
      <w:pPr>
        <w:ind w:firstLine="365"/>
        <w:jc w:val="both"/>
        <w:spacing w:line="360" w:lineRule="auto"/>
        <w:shd w:val="clear" w:color="ffffff" w:fill="ffffff"/>
        <w:rPr>
          <w:rFonts w:hint="eastAsia" w:ascii="宋体" w:hAnsi="宋体" w:eastAsia="宋体" w:cs="宋体"/>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2"/>
          <w:highlight w:val="none"/>
        </w:rPr>
        <w:t xml:space="preserve">3.供应商被“信用中国”网站（www.creditchina.gov.cn）列入失信被执行人、重大税收违法失信主体、政府采购严重违法失信行为记录名单。</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七、对本次招标提出询问，请按以下方式联系</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7.1采购人信息</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w:t>
      </w:r>
      <w:r>
        <w:rPr>
          <w:rFonts w:hint="eastAsia" w:ascii="宋体" w:hAnsi="宋体" w:eastAsia="宋体" w:cs="宋体"/>
          <w:color w:val="auto"/>
          <w:spacing w:val="8"/>
          <w:highlight w:val="none"/>
        </w:rPr>
        <w:t xml:space="preserve">南京市江宁区农业农村局</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地址：</w:t>
      </w:r>
      <w:r>
        <w:rPr>
          <w:rFonts w:hint="eastAsia" w:ascii="宋体" w:hAnsi="宋体" w:eastAsia="宋体" w:cs="宋体"/>
          <w:color w:val="auto"/>
          <w:spacing w:val="8"/>
          <w:highlight w:val="none"/>
        </w:rPr>
        <w:t xml:space="preserve">南京市江宁区东山街道万安西路120号 </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联系人：张科</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rPr>
        <w:t xml:space="preserve">联系电话：025-68173927</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7.2采购代理机构信息</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 </w:t>
      </w:r>
      <w:r>
        <w:rPr>
          <w:rFonts w:hint="eastAsia" w:ascii="宋体" w:hAnsi="宋体" w:eastAsia="宋体" w:cs="宋体"/>
          <w:color w:val="auto"/>
          <w:spacing w:val="8"/>
          <w:highlight w:val="none"/>
        </w:rPr>
        <w:t xml:space="preserve">江苏大成工程咨询有限公司</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　址：</w:t>
      </w:r>
      <w:r>
        <w:rPr>
          <w:rFonts w:hint="eastAsia" w:ascii="宋体" w:hAnsi="宋体" w:eastAsia="宋体" w:cs="宋体"/>
          <w:color w:val="auto"/>
          <w:spacing w:val="8"/>
          <w:highlight w:val="none"/>
        </w:rPr>
        <w:t xml:space="preserve">南京市建邺区嘉陵江东街18号1栋7层</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w:t>
      </w:r>
      <w:r>
        <w:rPr>
          <w:rFonts w:hint="eastAsia" w:ascii="宋体" w:hAnsi="宋体" w:eastAsia="宋体" w:cs="宋体"/>
          <w:color w:val="auto"/>
          <w:spacing w:val="8"/>
          <w:highlight w:val="none"/>
        </w:rPr>
        <w:t xml:space="preserve">人</w:t>
      </w:r>
      <w:r>
        <w:rPr>
          <w:rFonts w:ascii="宋体" w:hAnsi="宋体" w:eastAsia="宋体" w:cs="宋体"/>
          <w:color w:val="auto"/>
          <w:spacing w:val="8"/>
          <w:highlight w:val="none"/>
        </w:rPr>
        <w:t xml:space="preserve">：</w:t>
      </w:r>
      <w:r>
        <w:rPr>
          <w:rFonts w:hint="eastAsia" w:ascii="宋体" w:hAnsi="宋体" w:eastAsia="宋体" w:cs="宋体"/>
          <w:color w:val="auto"/>
          <w:spacing w:val="8"/>
          <w:highlight w:val="none"/>
        </w:rPr>
        <w:t xml:space="preserve">周杰</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联系电话：13776507638</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7.3项目联系方式</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项目联系人：</w:t>
      </w:r>
      <w:r>
        <w:rPr>
          <w:rFonts w:hint="eastAsia" w:ascii="宋体" w:hAnsi="宋体" w:eastAsia="宋体" w:cs="宋体"/>
          <w:color w:val="auto"/>
          <w:spacing w:val="8"/>
          <w:highlight w:val="none"/>
        </w:rPr>
        <w:t xml:space="preserve">周杰</w:t>
      </w:r>
      <w:r/>
    </w:p>
    <w:p>
      <w:pPr>
        <w:spacing w:line="360" w:lineRule="auto"/>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联系电话：13776507638</w:t>
      </w:r>
      <w:r/>
    </w:p>
    <w:p>
      <w:pPr>
        <w:ind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1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pStyle w:val="909"/>
        <w:spacing w:before="0" w:after="0" w:line="360" w:lineRule="auto"/>
        <w:rPr>
          <w:rFonts w:hint="eastAsia" w:ascii="宋体" w:hAnsi="宋体" w:eastAsia="宋体" w:cs="宋体"/>
          <w:b w:val="0"/>
          <w:bCs w:val="0"/>
          <w:color w:val="auto"/>
          <w:sz w:val="21"/>
          <w:szCs w:val="21"/>
          <w:highlight w:val="none"/>
          <w:lang w:eastAsia="zh-CN"/>
        </w:rPr>
      </w:pPr>
      <w:r/>
      <w:bookmarkStart w:id="0" w:name="_Toc16938519"/>
      <w:r/>
      <w:bookmarkStart w:id="1" w:name="_Toc120614214"/>
      <w:r/>
      <w:bookmarkStart w:id="2" w:name="_Toc20823275"/>
      <w:r/>
      <w:bookmarkStart w:id="3" w:name="_Toc513029203"/>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910"/>
        <w:spacing w:before="0" w:after="0" w:line="360" w:lineRule="auto"/>
        <w:rPr>
          <w:rFonts w:hint="eastAsia" w:ascii="宋体" w:hAnsi="宋体" w:eastAsia="宋体" w:cs="宋体"/>
          <w:color w:val="auto"/>
          <w:sz w:val="21"/>
          <w:szCs w:val="21"/>
          <w:highlight w:val="none"/>
          <w:lang w:eastAsia="zh-CN"/>
        </w:rPr>
      </w:pPr>
      <w:r/>
      <w:bookmarkStart w:id="4" w:name="_Hlt16619475"/>
      <w:r/>
      <w:bookmarkEnd w:id="4"/>
      <w:r/>
      <w:bookmarkStart w:id="5" w:name="_Toc458694821"/>
      <w:r/>
      <w:bookmarkStart w:id="6" w:name="_Toc513029204"/>
      <w:r/>
      <w:bookmarkStart w:id="7" w:name="_Toc16938520"/>
      <w:r/>
      <w:bookmarkStart w:id="8" w:name="_Toc20823276"/>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本次招标采取公开招标方式，本文件仅适用于招标公告中所述项目。</w:t>
      </w:r>
      <w:r/>
    </w:p>
    <w:p>
      <w:pPr>
        <w:pStyle w:val="910"/>
        <w:spacing w:before="0" w:after="0" w:line="360" w:lineRule="auto"/>
        <w:rPr>
          <w:rFonts w:hint="eastAsia" w:ascii="宋体" w:hAnsi="宋体" w:eastAsia="宋体" w:cs="宋体"/>
          <w:color w:val="auto"/>
          <w:sz w:val="21"/>
          <w:szCs w:val="21"/>
          <w:highlight w:val="none"/>
          <w:lang w:eastAsia="zh-CN"/>
        </w:rPr>
      </w:pPr>
      <w:r/>
      <w:bookmarkStart w:id="9" w:name="_Toc16938521"/>
      <w:r/>
      <w:bookmarkStart w:id="10" w:name="_Toc513029205"/>
      <w:r/>
      <w:bookmarkStart w:id="11" w:name="_Toc20823277"/>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满足招标公告对供应商资格要求的规定。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满足招标文件规定的实质性要求和条件。</w:t>
      </w:r>
      <w:r/>
    </w:p>
    <w:p>
      <w:pPr>
        <w:pStyle w:val="910"/>
        <w:spacing w:before="0" w:after="0" w:line="360" w:lineRule="auto"/>
        <w:rPr>
          <w:rFonts w:hint="eastAsia" w:ascii="宋体" w:hAnsi="宋体" w:eastAsia="宋体" w:cs="宋体"/>
          <w:color w:val="auto"/>
          <w:sz w:val="21"/>
          <w:szCs w:val="21"/>
          <w:highlight w:val="none"/>
          <w:lang w:eastAsia="zh-CN"/>
        </w:rPr>
      </w:pPr>
      <w:r/>
      <w:bookmarkStart w:id="12" w:name="_Toc16938522"/>
      <w:r/>
      <w:bookmarkStart w:id="13" w:name="_Toc513029206"/>
      <w:r/>
      <w:bookmarkStart w:id="14" w:name="_Toc20823278"/>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本次招标及由此产生的合同受中华人民共和国有关的法律法规制约和保护。</w:t>
      </w:r>
      <w:r/>
    </w:p>
    <w:p>
      <w:pPr>
        <w:pStyle w:val="910"/>
        <w:spacing w:before="0" w:after="0" w:line="360" w:lineRule="auto"/>
        <w:rPr>
          <w:rFonts w:hint="eastAsia" w:ascii="宋体" w:hAnsi="宋体" w:eastAsia="宋体" w:cs="宋体"/>
          <w:color w:val="auto"/>
          <w:sz w:val="21"/>
          <w:szCs w:val="21"/>
          <w:highlight w:val="none"/>
          <w:lang w:eastAsia="zh-CN"/>
        </w:rPr>
      </w:pPr>
      <w:r/>
      <w:bookmarkStart w:id="15" w:name="_Toc20823279"/>
      <w:r/>
      <w:bookmarkStart w:id="16" w:name="_Toc462564067"/>
      <w:r/>
      <w:bookmarkStart w:id="17" w:name="_Toc513029207"/>
      <w:r/>
      <w:bookmarkStart w:id="18" w:name="_Toc16938523"/>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投标人应自行承担所有与参加投标有关的费用，无论投标过程中的做法和结果如何，招标代理在任何情况下均无义务和责任承担这些费用。</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投标人一旦参加本项目采购活动，即被认为接受了本文件的规定和约束。</w:t>
      </w:r>
      <w:r/>
    </w:p>
    <w:p>
      <w:pPr>
        <w:pStyle w:val="909"/>
        <w:spacing w:before="0" w:after="0" w:line="360" w:lineRule="auto"/>
        <w:rPr>
          <w:rFonts w:hint="eastAsia" w:ascii="宋体" w:hAnsi="宋体" w:eastAsia="宋体" w:cs="宋体"/>
          <w:b w:val="0"/>
          <w:bCs w:val="0"/>
          <w:color w:val="auto"/>
          <w:sz w:val="21"/>
          <w:szCs w:val="21"/>
          <w:highlight w:val="none"/>
          <w:lang w:eastAsia="zh-CN"/>
        </w:rPr>
      </w:pPr>
      <w:r/>
      <w:bookmarkStart w:id="19" w:name="_Toc20823281"/>
      <w:r/>
      <w:bookmarkStart w:id="20" w:name="_Toc16938525"/>
      <w:r/>
      <w:bookmarkStart w:id="21" w:name="_Toc120614215"/>
      <w:r/>
      <w:bookmarkStart w:id="22" w:name="_Toc513029209"/>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910"/>
        <w:spacing w:before="0" w:after="0" w:line="360" w:lineRule="auto"/>
        <w:rPr>
          <w:rFonts w:hint="eastAsia" w:ascii="宋体" w:hAnsi="宋体" w:eastAsia="宋体" w:cs="宋体"/>
          <w:color w:val="auto"/>
          <w:sz w:val="21"/>
          <w:szCs w:val="21"/>
          <w:highlight w:val="none"/>
          <w:lang w:eastAsia="zh-CN"/>
        </w:rPr>
      </w:pPr>
      <w:r/>
      <w:bookmarkStart w:id="23" w:name="_Toc513029210"/>
      <w:r/>
      <w:bookmarkStart w:id="24" w:name="_Toc16938526"/>
      <w:r/>
      <w:bookmarkStart w:id="25" w:name="_Toc20823282"/>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招标文件由以下部分组成：</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（1）投标邀请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（3）合同文本</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（4）采购需求</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（5）评标方法与评标标准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（6）投标文件格式</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投标人应仔细检查招标文件是否齐全，如有缺漏请立即与招标代理联系。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0"/>
        <w:spacing w:before="0" w:after="0" w:line="360" w:lineRule="auto"/>
        <w:rPr>
          <w:rFonts w:hint="eastAsia" w:ascii="宋体" w:hAnsi="宋体" w:eastAsia="宋体" w:cs="宋体"/>
          <w:color w:val="auto"/>
          <w:sz w:val="21"/>
          <w:szCs w:val="21"/>
          <w:highlight w:val="none"/>
          <w:lang w:eastAsia="zh-CN"/>
        </w:rPr>
      </w:pPr>
      <w:r/>
      <w:bookmarkStart w:id="26" w:name="_Toc513029211"/>
      <w:r/>
      <w:bookmarkStart w:id="27" w:name="_Toc16938527"/>
      <w:r/>
      <w:bookmarkStart w:id="28" w:name="_Toc20823283"/>
      <w:r/>
      <w:bookmarkStart w:id="29" w:name="_Toc462564070"/>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任何要求对招标文件进行澄清的投标人，应在投标截止期十日前按招标公告中的通讯地址，以书面形式通知招标代理。</w:t>
      </w:r>
      <w:r/>
    </w:p>
    <w:p>
      <w:pPr>
        <w:pStyle w:val="910"/>
        <w:spacing w:before="0" w:after="0" w:line="360" w:lineRule="auto"/>
        <w:rPr>
          <w:rFonts w:hint="eastAsia" w:ascii="宋体" w:hAnsi="宋体" w:eastAsia="宋体" w:cs="宋体"/>
          <w:color w:val="auto"/>
          <w:sz w:val="21"/>
          <w:szCs w:val="21"/>
          <w:highlight w:val="none"/>
          <w:lang w:eastAsia="zh-CN"/>
        </w:rPr>
      </w:pPr>
      <w:r/>
      <w:bookmarkStart w:id="30" w:name="_Toc513029212"/>
      <w:r/>
      <w:bookmarkStart w:id="31" w:name="_Toc20823284"/>
      <w:r/>
      <w:bookmarkStart w:id="32" w:name="_Toc462564071"/>
      <w:r/>
      <w:bookmarkStart w:id="33" w:name="_Toc16938528"/>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spacing w:line="360" w:lineRule="auto"/>
        <w:rPr>
          <w:rFonts w:hint="eastAsia" w:ascii="宋体" w:hAnsi="宋体" w:eastAsia="宋体" w:cs="宋体"/>
          <w:color w:val="auto"/>
          <w:szCs w:val="21"/>
          <w:highlight w:val="none"/>
        </w:rPr>
      </w:pPr>
      <w:r/>
      <w:bookmarkStart w:id="34" w:name="_Toc513029213"/>
      <w:r/>
      <w:bookmarkStart w:id="35" w:name="_Toc462564072"/>
      <w:r/>
      <w:bookmarkStart w:id="36" w:name="_Toc16938529"/>
      <w:r/>
      <w:bookmarkStart w:id="37" w:name="_Toc120614216"/>
      <w:r/>
      <w:bookmarkStart w:id="38" w:name="_Toc20823285"/>
      <w:r>
        <w:rPr>
          <w:rFonts w:hint="eastAsia" w:ascii="宋体" w:hAnsi="宋体" w:eastAsia="宋体" w:cs="宋体"/>
          <w:color w:val="auto"/>
          <w:szCs w:val="21"/>
          <w:highlight w:val="none"/>
        </w:rPr>
        <w:t xml:space="preserve">8.1 在投标截止时间前，招标代理可以对招标文件进行修改。招标文件的修改将在原公告媒体发布更正公告，更正内容将作为招标文件的组成部分，并对投标人具有约束力。</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 招标代理有权按照法定的要求推迟投标截止日期和开标日期，并在原公告媒体发布更正公告。</w:t>
      </w:r>
      <w:r/>
    </w:p>
    <w:p>
      <w:pPr>
        <w:pStyle w:val="909"/>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910"/>
        <w:spacing w:before="0" w:after="0" w:line="360" w:lineRule="auto"/>
        <w:rPr>
          <w:rFonts w:hint="eastAsia" w:ascii="宋体" w:hAnsi="宋体" w:eastAsia="宋体" w:cs="宋体"/>
          <w:color w:val="auto"/>
          <w:sz w:val="21"/>
          <w:szCs w:val="21"/>
          <w:highlight w:val="none"/>
          <w:lang w:eastAsia="zh-CN"/>
        </w:rPr>
      </w:pPr>
      <w:r/>
      <w:bookmarkStart w:id="39" w:name="_Toc513029214"/>
      <w:r/>
      <w:bookmarkStart w:id="40" w:name="_Toc20823286"/>
      <w:r/>
      <w:bookmarkStart w:id="41" w:name="_Toc16938530"/>
      <w:r/>
      <w:bookmarkStart w:id="42" w:name="_Toc462564073"/>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 投标人提交的投标文件以及投标人与招标代理就有关投标的所有来往通知、函件和文件均应使用简体中文。</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除技术性能另有规定外，投标文件所使用的度量衡单位，均须采用国家法定计量单位。</w:t>
      </w:r>
      <w:r/>
    </w:p>
    <w:p>
      <w:pPr>
        <w:pStyle w:val="910"/>
        <w:spacing w:before="0" w:after="0" w:line="360" w:lineRule="auto"/>
        <w:rPr>
          <w:rFonts w:hint="eastAsia" w:ascii="宋体" w:hAnsi="宋体" w:eastAsia="宋体" w:cs="宋体"/>
          <w:color w:val="auto"/>
          <w:sz w:val="21"/>
          <w:szCs w:val="21"/>
          <w:highlight w:val="none"/>
          <w:lang w:eastAsia="zh-CN"/>
        </w:rPr>
      </w:pPr>
      <w:r/>
      <w:bookmarkStart w:id="43" w:name="_Toc513029215"/>
      <w:r/>
      <w:bookmarkStart w:id="44" w:name="_Toc462564074"/>
      <w:r/>
      <w:bookmarkStart w:id="45" w:name="_Toc20823287"/>
      <w:r/>
      <w:bookmarkStart w:id="46" w:name="_Toc16938531"/>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投标人编写的投标文件应包括资格证明文件、符合性证明文件、投标分项报价表、响应及偏离表、其他证明文件、投标函、开标一览表等部分。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如标书制作工具中格式和内容与“江苏政府采购网”发布的招标文件不一致，以“江苏政府采购网”发布的招标文件为准。</w:t>
      </w:r>
      <w:r/>
    </w:p>
    <w:p>
      <w:pPr>
        <w:pStyle w:val="910"/>
        <w:spacing w:before="0" w:after="0" w:line="360" w:lineRule="auto"/>
        <w:rPr>
          <w:rFonts w:hint="eastAsia" w:ascii="宋体" w:hAnsi="宋体" w:eastAsia="宋体" w:cs="宋体"/>
          <w:color w:val="auto"/>
          <w:sz w:val="21"/>
          <w:szCs w:val="21"/>
          <w:highlight w:val="none"/>
          <w:lang w:eastAsia="zh-CN"/>
        </w:rPr>
      </w:pPr>
      <w:r/>
      <w:bookmarkStart w:id="47" w:name="_Hlt26670360"/>
      <w:r/>
      <w:bookmarkEnd w:id="47"/>
      <w:r/>
      <w:bookmarkStart w:id="48" w:name="_Hlt26668975"/>
      <w:r/>
      <w:bookmarkEnd w:id="48"/>
      <w:r/>
      <w:bookmarkStart w:id="49" w:name="_Hlt26954838"/>
      <w:r/>
      <w:bookmarkEnd w:id="49"/>
      <w:r/>
      <w:bookmarkStart w:id="50" w:name="_Toc49090509"/>
      <w:r/>
      <w:bookmarkStart w:id="51" w:name="_Toc14577357"/>
      <w:r/>
      <w:bookmarkStart w:id="52" w:name="_Toc513029219"/>
      <w:r/>
      <w:bookmarkStart w:id="53" w:name="_Toc513029216"/>
      <w:r/>
      <w:bookmarkStart w:id="54" w:name="_Toc49090507"/>
      <w:r/>
      <w:bookmarkStart w:id="55" w:name="_Toc14577354"/>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r/>
      <w:bookmarkEnd w:id="54"/>
      <w:r/>
      <w:bookmarkEnd w:id="55"/>
      <w:r/>
      <w:r/>
    </w:p>
    <w:p>
      <w:pPr>
        <w:spacing w:line="360" w:lineRule="auto"/>
        <w:rPr>
          <w:rFonts w:hint="eastAsia" w:ascii="宋体" w:hAnsi="宋体" w:eastAsia="宋体" w:cs="宋体"/>
          <w:color w:val="auto"/>
          <w:szCs w:val="21"/>
          <w:highlight w:val="none"/>
        </w:rPr>
      </w:pPr>
      <w:r/>
      <w:bookmarkStart w:id="56" w:name="_Toc14577355"/>
      <w:r/>
      <w:bookmarkStart w:id="57" w:name="_Toc49090508"/>
      <w:r>
        <w:rPr>
          <w:rFonts w:hint="eastAsia" w:ascii="宋体" w:hAnsi="宋体" w:eastAsia="宋体" w:cs="宋体"/>
          <w:color w:val="auto"/>
          <w:szCs w:val="21"/>
          <w:highlight w:val="none"/>
        </w:rPr>
        <w:t xml:space="preserve">11.1 投标人应按照法律、法规、规章和规范性文件以及招标文件要求提交证明文件，证明其投标标的符合招标文件规定。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 招标文件对证明文件无明确形式要求的，证明文件可以以文字资料、图纸和数据等形式提交。</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投</w:t>
      </w:r>
      <w:bookmarkStart w:id="59" w:name="_Hlt26954840"/>
      <w:r/>
      <w:bookmarkEnd w:id="59"/>
      <w:r>
        <w:rPr>
          <w:rFonts w:hint="eastAsia" w:ascii="宋体" w:hAnsi="宋体" w:eastAsia="宋体" w:cs="宋体"/>
          <w:color w:val="auto"/>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 投标文件中的单价和总价无特殊规定的采用人民币报价，以元为单位标注。招标文件另有规定的按规定执行。</w:t>
      </w:r>
      <w:r/>
    </w:p>
    <w:p>
      <w:pPr>
        <w:pStyle w:val="910"/>
        <w:spacing w:before="0" w:after="0" w:line="360" w:lineRule="auto"/>
        <w:rPr>
          <w:rFonts w:hint="eastAsia" w:ascii="宋体" w:hAnsi="宋体" w:eastAsia="宋体" w:cs="宋体"/>
          <w:color w:val="auto"/>
          <w:sz w:val="21"/>
          <w:szCs w:val="21"/>
          <w:highlight w:val="none"/>
          <w:lang w:eastAsia="zh-CN"/>
        </w:rPr>
      </w:pPr>
      <w:r/>
      <w:bookmarkStart w:id="61" w:name="_Hlt26668983"/>
      <w:r/>
      <w:bookmarkEnd w:id="61"/>
      <w:r/>
      <w:bookmarkStart w:id="62" w:name="_Hlt26954731"/>
      <w:r/>
      <w:bookmarkEnd w:id="62"/>
      <w:r/>
      <w:bookmarkStart w:id="63" w:name="_Hlt26954846"/>
      <w:r/>
      <w:bookmarkEnd w:id="63"/>
      <w:r/>
      <w:bookmarkStart w:id="64" w:name="_Hlt26670482"/>
      <w:r/>
      <w:bookmarkEnd w:id="64"/>
      <w:r/>
      <w:bookmarkStart w:id="65" w:name="_Hlt26954848"/>
      <w:r/>
      <w:bookmarkEnd w:id="65"/>
      <w:r/>
      <w:bookmarkStart w:id="66" w:name="_Hlt26670403"/>
      <w:r/>
      <w:bookmarkEnd w:id="66"/>
      <w:r/>
      <w:bookmarkStart w:id="67" w:name="_Hlt26670425"/>
      <w:r/>
      <w:bookmarkEnd w:id="67"/>
      <w:r/>
      <w:bookmarkStart w:id="68" w:name="_Hlt26954844"/>
      <w:r/>
      <w:bookmarkEnd w:id="68"/>
      <w:r/>
      <w:bookmarkStart w:id="69" w:name="_Hlt26670486"/>
      <w:r/>
      <w:bookmarkEnd w:id="69"/>
      <w:r/>
      <w:bookmarkStart w:id="70" w:name="_Hlt26954842"/>
      <w:r/>
      <w:bookmarkEnd w:id="70"/>
      <w:r>
        <w:rPr>
          <w:rFonts w:hint="eastAsia" w:ascii="宋体" w:hAnsi="宋体" w:eastAsia="宋体" w:cs="宋体"/>
          <w:color w:val="auto"/>
          <w:sz w:val="21"/>
          <w:szCs w:val="21"/>
          <w:highlight w:val="none"/>
          <w:lang w:eastAsia="zh-CN"/>
        </w:rPr>
        <w:t xml:space="preserve">13.响应及偏离表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 投标人需对招标文件中的技术要求与商务要求逐项作出响应或偏离说明。</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 投标人可以在投标文件中提供认为需要的其他技术文件或说明。</w:t>
      </w:r>
      <w:r/>
    </w:p>
    <w:p>
      <w:pPr>
        <w:pStyle w:val="910"/>
        <w:spacing w:before="0" w:after="0" w:line="360" w:lineRule="auto"/>
        <w:rPr>
          <w:rFonts w:hint="eastAsia" w:ascii="宋体" w:hAnsi="宋体" w:eastAsia="宋体" w:cs="宋体"/>
          <w:color w:val="auto"/>
          <w:sz w:val="21"/>
          <w:szCs w:val="21"/>
          <w:highlight w:val="none"/>
          <w:lang w:eastAsia="zh-CN"/>
        </w:rPr>
      </w:pPr>
      <w:r/>
      <w:bookmarkStart w:id="71" w:name="_Toc49090510"/>
      <w:r/>
      <w:bookmarkStart w:id="72" w:name="_Toc14577359"/>
      <w:r>
        <w:rPr>
          <w:rFonts w:hint="eastAsia" w:ascii="宋体" w:hAnsi="宋体" w:eastAsia="宋体" w:cs="宋体"/>
          <w:color w:val="auto"/>
          <w:sz w:val="21"/>
          <w:szCs w:val="21"/>
          <w:highlight w:val="none"/>
          <w:lang w:eastAsia="zh-CN"/>
        </w:rPr>
        <w:t xml:space="preserve">14.投标函和开标一览表及核心产品品牌一览表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14.1 投标人应按照招标文件规定格式完整、正确填报投标函、开标一览表及核心产品品牌一览表。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14.2 对于采用货币报价的项目，开标一览表中的投标</w:t>
      </w:r>
      <w:r>
        <w:rPr>
          <w:rFonts w:hint="eastAsia" w:ascii="宋体" w:hAnsi="宋体" w:eastAsia="宋体" w:cs="宋体"/>
          <w:color w:val="auto"/>
          <w:szCs w:val="21"/>
          <w:highlight w:val="none"/>
        </w:rPr>
        <w:t xml:space="preserve">总价</w:t>
      </w:r>
      <w:r>
        <w:rPr>
          <w:rFonts w:hint="eastAsia" w:ascii="宋体" w:hAnsi="宋体" w:eastAsia="宋体" w:cs="宋体"/>
          <w:color w:val="auto"/>
          <w:szCs w:val="21"/>
          <w:highlight w:val="none"/>
          <w:lang w:val="zh-CN"/>
        </w:rPr>
        <w:t xml:space="preserve">应与投标分项报价表中的</w:t>
      </w:r>
      <w:r>
        <w:rPr>
          <w:rFonts w:hint="eastAsia" w:ascii="宋体" w:hAnsi="宋体" w:eastAsia="宋体" w:cs="宋体"/>
          <w:color w:val="auto"/>
          <w:szCs w:val="21"/>
          <w:highlight w:val="none"/>
        </w:rPr>
        <w:t xml:space="preserve">投标总价</w:t>
      </w:r>
      <w:r>
        <w:rPr>
          <w:rFonts w:hint="eastAsia" w:ascii="宋体" w:hAnsi="宋体" w:eastAsia="宋体" w:cs="宋体"/>
          <w:color w:val="auto"/>
          <w:szCs w:val="21"/>
          <w:highlight w:val="none"/>
          <w:lang w:val="zh-CN"/>
        </w:rPr>
        <w:t xml:space="preserve">一致，如不一致评标时</w:t>
      </w:r>
      <w:r>
        <w:rPr>
          <w:rFonts w:hint="eastAsia" w:ascii="宋体" w:hAnsi="宋体" w:eastAsia="宋体" w:cs="宋体"/>
          <w:color w:val="auto"/>
          <w:szCs w:val="21"/>
          <w:highlight w:val="none"/>
        </w:rPr>
        <w:t xml:space="preserve">以</w:t>
      </w:r>
      <w:r>
        <w:rPr>
          <w:rFonts w:hint="eastAsia" w:ascii="宋体" w:hAnsi="宋体" w:eastAsia="宋体" w:cs="宋体"/>
          <w:color w:val="auto"/>
          <w:szCs w:val="21"/>
          <w:highlight w:val="none"/>
          <w:lang w:val="zh-CN"/>
        </w:rPr>
        <w:t xml:space="preserve">开标一览表中价格为准。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14.3 核心产品品牌一览表中所投核心产品品牌缺项的将视为无效投标。</w:t>
      </w:r>
      <w:bookmarkEnd w:id="71"/>
      <w:r/>
      <w:bookmarkEnd w:id="72"/>
      <w:r/>
      <w:r/>
    </w:p>
    <w:p>
      <w:pPr>
        <w:pStyle w:val="910"/>
        <w:spacing w:before="0" w:after="0" w:line="360" w:lineRule="auto"/>
        <w:rPr>
          <w:rFonts w:hint="eastAsia" w:ascii="宋体" w:hAnsi="宋体" w:eastAsia="宋体" w:cs="宋体"/>
          <w:color w:val="auto"/>
          <w:sz w:val="21"/>
          <w:szCs w:val="21"/>
          <w:highlight w:val="none"/>
          <w:lang w:eastAsia="zh-CN"/>
        </w:rPr>
      </w:pPr>
      <w:r/>
      <w:bookmarkStart w:id="73" w:name="_Hlt26954734"/>
      <w:r/>
      <w:bookmarkEnd w:id="73"/>
      <w:r/>
      <w:bookmarkStart w:id="74" w:name="_Hlt26954850"/>
      <w:r/>
      <w:bookmarkEnd w:id="74"/>
      <w:r/>
      <w:bookmarkStart w:id="75" w:name="_Hlt26670489"/>
      <w:r/>
      <w:bookmarkEnd w:id="75"/>
      <w:r/>
      <w:bookmarkStart w:id="76" w:name="_Toc49090511"/>
      <w:r/>
      <w:bookmarkStart w:id="77" w:name="_Toc14577360"/>
      <w:r>
        <w:rPr>
          <w:rFonts w:hint="eastAsia" w:ascii="宋体" w:hAnsi="宋体" w:eastAsia="宋体" w:cs="宋体"/>
          <w:color w:val="auto"/>
          <w:sz w:val="21"/>
          <w:szCs w:val="21"/>
          <w:highlight w:val="none"/>
          <w:lang w:eastAsia="zh-CN"/>
        </w:rPr>
        <w:t xml:space="preserve">15.投标有效期</w:t>
      </w:r>
      <w:bookmarkEnd w:id="76"/>
      <w:r/>
      <w:bookmarkEnd w:id="77"/>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15.1 投标有效期为</w:t>
      </w:r>
      <w:r>
        <w:rPr>
          <w:rFonts w:hint="eastAsia" w:ascii="宋体" w:hAnsi="宋体" w:eastAsia="宋体" w:cs="宋体"/>
          <w:color w:val="auto"/>
          <w:szCs w:val="21"/>
          <w:highlight w:val="none"/>
        </w:rPr>
        <w:t xml:space="preserve">招标公告</w:t>
      </w:r>
      <w:r>
        <w:rPr>
          <w:rFonts w:hint="eastAsia" w:ascii="宋体" w:hAnsi="宋体" w:eastAsia="宋体" w:cs="宋体"/>
          <w:color w:val="auto"/>
          <w:szCs w:val="21"/>
          <w:highlight w:val="none"/>
          <w:lang w:val="zh-CN"/>
        </w:rPr>
        <w:t xml:space="preserve">规定的开标之日</w:t>
      </w:r>
      <w:r>
        <w:rPr>
          <w:rFonts w:hint="eastAsia" w:ascii="宋体" w:hAnsi="宋体" w:eastAsia="宋体" w:cs="宋体"/>
          <w:color w:val="auto"/>
          <w:szCs w:val="21"/>
          <w:highlight w:val="none"/>
        </w:rPr>
        <w:t xml:space="preserve">起</w:t>
      </w:r>
      <w:r>
        <w:rPr>
          <w:rFonts w:hint="eastAsia" w:ascii="宋体" w:hAnsi="宋体" w:eastAsia="宋体" w:cs="宋体"/>
          <w:color w:val="auto"/>
          <w:szCs w:val="21"/>
          <w:highlight w:val="none"/>
          <w:lang w:val="zh-CN"/>
        </w:rPr>
        <w:t xml:space="preserve">六十天。投标有效期比规定短的将被视为未实质性响应招标文件而</w:t>
      </w:r>
      <w:r>
        <w:rPr>
          <w:rFonts w:hint="eastAsia" w:ascii="宋体" w:hAnsi="宋体" w:eastAsia="宋体" w:cs="宋体"/>
          <w:color w:val="auto"/>
          <w:szCs w:val="21"/>
          <w:highlight w:val="none"/>
        </w:rPr>
        <w:t xml:space="preserve">被</w:t>
      </w:r>
      <w:r>
        <w:rPr>
          <w:rFonts w:hint="eastAsia" w:ascii="宋体" w:hAnsi="宋体" w:eastAsia="宋体" w:cs="宋体"/>
          <w:color w:val="auto"/>
          <w:szCs w:val="21"/>
          <w:highlight w:val="none"/>
          <w:lang w:val="zh-CN"/>
        </w:rPr>
        <w:t xml:space="preserve">拒绝。</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909"/>
        <w:spacing w:before="0" w:after="0" w:line="360" w:lineRule="auto"/>
        <w:rPr>
          <w:rFonts w:hint="eastAsia" w:ascii="宋体" w:hAnsi="宋体" w:eastAsia="宋体" w:cs="宋体"/>
          <w:b w:val="0"/>
          <w:bCs w:val="0"/>
          <w:color w:val="auto"/>
          <w:sz w:val="21"/>
          <w:szCs w:val="21"/>
          <w:highlight w:val="none"/>
          <w:lang w:eastAsia="zh-CN"/>
        </w:rPr>
      </w:pPr>
      <w:r/>
      <w:bookmarkStart w:id="78" w:name="_Hlt26954739"/>
      <w:r/>
      <w:bookmarkEnd w:id="78"/>
      <w:r/>
      <w:bookmarkStart w:id="79" w:name="_Hlt26954852"/>
      <w:r/>
      <w:bookmarkEnd w:id="79"/>
      <w:r/>
      <w:bookmarkStart w:id="80" w:name="_Toc120614217"/>
      <w:r/>
      <w:bookmarkStart w:id="81" w:name="_Toc20823296"/>
      <w:r/>
      <w:bookmarkStart w:id="82" w:name="_Toc16938540"/>
      <w:r/>
      <w:bookmarkStart w:id="83" w:name="_Toc513029224"/>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910"/>
        <w:spacing w:before="0" w:after="0" w:line="360" w:lineRule="auto"/>
        <w:rPr>
          <w:rFonts w:hint="eastAsia" w:ascii="宋体" w:hAnsi="宋体" w:eastAsia="宋体" w:cs="宋体"/>
          <w:color w:val="auto"/>
          <w:sz w:val="21"/>
          <w:szCs w:val="21"/>
          <w:highlight w:val="none"/>
          <w:lang w:eastAsia="zh-CN"/>
        </w:rPr>
      </w:pPr>
      <w:r/>
      <w:bookmarkStart w:id="84" w:name="_Toc20823297"/>
      <w:r/>
      <w:bookmarkStart w:id="85" w:name="_Toc513029225"/>
      <w:r/>
      <w:bookmarkStart w:id="86" w:name="_Toc16938541"/>
      <w:r/>
      <w:bookmarkStart w:id="87" w:name="_Toc462564084"/>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 投标人应当按照《操作手册》规定，在招标公告规定的投标截止时间前制作并上传电子投标文件。</w:t>
      </w:r>
      <w:bookmarkStart w:id="88" w:name="_Toc20823298"/>
      <w:r/>
      <w:bookmarkEnd w:id="88"/>
      <w:r/>
      <w:bookmarkStart w:id="89" w:name="_Toc16938542"/>
      <w:r/>
      <w:bookmarkEnd w:id="89"/>
      <w:r/>
      <w:bookmarkStart w:id="90" w:name="_Toc513029226"/>
      <w:r/>
      <w:bookmarkEnd w:id="90"/>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投标人应充分考虑网络环境、网络带宽等因素</w:t>
      </w:r>
      <w:r>
        <w:rPr>
          <w:rFonts w:hint="eastAsia" w:ascii="宋体" w:hAnsi="宋体" w:eastAsia="宋体" w:cs="宋体"/>
          <w:color w:val="auto"/>
          <w:szCs w:val="21"/>
          <w:highlight w:val="none"/>
        </w:rPr>
        <w:t xml:space="preserve">可能对投标产生的影响</w:t>
      </w:r>
      <w:r>
        <w:rPr>
          <w:rFonts w:hint="eastAsia" w:ascii="宋体" w:hAnsi="宋体" w:eastAsia="宋体" w:cs="宋体"/>
          <w:color w:val="auto"/>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.1条规定做无效投标处理。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招标代理可以按照规定，通过修改招标文件酌情延长投标截止时间，在此情况下，投标人的所有权利和义务均以延长后新的截止时间为准。</w:t>
      </w:r>
      <w:r/>
    </w:p>
    <w:p>
      <w:pPr>
        <w:pStyle w:val="910"/>
        <w:spacing w:before="0" w:after="0" w:line="360" w:lineRule="auto"/>
        <w:rPr>
          <w:rFonts w:hint="eastAsia" w:ascii="宋体" w:hAnsi="宋体" w:eastAsia="宋体" w:cs="宋体"/>
          <w:color w:val="auto"/>
          <w:sz w:val="21"/>
          <w:szCs w:val="21"/>
          <w:highlight w:val="none"/>
          <w:lang w:eastAsia="zh-CN"/>
        </w:rPr>
      </w:pPr>
      <w:r/>
      <w:bookmarkStart w:id="91" w:name="_Toc16938543"/>
      <w:r/>
      <w:bookmarkStart w:id="92" w:name="_Toc20823299"/>
      <w:r/>
      <w:bookmarkStart w:id="93" w:name="_Toc513029227"/>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.1投标截止时间后上传的任何投标文件将被拒绝。</w:t>
      </w:r>
      <w:r/>
    </w:p>
    <w:p>
      <w:pPr>
        <w:pStyle w:val="910"/>
        <w:spacing w:before="0" w:after="0" w:line="360" w:lineRule="auto"/>
        <w:rPr>
          <w:rFonts w:hint="eastAsia" w:ascii="宋体" w:hAnsi="宋体" w:eastAsia="宋体" w:cs="宋体"/>
          <w:color w:val="auto"/>
          <w:sz w:val="21"/>
          <w:szCs w:val="21"/>
          <w:highlight w:val="none"/>
          <w:lang w:eastAsia="zh-CN"/>
        </w:rPr>
      </w:pPr>
      <w:r/>
      <w:bookmarkStart w:id="94" w:name="_Toc20823300"/>
      <w:r/>
      <w:bookmarkStart w:id="95" w:name="_Toc513029228"/>
      <w:r/>
      <w:bookmarkStart w:id="96" w:name="_Toc16938544"/>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 投标文件的撤回</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.1.1投标人可在投标截止时间前撤回其电子投标文件，具体操作方法见《操作手册》。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.1.2投标人撤回电子投标文件，则认为其不再参与本项目投标活动。</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 投标文件的修改</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.2.1投标人可在投标截止时间前对其电子投标文件进行修改，具体操作方法见《操作手册》。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.2.2投标截止时间之后，投标人不得对其电子投标文件作任何修改。</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19</w:t>
      </w:r>
      <w:r>
        <w:rPr>
          <w:rFonts w:hint="eastAsia" w:ascii="宋体" w:hAnsi="宋体" w:eastAsia="宋体" w:cs="宋体"/>
          <w:color w:val="auto"/>
          <w:szCs w:val="21"/>
          <w:highlight w:val="none"/>
          <w:lang w:val="zh-CN"/>
        </w:rPr>
        <w:t xml:space="preserve">.3 在投标截止时间至招标文件中规定的投标有效期满之间的这段时间内，投标人不得撤回其投标。</w:t>
      </w:r>
      <w:bookmarkStart w:id="97" w:name="_Toc20823301"/>
      <w:r/>
      <w:bookmarkStart w:id="98" w:name="_Toc16938545"/>
      <w:r/>
      <w:bookmarkStart w:id="99" w:name="_Toc513029229"/>
      <w:r/>
      <w:bookmarkStart w:id="100" w:name="_Toc120614218"/>
      <w:r/>
      <w:r/>
    </w:p>
    <w:p>
      <w:pPr>
        <w:pStyle w:val="909"/>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910"/>
        <w:spacing w:before="0" w:after="0" w:line="360" w:lineRule="auto"/>
        <w:rPr>
          <w:rFonts w:hint="eastAsia" w:ascii="宋体" w:hAnsi="宋体" w:eastAsia="宋体" w:cs="宋体"/>
          <w:color w:val="auto"/>
          <w:sz w:val="21"/>
          <w:szCs w:val="21"/>
          <w:highlight w:val="none"/>
          <w:lang w:eastAsia="zh-CN"/>
        </w:rPr>
      </w:pPr>
      <w:r/>
      <w:bookmarkStart w:id="101" w:name="_Toc16938546"/>
      <w:r/>
      <w:bookmarkStart w:id="102" w:name="_Toc513029230"/>
      <w:r/>
      <w:bookmarkStart w:id="103" w:name="_Toc20823302"/>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投标人在开标过程中涉及到的投标文件解密、开标结果确认等工作，应按照《操作手册》规定执行。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zh-CN"/>
        </w:rPr>
        <w:t xml:space="preserve">投标人如果对开标过程和开标</w:t>
      </w:r>
      <w:r>
        <w:rPr>
          <w:rFonts w:hint="eastAsia" w:ascii="宋体" w:hAnsi="宋体" w:eastAsia="宋体" w:cs="宋体"/>
          <w:color w:val="auto"/>
          <w:szCs w:val="21"/>
          <w:highlight w:val="none"/>
        </w:rPr>
        <w:t xml:space="preserve">结果</w:t>
      </w:r>
      <w:r>
        <w:rPr>
          <w:rFonts w:hint="eastAsia" w:ascii="宋体" w:hAnsi="宋体" w:eastAsia="宋体" w:cs="宋体"/>
          <w:color w:val="auto"/>
          <w:szCs w:val="21"/>
          <w:highlight w:val="none"/>
          <w:lang w:val="zh-CN"/>
        </w:rPr>
        <w:t xml:space="preserve">有疑义，应当根据《操作手册》规定提出，苏采云系统中《开标记录表》公布后5分钟内未提出的，视同认可开标结果。</w:t>
      </w:r>
      <w:r/>
    </w:p>
    <w:p>
      <w:pPr>
        <w:pStyle w:val="910"/>
        <w:spacing w:before="0" w:after="0" w:line="360" w:lineRule="auto"/>
        <w:rPr>
          <w:rFonts w:hint="eastAsia" w:ascii="宋体" w:hAnsi="宋体" w:eastAsia="宋体" w:cs="宋体"/>
          <w:color w:val="auto"/>
          <w:sz w:val="21"/>
          <w:szCs w:val="21"/>
          <w:highlight w:val="none"/>
          <w:lang w:eastAsia="zh-CN"/>
        </w:rPr>
      </w:pPr>
      <w:r/>
      <w:bookmarkStart w:id="104" w:name="_Toc20823303"/>
      <w:r/>
      <w:bookmarkStart w:id="105" w:name="_Toc16938547"/>
      <w:r/>
      <w:bookmarkStart w:id="106" w:name="_Toc513029231"/>
      <w:r>
        <w:rPr>
          <w:rFonts w:hint="eastAsia" w:ascii="宋体" w:hAnsi="宋体" w:eastAsia="宋体" w:cs="宋体"/>
          <w:color w:val="auto"/>
          <w:sz w:val="21"/>
          <w:szCs w:val="21"/>
          <w:highlight w:val="none"/>
          <w:lang w:eastAsia="zh-CN"/>
        </w:rPr>
        <w:t xml:space="preserve">21.评标</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 xml:space="preserve">评标由依法组建的</w:t>
      </w:r>
      <w:r>
        <w:rPr>
          <w:rFonts w:hint="eastAsia" w:ascii="宋体" w:hAnsi="宋体" w:eastAsia="宋体" w:cs="宋体"/>
          <w:color w:val="auto"/>
          <w:szCs w:val="21"/>
          <w:highlight w:val="none"/>
          <w:lang w:val="zh-CN"/>
        </w:rPr>
        <w:t xml:space="preserve">评标委员会（以下简称“评委会”）进行。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.2 评委会由采购人代表和有关方面专家组成，人员构成符合政府采购有关规定。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.3评委会独立工作，负责评审所有投标文件并</w:t>
      </w:r>
      <w:r>
        <w:rPr>
          <w:rFonts w:hint="eastAsia" w:ascii="宋体" w:hAnsi="宋体" w:eastAsia="宋体" w:cs="宋体"/>
          <w:color w:val="auto"/>
          <w:szCs w:val="21"/>
          <w:highlight w:val="none"/>
        </w:rPr>
        <w:t xml:space="preserve">推荐</w:t>
      </w:r>
      <w:r>
        <w:rPr>
          <w:rFonts w:hint="eastAsia" w:ascii="宋体" w:hAnsi="宋体" w:eastAsia="宋体" w:cs="宋体"/>
          <w:color w:val="auto"/>
          <w:szCs w:val="21"/>
          <w:highlight w:val="none"/>
          <w:lang w:val="zh-CN"/>
        </w:rPr>
        <w:t xml:space="preserve">中标候选人，</w:t>
      </w:r>
      <w:r>
        <w:rPr>
          <w:rFonts w:hint="eastAsia" w:ascii="宋体" w:hAnsi="宋体" w:eastAsia="宋体" w:cs="宋体"/>
          <w:color w:val="auto"/>
          <w:szCs w:val="21"/>
          <w:highlight w:val="none"/>
        </w:rPr>
        <w:t xml:space="preserve">或根据采购人授权直接确定中标人</w:t>
      </w:r>
      <w:r>
        <w:rPr>
          <w:rFonts w:hint="eastAsia" w:ascii="宋体" w:hAnsi="宋体" w:eastAsia="宋体" w:cs="宋体"/>
          <w:color w:val="auto"/>
          <w:szCs w:val="21"/>
          <w:highlight w:val="none"/>
          <w:lang w:val="zh-CN"/>
        </w:rPr>
        <w:t xml:space="preserve">。</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21.4相同品牌产品的投标</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采购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按采取随机抽取方式确定，其他同品牌投标人不作为中标候选人。</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非单一产品采购项目，确定核心产品的方法在招标文件中载明。多家投标人提供的核心产品品牌相同的，按前款规定处理。</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.1凡是与审查、澄清、评价和比较投标的有关资料以及授标建议等，采购人、评委、招标代理均不得向投标人或与评标无关的其他人员透露。</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.2投标人不得以任何</w:t>
      </w:r>
      <w:r>
        <w:rPr>
          <w:rFonts w:hint="eastAsia" w:ascii="宋体" w:hAnsi="宋体" w:eastAsia="宋体" w:cs="宋体"/>
          <w:color w:val="auto"/>
          <w:szCs w:val="21"/>
          <w:highlight w:val="none"/>
        </w:rPr>
        <w:t xml:space="preserve">方式</w:t>
      </w:r>
      <w:r>
        <w:rPr>
          <w:rFonts w:hint="eastAsia" w:ascii="宋体" w:hAnsi="宋体" w:eastAsia="宋体" w:cs="宋体"/>
          <w:color w:val="auto"/>
          <w:szCs w:val="21"/>
          <w:highlight w:val="none"/>
          <w:lang w:val="zh-CN"/>
        </w:rPr>
        <w:t xml:space="preserve">影响评标，否则其投标文件将被作为无效投标文件。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.3 招标代理和评委会不向未中标的投标人解释未中标原因，也不公布评标过程中的相关细节。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Cs w:val="21"/>
          <w:highlight w:val="none"/>
        </w:rPr>
        <w:t xml:space="preserve">本单位</w:t>
      </w:r>
      <w:r>
        <w:rPr>
          <w:rFonts w:hint="eastAsia" w:ascii="宋体" w:hAnsi="宋体" w:eastAsia="宋体" w:cs="宋体"/>
          <w:color w:val="auto"/>
          <w:szCs w:val="21"/>
          <w:highlight w:val="none"/>
          <w:lang w:val="zh-CN"/>
        </w:rPr>
        <w:t xml:space="preserve">的评审得分及排</w:t>
      </w:r>
      <w:r>
        <w:rPr>
          <w:rFonts w:hint="eastAsia" w:ascii="宋体" w:hAnsi="宋体" w:eastAsia="宋体" w:cs="宋体"/>
          <w:color w:val="auto"/>
          <w:szCs w:val="21"/>
          <w:highlight w:val="none"/>
        </w:rPr>
        <w:t xml:space="preserve">名</w:t>
      </w:r>
      <w:r>
        <w:rPr>
          <w:rFonts w:hint="eastAsia" w:ascii="宋体" w:hAnsi="宋体" w:eastAsia="宋体" w:cs="宋体"/>
          <w:color w:val="auto"/>
          <w:szCs w:val="21"/>
          <w:highlight w:val="none"/>
          <w:lang w:val="zh-CN"/>
        </w:rPr>
        <w:t xml:space="preserve">情况。</w:t>
      </w:r>
      <w:r/>
    </w:p>
    <w:p>
      <w:pPr>
        <w:pStyle w:val="910"/>
        <w:spacing w:before="0" w:after="0" w:line="360" w:lineRule="auto"/>
        <w:rPr>
          <w:rFonts w:hint="eastAsia" w:ascii="宋体" w:hAnsi="宋体" w:eastAsia="宋体" w:cs="宋体"/>
          <w:color w:val="auto"/>
          <w:sz w:val="21"/>
          <w:szCs w:val="21"/>
          <w:highlight w:val="none"/>
          <w:lang w:eastAsia="zh-CN"/>
        </w:rPr>
      </w:pPr>
      <w:r/>
      <w:bookmarkStart w:id="107" w:name="_Toc20823304"/>
      <w:r/>
      <w:bookmarkStart w:id="108" w:name="_Toc16938548"/>
      <w:r/>
      <w:bookmarkStart w:id="109" w:name="_Toc513029232"/>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.1评标期间，评委会对投标文件中含义不明确、同类问题表述不一致或者有明显文字和计算错误的内容，有权要求投标人作出必要的澄清、说明或者补正。</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投标人的澄清、说明或者补正不得超出投标文件的范围或者改变投标文件的实质性内容。</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评委会并非对每个投标人都做澄清要求。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.2需要供应商进行澄清、说明和补正的，评委会将通过苏采云系统向</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发出《澄清要求函》，接到《澄清要求函》的</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应当按照要求在苏采云系统中提交《澄清响应函》并加盖电子公章。澄清、说明和补正的内容作为投标文件的补充部分，具体操作方式见《操作手册》。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.3 接到评委会澄清、说明和补正要求的，投标人如未按规定</w:t>
      </w:r>
      <w:r>
        <w:rPr>
          <w:rFonts w:hint="eastAsia" w:ascii="宋体" w:hAnsi="宋体" w:eastAsia="宋体" w:cs="宋体"/>
          <w:color w:val="auto"/>
          <w:szCs w:val="21"/>
          <w:highlight w:val="none"/>
        </w:rPr>
        <w:t xml:space="preserve">作</w:t>
      </w:r>
      <w:r>
        <w:rPr>
          <w:rFonts w:hint="eastAsia" w:ascii="宋体" w:hAnsi="宋体" w:eastAsia="宋体" w:cs="宋体"/>
          <w:color w:val="auto"/>
          <w:szCs w:val="21"/>
          <w:highlight w:val="none"/>
          <w:lang w:val="zh-CN"/>
        </w:rPr>
        <w:t xml:space="preserve">出澄清、说明和补正，其风险由投标人自行承担。</w:t>
      </w:r>
      <w:r/>
    </w:p>
    <w:p>
      <w:pPr>
        <w:pStyle w:val="910"/>
        <w:spacing w:before="0" w:after="0" w:line="360" w:lineRule="auto"/>
        <w:rPr>
          <w:rFonts w:hint="eastAsia" w:ascii="宋体" w:hAnsi="宋体" w:eastAsia="宋体" w:cs="宋体"/>
          <w:color w:val="auto"/>
          <w:sz w:val="21"/>
          <w:szCs w:val="21"/>
          <w:highlight w:val="none"/>
          <w:lang w:eastAsia="zh-CN"/>
        </w:rPr>
      </w:pPr>
      <w:r/>
      <w:bookmarkStart w:id="110" w:name="_Toc513029233"/>
      <w:r/>
      <w:bookmarkStart w:id="111" w:name="_Toc20823305"/>
      <w:r/>
      <w:bookmarkStart w:id="112" w:name="_Toc16938549"/>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.1投标文件审查分为资格审查和符合性审查。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.1.1资格审查。依据法律法规和招标文件规定，对投标文件中的资格证明文件进行审查。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w:t>
      </w:r>
      <w:r>
        <w:rPr>
          <w:rFonts w:hint="eastAsia" w:ascii="宋体" w:hAnsi="宋体" w:eastAsia="宋体" w:cs="宋体"/>
          <w:color w:val="auto"/>
          <w:szCs w:val="21"/>
          <w:highlight w:val="none"/>
        </w:rPr>
        <w:t xml:space="preserve">信</w:t>
      </w:r>
      <w:r>
        <w:rPr>
          <w:rFonts w:hint="eastAsia" w:ascii="宋体" w:hAnsi="宋体" w:eastAsia="宋体" w:cs="宋体"/>
          <w:color w:val="auto"/>
          <w:szCs w:val="21"/>
          <w:highlight w:val="none"/>
          <w:lang w:val="zh-CN"/>
        </w:rPr>
        <w:t xml:space="preserve">用记录。</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.1.2符合性审查。依据招标文件的规定，由评委会从有效性、完整性和对招标文件的响应程度</w:t>
      </w:r>
      <w:r>
        <w:rPr>
          <w:rFonts w:hint="eastAsia" w:ascii="宋体" w:hAnsi="宋体" w:eastAsia="宋体" w:cs="宋体"/>
          <w:color w:val="auto"/>
          <w:szCs w:val="21"/>
          <w:highlight w:val="none"/>
        </w:rPr>
        <w:t xml:space="preserve">等方面对投标文件</w:t>
      </w:r>
      <w:r>
        <w:rPr>
          <w:rFonts w:hint="eastAsia" w:ascii="宋体" w:hAnsi="宋体" w:eastAsia="宋体" w:cs="宋体"/>
          <w:color w:val="auto"/>
          <w:szCs w:val="21"/>
          <w:highlight w:val="none"/>
          <w:lang w:val="zh-CN"/>
        </w:rPr>
        <w:t xml:space="preserve">进行审查，以确定是否对招标文件的实质性要求作出响应。</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.1.3未通过资格审查或符合性审查的投标人，招标代理将</w:t>
      </w:r>
      <w:r>
        <w:rPr>
          <w:rFonts w:hint="eastAsia" w:ascii="宋体" w:hAnsi="宋体" w:eastAsia="宋体" w:cs="宋体"/>
          <w:color w:val="auto"/>
          <w:szCs w:val="21"/>
          <w:highlight w:val="none"/>
        </w:rPr>
        <w:t xml:space="preserve">通过</w:t>
      </w:r>
      <w:r>
        <w:rPr>
          <w:rFonts w:hint="eastAsia" w:ascii="宋体" w:hAnsi="宋体" w:eastAsia="宋体" w:cs="宋体"/>
          <w:color w:val="auto"/>
          <w:szCs w:val="21"/>
          <w:highlight w:val="none"/>
          <w:lang w:val="zh-CN"/>
        </w:rPr>
        <w:t xml:space="preserve">苏采云系统告知</w:t>
      </w:r>
      <w:r>
        <w:rPr>
          <w:rFonts w:hint="eastAsia" w:ascii="宋体" w:hAnsi="宋体" w:eastAsia="宋体" w:cs="宋体"/>
          <w:color w:val="auto"/>
          <w:szCs w:val="21"/>
          <w:highlight w:val="none"/>
        </w:rPr>
        <w:t xml:space="preserve">其具体</w:t>
      </w:r>
      <w:r>
        <w:rPr>
          <w:rFonts w:hint="eastAsia" w:ascii="宋体" w:hAnsi="宋体" w:eastAsia="宋体" w:cs="宋体"/>
          <w:color w:val="auto"/>
          <w:szCs w:val="21"/>
          <w:highlight w:val="none"/>
          <w:lang w:val="zh-CN"/>
        </w:rPr>
        <w:t xml:space="preserve">原因，评标结束后</w:t>
      </w:r>
      <w:r>
        <w:rPr>
          <w:rFonts w:hint="eastAsia" w:ascii="宋体" w:hAnsi="宋体" w:eastAsia="宋体" w:cs="宋体"/>
          <w:color w:val="auto"/>
          <w:szCs w:val="21"/>
          <w:highlight w:val="none"/>
        </w:rPr>
        <w:t xml:space="preserve">不再接受有关询问</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.2评委会</w:t>
      </w:r>
      <w:r>
        <w:rPr>
          <w:rFonts w:hint="eastAsia" w:ascii="宋体" w:hAnsi="宋体" w:eastAsia="宋体" w:cs="宋体"/>
          <w:color w:val="auto"/>
          <w:szCs w:val="21"/>
          <w:highlight w:val="none"/>
        </w:rPr>
        <w:t xml:space="preserve">仅对</w:t>
      </w:r>
      <w:r>
        <w:rPr>
          <w:rFonts w:hint="eastAsia" w:ascii="宋体" w:hAnsi="宋体" w:eastAsia="宋体" w:cs="宋体"/>
          <w:color w:val="auto"/>
          <w:szCs w:val="21"/>
          <w:highlight w:val="none"/>
          <w:lang w:val="zh-CN"/>
        </w:rPr>
        <w:t xml:space="preserve">实质性响应招标文件要求</w:t>
      </w:r>
      <w:r>
        <w:rPr>
          <w:rFonts w:hint="eastAsia" w:ascii="宋体" w:hAnsi="宋体" w:eastAsia="宋体" w:cs="宋体"/>
          <w:color w:val="auto"/>
          <w:szCs w:val="21"/>
          <w:highlight w:val="none"/>
        </w:rPr>
        <w:t xml:space="preserve">的投标文件进行详细评审</w:t>
      </w:r>
      <w:r>
        <w:rPr>
          <w:rFonts w:hint="eastAsia" w:ascii="宋体" w:hAnsi="宋体" w:eastAsia="宋体" w:cs="宋体"/>
          <w:color w:val="auto"/>
          <w:szCs w:val="21"/>
          <w:highlight w:val="none"/>
          <w:lang w:val="zh-CN"/>
        </w:rPr>
        <w:t xml:space="preserve">。实质性响应的投标文件应该是与招标文件要求的全部条款、条件和规格相符，没有重大偏离或保留的文件。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zh-CN"/>
        </w:rPr>
        <w:t xml:space="preserve">评委会</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少数服从多数的原则作出结论。评委</w:t>
      </w:r>
      <w:r>
        <w:rPr>
          <w:rFonts w:hint="eastAsia" w:ascii="宋体" w:hAnsi="宋体" w:eastAsia="宋体" w:cs="宋体"/>
          <w:color w:val="auto"/>
          <w:szCs w:val="21"/>
          <w:highlight w:val="none"/>
        </w:rPr>
        <w:t xml:space="preserve">会认</w:t>
      </w:r>
      <w:r>
        <w:rPr>
          <w:rFonts w:hint="eastAsia" w:ascii="宋体" w:hAnsi="宋体" w:eastAsia="宋体" w:cs="宋体"/>
          <w:color w:val="auto"/>
          <w:szCs w:val="21"/>
          <w:highlight w:val="none"/>
          <w:lang w:val="zh-CN"/>
        </w:rPr>
        <w:t xml:space="preserve">定投标文件的响应性只根据投标文件本身的内容，而不寻求外部的证据。</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.3如果投标文件实质上没有响应招标文件的要求，评委会将予以拒绝，投标人不得通过修改或撤销不合要求的偏离或保留而使其投标成为实质性响应的投标。</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.4评委会将对确定为实质性响应的投标进行进一步审核，确定其是否有计算上或累加上的算术错误。修正错误的原则如下：</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（1）投标文件中开标一览表内容与投标文件中相应内容不一致的，以开标一览表为准；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（2）大写金额和小写金额不一致的，以大写金额为准；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（3）单价金额小数点或者百分比有明显错位的，以开标一览表的总价为准，并修改单价；</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（4）总价金额与按单价汇总金额不一致的，以单价金额计算结果为准。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同时出现两种以上错误的，按照前款规定的顺序修正。</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spacing w:line="360" w:lineRule="auto"/>
        <w:rPr>
          <w:rFonts w:hint="eastAsia" w:ascii="宋体" w:hAnsi="宋体" w:eastAsia="宋体" w:cs="宋体"/>
          <w:color w:val="auto"/>
          <w:szCs w:val="21"/>
          <w:highlight w:val="none"/>
          <w:lang w:val="zh-CN"/>
        </w:rPr>
      </w:pPr>
      <w:r/>
      <w:bookmarkStart w:id="113" w:name="_Toc20823306"/>
      <w:r/>
      <w:bookmarkStart w:id="114" w:name="_Toc16938550"/>
      <w:r/>
      <w:bookmarkStart w:id="115" w:name="_Toc513029234"/>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.6投标人在开、评标全过程中应保持通讯畅通，及时登录苏采云系统查阅、答复相关信息，并安排专人与招标代理及评委会联系。</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24.7异常低价审查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评标过程中出现下列情形之一的，评委会应当启动异常低价审查程序：</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投标（响应）报价低于采购项目最高限价</w:t>
      </w:r>
      <w:r>
        <w:rPr>
          <w:rFonts w:ascii="宋体" w:hAnsi="宋体" w:eastAsia="宋体" w:cs="宋体"/>
          <w:color w:val="auto"/>
          <w:szCs w:val="21"/>
          <w:highlight w:val="none"/>
        </w:rPr>
        <w:t xml:space="preserve">45</w:t>
      </w:r>
      <w:r>
        <w:rPr>
          <w:rFonts w:hint="eastAsia" w:ascii="宋体" w:hAnsi="宋体" w:eastAsia="宋体" w:cs="宋体"/>
          <w:color w:val="auto"/>
          <w:szCs w:val="21"/>
          <w:highlight w:val="none"/>
        </w:rPr>
        <w:t xml:space="preserve">%的，即投标（响应）报价&lt;采购项目最高限价×</w:t>
      </w:r>
      <w:r>
        <w:rPr>
          <w:rFonts w:ascii="宋体" w:hAnsi="宋体" w:eastAsia="宋体" w:cs="宋体"/>
          <w:color w:val="auto"/>
          <w:szCs w:val="21"/>
          <w:highlight w:val="none"/>
        </w:rPr>
        <w:t xml:space="preserve">45</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（4）评委会基于专业判断，认为供应商报价过低，有可能影响产品质量或者不能诚信履约的其他情形。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16" w:name="OLE_LINK2"/>
      <w:r>
        <w:rPr>
          <w:rFonts w:hint="eastAsia" w:ascii="宋体" w:hAnsi="宋体" w:eastAsia="宋体" w:cs="宋体"/>
          <w:color w:val="auto"/>
          <w:szCs w:val="21"/>
          <w:highlight w:val="none"/>
          <w:lang w:val="zh-CN"/>
        </w:rPr>
        <w:t xml:space="preserve">供应商已随投标文件一并提交相关书面说明及必要的证明材料的，在评标现场可不再重复提交</w:t>
      </w:r>
      <w:bookmarkEnd w:id="116"/>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spacing w:line="360" w:lineRule="auto"/>
        <w:rPr>
          <w:rFonts w:hint="eastAsia" w:ascii="宋体" w:hAnsi="宋体" w:eastAsia="宋体" w:cs="宋体"/>
          <w:color w:val="auto"/>
          <w:szCs w:val="21"/>
          <w:highlight w:val="none"/>
          <w:lang w:val="zh-CN"/>
        </w:rPr>
      </w:pPr>
      <w:r/>
      <w:bookmarkStart w:id="117" w:name="_Toc513029235"/>
      <w:r/>
      <w:bookmarkStart w:id="118" w:name="_Toc16938551"/>
      <w:r/>
      <w:bookmarkStart w:id="119" w:name="_Toc20823307"/>
      <w:r/>
      <w:bookmarkStart w:id="120" w:name="_Toc120614219"/>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.1无效投标</w:t>
      </w:r>
      <w:r>
        <w:rPr>
          <w:rFonts w:hint="eastAsia" w:ascii="宋体" w:hAnsi="宋体" w:eastAsia="宋体" w:cs="宋体"/>
          <w:color w:val="auto"/>
          <w:szCs w:val="21"/>
          <w:highlight w:val="none"/>
        </w:rPr>
        <w:t xml:space="preserve">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.1.1投标人在苏采云系统规定的时间内未成功解密电子投标文件。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.1.2投标人未按照招标文件要求上传电子投标文件。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.1.3同一投标人提交两个（含两个）以上不同的投标报价。</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.1.4投标人不具备招标文件中规定资格要求。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.1.5投标人的报价超过了采购预算或最高限价</w:t>
      </w:r>
      <w:r>
        <w:rPr>
          <w:rFonts w:hint="eastAsia" w:ascii="宋体" w:hAnsi="宋体" w:eastAsia="宋体" w:cs="宋体"/>
          <w:color w:val="auto"/>
          <w:szCs w:val="21"/>
          <w:highlight w:val="none"/>
        </w:rPr>
        <w:t xml:space="preserve">或单价上限</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.1.6未通过符合性审查。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.1.7不符合招标文件中实质性要求和条件（</w:t>
      </w:r>
      <w:r>
        <w:rPr>
          <w:rFonts w:hint="eastAsia" w:ascii="宋体" w:hAnsi="宋体" w:eastAsia="宋体" w:cs="宋体"/>
          <w:b/>
          <w:bCs/>
          <w:color w:val="auto"/>
          <w:szCs w:val="21"/>
          <w:highlight w:val="none"/>
          <w:lang w:val="zh-CN"/>
        </w:rPr>
        <w:t xml:space="preserve">本文件中斜体且有下划线部分，或者打“</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”内容为实质性要求和条件</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.1.9投标文件含有采购人不能接受的附加条件。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25.1.10 评委会按照本招标文件规定对投标人进行异常低价审查后，认为投标人不能证明其报价合理性的。</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25.1.11 采购产品被财政部、国家发改委、生态环境部等列入“节能产品品目清单”强制采购范围，而投标人提供的产品不在强制采购范围内。</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25.1.12 投标文件未按照招标文件要求加盖电子公章。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.1.1</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zh-CN"/>
        </w:rPr>
        <w:t xml:space="preserve">法律法规及本招标文件规定的</w:t>
      </w: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lang w:val="zh-CN"/>
        </w:rPr>
        <w:t xml:space="preserve">无效投标情形。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.2废标</w:t>
      </w:r>
      <w:r>
        <w:rPr>
          <w:rFonts w:hint="eastAsia" w:ascii="宋体" w:hAnsi="宋体" w:eastAsia="宋体" w:cs="宋体"/>
          <w:color w:val="auto"/>
          <w:szCs w:val="21"/>
          <w:highlight w:val="none"/>
        </w:rPr>
        <w:t xml:space="preserve">情形</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.2.1符合资格条件的供应商或者对招标文件作实质响应的供应商不足三家。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.2.2出现影响采购公正的违法、违规行为。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.2.3因重大变故采购任务取消。</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.2.4评委会认定招标文件存在歧义、重大缺陷导致评审工作无法进行。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25.2.5 因苏采云系统故障造成开标不成功。</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25.3 如出现投标截止时间后参加投标的供应商或者对招标文件作出实质性响应的供应商不足三家的情况，按政府采购相关规定执行。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25.4 如出现25.2.1或25.3情形，招标活动失败，评审委员会</w:t>
      </w:r>
      <w:r>
        <w:rPr>
          <w:rFonts w:hint="eastAsia" w:ascii="宋体" w:hAnsi="宋体" w:eastAsia="宋体" w:cs="宋体"/>
          <w:color w:val="auto"/>
          <w:szCs w:val="21"/>
          <w:highlight w:val="none"/>
        </w:rPr>
        <w:t xml:space="preserve">应对</w:t>
      </w:r>
      <w:r>
        <w:rPr>
          <w:rFonts w:hint="eastAsia" w:ascii="宋体" w:hAnsi="宋体" w:eastAsia="宋体" w:cs="宋体"/>
          <w:color w:val="auto"/>
          <w:szCs w:val="21"/>
          <w:highlight w:val="none"/>
          <w:lang w:val="zh-CN"/>
        </w:rPr>
        <w:t xml:space="preserve">招标文件是否存在不合理条款</w:t>
      </w:r>
      <w:r>
        <w:rPr>
          <w:rFonts w:hint="eastAsia" w:ascii="宋体" w:hAnsi="宋体" w:eastAsia="宋体" w:cs="宋体"/>
          <w:color w:val="auto"/>
          <w:szCs w:val="21"/>
          <w:highlight w:val="none"/>
        </w:rPr>
        <w:t xml:space="preserve">进行论证，并在评审报告中写明</w:t>
      </w:r>
      <w:r>
        <w:rPr>
          <w:rFonts w:hint="eastAsia" w:ascii="宋体" w:hAnsi="宋体" w:eastAsia="宋体" w:cs="宋体"/>
          <w:color w:val="auto"/>
          <w:szCs w:val="21"/>
          <w:highlight w:val="none"/>
          <w:lang w:val="zh-CN"/>
        </w:rPr>
        <w:t xml:space="preserve">论证意见。</w:t>
      </w:r>
      <w:r/>
    </w:p>
    <w:p>
      <w:pPr>
        <w:pStyle w:val="909"/>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7"/>
      <w:r/>
      <w:bookmarkEnd w:id="118"/>
      <w:r/>
      <w:bookmarkEnd w:id="119"/>
      <w:r>
        <w:rPr>
          <w:rFonts w:hint="eastAsia" w:ascii="宋体" w:hAnsi="宋体" w:eastAsia="宋体" w:cs="宋体"/>
          <w:b w:val="0"/>
          <w:bCs w:val="0"/>
          <w:color w:val="auto"/>
          <w:sz w:val="21"/>
          <w:szCs w:val="21"/>
          <w:highlight w:val="none"/>
          <w:lang w:eastAsia="zh-CN"/>
        </w:rPr>
        <w:t xml:space="preserve">定标</w:t>
      </w:r>
      <w:bookmarkEnd w:id="120"/>
      <w:r/>
      <w:r/>
    </w:p>
    <w:p>
      <w:pPr>
        <w:pStyle w:val="910"/>
        <w:spacing w:before="0" w:after="0" w:line="360" w:lineRule="auto"/>
        <w:rPr>
          <w:rFonts w:hint="eastAsia" w:ascii="宋体" w:hAnsi="宋体" w:eastAsia="宋体" w:cs="宋体"/>
          <w:color w:val="auto"/>
          <w:sz w:val="21"/>
          <w:szCs w:val="21"/>
          <w:highlight w:val="none"/>
          <w:lang w:eastAsia="zh-CN"/>
        </w:rPr>
      </w:pPr>
      <w:r/>
      <w:bookmarkStart w:id="121" w:name="_Toc513029238"/>
      <w:r/>
      <w:bookmarkStart w:id="122" w:name="_Toc20823310"/>
      <w:r/>
      <w:bookmarkStart w:id="123" w:name="_Toc16938554"/>
      <w:r>
        <w:rPr>
          <w:rFonts w:hint="eastAsia" w:ascii="宋体" w:hAnsi="宋体" w:eastAsia="宋体" w:cs="宋体"/>
          <w:color w:val="auto"/>
          <w:sz w:val="21"/>
          <w:szCs w:val="21"/>
          <w:highlight w:val="none"/>
          <w:lang w:eastAsia="zh-CN"/>
        </w:rPr>
        <w:t xml:space="preserve">2</w:t>
      </w:r>
      <w:bookmarkEnd w:id="121"/>
      <w:r>
        <w:rPr>
          <w:rFonts w:hint="eastAsia" w:ascii="宋体" w:hAnsi="宋体" w:eastAsia="宋体" w:cs="宋体"/>
          <w:color w:val="auto"/>
          <w:sz w:val="21"/>
          <w:szCs w:val="21"/>
          <w:highlight w:val="none"/>
          <w:lang w:eastAsia="zh-CN"/>
        </w:rPr>
        <w:t xml:space="preserve">6.确定</w:t>
      </w:r>
      <w:bookmarkEnd w:id="122"/>
      <w:r/>
      <w:bookmarkEnd w:id="123"/>
      <w:r>
        <w:rPr>
          <w:rFonts w:hint="eastAsia" w:ascii="宋体" w:hAnsi="宋体" w:eastAsia="宋体" w:cs="宋体"/>
          <w:color w:val="auto"/>
          <w:sz w:val="21"/>
          <w:szCs w:val="21"/>
          <w:highlight w:val="none"/>
          <w:lang w:eastAsia="zh-CN"/>
        </w:rPr>
        <w:t xml:space="preserve">中标单位</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.1中标候选人的</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zh-CN"/>
        </w:rPr>
        <w:t xml:space="preserve">原则见招标文件。 </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.2 按以下第（</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）种方式确定中标人：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（1）评委会直接确定排名第一的中标候选人为中标人；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（2）采购人在评委会推荐的中标候选人中按顺序确定中标人。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Cs w:val="21"/>
          <w:highlight w:val="none"/>
        </w:rPr>
        <w:t xml:space="preserve">达</w:t>
      </w:r>
      <w:r>
        <w:rPr>
          <w:rFonts w:hint="eastAsia" w:ascii="宋体" w:hAnsi="宋体" w:eastAsia="宋体" w:cs="宋体"/>
          <w:color w:val="auto"/>
          <w:szCs w:val="21"/>
          <w:highlight w:val="none"/>
          <w:lang w:val="zh-CN"/>
        </w:rPr>
        <w:t xml:space="preserve">采购人，采购人自收到评审报告之日起五个工作日内，在评审报告推荐的中标候选人中按顺序确定中标人。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.3 招标代理将在“江苏政府采购网”发布中标公告，公告期限为1个工作日。</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w:t>
      </w:r>
      <w:r>
        <w:rPr>
          <w:rFonts w:hint="eastAsia" w:ascii="宋体" w:hAnsi="宋体" w:eastAsia="宋体" w:cs="宋体"/>
          <w:b/>
          <w:bCs/>
          <w:color w:val="auto"/>
          <w:szCs w:val="21"/>
          <w:highlight w:val="none"/>
          <w:lang w:val="zh-CN"/>
        </w:rPr>
        <w:t xml:space="preserve">若有充分证据证明中标人</w:t>
      </w:r>
      <w:r>
        <w:rPr>
          <w:rFonts w:hint="eastAsia" w:ascii="宋体" w:hAnsi="宋体" w:eastAsia="宋体" w:cs="宋体"/>
          <w:b/>
          <w:bCs/>
          <w:color w:val="auto"/>
          <w:szCs w:val="21"/>
          <w:highlight w:val="none"/>
        </w:rPr>
        <w:t xml:space="preserve">有</w:t>
      </w:r>
      <w:r>
        <w:rPr>
          <w:rFonts w:hint="eastAsia" w:ascii="宋体" w:hAnsi="宋体" w:eastAsia="宋体" w:cs="宋体"/>
          <w:b/>
          <w:bCs/>
          <w:color w:val="auto"/>
          <w:szCs w:val="21"/>
          <w:highlight w:val="none"/>
          <w:lang w:val="zh-CN"/>
        </w:rPr>
        <w:t xml:space="preserve">下列情况之一的，一经查实将被取消中标资格：</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.4.1提供虚假材料谋取中标。</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.4.2向评审专家、采购人或招标代理工作人员行贿或者提供其他不正当利益。</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.4.3与其他供应商、评审专家、采购人或招标代理工作人员恶意串通。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.4.4属于本文件规定的无效</w:t>
      </w:r>
      <w:r>
        <w:rPr>
          <w:rFonts w:hint="eastAsia" w:ascii="宋体" w:hAnsi="宋体" w:eastAsia="宋体" w:cs="宋体"/>
          <w:color w:val="auto"/>
          <w:szCs w:val="21"/>
          <w:highlight w:val="none"/>
        </w:rPr>
        <w:t xml:space="preserve">投标情形</w:t>
      </w:r>
      <w:r>
        <w:rPr>
          <w:rFonts w:hint="eastAsia" w:ascii="宋体" w:hAnsi="宋体" w:eastAsia="宋体" w:cs="宋体"/>
          <w:color w:val="auto"/>
          <w:szCs w:val="21"/>
          <w:highlight w:val="none"/>
          <w:lang w:val="zh-CN"/>
        </w:rPr>
        <w:t xml:space="preserve">，但在评标过程中未被评委会发现。</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.4.5采取不正当手段诋毁、排挤其他供应商。</w:t>
      </w:r>
      <w:r/>
    </w:p>
    <w:p>
      <w:pPr>
        <w:spacing w:line="360" w:lineRule="auto"/>
        <w:rPr>
          <w:rFonts w:hint="eastAsia" w:ascii="宋体" w:hAnsi="宋体" w:eastAsia="宋体" w:cs="宋体"/>
          <w:b/>
          <w:bCs/>
          <w:color w:val="auto"/>
          <w:szCs w:val="21"/>
          <w:highlight w:val="none"/>
          <w:lang w:val="zh-CN"/>
        </w:rPr>
      </w:pPr>
      <w:r/>
      <w:bookmarkStart w:id="124" w:name="_Toc200451960"/>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w:t>
      </w:r>
      <w:r>
        <w:rPr>
          <w:rFonts w:hint="eastAsia" w:ascii="宋体" w:hAnsi="宋体" w:eastAsia="宋体" w:cs="宋体"/>
          <w:b/>
          <w:bCs/>
          <w:color w:val="auto"/>
          <w:szCs w:val="21"/>
          <w:highlight w:val="none"/>
          <w:lang w:val="zh-CN"/>
        </w:rPr>
        <w:t xml:space="preserve">有下列情形之一的视为投标人串通投标，投标无效：</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.5.1不同投标人的投标文件由同一单位或者个人编制。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.5.2不同投标人委托同一单位或者个人办理投标事宜。</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.5.3不同投标人的投标文件载明的项目管理成员或者联系人员为同一人。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.5.4不同投标人的投标文件异常一致或者投标报价呈规律性差异。</w:t>
      </w:r>
      <w:bookmarkEnd w:id="124"/>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.l 中标结果确定后，招标代理将向中标人发出《中标通知书》。中标人</w:t>
      </w:r>
      <w:r>
        <w:rPr>
          <w:rFonts w:hint="eastAsia" w:ascii="宋体" w:hAnsi="宋体" w:eastAsia="宋体" w:cs="宋体"/>
          <w:color w:val="auto"/>
          <w:szCs w:val="21"/>
          <w:highlight w:val="none"/>
        </w:rPr>
        <w:t xml:space="preserve">可</w:t>
      </w:r>
      <w:r>
        <w:rPr>
          <w:rFonts w:hint="eastAsia" w:ascii="宋体" w:hAnsi="宋体" w:eastAsia="宋体" w:cs="宋体"/>
          <w:color w:val="auto"/>
          <w:szCs w:val="21"/>
          <w:highlight w:val="none"/>
          <w:lang w:val="zh-CN"/>
        </w:rPr>
        <w:t xml:space="preserve">在中标结果公告届满之日起三十日内，登录苏采云系统下载。</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中标通知书</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09"/>
        <w:spacing w:before="0" w:after="0" w:line="360" w:lineRule="auto"/>
        <w:rPr>
          <w:rFonts w:hint="eastAsia" w:ascii="宋体" w:hAnsi="宋体" w:eastAsia="宋体" w:cs="宋体"/>
          <w:b w:val="0"/>
          <w:bCs w:val="0"/>
          <w:color w:val="auto"/>
          <w:sz w:val="21"/>
          <w:szCs w:val="21"/>
          <w:highlight w:val="none"/>
          <w:lang w:eastAsia="zh-CN"/>
        </w:rPr>
      </w:pPr>
      <w:r/>
      <w:bookmarkStart w:id="125" w:name="_Toc120614220"/>
      <w:r/>
      <w:bookmarkStart w:id="126" w:name="_Toc513029236"/>
      <w:r/>
      <w:bookmarkStart w:id="127" w:name="_Toc20823308"/>
      <w:r/>
      <w:bookmarkStart w:id="128" w:name="_Toc16938552"/>
      <w:r>
        <w:rPr>
          <w:rFonts w:hint="eastAsia" w:ascii="宋体" w:hAnsi="宋体" w:eastAsia="宋体" w:cs="宋体"/>
          <w:b w:val="0"/>
          <w:bCs w:val="0"/>
          <w:color w:val="auto"/>
          <w:sz w:val="21"/>
          <w:szCs w:val="21"/>
          <w:highlight w:val="none"/>
          <w:lang w:eastAsia="zh-CN"/>
        </w:rPr>
        <w:t xml:space="preserve">七、授予合同</w:t>
      </w:r>
      <w:bookmarkEnd w:id="125"/>
      <w:r/>
      <w:bookmarkEnd w:id="126"/>
      <w:r/>
      <w:bookmarkEnd w:id="127"/>
      <w:r/>
      <w:bookmarkEnd w:id="128"/>
      <w:r/>
      <w:r/>
    </w:p>
    <w:p>
      <w:pPr>
        <w:pStyle w:val="910"/>
        <w:spacing w:before="0" w:after="0" w:line="360" w:lineRule="auto"/>
        <w:rPr>
          <w:rFonts w:hint="eastAsia" w:ascii="宋体" w:hAnsi="宋体" w:eastAsia="宋体" w:cs="宋体"/>
          <w:color w:val="auto"/>
          <w:sz w:val="21"/>
          <w:szCs w:val="21"/>
          <w:highlight w:val="none"/>
          <w:lang w:eastAsia="zh-CN"/>
        </w:rPr>
      </w:pPr>
      <w:r/>
      <w:bookmarkStart w:id="129" w:name="_Toc16938553"/>
      <w:r/>
      <w:bookmarkStart w:id="130" w:name="_Toc20823309"/>
      <w:r/>
      <w:bookmarkStart w:id="131" w:name="_Toc513029237"/>
      <w:r>
        <w:rPr>
          <w:rFonts w:hint="eastAsia" w:ascii="宋体" w:hAnsi="宋体" w:eastAsia="宋体" w:cs="宋体"/>
          <w:color w:val="auto"/>
          <w:sz w:val="21"/>
          <w:szCs w:val="21"/>
          <w:highlight w:val="none"/>
          <w:lang w:eastAsia="zh-CN"/>
        </w:rPr>
        <w:t xml:space="preserve">28.签订合同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.l中标人应当在《中标通知书》发出之日起三十日内，按照招标文件确定的事项与采购人签订政府采购合同。采购人于合同签订后2个工作日内通过苏采云系统进行公示。</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.2 招标文件、中标人的投标文件及招标过程中有关澄清、承诺文件均作为合同附件。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28</w:t>
      </w:r>
      <w:r>
        <w:rPr>
          <w:rFonts w:hint="eastAsia" w:ascii="宋体" w:hAnsi="宋体" w:eastAsia="宋体" w:cs="宋体"/>
          <w:color w:val="auto"/>
          <w:szCs w:val="21"/>
          <w:highlight w:val="none"/>
          <w:lang w:val="zh-CN"/>
        </w:rPr>
        <w:t xml:space="preserve">.4 中标人因自身原因拒绝与采购人签订合同的，不得参加采购人</w:t>
      </w:r>
      <w:r>
        <w:rPr>
          <w:rFonts w:hint="eastAsia" w:ascii="宋体" w:hAnsi="宋体" w:eastAsia="宋体" w:cs="宋体"/>
          <w:color w:val="auto"/>
          <w:szCs w:val="21"/>
          <w:highlight w:val="none"/>
        </w:rPr>
        <w:t xml:space="preserve">重新组织的</w:t>
      </w:r>
      <w:r>
        <w:rPr>
          <w:rFonts w:hint="eastAsia" w:ascii="宋体" w:hAnsi="宋体" w:eastAsia="宋体" w:cs="宋体"/>
          <w:color w:val="auto"/>
          <w:szCs w:val="21"/>
          <w:highlight w:val="none"/>
          <w:lang w:val="zh-CN"/>
        </w:rPr>
        <w:t xml:space="preserve">采购活动</w:t>
      </w:r>
      <w:r>
        <w:rPr>
          <w:rFonts w:hint="eastAsia" w:ascii="宋体" w:hAnsi="宋体" w:eastAsia="宋体" w:cs="宋体"/>
          <w:color w:val="auto"/>
          <w:szCs w:val="21"/>
          <w:highlight w:val="none"/>
        </w:rPr>
        <w:t xml:space="preserve">，且将可能被拒绝参加该采购人</w:t>
      </w:r>
      <w:r>
        <w:rPr>
          <w:rFonts w:hint="eastAsia" w:ascii="宋体" w:hAnsi="宋体" w:eastAsia="宋体" w:cs="宋体"/>
          <w:color w:val="auto"/>
          <w:szCs w:val="21"/>
          <w:highlight w:val="none"/>
          <w:lang w:val="zh-CN"/>
        </w:rPr>
        <w:t xml:space="preserve">一年内</w:t>
      </w:r>
      <w:r>
        <w:rPr>
          <w:rFonts w:hint="eastAsia" w:ascii="宋体" w:hAnsi="宋体" w:eastAsia="宋体" w:cs="宋体"/>
          <w:color w:val="auto"/>
          <w:szCs w:val="21"/>
          <w:highlight w:val="none"/>
        </w:rPr>
        <w:t xml:space="preserve">的其他</w:t>
      </w:r>
      <w:r>
        <w:rPr>
          <w:rFonts w:hint="eastAsia" w:ascii="宋体" w:hAnsi="宋体" w:eastAsia="宋体" w:cs="宋体"/>
          <w:color w:val="auto"/>
          <w:szCs w:val="21"/>
          <w:highlight w:val="none"/>
          <w:lang w:val="zh-CN"/>
        </w:rPr>
        <w:t xml:space="preserve">政府采购活动。</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29</w:t>
      </w:r>
      <w:r>
        <w:rPr>
          <w:rFonts w:hint="eastAsia" w:ascii="宋体" w:hAnsi="宋体" w:eastAsia="宋体" w:cs="宋体"/>
          <w:color w:val="auto"/>
          <w:szCs w:val="21"/>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lang w:val="zh-CN"/>
        </w:rPr>
        <w:t xml:space="preserve">10%。</w:t>
      </w:r>
      <w:bookmarkEnd w:id="129"/>
      <w:r/>
      <w:bookmarkEnd w:id="130"/>
      <w:r/>
      <w:bookmarkEnd w:id="131"/>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30.1 </w:t>
      </w:r>
      <w:r>
        <w:rPr>
          <w:rFonts w:hint="eastAsia" w:ascii="宋体" w:hAnsi="宋体" w:eastAsia="宋体" w:cs="宋体"/>
          <w:color w:val="auto"/>
          <w:szCs w:val="21"/>
          <w:highlight w:val="none"/>
          <w:lang w:val="zh-CN"/>
        </w:rPr>
        <w:t xml:space="preserve">中标</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可</w:t>
      </w:r>
      <w:r>
        <w:rPr>
          <w:rFonts w:hint="eastAsia" w:ascii="宋体" w:hAnsi="宋体" w:eastAsia="宋体" w:cs="宋体"/>
          <w:color w:val="auto"/>
          <w:szCs w:val="21"/>
          <w:highlight w:val="none"/>
        </w:rPr>
        <w:t xml:space="preserve">通过</w:t>
      </w:r>
      <w:r>
        <w:rPr>
          <w:rFonts w:hint="eastAsia" w:ascii="宋体" w:hAnsi="宋体" w:eastAsia="宋体" w:cs="宋体"/>
          <w:color w:val="auto"/>
          <w:szCs w:val="21"/>
          <w:highlight w:val="none"/>
          <w:lang w:val="zh-CN"/>
        </w:rPr>
        <w:t xml:space="preserve">南京市公共资源交易</w:t>
      </w:r>
      <w:r>
        <w:rPr>
          <w:rFonts w:hint="eastAsia" w:ascii="宋体" w:hAnsi="宋体" w:eastAsia="宋体" w:cs="宋体"/>
          <w:color w:val="auto"/>
          <w:szCs w:val="21"/>
          <w:highlight w:val="none"/>
        </w:rPr>
        <w:t xml:space="preserve">平台</w:t>
      </w:r>
      <w:r>
        <w:rPr>
          <w:rFonts w:hint="eastAsia" w:ascii="宋体" w:hAnsi="宋体" w:eastAsia="宋体" w:cs="宋体"/>
          <w:color w:val="auto"/>
          <w:szCs w:val="21"/>
          <w:highlight w:val="none"/>
          <w:lang w:val="zh-CN"/>
        </w:rPr>
        <w:t xml:space="preserve">网站“小企业融资平台”，</w:t>
      </w:r>
      <w:r>
        <w:rPr>
          <w:rFonts w:hint="eastAsia" w:ascii="宋体" w:hAnsi="宋体" w:eastAsia="宋体" w:cs="宋体"/>
          <w:color w:val="auto"/>
          <w:szCs w:val="21"/>
          <w:highlight w:val="none"/>
        </w:rPr>
        <w:t xml:space="preserve">选择相应的金融机构</w:t>
      </w:r>
      <w:r>
        <w:rPr>
          <w:rFonts w:hint="eastAsia" w:ascii="宋体" w:hAnsi="宋体" w:eastAsia="宋体" w:cs="宋体"/>
          <w:color w:val="auto"/>
          <w:szCs w:val="21"/>
          <w:highlight w:val="none"/>
          <w:lang w:val="zh-CN"/>
        </w:rPr>
        <w:t xml:space="preserve">办理融资贷款。</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Cs w:val="21"/>
          <w:highlight w:val="none"/>
          <w:lang w:val="zh-CN"/>
        </w:rPr>
        <w:t xml:space="preserve">中标</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可</w:t>
      </w:r>
      <w:r>
        <w:rPr>
          <w:rFonts w:hint="eastAsia" w:ascii="宋体" w:hAnsi="宋体" w:eastAsia="宋体" w:cs="宋体"/>
          <w:color w:val="auto"/>
          <w:szCs w:val="21"/>
          <w:highlight w:val="none"/>
        </w:rPr>
        <w:t xml:space="preserve">通过江苏政府采购网“政府采购电子履约保函（保险）综合服务平台”线上办理履约保函（保险）</w:t>
      </w:r>
      <w:r>
        <w:rPr>
          <w:rFonts w:hint="eastAsia" w:ascii="宋体" w:hAnsi="宋体" w:eastAsia="宋体" w:cs="宋体"/>
          <w:color w:val="auto"/>
          <w:szCs w:val="21"/>
          <w:highlight w:val="none"/>
          <w:lang w:val="zh-CN"/>
        </w:rPr>
        <w:t xml:space="preserve">。</w:t>
      </w:r>
      <w:r/>
    </w:p>
    <w:p>
      <w:pPr>
        <w:pStyle w:val="909"/>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31.</w:t>
      </w:r>
      <w:r>
        <w:rPr>
          <w:rFonts w:hint="eastAsia" w:ascii="宋体" w:hAnsi="宋体" w:eastAsia="宋体" w:cs="宋体"/>
          <w:color w:val="auto"/>
          <w:szCs w:val="21"/>
          <w:highlight w:val="none"/>
          <w:lang w:val="zh-CN"/>
        </w:rPr>
        <w:t xml:space="preserve">提出质疑的供应商应当是参与所质疑项目采购活动的供应商，潜在供应商依法获取其可质疑的采购文件的，可以对采购文件提出质疑。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32.</w:t>
      </w:r>
      <w:r>
        <w:rPr>
          <w:rFonts w:hint="eastAsia" w:ascii="宋体" w:hAnsi="宋体" w:eastAsia="宋体" w:cs="宋体"/>
          <w:color w:val="auto"/>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Cs w:val="21"/>
          <w:highlight w:val="none"/>
        </w:rPr>
        <w:t xml:space="preserve">按照第3</w:t>
      </w: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条</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第35</w:t>
      </w:r>
      <w:r>
        <w:rPr>
          <w:rFonts w:hint="eastAsia" w:ascii="宋体" w:hAnsi="宋体" w:eastAsia="宋体" w:cs="宋体"/>
          <w:color w:val="auto"/>
          <w:szCs w:val="21"/>
          <w:highlight w:val="none"/>
          <w:lang w:val="zh-CN"/>
        </w:rPr>
        <w:t xml:space="preserve">条</w:t>
      </w:r>
      <w:r>
        <w:rPr>
          <w:rFonts w:hint="eastAsia" w:ascii="宋体" w:hAnsi="宋体" w:eastAsia="宋体" w:cs="宋体"/>
          <w:color w:val="auto"/>
          <w:szCs w:val="21"/>
          <w:highlight w:val="none"/>
        </w:rPr>
        <w:t xml:space="preserve">之</w:t>
      </w:r>
      <w:r>
        <w:rPr>
          <w:rFonts w:hint="eastAsia" w:ascii="宋体" w:hAnsi="宋体" w:eastAsia="宋体" w:cs="宋体"/>
          <w:color w:val="auto"/>
          <w:szCs w:val="21"/>
          <w:highlight w:val="none"/>
          <w:lang w:val="zh-CN"/>
        </w:rPr>
        <w:t xml:space="preserve">规定以书面形式向采购人或招标代理提出质疑。</w:t>
      </w:r>
      <w:r>
        <w:rPr>
          <w:rFonts w:hint="eastAsia" w:ascii="宋体" w:hAnsi="宋体" w:eastAsia="宋体" w:cs="宋体"/>
          <w:b/>
          <w:bCs/>
          <w:color w:val="auto"/>
          <w:szCs w:val="21"/>
          <w:highlight w:val="none"/>
          <w:lang w:val="zh-CN"/>
        </w:rPr>
        <w:t xml:space="preserve">上述应知其权益受到损害之日是指</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2.1 对采购文件提出质疑的，为收到采购文件之日或者采购文件公告期限届满之日。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2.2 对采购过程提出质疑的，为各采购程序环节结束之日。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2.3 对中标或者成交结果提出质疑的，为中标或者成交结果公告期限届满之日。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33.</w:t>
      </w:r>
      <w:r>
        <w:rPr>
          <w:rFonts w:hint="eastAsia" w:ascii="宋体" w:hAnsi="宋体" w:eastAsia="宋体" w:cs="宋体"/>
          <w:color w:val="auto"/>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spacing w:line="360" w:lineRule="auto"/>
        <w:rPr>
          <w:rFonts w:hint="eastAsia" w:ascii="宋体" w:hAnsi="宋体" w:eastAsia="宋体" w:cs="宋体"/>
          <w:color w:val="auto"/>
          <w:szCs w:val="21"/>
          <w:highlight w:val="none"/>
          <w:lang w:val="zh-CN"/>
        </w:rPr>
      </w:pPr>
      <w:r/>
      <w:bookmarkStart w:id="132" w:name="_Hlk218852672"/>
      <w:r>
        <w:rPr>
          <w:rFonts w:hint="eastAsia" w:ascii="宋体" w:hAnsi="宋体" w:eastAsia="宋体" w:cs="宋体"/>
          <w:color w:val="auto"/>
          <w:szCs w:val="21"/>
          <w:highlight w:val="none"/>
        </w:rPr>
        <w:t xml:space="preserve">34.</w:t>
      </w:r>
      <w:r>
        <w:rPr>
          <w:rFonts w:hint="eastAsia" w:ascii="宋体" w:hAnsi="宋体" w:eastAsia="宋体" w:cs="宋体"/>
          <w:color w:val="auto"/>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lang w:val="zh-CN"/>
        </w:rPr>
        <w:t xml:space="preserve">格式和内容填写。</w:t>
      </w:r>
      <w:r>
        <w:rPr>
          <w:rFonts w:hint="eastAsia" w:ascii="宋体" w:hAnsi="宋体" w:eastAsia="宋体" w:cs="宋体"/>
          <w:b/>
          <w:bCs/>
          <w:color w:val="auto"/>
          <w:szCs w:val="21"/>
          <w:highlight w:val="none"/>
        </w:rPr>
        <w:t xml:space="preserve">由授权代表负责质疑事宜的，《质疑函》附件中应提交由质疑供应商法定代表人或主要负责人签署的《授权委托书》。</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供应商如组成联合体参加采购活动，《质疑函范本》中要求加盖公章之处，联合体各方均须按要求加盖公章。</w:t>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35.</w:t>
      </w:r>
      <w:r>
        <w:rPr>
          <w:rFonts w:hint="eastAsia" w:ascii="宋体" w:hAnsi="宋体" w:eastAsia="宋体" w:cs="宋体"/>
          <w:b/>
          <w:bCs/>
          <w:color w:val="auto"/>
          <w:szCs w:val="21"/>
          <w:highlight w:val="none"/>
        </w:rPr>
        <w:t xml:space="preserve">供应商根据质疑事项向相应的质疑答复主体提出质疑，具体详见招标文件第一章。由采购人负责答复的质疑，采购人将《质疑答复函》抄送招标代理。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以下情形的质疑不予受理：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6.1 超出政府采购法定期限的质疑；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6.2 在法定期限内对同一采购程序环节提出</w:t>
      </w:r>
      <w:r>
        <w:rPr>
          <w:rFonts w:hint="eastAsia" w:ascii="宋体" w:hAnsi="宋体" w:eastAsia="宋体" w:cs="宋体"/>
          <w:color w:val="auto"/>
          <w:szCs w:val="21"/>
          <w:highlight w:val="none"/>
        </w:rPr>
        <w:t xml:space="preserve">第一次质疑之外的多次</w:t>
      </w:r>
      <w:r>
        <w:rPr>
          <w:rFonts w:hint="eastAsia" w:ascii="宋体" w:hAnsi="宋体" w:eastAsia="宋体" w:cs="宋体"/>
          <w:color w:val="auto"/>
          <w:szCs w:val="21"/>
          <w:highlight w:val="none"/>
          <w:lang w:val="zh-CN"/>
        </w:rPr>
        <w:t xml:space="preserve">质疑；</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6.3 法律法规规定的</w:t>
      </w:r>
      <w:r>
        <w:rPr>
          <w:rFonts w:hint="eastAsia" w:ascii="宋体" w:hAnsi="宋体" w:eastAsia="宋体" w:cs="宋体"/>
          <w:color w:val="auto"/>
          <w:szCs w:val="21"/>
          <w:highlight w:val="none"/>
        </w:rPr>
        <w:t xml:space="preserve">其他</w:t>
      </w:r>
      <w:r>
        <w:rPr>
          <w:rFonts w:hint="eastAsia" w:ascii="宋体" w:hAnsi="宋体" w:eastAsia="宋体" w:cs="宋体"/>
          <w:color w:val="auto"/>
          <w:szCs w:val="21"/>
          <w:highlight w:val="none"/>
          <w:lang w:val="zh-CN"/>
        </w:rPr>
        <w:t xml:space="preserve">不予受理情形。</w:t>
      </w:r>
      <w:bookmarkEnd w:id="132"/>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37.</w:t>
      </w:r>
      <w:r>
        <w:rPr>
          <w:rFonts w:hint="eastAsia" w:ascii="宋体" w:hAnsi="宋体" w:eastAsia="宋体" w:cs="宋体"/>
          <w:color w:val="auto"/>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909"/>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91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38.1 本项目中的</w:t>
      </w:r>
      <w:r>
        <w:rPr>
          <w:rFonts w:hint="eastAsia" w:ascii="宋体" w:hAnsi="宋体" w:eastAsia="宋体" w:cs="宋体"/>
          <w:color w:val="auto"/>
          <w:szCs w:val="21"/>
          <w:highlight w:val="none"/>
          <w:lang w:val="zh-CN"/>
        </w:rPr>
        <w:t xml:space="preserve">货物</w:t>
      </w:r>
      <w:r>
        <w:rPr>
          <w:rFonts w:hint="eastAsia" w:ascii="宋体" w:hAnsi="宋体" w:eastAsia="宋体" w:cs="宋体"/>
          <w:color w:val="auto"/>
          <w:szCs w:val="21"/>
          <w:highlight w:val="none"/>
        </w:rPr>
        <w:t xml:space="preserve">全部</w:t>
      </w:r>
      <w:r>
        <w:rPr>
          <w:rFonts w:hint="eastAsia" w:ascii="宋体" w:hAnsi="宋体" w:eastAsia="宋体" w:cs="宋体"/>
          <w:color w:val="auto"/>
          <w:szCs w:val="21"/>
          <w:highlight w:val="none"/>
          <w:lang w:val="zh-CN"/>
        </w:rPr>
        <w:t xml:space="preserve">由中小企业制造的，</w:t>
      </w:r>
      <w:r>
        <w:rPr>
          <w:rFonts w:hint="eastAsia" w:ascii="宋体" w:hAnsi="宋体" w:eastAsia="宋体" w:cs="宋体"/>
          <w:color w:val="auto"/>
          <w:szCs w:val="21"/>
          <w:highlight w:val="none"/>
        </w:rPr>
        <w:t xml:space="preserve">投标供应商</w:t>
      </w:r>
      <w:r>
        <w:rPr>
          <w:rFonts w:hint="eastAsia" w:ascii="宋体" w:hAnsi="宋体" w:eastAsia="宋体" w:cs="宋体"/>
          <w:color w:val="auto"/>
          <w:szCs w:val="21"/>
          <w:highlight w:val="none"/>
          <w:lang w:val="zh-CN"/>
        </w:rPr>
        <w:t xml:space="preserve">享受中小企业扶持政策。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38.2 </w:t>
      </w:r>
      <w:r>
        <w:rPr>
          <w:rFonts w:hint="eastAsia" w:ascii="宋体" w:hAnsi="宋体" w:eastAsia="宋体" w:cs="宋体"/>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38.3 </w:t>
      </w:r>
      <w:r>
        <w:rPr>
          <w:rFonts w:hint="eastAsia" w:ascii="宋体" w:hAnsi="宋体" w:eastAsia="宋体" w:cs="宋体"/>
          <w:color w:val="auto"/>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Cs w:val="21"/>
          <w:highlight w:val="none"/>
        </w:rPr>
        <w:t xml:space="preserve">支持</w:t>
      </w:r>
      <w:r>
        <w:rPr>
          <w:rFonts w:hint="eastAsia" w:ascii="宋体" w:hAnsi="宋体" w:eastAsia="宋体" w:cs="宋体"/>
          <w:color w:val="auto"/>
          <w:szCs w:val="21"/>
          <w:highlight w:val="none"/>
          <w:lang w:val="zh-CN"/>
        </w:rPr>
        <w:t xml:space="preserve">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38.4 </w:t>
      </w:r>
      <w:r>
        <w:rPr>
          <w:rFonts w:hint="eastAsia" w:ascii="宋体" w:hAnsi="宋体" w:eastAsia="宋体" w:cs="宋体"/>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5监狱和戒毒企业（简称监狱企业）视同小型、微型企业</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《关于政府采购支持监狱企业发展有关问题的通知》（财库〔2014〕68号）</w:t>
      </w:r>
      <w:r>
        <w:rPr>
          <w:rFonts w:hint="eastAsia" w:ascii="宋体" w:hAnsi="宋体" w:eastAsia="宋体" w:cs="宋体"/>
          <w:color w:val="auto"/>
          <w:szCs w:val="21"/>
          <w:highlight w:val="none"/>
        </w:rPr>
        <w:t xml:space="preserve">规定，</w:t>
      </w:r>
      <w:r>
        <w:rPr>
          <w:rFonts w:hint="eastAsia" w:ascii="宋体" w:hAnsi="宋体" w:eastAsia="宋体" w:cs="宋体"/>
          <w:color w:val="auto"/>
          <w:szCs w:val="21"/>
          <w:highlight w:val="none"/>
          <w:lang w:val="zh-CN"/>
        </w:rPr>
        <w:t xml:space="preserve">监狱企业需提供由省级以上监狱管理局、戒毒管理局(含新疆生产建设兵团)出具的属于监狱企业的证明文件。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 残疾人福利性单位</w:t>
      </w:r>
      <w:r>
        <w:rPr>
          <w:rFonts w:hint="eastAsia" w:ascii="宋体" w:hAnsi="宋体" w:eastAsia="宋体" w:cs="宋体"/>
          <w:color w:val="auto"/>
          <w:szCs w:val="21"/>
          <w:highlight w:val="none"/>
        </w:rPr>
        <w:t xml:space="preserve">视同小型、微型企业</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按照《关于促进残疾人就业政府采购政策的通知》（财库〔2017〕141号）规定，残疾人福利单位需</w:t>
      </w:r>
      <w:r>
        <w:rPr>
          <w:rFonts w:hint="eastAsia" w:ascii="宋体" w:hAnsi="宋体" w:eastAsia="宋体" w:cs="宋体"/>
          <w:color w:val="auto"/>
          <w:szCs w:val="21"/>
          <w:highlight w:val="none"/>
          <w:lang w:val="zh-CN"/>
        </w:rPr>
        <w:t xml:space="preserve">提供《残疾人福利性单位声明函》。</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39.2 采购产品</w:t>
      </w:r>
      <w:r>
        <w:rPr>
          <w:rFonts w:hint="eastAsia" w:ascii="宋体" w:hAnsi="宋体" w:eastAsia="宋体" w:cs="宋体"/>
          <w:color w:val="auto"/>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39.3 采购产品</w:t>
      </w:r>
      <w:r>
        <w:rPr>
          <w:rFonts w:hint="eastAsia" w:ascii="宋体" w:hAnsi="宋体" w:eastAsia="宋体" w:cs="宋体"/>
          <w:color w:val="auto"/>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Cs w:val="21"/>
          <w:highlight w:val="none"/>
        </w:rPr>
        <w:t xml:space="preserve">第五章评标方法与评标标准</w:t>
      </w:r>
      <w:r>
        <w:rPr>
          <w:rFonts w:hint="eastAsia" w:ascii="宋体" w:hAnsi="宋体" w:eastAsia="宋体" w:cs="宋体"/>
          <w:color w:val="auto"/>
          <w:szCs w:val="21"/>
          <w:highlight w:val="none"/>
          <w:lang w:val="zh-CN"/>
        </w:rPr>
        <w:t xml:space="preserve">）。</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40.1 采购产品</w:t>
      </w:r>
      <w:r>
        <w:rPr>
          <w:rFonts w:hint="eastAsia" w:ascii="宋体" w:hAnsi="宋体" w:eastAsia="宋体" w:cs="宋体"/>
          <w:bCs/>
          <w:color w:val="auto"/>
          <w:szCs w:val="21"/>
          <w:highlight w:val="none"/>
        </w:rPr>
        <w:t xml:space="preserve">中涉及商品包装、快递包装要求的，应按照</w:t>
      </w:r>
      <w:r>
        <w:rPr>
          <w:rFonts w:hint="eastAsia" w:ascii="宋体" w:hAnsi="宋体" w:eastAsia="宋体" w:cs="宋体"/>
          <w:color w:val="auto"/>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 优先采购各级政府部门公开发布的有效期内的创新产品、首台套等《目录》内的创新产品。创新产品自进入《目录》起2年内视同具备相应销售业绩。</w:t>
      </w:r>
      <w:r/>
    </w:p>
    <w:p>
      <w:pPr>
        <w:pStyle w:val="91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42.1 </w:t>
      </w:r>
      <w:r>
        <w:rPr>
          <w:rFonts w:hint="eastAsia" w:ascii="宋体" w:hAnsi="宋体" w:eastAsia="宋体" w:cs="宋体"/>
          <w:color w:val="auto"/>
          <w:szCs w:val="21"/>
          <w:highlight w:val="none"/>
          <w:lang w:val="zh-CN"/>
        </w:rPr>
        <w:t xml:space="preserve">本</w:t>
      </w:r>
      <w:r>
        <w:rPr>
          <w:rFonts w:hint="eastAsia" w:ascii="宋体" w:hAnsi="宋体" w:eastAsia="宋体" w:cs="宋体"/>
          <w:color w:val="auto"/>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42.2 </w:t>
      </w:r>
      <w:r>
        <w:rPr>
          <w:rFonts w:hint="eastAsia" w:ascii="宋体" w:hAnsi="宋体" w:eastAsia="宋体" w:cs="宋体"/>
          <w:color w:val="auto"/>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1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43.</w:t>
      </w: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43.2本国产品应当符合以下条件：</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（1）在中国境内生产</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（2）在中国境内生产的组件成本占比达到规定比例</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（3）特定产品的关键组件、关键工序符合相关要求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43.3本国产品标准的适用范围</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43.4对本国产品的支持政策</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本项目如</w:t>
      </w:r>
      <w:r>
        <w:rPr>
          <w:rFonts w:hint="eastAsia" w:ascii="宋体" w:hAnsi="宋体" w:eastAsia="宋体" w:cs="宋体"/>
          <w:b/>
          <w:bCs/>
          <w:color w:val="auto"/>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Cs w:val="21"/>
          <w:highlight w:val="none"/>
        </w:rPr>
        <w:t xml:space="preserve">具体详见第三章。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43.5政策执行要求</w:t>
      </w:r>
      <w:r/>
    </w:p>
    <w:p>
      <w:pP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Cs w:val="21"/>
          <w:highlight w:val="none"/>
        </w:rPr>
        <w:t xml:space="preserve">详见</w:t>
      </w:r>
      <w:r>
        <w:rPr>
          <w:rFonts w:hint="eastAsia" w:ascii="宋体" w:hAnsi="宋体" w:eastAsia="宋体" w:cs="宋体"/>
          <w:color w:val="auto"/>
          <w:szCs w:val="21"/>
          <w:highlight w:val="none"/>
          <w:shd w:val="clear" w:color="auto" w:fill="ffffff"/>
        </w:rPr>
        <w:t xml:space="preserve">《国务院办公厅关于在政府采购中实施本国产品标准及相关政策的通知》（国办发〔2025〕34号）规定。</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（2）有关证明文件。</w:t>
      </w:r>
      <w:r>
        <w:rPr>
          <w:rFonts w:hint="eastAsia" w:ascii="宋体" w:hAnsi="宋体" w:eastAsia="宋体" w:cs="宋体"/>
          <w:b/>
          <w:bCs/>
          <w:color w:val="auto"/>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360" w:lineRule="auto"/>
        <w:rPr>
          <w:rFonts w:hint="eastAsia" w:ascii="宋体" w:hAnsi="宋体" w:eastAsia="宋体"/>
          <w:color w:val="auto"/>
          <w:szCs w:val="21"/>
          <w:highlight w:val="none"/>
        </w:rPr>
      </w:pPr>
      <w:r>
        <w:rPr>
          <w:rFonts w:hint="eastAsia" w:ascii="宋体" w:hAnsi="宋体" w:eastAsia="宋体" w:cs="宋体"/>
          <w:color w:val="auto"/>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numPr>
          <w:ilvl w:val="0"/>
          <w:numId w:val="1"/>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费用</w:t>
      </w:r>
      <w:r/>
    </w:p>
    <w:p>
      <w:pPr>
        <w:pStyle w:val="911"/>
        <w:ind w:left="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招标代理服务费：招标代理服务费</w:t>
      </w:r>
      <w:r>
        <w:rPr>
          <w:rFonts w:hint="eastAsia" w:ascii="宋体" w:hAnsi="宋体" w:eastAsia="宋体"/>
          <w:color w:val="auto"/>
          <w:sz w:val="21"/>
          <w:szCs w:val="21"/>
          <w:highlight w:val="none"/>
          <w:lang w:val="en-US"/>
        </w:rPr>
        <w:t xml:space="preserve">参考</w:t>
      </w:r>
      <w:r>
        <w:rPr>
          <w:rFonts w:hint="eastAsia" w:ascii="宋体" w:hAnsi="宋体" w:eastAsia="宋体"/>
          <w:color w:val="auto"/>
          <w:sz w:val="21"/>
          <w:szCs w:val="21"/>
          <w:highlight w:val="none"/>
        </w:rPr>
        <w:t xml:space="preserve">《招标代理服务收费管理暂行办法》计价格[2002]1980号文的</w:t>
      </w:r>
      <w:r>
        <w:rPr>
          <w:rFonts w:hint="eastAsia" w:ascii="宋体" w:hAnsi="宋体" w:eastAsia="宋体"/>
          <w:color w:val="auto"/>
          <w:sz w:val="21"/>
          <w:szCs w:val="21"/>
          <w:highlight w:val="none"/>
          <w:lang w:val="en-US"/>
        </w:rPr>
        <w:t xml:space="preserve">85%</w:t>
      </w:r>
      <w:r>
        <w:rPr>
          <w:rFonts w:hint="eastAsia" w:ascii="宋体" w:hAnsi="宋体" w:eastAsia="宋体"/>
          <w:color w:val="auto"/>
          <w:sz w:val="21"/>
          <w:szCs w:val="21"/>
          <w:highlight w:val="none"/>
        </w:rPr>
        <w:t xml:space="preserve">计算(单个项目最低收费标准按</w:t>
      </w:r>
      <w:r>
        <w:rPr>
          <w:rFonts w:hint="eastAsia" w:ascii="宋体" w:hAnsi="宋体" w:eastAsia="宋体"/>
          <w:color w:val="auto"/>
          <w:sz w:val="21"/>
          <w:szCs w:val="21"/>
          <w:highlight w:val="none"/>
          <w:lang w:val="en-US"/>
        </w:rPr>
        <w:t xml:space="preserve">40</w:t>
      </w:r>
      <w:r>
        <w:rPr>
          <w:rFonts w:hint="eastAsia" w:ascii="宋体" w:hAnsi="宋体" w:eastAsia="宋体"/>
          <w:color w:val="auto"/>
          <w:sz w:val="21"/>
          <w:szCs w:val="21"/>
          <w:highlight w:val="none"/>
        </w:rPr>
        <w:t xml:space="preserve">00元计算)，由</w:t>
      </w:r>
      <w:r>
        <w:rPr>
          <w:rFonts w:hint="eastAsia" w:ascii="宋体" w:hAnsi="宋体" w:eastAsia="宋体"/>
          <w:color w:val="auto"/>
          <w:sz w:val="21"/>
          <w:szCs w:val="21"/>
          <w:highlight w:val="none"/>
          <w:lang w:val="en-US"/>
        </w:rPr>
        <w:t xml:space="preserve">中标</w:t>
      </w:r>
      <w:r>
        <w:rPr>
          <w:rFonts w:hint="eastAsia" w:ascii="宋体" w:hAnsi="宋体" w:eastAsia="宋体"/>
          <w:color w:val="auto"/>
          <w:sz w:val="21"/>
          <w:szCs w:val="21"/>
          <w:highlight w:val="none"/>
        </w:rPr>
        <w:t xml:space="preserve">供应商支付</w:t>
      </w:r>
      <w:r>
        <w:rPr>
          <w:rFonts w:hint="eastAsia" w:ascii="宋体" w:hAnsi="宋体" w:eastAsia="宋体"/>
          <w:color w:val="auto"/>
          <w:sz w:val="21"/>
          <w:szCs w:val="21"/>
          <w:highlight w:val="none"/>
          <w:lang w:val="en-US"/>
        </w:rPr>
        <w:t xml:space="preserve">给招标代理公司，</w:t>
      </w:r>
      <w:r>
        <w:rPr>
          <w:rFonts w:hint="eastAsia" w:ascii="宋体" w:hAnsi="宋体" w:eastAsia="宋体"/>
          <w:color w:val="auto"/>
          <w:sz w:val="21"/>
          <w:szCs w:val="21"/>
          <w:highlight w:val="none"/>
        </w:rPr>
        <w:t xml:space="preserve">本项费用无需单列。</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1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第三章评标标准</w:t>
      </w:r>
      <w:r/>
    </w:p>
    <w:p>
      <w:pPr>
        <w:ind w:firstLine="420"/>
        <w:jc w:val="both"/>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w:t>
      </w:r>
      <w:r>
        <w:rPr>
          <w:rFonts w:ascii="宋体" w:hAnsi="宋体" w:eastAsia="宋体" w:cs="宋体"/>
          <w:color w:val="auto"/>
          <w:szCs w:val="21"/>
          <w:highlight w:val="none"/>
        </w:rPr>
        <w:t xml:space="preserve">推荐中标候选人</w:t>
      </w:r>
      <w:r>
        <w:rPr>
          <w:rFonts w:ascii="宋体" w:hAnsi="宋体" w:eastAsia="宋体" w:cs="宋体"/>
          <w:color w:val="auto"/>
          <w:highlight w:val="none"/>
        </w:rPr>
        <w:t xml:space="preserve">。</w:t>
      </w:r>
      <w:r/>
    </w:p>
    <w:tbl>
      <w:tblPr>
        <w:tblStyle w:val="720"/>
        <w:tblW w:w="9738" w:type="dxa"/>
        <w:tblInd w:w="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796"/>
        <w:gridCol w:w="7198"/>
        <w:gridCol w:w="871"/>
      </w:tblGrid>
      <w:tr>
        <w:trPr>
          <w:trHeight w:val="724"/>
        </w:trPr>
        <w:tc>
          <w:tcPr>
            <w:tcW w:w="87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79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评审</w:t>
            </w:r>
            <w:r/>
          </w:p>
          <w:p>
            <w:pPr>
              <w:jc w:val="center"/>
              <w:rPr>
                <w:rFonts w:hint="eastAsia" w:ascii="宋体" w:hAnsi="宋体"/>
                <w:color w:val="auto"/>
                <w:szCs w:val="21"/>
                <w:highlight w:val="none"/>
              </w:rPr>
            </w:pPr>
            <w:r>
              <w:rPr>
                <w:rFonts w:hint="eastAsia" w:ascii="宋体" w:hAnsi="宋体"/>
                <w:color w:val="auto"/>
                <w:szCs w:val="21"/>
                <w:highlight w:val="none"/>
              </w:rPr>
              <w:t xml:space="preserve">因素</w:t>
            </w:r>
            <w:r/>
          </w:p>
        </w:tc>
        <w:tc>
          <w:tcPr>
            <w:tcW w:w="71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评分标准</w:t>
            </w:r>
            <w:r/>
          </w:p>
        </w:tc>
        <w:tc>
          <w:tcPr>
            <w:tcW w:w="8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分值</w:t>
            </w:r>
            <w:r/>
          </w:p>
        </w:tc>
      </w:tr>
      <w:tr>
        <w:trPr>
          <w:trHeight w:val="1133"/>
        </w:trPr>
        <w:tc>
          <w:tcPr>
            <w:tcW w:w="87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1</w:t>
            </w:r>
            <w:r/>
          </w:p>
        </w:tc>
        <w:tc>
          <w:tcPr>
            <w:tcW w:w="79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价格</w:t>
            </w:r>
            <w:r/>
          </w:p>
        </w:tc>
        <w:tc>
          <w:tcPr>
            <w:tcW w:w="7198" w:type="dxa"/>
            <w:vAlign w:val="center"/>
            <w:textDirection w:val="lrTb"/>
            <w:noWrap w:val="false"/>
          </w:tcPr>
          <w:p>
            <w:pPr>
              <w:rPr>
                <w:rFonts w:hint="eastAsia" w:ascii="宋体" w:hAnsi="宋体"/>
                <w:bCs/>
                <w:color w:val="auto"/>
                <w:szCs w:val="21"/>
                <w:highlight w:val="none"/>
              </w:rPr>
            </w:pPr>
            <w:r>
              <w:rPr>
                <w:rFonts w:hint="eastAsia" w:ascii="宋体" w:hAnsi="宋体"/>
                <w:bCs/>
                <w:color w:val="auto"/>
                <w:szCs w:val="21"/>
                <w:highlight w:val="none"/>
              </w:rPr>
              <w:t xml:space="preserve">价格分采用低价优先法计算，即满足招标文件要求且投标价格最低的投标报价为评标基准价，其价格分为满分30分。其他投标人的价格分按照下列公式计算，保留小数点后2位：</w:t>
            </w:r>
            <w:r/>
          </w:p>
          <w:p>
            <w:pPr>
              <w:rPr>
                <w:rFonts w:hint="eastAsia" w:ascii="宋体" w:hAnsi="宋体"/>
                <w:bCs/>
                <w:color w:val="auto"/>
                <w:szCs w:val="21"/>
                <w:highlight w:val="none"/>
              </w:rPr>
            </w:pPr>
            <w:r>
              <w:rPr>
                <w:rFonts w:hint="eastAsia" w:ascii="宋体" w:hAnsi="宋体"/>
                <w:bCs/>
                <w:color w:val="auto"/>
                <w:szCs w:val="21"/>
                <w:highlight w:val="none"/>
              </w:rPr>
              <w:t xml:space="preserve">投标报价得分=（评标基准价／投标报价）×30</w:t>
            </w:r>
            <w:r/>
          </w:p>
        </w:tc>
        <w:tc>
          <w:tcPr>
            <w:tcW w:w="871"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30</w:t>
            </w:r>
            <w:r/>
          </w:p>
        </w:tc>
      </w:tr>
      <w:tr>
        <w:trPr>
          <w:trHeight w:val="1641"/>
        </w:trPr>
        <w:tc>
          <w:tcPr>
            <w:tcW w:w="87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2</w:t>
            </w:r>
            <w:r/>
          </w:p>
        </w:tc>
        <w:tc>
          <w:tcPr>
            <w:tcW w:w="79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技术响应</w:t>
            </w:r>
            <w:r/>
          </w:p>
        </w:tc>
        <w:tc>
          <w:tcPr>
            <w:tcW w:w="7198" w:type="dxa"/>
            <w:vAlign w:val="center"/>
            <w:textDirection w:val="lrTb"/>
            <w:noWrap w:val="false"/>
          </w:tcPr>
          <w:p>
            <w:pPr>
              <w:rPr>
                <w:rFonts w:hint="eastAsia" w:ascii="宋体" w:hAnsi="宋体"/>
                <w:bCs/>
                <w:color w:val="auto"/>
                <w:szCs w:val="21"/>
                <w:highlight w:val="none"/>
              </w:rPr>
            </w:pPr>
            <w:r>
              <w:rPr>
                <w:rFonts w:hint="eastAsia" w:ascii="宋体" w:hAnsi="宋体"/>
                <w:bCs/>
                <w:color w:val="auto"/>
                <w:szCs w:val="21"/>
                <w:highlight w:val="none"/>
              </w:rPr>
              <w:t xml:space="preserve">评委根据投标文件中《技术要求响应及偏离表》，结合投标文件提供的佐证材料等进行评审：</w:t>
            </w:r>
            <w:r/>
          </w:p>
          <w:p>
            <w:pPr>
              <w:rPr>
                <w:rFonts w:hint="eastAsia" w:ascii="宋体" w:hAnsi="宋体"/>
                <w:bCs/>
                <w:color w:val="auto"/>
                <w:szCs w:val="21"/>
                <w:highlight w:val="none"/>
              </w:rPr>
            </w:pPr>
            <w:r>
              <w:rPr>
                <w:rFonts w:hint="eastAsia" w:ascii="宋体" w:hAnsi="宋体"/>
                <w:bCs/>
                <w:color w:val="auto"/>
                <w:szCs w:val="21"/>
                <w:highlight w:val="none"/>
              </w:rPr>
              <w:t xml:space="preserve">完全响应招标文件第四章采购需求，得45分；</w:t>
            </w:r>
            <w:r/>
          </w:p>
          <w:p>
            <w:pPr>
              <w:rPr>
                <w:rFonts w:hint="eastAsia" w:ascii="宋体" w:hAnsi="宋体"/>
                <w:bCs/>
                <w:color w:val="auto"/>
                <w:szCs w:val="21"/>
                <w:highlight w:val="none"/>
              </w:rPr>
            </w:pPr>
            <w:r>
              <w:rPr>
                <w:rFonts w:hint="eastAsia" w:ascii="宋体" w:hAnsi="宋体"/>
                <w:bCs/>
                <w:color w:val="auto"/>
                <w:szCs w:val="21"/>
                <w:highlight w:val="none"/>
              </w:rPr>
              <w:t xml:space="preserve">加注“▲”符号的重要条款，每负偏差一项扣3分，未加注“▲”符号的一般条款每负偏差一项扣1分，至扣完。（对加“▲”条款，投标人需提供文件要求的证明材料）</w:t>
            </w:r>
            <w:r/>
          </w:p>
        </w:tc>
        <w:tc>
          <w:tcPr>
            <w:tcW w:w="871"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45</w:t>
            </w:r>
            <w:r/>
          </w:p>
        </w:tc>
      </w:tr>
      <w:tr>
        <w:trPr>
          <w:trHeight w:val="1964"/>
        </w:trPr>
        <w:tc>
          <w:tcPr>
            <w:tcW w:w="87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3</w:t>
            </w:r>
            <w:r/>
          </w:p>
        </w:tc>
        <w:tc>
          <w:tcPr>
            <w:tcW w:w="79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产品</w:t>
            </w:r>
            <w:r/>
          </w:p>
          <w:p>
            <w:pPr>
              <w:jc w:val="center"/>
              <w:rPr>
                <w:rFonts w:hint="eastAsia" w:ascii="宋体" w:hAnsi="宋体"/>
                <w:bCs/>
                <w:color w:val="auto"/>
                <w:szCs w:val="21"/>
                <w:highlight w:val="none"/>
              </w:rPr>
            </w:pPr>
            <w:r>
              <w:rPr>
                <w:rFonts w:hint="eastAsia" w:ascii="宋体" w:hAnsi="宋体"/>
                <w:bCs/>
                <w:color w:val="auto"/>
                <w:szCs w:val="21"/>
                <w:highlight w:val="none"/>
              </w:rPr>
              <w:t xml:space="preserve">综合性能</w:t>
            </w:r>
            <w:r/>
          </w:p>
        </w:tc>
        <w:tc>
          <w:tcPr>
            <w:tcW w:w="7198" w:type="dxa"/>
            <w:vAlign w:val="center"/>
            <w:textDirection w:val="lrTb"/>
            <w:noWrap w:val="false"/>
          </w:tcPr>
          <w:p>
            <w:pPr>
              <w:rPr>
                <w:rFonts w:hint="eastAsia" w:ascii="宋体" w:hAnsi="宋体"/>
                <w:bCs/>
                <w:color w:val="auto"/>
                <w:szCs w:val="21"/>
                <w:highlight w:val="none"/>
              </w:rPr>
            </w:pPr>
            <w:r>
              <w:rPr>
                <w:rFonts w:hint="eastAsia" w:ascii="宋体" w:hAnsi="宋体"/>
                <w:bCs/>
                <w:color w:val="auto"/>
                <w:szCs w:val="21"/>
                <w:highlight w:val="none"/>
              </w:rPr>
              <w:t xml:space="preserve">评委根据供应商所投主要产品的整体性能、质量可靠性、技术优势等进行评分：</w:t>
            </w:r>
            <w:r/>
          </w:p>
          <w:p>
            <w:pPr>
              <w:rPr>
                <w:rFonts w:hint="eastAsia" w:ascii="宋体" w:hAnsi="宋体"/>
                <w:bCs/>
                <w:color w:val="auto"/>
                <w:szCs w:val="21"/>
                <w:highlight w:val="none"/>
              </w:rPr>
            </w:pPr>
            <w:r>
              <w:rPr>
                <w:rFonts w:hint="eastAsia" w:ascii="宋体" w:hAnsi="宋体"/>
                <w:bCs/>
                <w:color w:val="auto"/>
                <w:szCs w:val="21"/>
                <w:highlight w:val="none"/>
              </w:rPr>
              <w:t xml:space="preserve">所投主要产品质量可靠、技术先进（产品使用行业最新技术或自身技术优势明显），主要核心部件性能优良，配置较高，优于项目需求，得10分；</w:t>
            </w:r>
            <w:r/>
          </w:p>
          <w:p>
            <w:pPr>
              <w:rPr>
                <w:rFonts w:hint="eastAsia" w:ascii="宋体" w:hAnsi="宋体"/>
                <w:bCs/>
                <w:color w:val="auto"/>
                <w:szCs w:val="21"/>
                <w:highlight w:val="none"/>
              </w:rPr>
            </w:pPr>
            <w:r>
              <w:rPr>
                <w:rFonts w:hint="eastAsia" w:ascii="宋体" w:hAnsi="宋体"/>
                <w:bCs/>
                <w:color w:val="auto"/>
                <w:szCs w:val="21"/>
                <w:highlight w:val="none"/>
              </w:rPr>
              <w:t xml:space="preserve">所投主要产品与项目匹配，符合项目需求，但无明显技术优势，配置一般，得5分；</w:t>
            </w:r>
            <w:r/>
          </w:p>
          <w:p>
            <w:pPr>
              <w:rPr>
                <w:rFonts w:hint="eastAsia" w:ascii="宋体" w:hAnsi="宋体"/>
                <w:bCs/>
                <w:color w:val="auto"/>
                <w:szCs w:val="21"/>
                <w:highlight w:val="none"/>
              </w:rPr>
            </w:pPr>
            <w:r>
              <w:rPr>
                <w:rFonts w:hint="eastAsia" w:ascii="宋体" w:hAnsi="宋体"/>
                <w:bCs/>
                <w:color w:val="auto"/>
                <w:szCs w:val="21"/>
                <w:highlight w:val="none"/>
              </w:rPr>
              <w:t xml:space="preserve">所投主要产品与项目匹配度低，基本符合项目需求，配置较低，得2分；</w:t>
            </w:r>
            <w:r/>
          </w:p>
          <w:p>
            <w:pPr>
              <w:rPr>
                <w:rFonts w:hint="eastAsia" w:ascii="宋体" w:hAnsi="宋体"/>
                <w:bCs/>
                <w:color w:val="auto"/>
                <w:szCs w:val="21"/>
                <w:highlight w:val="none"/>
              </w:rPr>
            </w:pPr>
            <w:r>
              <w:rPr>
                <w:rFonts w:hint="eastAsia" w:ascii="宋体" w:hAnsi="宋体"/>
                <w:bCs/>
                <w:color w:val="auto"/>
                <w:szCs w:val="21"/>
                <w:highlight w:val="none"/>
              </w:rPr>
              <w:t xml:space="preserve">所投主要产品性能、质量、技术落后，配置较差，不符合本次项目采购需求，不得分。</w:t>
            </w:r>
            <w:r/>
          </w:p>
        </w:tc>
        <w:tc>
          <w:tcPr>
            <w:tcW w:w="871"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10</w:t>
            </w:r>
            <w:r/>
          </w:p>
        </w:tc>
      </w:tr>
      <w:tr>
        <w:trPr>
          <w:trHeight w:val="1964"/>
        </w:trPr>
        <w:tc>
          <w:tcPr>
            <w:tcW w:w="87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4</w:t>
            </w:r>
            <w:r/>
          </w:p>
        </w:tc>
        <w:tc>
          <w:tcPr>
            <w:tcW w:w="79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售后服务</w:t>
            </w:r>
            <w:r/>
          </w:p>
        </w:tc>
        <w:tc>
          <w:tcPr>
            <w:tcW w:w="7198" w:type="dxa"/>
            <w:vAlign w:val="center"/>
            <w:textDirection w:val="lrTb"/>
            <w:noWrap w:val="false"/>
          </w:tcPr>
          <w:p>
            <w:pPr>
              <w:rPr>
                <w:rFonts w:hint="eastAsia" w:ascii="宋体" w:hAnsi="宋体"/>
                <w:bCs/>
                <w:color w:val="auto"/>
                <w:szCs w:val="21"/>
                <w:highlight w:val="none"/>
              </w:rPr>
            </w:pPr>
            <w:r>
              <w:rPr>
                <w:rFonts w:hint="eastAsia" w:ascii="宋体" w:hAnsi="宋体"/>
                <w:bCs/>
                <w:color w:val="auto"/>
                <w:szCs w:val="21"/>
                <w:highlight w:val="none"/>
              </w:rPr>
              <w:t xml:space="preserve">根据供应商提供的售后服务方案（如供货、安装及调试、培训方案、服务体系、服务内容、故障解决方案、响应时间、专业技术人员保障及服务电话等），酌情打分：</w:t>
            </w:r>
            <w:r/>
          </w:p>
          <w:p>
            <w:pPr>
              <w:rPr>
                <w:rFonts w:hint="eastAsia" w:ascii="宋体" w:hAnsi="宋体"/>
                <w:bCs/>
                <w:color w:val="auto"/>
                <w:szCs w:val="21"/>
                <w:highlight w:val="none"/>
              </w:rPr>
            </w:pPr>
            <w:r>
              <w:rPr>
                <w:rFonts w:hint="eastAsia" w:ascii="宋体" w:hAnsi="宋体"/>
                <w:bCs/>
                <w:color w:val="auto"/>
                <w:szCs w:val="21"/>
                <w:highlight w:val="none"/>
              </w:rPr>
              <w:t xml:space="preserve">售后服务方案非常完整，安排细致合理得9分；</w:t>
            </w:r>
            <w:r/>
          </w:p>
          <w:p>
            <w:pPr>
              <w:rPr>
                <w:rFonts w:hint="eastAsia" w:ascii="宋体" w:hAnsi="宋体"/>
                <w:bCs/>
                <w:color w:val="auto"/>
                <w:szCs w:val="21"/>
                <w:highlight w:val="none"/>
              </w:rPr>
            </w:pPr>
            <w:r>
              <w:rPr>
                <w:rFonts w:hint="eastAsia" w:ascii="宋体" w:hAnsi="宋体"/>
                <w:bCs/>
                <w:color w:val="auto"/>
                <w:szCs w:val="21"/>
                <w:highlight w:val="none"/>
              </w:rPr>
              <w:t xml:space="preserve">售后服务方案基本完整，能满足售后服务要求得5分；</w:t>
            </w:r>
            <w:r/>
          </w:p>
          <w:p>
            <w:pPr>
              <w:rPr>
                <w:rFonts w:hint="eastAsia" w:ascii="宋体" w:hAnsi="宋体"/>
                <w:bCs/>
                <w:color w:val="auto"/>
                <w:szCs w:val="21"/>
                <w:highlight w:val="none"/>
              </w:rPr>
            </w:pPr>
            <w:r>
              <w:rPr>
                <w:rFonts w:hint="eastAsia" w:ascii="宋体" w:hAnsi="宋体"/>
                <w:bCs/>
                <w:color w:val="auto"/>
                <w:szCs w:val="21"/>
                <w:highlight w:val="none"/>
              </w:rPr>
              <w:t xml:space="preserve">售后服务方案有瑕疵，安排不合理得1分；</w:t>
            </w:r>
            <w:r/>
          </w:p>
          <w:p>
            <w:pPr>
              <w:rPr>
                <w:rFonts w:hint="eastAsia" w:ascii="宋体" w:hAnsi="宋体"/>
                <w:bCs/>
                <w:color w:val="auto"/>
                <w:szCs w:val="21"/>
                <w:highlight w:val="none"/>
              </w:rPr>
            </w:pPr>
            <w:r>
              <w:rPr>
                <w:rFonts w:hint="eastAsia" w:ascii="宋体" w:hAnsi="宋体"/>
                <w:bCs/>
                <w:color w:val="auto"/>
                <w:szCs w:val="21"/>
                <w:highlight w:val="none"/>
              </w:rPr>
              <w:t xml:space="preserve">无售后服务方案得0分。</w:t>
            </w:r>
            <w:r/>
          </w:p>
        </w:tc>
        <w:tc>
          <w:tcPr>
            <w:tcW w:w="871"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9</w:t>
            </w:r>
            <w:r/>
          </w:p>
        </w:tc>
      </w:tr>
      <w:tr>
        <w:trPr>
          <w:trHeight w:val="1964"/>
        </w:trPr>
        <w:tc>
          <w:tcPr>
            <w:tcW w:w="87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5</w:t>
            </w:r>
            <w:r/>
          </w:p>
        </w:tc>
        <w:tc>
          <w:tcPr>
            <w:tcW w:w="79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培训方案</w:t>
            </w:r>
            <w:r/>
          </w:p>
        </w:tc>
        <w:tc>
          <w:tcPr>
            <w:tcW w:w="7198" w:type="dxa"/>
            <w:vAlign w:val="center"/>
            <w:textDirection w:val="lrTb"/>
            <w:noWrap w:val="false"/>
          </w:tcPr>
          <w:p>
            <w:pPr>
              <w:rPr>
                <w:rFonts w:hint="eastAsia" w:ascii="宋体" w:hAnsi="宋体"/>
                <w:bCs/>
                <w:color w:val="auto"/>
                <w:szCs w:val="21"/>
                <w:highlight w:val="none"/>
              </w:rPr>
            </w:pPr>
            <w:r>
              <w:rPr>
                <w:rFonts w:hint="eastAsia" w:ascii="宋体" w:hAnsi="宋体"/>
                <w:bCs/>
                <w:color w:val="auto"/>
                <w:szCs w:val="21"/>
                <w:highlight w:val="none"/>
              </w:rPr>
              <w:t xml:space="preserve">评委根据供应商对本项目拟定的培训方案进行综合评审，具体内容：</w:t>
            </w:r>
            <w:r/>
          </w:p>
          <w:p>
            <w:pPr>
              <w:rPr>
                <w:rFonts w:hint="eastAsia" w:ascii="宋体" w:hAnsi="宋体"/>
                <w:bCs/>
                <w:color w:val="auto"/>
                <w:szCs w:val="21"/>
                <w:highlight w:val="none"/>
              </w:rPr>
            </w:pPr>
            <w:r>
              <w:rPr>
                <w:rFonts w:hint="eastAsia" w:ascii="宋体" w:hAnsi="宋体"/>
                <w:bCs/>
                <w:color w:val="auto"/>
                <w:szCs w:val="21"/>
                <w:highlight w:val="none"/>
              </w:rPr>
              <w:t xml:space="preserve">①培训内容；②培训频次；③培训对象；④目标考核。</w:t>
            </w:r>
            <w:r/>
          </w:p>
          <w:p>
            <w:pPr>
              <w:rPr>
                <w:rFonts w:hint="eastAsia" w:ascii="宋体" w:hAnsi="宋体"/>
                <w:bCs/>
                <w:color w:val="auto"/>
                <w:szCs w:val="21"/>
                <w:highlight w:val="none"/>
              </w:rPr>
            </w:pPr>
            <w:r>
              <w:rPr>
                <w:rFonts w:hint="eastAsia" w:ascii="宋体" w:hAnsi="宋体"/>
                <w:bCs/>
                <w:color w:val="auto"/>
                <w:szCs w:val="21"/>
                <w:highlight w:val="none"/>
              </w:rPr>
              <w:t xml:space="preserve">方案含以上4项内容得4分；每缺少1项内容或单项内容中存在错误的，扣1分，扣完为止。</w:t>
            </w:r>
            <w:r/>
          </w:p>
          <w:p>
            <w:pPr>
              <w:rPr>
                <w:rFonts w:hint="eastAsia" w:ascii="宋体" w:hAnsi="宋体"/>
                <w:bCs/>
                <w:color w:val="auto"/>
                <w:szCs w:val="21"/>
                <w:highlight w:val="none"/>
              </w:rPr>
            </w:pPr>
            <w:r>
              <w:rPr>
                <w:rFonts w:hint="eastAsia" w:ascii="宋体" w:hAnsi="宋体"/>
                <w:bCs/>
                <w:color w:val="auto"/>
                <w:szCs w:val="21"/>
                <w:highlight w:val="none"/>
              </w:rPr>
              <w:t xml:space="preserve">注：“错误”是指涉及以下某一项或多项条款：①内容描述错误；②存在套用其他项目方案不适用本项目实际情况的情形；③存在项目名称或地点与本项目不一致的情形；④内容笼统、不详细、含糊不清等情形；⑤存在不能实现的夸大情形。</w:t>
            </w:r>
            <w:r/>
          </w:p>
        </w:tc>
        <w:tc>
          <w:tcPr>
            <w:tcW w:w="871"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4</w:t>
            </w:r>
            <w:r/>
          </w:p>
        </w:tc>
      </w:tr>
      <w:tr>
        <w:trPr>
          <w:trHeight w:val="1528"/>
        </w:trPr>
        <w:tc>
          <w:tcPr>
            <w:tcW w:w="87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6</w:t>
            </w:r>
            <w:r/>
          </w:p>
        </w:tc>
        <w:tc>
          <w:tcPr>
            <w:tcW w:w="796"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业绩</w:t>
            </w:r>
            <w:r/>
          </w:p>
        </w:tc>
        <w:tc>
          <w:tcPr>
            <w:tcW w:w="7198" w:type="dxa"/>
            <w:vAlign w:val="center"/>
            <w:textDirection w:val="lrTb"/>
            <w:noWrap w:val="false"/>
          </w:tcPr>
          <w:p>
            <w:pPr>
              <w:rPr>
                <w:rFonts w:hint="eastAsia" w:ascii="宋体" w:hAnsi="宋体"/>
                <w:bCs/>
                <w:color w:val="auto"/>
                <w:szCs w:val="21"/>
                <w:highlight w:val="none"/>
              </w:rPr>
            </w:pPr>
            <w:r>
              <w:rPr>
                <w:rFonts w:hint="eastAsia" w:ascii="宋体" w:hAnsi="宋体"/>
                <w:bCs/>
                <w:color w:val="auto"/>
                <w:szCs w:val="21"/>
                <w:highlight w:val="none"/>
              </w:rPr>
              <w:t xml:space="preserve">投标供应商自2021年1月1日以来具有类似供货业绩，每份业绩得1分，满分2分。（提供合同或订单复印件核查，时间以合同签订或订单签发时间为准）</w:t>
            </w:r>
            <w:r/>
          </w:p>
        </w:tc>
        <w:tc>
          <w:tcPr>
            <w:tcW w:w="871"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2</w:t>
            </w:r>
            <w:r/>
          </w:p>
        </w:tc>
      </w:tr>
    </w:tbl>
    <w:p>
      <w:pPr>
        <w:jc w:val="both"/>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jc w:val="both"/>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说明：</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1.所有认证、证明和业绩均以有效清晰的证明文件的复印件为依据，原件备查。</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2.小微企业价格扣除</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3.监狱和戒毒企业的价格扣除</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3.1 本项目对监狱和戒毒企业，给予10%的价格扣除，用扣除后的价格参与评审。</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3.2 监狱企业需提供由省级以上监狱管理局、戒毒管理局（含新疆生产建设兵团）出具的属于监狱企业的证明文件。</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3.3 监狱企业标准请参照《关于政府采购支持监狱企业发展有关问题的通知》（财库〔2014〕68号）。</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4.残疾人福利性单位的价格扣除</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4.1 本项目对残疾人福利性单位，给予10%的价格扣除，用扣除后的价格参与评审。</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4.2 残疾人福利性单位需提供《残疾人福利性单位声明函》。</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4.3 残疾人福利性单位标准请参照《关于促进残疾人就业政府采购政策的通知》（财库〔2017〕141号）。</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5. 监狱企业、残疾人福利性单位属于小型、微型企业的，不重复享受政策。</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6.6.本国产品的价格扣除</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Cs w:val="21"/>
          <w:highlight w:val="none"/>
        </w:rPr>
        <w:br w:type="page" w:clear="all"/>
      </w:r>
      <w:r/>
    </w:p>
    <w:p>
      <w:pPr>
        <w:pStyle w:val="71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一、项目属性：货物类项目。</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二、项目概况:农产品检测分析相关设备需求。</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三、产品清单</w:t>
      </w:r>
      <w:r/>
    </w:p>
    <w:tbl>
      <w:tblPr>
        <w:tblStyle w:val="930"/>
        <w:tblW w:w="462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6"/>
        <w:gridCol w:w="1456"/>
        <w:gridCol w:w="1222"/>
        <w:gridCol w:w="863"/>
        <w:gridCol w:w="1357"/>
        <w:gridCol w:w="1516"/>
        <w:gridCol w:w="979"/>
        <w:gridCol w:w="773"/>
      </w:tblGrid>
      <w:tr>
        <w:trPr>
          <w:jc w:val="center"/>
          <w:trHeight w:val="470"/>
        </w:trPr>
        <w:tc>
          <w:tcPr>
            <w:tcW w:w="595"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454"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名称</w:t>
            </w:r>
            <w:r/>
          </w:p>
        </w:tc>
        <w:tc>
          <w:tcPr>
            <w:tcW w:w="1220"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W w:w="862"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单位</w:t>
            </w:r>
            <w:r/>
          </w:p>
        </w:tc>
        <w:tc>
          <w:tcPr>
            <w:tcW w:w="1355"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报价上限</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（万元）</w:t>
            </w:r>
            <w:r/>
          </w:p>
        </w:tc>
        <w:tc>
          <w:tcPr>
            <w:tcW w:w="1514"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所属行业类型</w:t>
            </w:r>
            <w:r/>
          </w:p>
        </w:tc>
        <w:tc>
          <w:tcPr>
            <w:tcW w:w="977"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产品属性</w:t>
            </w:r>
            <w:r/>
          </w:p>
        </w:tc>
        <w:tc>
          <w:tcPr>
            <w:tcW w:w="772"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jc w:val="center"/>
          <w:trHeight w:val="414"/>
        </w:trPr>
        <w:tc>
          <w:tcPr>
            <w:tcW w:w="595"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454"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三重四极杆液质联用仪</w:t>
            </w:r>
            <w:r/>
          </w:p>
        </w:tc>
        <w:tc>
          <w:tcPr>
            <w:tcW w:w="1220"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862"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一套</w:t>
            </w:r>
            <w:r/>
          </w:p>
        </w:tc>
        <w:tc>
          <w:tcPr>
            <w:tcW w:w="1355"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300 </w:t>
            </w:r>
            <w:r/>
          </w:p>
        </w:tc>
        <w:tc>
          <w:tcPr>
            <w:tcW w:w="1514"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工业</w:t>
            </w:r>
            <w:r/>
          </w:p>
        </w:tc>
        <w:tc>
          <w:tcPr>
            <w:tcW w:w="977"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w:t>
            </w:r>
            <w:r/>
          </w:p>
        </w:tc>
        <w:tc>
          <w:tcPr>
            <w:tcW w:w="772" w:type="dxa"/>
            <w:vAlign w:val="center"/>
            <w:textDirection w:val="lrTb"/>
            <w:noWrap/>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numPr>
          <w:ilvl w:val="0"/>
          <w:numId w:val="2"/>
        </w:numPr>
        <w:ind w:firstLine="480"/>
        <w:spacing w:line="360" w:lineRule="auto"/>
        <w:rPr>
          <w:rFonts w:hint="default"/>
          <w:color w:val="auto"/>
          <w:highlight w:val="none"/>
          <w:lang w:val="en-US" w:eastAsia="zh-CN"/>
        </w:rPr>
      </w:pPr>
      <w:r>
        <w:rPr>
          <w:rFonts w:hint="eastAsia" w:ascii="宋体" w:hAnsi="宋体" w:cs="宋体"/>
          <w:color w:val="auto"/>
          <w:szCs w:val="21"/>
          <w:highlight w:val="none"/>
          <w:lang w:val="en-US" w:eastAsia="zh-CN"/>
        </w:rPr>
        <w:t xml:space="preserve">核心产品</w:t>
      </w:r>
      <w:r/>
    </w:p>
    <w:tbl>
      <w:tblPr>
        <w:tblStyle w:val="720"/>
        <w:tblpPr w:horzAnchor="margin" w:tblpXSpec="center" w:vertAnchor="text" w:tblpY="133" w:leftFromText="180" w:topFromText="0" w:rightFromText="180" w:bottomFromText="0"/>
        <w:tblW w:w="8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4"/>
        <w:gridCol w:w="4422"/>
        <w:gridCol w:w="2543"/>
      </w:tblGrid>
      <w:tr>
        <w:trPr>
          <w:jc w:val="center"/>
          <w:trHeight w:val="719"/>
        </w:trPr>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Borders>
              <w:top w:val="single" w:color="000000" w:sz="4" w:space="0"/>
              <w:left w:val="single" w:color="000000" w:sz="4" w:space="0"/>
              <w:right w:val="single" w:color="000000" w:sz="4" w:space="0"/>
            </w:tcBorders>
            <w:tcW w:w="4422"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产品名称</w:t>
            </w:r>
            <w:r/>
          </w:p>
        </w:tc>
        <w:tc>
          <w:tcPr>
            <w:tcBorders>
              <w:top w:val="single" w:color="000000" w:sz="4" w:space="0"/>
              <w:left w:val="single" w:color="000000" w:sz="4" w:space="0"/>
              <w:right w:val="single" w:color="000000" w:sz="4" w:space="0"/>
            </w:tcBorders>
            <w:tcW w:w="254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cs="宋体"/>
                <w:bCs/>
                <w:color w:val="auto"/>
                <w:szCs w:val="21"/>
                <w:highlight w:val="none"/>
              </w:rPr>
              <w:t xml:space="preserve">产品类型</w:t>
            </w:r>
            <w:r/>
          </w:p>
        </w:tc>
      </w:tr>
      <w:tr>
        <w:trPr>
          <w:jc w:val="center"/>
          <w:trHeight w:val="964"/>
        </w:trPr>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Cs w:val="21"/>
                <w:highlight w:val="none"/>
                <w:lang w:val="zh-CN" w:eastAsia="en-US"/>
              </w:rPr>
              <w:t xml:space="preserve">1</w:t>
            </w:r>
            <w:r/>
          </w:p>
        </w:tc>
        <w:tc>
          <w:tcPr>
            <w:tcBorders>
              <w:left w:val="single" w:color="000000" w:sz="4" w:space="0"/>
              <w:right w:val="single" w:color="000000" w:sz="4" w:space="0"/>
            </w:tcBorders>
            <w:tcW w:w="4422"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cs="宋体"/>
                <w:color w:val="auto"/>
                <w:szCs w:val="21"/>
                <w:highlight w:val="none"/>
              </w:rPr>
              <w:t xml:space="preserve">三重串联四极杆质谱系统（包括ESI离子源，串联四极杆主机，质谱工作站）</w:t>
            </w:r>
            <w:r/>
          </w:p>
        </w:tc>
        <w:tc>
          <w:tcPr>
            <w:tcBorders>
              <w:left w:val="single" w:color="000000" w:sz="4" w:space="0"/>
              <w:right w:val="single" w:color="000000" w:sz="4" w:space="0"/>
            </w:tcBorders>
            <w:tcW w:w="254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cs="宋体"/>
                <w:bCs/>
                <w:color w:val="auto"/>
                <w:szCs w:val="21"/>
                <w:highlight w:val="none"/>
              </w:rPr>
              <w:t xml:space="preserve">核心产品</w:t>
            </w:r>
            <w:r/>
          </w:p>
        </w:tc>
      </w:tr>
    </w:tbl>
    <w:p>
      <w:pPr>
        <w:pStyle w:val="748"/>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rPr>
        <w:t xml:space="preserve">、拟采购标的需要满足的技术、商务要求</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1应用范围：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样品中痕量和超痕量农药及兽药残留的筛查和定量分析等</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2工作条件：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2.1工作电压：220±5%V</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2.2操作温度：15–27</w:t>
      </w:r>
      <w:r>
        <w:rPr>
          <w:rFonts w:ascii="Symbol" w:hAnsi="Symbol" w:eastAsia="Symbol" w:cs="Symbol"/>
          <w:color w:val="auto"/>
          <w:szCs w:val="21"/>
          <w:highlight w:val="none"/>
        </w:rPr>
        <w:t xml:space="preserve">°</w:t>
      </w:r>
      <w:r>
        <w:rPr>
          <w:rFonts w:hint="eastAsia" w:ascii="宋体" w:hAnsi="宋体" w:cs="宋体"/>
          <w:color w:val="auto"/>
          <w:szCs w:val="21"/>
          <w:highlight w:val="none"/>
        </w:rPr>
        <w:t xml:space="preserve">C</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2.3湿度：&lt;85%</w:t>
      </w:r>
      <w:r/>
    </w:p>
    <w:p>
      <w:pPr>
        <w:ind w:firstLine="480"/>
        <w:spacing w:line="360" w:lineRule="auto"/>
        <w:rPr>
          <w:rFonts w:hint="eastAsia" w:ascii="宋体" w:hAnsi="宋体" w:cs="宋体"/>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cs="宋体"/>
          <w:color w:val="auto"/>
          <w:szCs w:val="21"/>
          <w:highlight w:val="none"/>
        </w:rPr>
        <w:t xml:space="preserve">3配置要求</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3.1高压混合二元梯度泵1套（带真空在线脱气机）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3.2自动进样器1套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3.3柱温箱1套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3.4流动相在线过滤装置20套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3.5操作软件1套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3.6三重串联四极杆质谱系统（包括ESI离子源，串联四极杆主机，质谱工作站）1套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3.7色谱柱（C18,2.1x100mm,1.8u）1根，C18,4.6x100mm,1.8u）1根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3.8氮气发生器1套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3.9不间断电源(10KVA）1套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3.10高速离心机1套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3.11液体纯化系统1套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3.12样品过滤系统1套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3.13环境洁净系统（含液质实验室改造）1套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3.14绞肉机10套</w:t>
      </w:r>
      <w:r/>
    </w:p>
    <w:p>
      <w:pPr>
        <w:ind w:firstLine="480"/>
        <w:spacing w:line="360" w:lineRule="auto"/>
        <w:rPr>
          <w:rFonts w:hint="default" w:ascii="宋体" w:hAnsi="宋体" w:cs="宋体" w:eastAsiaTheme="minorEastAsia"/>
          <w:color w:val="auto"/>
          <w:szCs w:val="21"/>
          <w:highlight w:val="none"/>
          <w:lang w:val="en-US" w:eastAsia="zh-CN"/>
        </w:rPr>
      </w:pPr>
      <w:r>
        <w:rPr>
          <w:rFonts w:hint="eastAsia" w:ascii="宋体" w:hAnsi="宋体" w:cs="宋体"/>
          <w:color w:val="auto"/>
          <w:szCs w:val="21"/>
          <w:highlight w:val="none"/>
          <w:lang w:val="en-US" w:eastAsia="zh-CN"/>
        </w:rPr>
        <w:t xml:space="preserve">3.15</w:t>
      </w:r>
      <w:r>
        <w:rPr>
          <w:rFonts w:hint="eastAsia" w:ascii="宋体" w:hAnsi="宋体" w:cs="宋体"/>
          <w:color w:val="auto"/>
          <w:szCs w:val="21"/>
          <w:highlight w:val="none"/>
        </w:rPr>
        <w:t xml:space="preserve">计算机，打印机1套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4、技术参数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4.1液相色谱部分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4.1.1高压混合二元梯度泵</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4.1.1.1超高压二元泵，双柱塞串联泵设计，采用伺服控制可变冲程设计和平滑运动控制以实现主动式阻尼，连续可变冲程30～90ul，可以在软件里直接调节，设计可根据流速自动调节或手动调节（可变冲程最小值和最大值设置提供软件截图证明）</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4.1.1.2流量范围：0.001mL/min–4.5mL/min，递增率0.001mL/min（</w:t>
      </w:r>
      <w:r>
        <w:rPr>
          <w:rFonts w:hint="eastAsia" w:ascii="宋体" w:hAnsi="宋体" w:cs="宋体"/>
          <w:color w:val="auto"/>
          <w:szCs w:val="21"/>
          <w:highlight w:val="none"/>
        </w:rPr>
        <w:t xml:space="preserve">流量范围</w:t>
      </w:r>
      <w:r>
        <w:rPr>
          <w:rFonts w:hint="eastAsia" w:ascii="宋体" w:hAnsi="宋体" w:cs="宋体"/>
          <w:color w:val="auto"/>
          <w:szCs w:val="21"/>
          <w:highlight w:val="none"/>
          <w:lang w:val="en-US" w:eastAsia="zh-CN"/>
        </w:rPr>
        <w:t xml:space="preserve">最</w:t>
      </w:r>
      <w:r>
        <w:rPr>
          <w:rFonts w:hint="eastAsia" w:ascii="宋体" w:hAnsi="宋体" w:cs="宋体"/>
          <w:color w:val="auto"/>
          <w:szCs w:val="21"/>
          <w:highlight w:val="none"/>
        </w:rPr>
        <w:t xml:space="preserve">小值和最大值设置提供软件截图证明</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4.1.1.3流量精度：≤0.075%RSD</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4.1.1.4最大耐压：≥1300bar或≥18850psi</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4.1.1.5梯度洗脱：5%–95%</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4.1.1.6梯度精度：&lt;0.15%RSD</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4.1.1.7延迟体积&lt;45µL</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4.1.1.8含真空在线脱气装置</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4.1.1.9具有泵后在线可更换PTFE材质过滤器，防止污染（</w:t>
      </w:r>
      <w:r>
        <w:rPr>
          <w:rFonts w:hint="eastAsia" w:ascii="宋体" w:hAnsi="宋体" w:cs="宋体"/>
          <w:color w:val="auto"/>
          <w:szCs w:val="21"/>
          <w:highlight w:val="none"/>
        </w:rPr>
        <w:t xml:space="preserve">PTFE材质过滤器提供实物图片证明</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4.1.2自动进样器：</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4.1.2.1样品容量：≥130位2ml标准样品瓶位</w:t>
      </w:r>
      <w:r>
        <w:rPr>
          <w:rFonts w:hint="eastAsia" w:ascii="宋体" w:hAnsi="宋体" w:cs="宋体"/>
          <w:color w:val="auto"/>
          <w:szCs w:val="21"/>
          <w:highlight w:val="none"/>
        </w:rPr>
        <w:t xml:space="preserve">（样品容量提供实物图片和软件界面截图证明）</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4.1.2.2进样范围：0.1–20</w:t>
      </w:r>
      <w:r>
        <w:rPr>
          <w:rFonts w:ascii="Symbol" w:hAnsi="Symbol" w:eastAsia="Symbol" w:cs="Symbol"/>
          <w:color w:val="auto"/>
          <w:szCs w:val="21"/>
          <w:highlight w:val="none"/>
        </w:rPr>
        <w:t xml:space="preserve">m</w:t>
      </w:r>
      <w:r>
        <w:rPr>
          <w:rFonts w:hint="eastAsia" w:ascii="宋体" w:hAnsi="宋体" w:cs="宋体"/>
          <w:color w:val="auto"/>
          <w:szCs w:val="21"/>
          <w:highlight w:val="none"/>
        </w:rPr>
        <w:t xml:space="preserve">L</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4.1.2.3进样精度：&lt;0.25%RSD</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4.1.2.4交叉污染度：&lt;0.0009%</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4.1.2.5自动进样器可进行编程进样，用于进行柱前衍生，柱前样品自动稀释，自动混合等复杂进样方式</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4.1.3智能化温控柱箱</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4.1.3.1温度范围：5℃–80℃，具备加热和制冷功能（</w:t>
      </w:r>
      <w:r>
        <w:rPr>
          <w:rFonts w:hint="eastAsia" w:ascii="宋体" w:hAnsi="宋体" w:cs="宋体"/>
          <w:color w:val="auto"/>
          <w:szCs w:val="21"/>
          <w:highlight w:val="none"/>
        </w:rPr>
        <w:t xml:space="preserve">温度范围最小值和最大值设置提供软件截图证明</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4.1.3.2温度稳定性：±0.05℃</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4.1.3.3温度准确度：</w:t>
      </w:r>
      <w:r>
        <w:rPr>
          <w:rFonts w:ascii="Symbol" w:hAnsi="Symbol" w:eastAsia="Symbol" w:cs="Symbol"/>
          <w:color w:val="auto"/>
          <w:szCs w:val="21"/>
          <w:highlight w:val="none"/>
        </w:rPr>
        <w:t xml:space="preserve">±</w:t>
      </w:r>
      <w:r>
        <w:rPr>
          <w:rFonts w:hint="eastAsia" w:ascii="宋体" w:hAnsi="宋体" w:cs="宋体"/>
          <w:color w:val="auto"/>
          <w:szCs w:val="21"/>
          <w:highlight w:val="none"/>
        </w:rPr>
        <w:t xml:space="preserve">0.5℃</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4.1.3.4柱容量：同时放置30cm柱4根，8根10cm柱</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4.1.3.5控温区：2个独立控温区域，可以分别设置温度和控温（</w:t>
      </w:r>
      <w:r>
        <w:rPr>
          <w:rFonts w:hint="eastAsia" w:ascii="宋体" w:hAnsi="宋体" w:cs="宋体"/>
          <w:color w:val="auto"/>
          <w:szCs w:val="21"/>
          <w:highlight w:val="none"/>
        </w:rPr>
        <w:t xml:space="preserve">提供实物照片和2个温区可以分别设置温度的软件截图证明</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4.2三重串联四极杆质谱仪部分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4.2.1离子源：采用独立的ESI源，非复合源</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4.2.2离子源：采用90度垂直于毛细传输管的喷雾口设计（</w:t>
      </w:r>
      <w:r>
        <w:rPr>
          <w:rFonts w:hint="eastAsia" w:ascii="宋体" w:hAnsi="宋体" w:cs="宋体"/>
          <w:color w:val="auto"/>
          <w:szCs w:val="21"/>
          <w:highlight w:val="none"/>
        </w:rPr>
        <w:t xml:space="preserve">90度垂直提供实物图片和结构图证明</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4.2.2.1更换及清洗离子源时，无需放空质谱真空系统，无需任何工具即可实现整体可更换式离子源；用手拆卸清洗后，安装时无需校正喷针位置</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4.2.2.2离子源可加热温度为400度。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4.2.3离子源接口可适用于微径柱、常规分析柱、毛细管电泳和芯片液相，并提供用户公开发表的芯片液相英文文献</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4.2.3四极杆质量过滤器：双曲面四极杆可控温不低于95℃，且四极杆两端加对称的RF电压（</w:t>
      </w:r>
      <w:r>
        <w:rPr>
          <w:rFonts w:hint="eastAsia" w:ascii="宋体" w:hAnsi="宋体" w:cs="宋体"/>
          <w:color w:val="auto"/>
          <w:szCs w:val="21"/>
          <w:highlight w:val="none"/>
        </w:rPr>
        <w:t xml:space="preserve">提供采集软件中可显示四极杆最高温度的软件截图证明</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4.2.4碰撞反应池：高压线性加速碰撞反应池</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4.2.4.1碰撞反应池：采用90度弯曲的碰撞反应池（</w:t>
      </w:r>
      <w:r>
        <w:rPr>
          <w:rFonts w:hint="eastAsia" w:ascii="宋体" w:hAnsi="宋体" w:cs="宋体"/>
          <w:color w:val="auto"/>
          <w:szCs w:val="21"/>
          <w:highlight w:val="none"/>
        </w:rPr>
        <w:t xml:space="preserve">提供碰撞反应池90度弯曲的硬件结构图证明</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4.2.5整套质谱只使用氮气，包含碰撞室在内只使用氮气作为碰撞气，无需使用其他气体（不使用氩气等）</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4.2.6检测器：电子倍增器；为了保证负离子的灵敏度，要求检测器采用非光电倍增器设计。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4.2.7真空系统</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4.2.7.1带有差动抽气真空系统，由大功率的分子涡轮泵和前级机械泵组成。</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4.2.7.2具有自动断电保护功能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4.2.8扫描方式:全扫描、子离子扫描、母离子扫描、中性丢失扫描、多反应离子监测、选择性离子监测，动态多反应离子监测、正/负极性切换</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4.2.9检测性能：</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4.2.9.1质量范围：母离子单电荷m/z5–3000（</w:t>
      </w:r>
      <w:r>
        <w:rPr>
          <w:rFonts w:hint="eastAsia" w:ascii="宋体" w:hAnsi="宋体" w:cs="宋体"/>
          <w:color w:val="auto"/>
          <w:szCs w:val="21"/>
          <w:highlight w:val="none"/>
        </w:rPr>
        <w:t xml:space="preserve">提供质量范围最小值和最大值的软件截图证明</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4.2.9.2最大扫描速率：≥17,000amu/s</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4.2.9.3动态范围：&gt;6×106</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4.2.9.4灵敏度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ESI+灵敏度：1pg利血平，分辨率为0.7±0.1amu（半峰宽）时，柱上进样量，信噪比（PeaktoPeak）&gt;850000:1(m/z609&gt;195)；连续重复检测6次，峰面积重复性相对标准偏差RSD&lt;2%</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ESI-灵敏度：1pg氯霉素，分辨率为0.7±0.1amu（半峰宽）时，柱上进样量，信噪比（PeaktoPeak）&gt;850000:1(m/z321&gt;152)；连续重复检测6次，峰面积重复性相对标准偏差RSD&lt;2%</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4.2.9.5正负模式切换时间：≤30ms</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4.2.9.6质量轴稳定性：±0.1amu/24hours</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4.2.9.7质量准确度：0.1amu</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4.2.9.8可同时做500个MRM离子对检测</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4.2.9.9MRM最小驻留时间：1ms</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4.3工作站软件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4.3.1全自动调谐系统，调谐液自动输送，自动参数优化。无需配置针泵或注射泵，即可完成调谐。</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4.3.2自动方法优化软件：采用自动进样器流动注射功能，自动优化每个目标化合物的质谱参数，如最佳碰撞电压，MS/MS的碰撞能量</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4.3.3离子源参数自动优化软件：采用自动进样器流动流动注射功能，自动优化离子源温度，气流压力和速度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4.3.4多反应离子监测(MRM)可以链接内标化合物名称。样品信息自动导入。可以对每一个离子设定驻留时间，碰撞电压，碰撞能量。一次进样可同时进行500对离子检测。</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4.3.5同时定量和定性确认。MRM自动触发二级离子定性检测的同时，MRM定量检测灵敏度不得低于单独检测时的灵敏度，获得的二级离子谱图可以进行谱库检索</w:t>
      </w:r>
      <w:r/>
    </w:p>
    <w:p>
      <w:pPr>
        <w:ind w:firstLine="480"/>
        <w:spacing w:line="360" w:lineRule="auto"/>
        <w:rPr>
          <w:rFonts w:hint="eastAsia" w:ascii="宋体" w:hAnsi="宋体" w:cs="宋体" w:eastAsiaTheme="minorEastAsia"/>
          <w:color w:val="auto"/>
          <w:szCs w:val="21"/>
          <w:highlight w:val="none"/>
          <w:lang w:eastAsia="zh-CN"/>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4.3.6液相色谱和质谱为同一品牌。色谱和质谱需使用同一个软件平台，以保证服务的一致性。</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提供承诺书，格式自拟</w:t>
      </w:r>
      <w:r>
        <w:rPr>
          <w:rFonts w:hint="eastAsia" w:ascii="宋体" w:hAnsi="宋体" w:cs="宋体"/>
          <w:color w:val="auto"/>
          <w:szCs w:val="21"/>
          <w:highlight w:val="none"/>
          <w:lang w:eastAsia="zh-CN"/>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4.3.7农药残留应用解决方案：提供超过700种农药及250种中国农药仪器分析参数。并且可以提供相应农药MRM数据库，超过700个化合物，全自动检索，其中至少250个化合物有二级质谱图和3对以上离子对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4.3.8为保证仪器使用效率，质谱关机状态下，质谱软件平台可独立控制液相色谱。所配的质谱软件要求可以反控全套液相色谱系统</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4.3.9可以根据不同品牌型号液相色谱仪的方法，自动模拟，实现不同仪器可以达到相同的分析效果</w:t>
      </w:r>
      <w:r>
        <w:rPr>
          <w:rFonts w:hint="eastAsia" w:ascii="宋体" w:hAnsi="宋体" w:cs="宋体"/>
          <w:color w:val="auto"/>
          <w:szCs w:val="21"/>
          <w:highlight w:val="none"/>
        </w:rPr>
        <w:t xml:space="preserve">（提供选择不同品牌软件界面的软件截图证明）</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4.4不间断电源：10KVA,1小时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4.5氮气发生器：最大气体输出流速32L/min,最大输出气压6.90bar,颗粒＜0.01um</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4.6样品过滤系统（需提供生产厂家授权书）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4.6.1样品过滤系统由主机、过滤手柄、触摸显示屏组成，具有高压定量过滤、定量移液、定量分液功能，应用于实验室样品前处理。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4.6.2高压定量过滤</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4.6.2.1过滤系统压力不小于1Mpa</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4.6.2.2定量过滤范围：0-10ml</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4.6.2.3储液管具有自动锁定和自动解锁功能，防止高压脱离影响安全（提供厂家说明资料的证明材料）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4.6.2.4系统过滤压力可调，压力范围：0-1Mpa</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4.6.2.5可自动完成系统泄压，确保安全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4.6.2.6参数设置和仪器运行状态通过触摸显示屏完成，操作简单方便</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4.6.3定量移液</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4.6.3.1定量移液范围：0-10ml</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4.6.3.2移液完成后具有自动吹扫移液管液体残留，确保移液精准度（提供厂家说明资料的证明材料）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4.6.3.3移液精度：小于±1%（使用5ml测试）</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4.6.3.4参数设置和仪器运行状态通过触摸显示屏完成，操作简单方便</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4.6.4定量分液</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4.6.4.1分液总体积范围：0-10ml</w:t>
      </w:r>
      <w:r/>
    </w:p>
    <w:p>
      <w:pPr>
        <w:ind w:firstLine="480"/>
        <w:spacing w:line="360" w:lineRule="auto"/>
        <w:rPr>
          <w:rFonts w:hint="eastAsia" w:ascii="宋体" w:hAnsi="宋体" w:cs="宋体"/>
          <w:color w:val="auto"/>
          <w:szCs w:val="21"/>
          <w:highlight w:val="none"/>
        </w:rPr>
      </w:pPr>
      <w:r>
        <w:rPr>
          <w:rFonts w:hint="eastAsia" w:ascii="宋体" w:hAnsi="宋体" w:cs="Arial"/>
          <w:color w:val="auto"/>
          <w:szCs w:val="21"/>
          <w:highlight w:val="none"/>
        </w:rPr>
        <w:t xml:space="preserve">▲</w:t>
      </w:r>
      <w:r>
        <w:rPr>
          <w:rFonts w:hint="eastAsia" w:ascii="宋体" w:hAnsi="宋体" w:cs="宋体"/>
          <w:color w:val="auto"/>
          <w:szCs w:val="21"/>
          <w:highlight w:val="none"/>
        </w:rPr>
        <w:t xml:space="preserve">4.6.4.2分液次数：不小于99次（</w:t>
      </w:r>
      <w:r>
        <w:rPr>
          <w:rFonts w:hint="eastAsia" w:ascii="宋体" w:hAnsi="宋体" w:cs="宋体"/>
          <w:color w:val="auto"/>
          <w:szCs w:val="21"/>
          <w:highlight w:val="none"/>
        </w:rPr>
        <w:t xml:space="preserve">提供分液设置的最大次数软件截图证明</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4.6.4.3分液精度：小于±1%（使用5ml测试）</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4.6.4.4分液完成后具有自动吹扫移液管液体残留，确保移液精准度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5售后服务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正规注册的办事处、维修站及零备件保税库。在中国境内有专门负责的经验丰富的维修工程师和在中国境内应有专门的技术应用支持工程师，在国内设有应用开发实验室。保修期后，保证长期供应零备件和正常的售后服务.在国内的技术服务中心（包括维修中心）或消耗品代理商应当提供所有的服务,包括备用零配件及消耗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5.2安装验收期间，对用户进行仪器的基本操作和日常维护的现场培训，内容包括仪器原理，使用方法和维护方法等</w:t>
      </w:r>
      <w:r/>
    </w:p>
    <w:p>
      <w:pPr>
        <w:ind w:firstLine="480"/>
        <w:spacing w:line="360" w:lineRule="auto"/>
        <w:rPr>
          <w:rFonts w:hint="eastAsia" w:ascii="宋体" w:hAnsi="宋体" w:cs="Arial Unicode MS"/>
          <w:color w:val="auto"/>
          <w:sz w:val="24"/>
          <w:szCs w:val="24"/>
          <w:highlight w:val="none"/>
        </w:rPr>
      </w:pPr>
      <w:r>
        <w:rPr>
          <w:rFonts w:hint="eastAsia" w:ascii="宋体" w:hAnsi="宋体" w:cs="宋体"/>
          <w:color w:val="auto"/>
          <w:szCs w:val="21"/>
          <w:highlight w:val="none"/>
        </w:rPr>
        <w:t xml:space="preserve">5.3仪器在安装、调试通过后1年的免费保修期</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28"/>
        <w:ind w:firstLine="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28"/>
        <w:ind w:firstLine="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28"/>
        <w:ind w:firstLine="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28"/>
        <w:ind w:firstLine="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28"/>
        <w:ind w:firstLine="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特别说明：</w:t>
      </w:r>
      <w:r/>
    </w:p>
    <w:p>
      <w:pPr>
        <w:pStyle w:val="928"/>
        <w:ind w:firstLine="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1.上述需求中加“★”内容均为实质性要求，不得负偏离。如有负偏离或未完全响应，作无效处理。</w:t>
      </w:r>
      <w:r/>
    </w:p>
    <w:p>
      <w:pPr>
        <w:pStyle w:val="928"/>
        <w:ind w:firstLine="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2.采购人在项目实施过程中的要求，若项目实施管理过程中成交供应商无法满足，采购人有权依据上述要求解除合同，具体由采购人在项目执行中负责解释及执行。</w:t>
      </w:r>
      <w:r/>
    </w:p>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3.如对采购需求有任何疑问，请在规定的截止时间前与采购人联系。</w:t>
      </w:r>
      <w:r>
        <w:rPr>
          <w:color w:val="auto"/>
          <w:highlight w:val="none"/>
        </w:rPr>
        <w:br w:type="page" w:clear="all"/>
      </w:r>
      <w:r/>
    </w:p>
    <w:p>
      <w:pPr>
        <w:pStyle w:val="710"/>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章合同主要条款及格式</w:t>
      </w:r>
      <w:r/>
    </w:p>
    <w:p>
      <w:pPr>
        <w:ind w:firstLine="883"/>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lang w:val="zh-CN"/>
        </w:rPr>
        <w:t xml:space="preserve">政府采购合同</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ind w:right="647"/>
        <w:rPr>
          <w:rFonts w:hint="eastAsia" w:ascii="宋体" w:hAnsi="宋体" w:cs="宋体"/>
          <w:b/>
          <w:color w:val="auto"/>
          <w:highlight w:val="none"/>
        </w:rPr>
      </w:pPr>
      <w:r>
        <w:rPr>
          <w:rFonts w:hint="eastAsia" w:ascii="宋体" w:hAnsi="宋体" w:cs="宋体"/>
          <w:b/>
          <w:color w:val="auto"/>
          <w:highlight w:val="none"/>
        </w:rPr>
      </w:r>
      <w:r/>
    </w:p>
    <w:p>
      <w:pPr>
        <w:ind w:firstLine="1400"/>
        <w:spacing w:line="600" w:lineRule="exact"/>
        <w:rPr>
          <w:rFonts w:hint="eastAsia" w:ascii="宋体" w:hAnsi="宋体" w:cs="宋体" w:eastAsiaTheme="minorEastAsia"/>
          <w:b/>
          <w:color w:val="auto"/>
          <w:sz w:val="28"/>
          <w:szCs w:val="28"/>
          <w:highlight w:val="none"/>
          <w:u w:val="single"/>
          <w:lang w:eastAsia="zh-CN"/>
        </w:rPr>
      </w:pPr>
      <w:r>
        <w:rPr>
          <w:rFonts w:hint="eastAsia" w:ascii="宋体" w:hAnsi="宋体" w:cs="宋体"/>
          <w:color w:val="auto"/>
          <w:sz w:val="28"/>
          <w:szCs w:val="28"/>
          <w:highlight w:val="none"/>
        </w:rPr>
        <w:t xml:space="preserve">项目编号 ：</w:t>
      </w:r>
      <w:r>
        <w:rPr>
          <w:rFonts w:hint="eastAsia" w:ascii="宋体" w:hAnsi="宋体" w:cs="宋体"/>
          <w:b/>
          <w:color w:val="auto"/>
          <w:sz w:val="28"/>
          <w:szCs w:val="28"/>
          <w:highlight w:val="none"/>
          <w:u w:val="single"/>
          <w:lang w:eastAsia="zh-CN"/>
        </w:rPr>
        <w:t xml:space="preserve">JSZC-320115-DCZX-G2026-0032</w:t>
      </w:r>
      <w:r/>
    </w:p>
    <w:p>
      <w:pPr>
        <w:ind w:firstLine="140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 ：</w:t>
      </w:r>
      <w:r>
        <w:rPr>
          <w:rFonts w:hint="eastAsia" w:ascii="宋体" w:hAnsi="宋体" w:cs="宋体"/>
          <w:b/>
          <w:color w:val="auto"/>
          <w:sz w:val="28"/>
          <w:szCs w:val="28"/>
          <w:highlight w:val="none"/>
          <w:u w:val="single"/>
        </w:rPr>
        <w:t xml:space="preserve">液相色谱串联三重四级杆质谱联用仪采购</w:t>
      </w:r>
      <w:r/>
    </w:p>
    <w:p>
      <w:pPr>
        <w:ind w:firstLine="1400"/>
        <w:spacing w:line="60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采购单位 ：</w:t>
      </w:r>
      <w:r>
        <w:rPr>
          <w:rFonts w:hint="eastAsia" w:ascii="宋体" w:hAnsi="宋体" w:cs="宋体"/>
          <w:b/>
          <w:color w:val="auto"/>
          <w:sz w:val="28"/>
          <w:szCs w:val="28"/>
          <w:highlight w:val="none"/>
          <w:u w:val="single"/>
        </w:rPr>
        <w:t xml:space="preserve">南京市江宁区农业农村局</w:t>
      </w:r>
      <w:r/>
    </w:p>
    <w:p>
      <w:pPr>
        <w:ind w:firstLine="140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服务单位 ：</w:t>
      </w:r>
      <w:r/>
    </w:p>
    <w:p>
      <w:pPr>
        <w:ind w:firstLine="140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签订日期：    年   月   日</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0"/>
        <w:rPr>
          <w:rFonts w:hint="eastAsia" w:ascii="宋体" w:hAnsi="宋体" w:cs="宋体"/>
          <w:color w:val="auto"/>
          <w:szCs w:val="21"/>
          <w:highlight w:val="none"/>
        </w:rPr>
        <w:sectPr>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cs="宋体"/>
          <w:color w:val="auto"/>
          <w:szCs w:val="21"/>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w:t>
      </w:r>
      <w:r/>
    </w:p>
    <w:p>
      <w:pPr>
        <w:jc w:val="center"/>
        <w:rPr>
          <w:rFonts w:hint="eastAsia" w:ascii="宋体" w:hAnsi="宋体" w:cs="宋体"/>
          <w:color w:val="auto"/>
          <w:highlight w:val="none"/>
        </w:rPr>
      </w:pPr>
      <w:r>
        <w:rPr>
          <w:rFonts w:hint="eastAsia" w:ascii="宋体" w:hAnsi="宋体" w:cs="宋体"/>
          <w:color w:val="auto"/>
          <w:highlight w:val="none"/>
        </w:rPr>
        <w:t xml:space="preserve">（具体合同条款由采购人和供应商依据招投标文件拟定，本件仅供格式参考）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JSZC-320115-DCZX-G2026-0032</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项目名称：液相色谱串联三重四级杆质谱联用仪采购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采购人（以下称甲方）：南京市江宁区农业农村局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地址：江苏省南京市江宁区万安西路120号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供应商（以下称乙方）：</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地址：</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根据《中华人民共和国政府采购法》、《中华人民共和国民法典》等法律法规的规定，甲、乙双方按照采购结果签订本合同。</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第一条合同标的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乙方根据甲方需求提供下列货物：</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货物名称、规格及数量详见“投标分项报价表”。</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第二条合同总价款</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本合同项下总合同价款为人民币</w:t>
      </w:r>
      <w:r>
        <w:rPr>
          <w:rFonts w:hint="eastAsia" w:ascii="宋体" w:hAnsi="宋体" w:cs="宋体"/>
          <w:color w:val="auto"/>
          <w:highlight w:val="none"/>
          <w:u w:val="single"/>
        </w:rPr>
        <w:t xml:space="preserve">         （大写）（¥          ）</w:t>
      </w:r>
      <w:r>
        <w:rPr>
          <w:rFonts w:hint="eastAsia" w:ascii="宋体" w:hAnsi="宋体" w:cs="宋体"/>
          <w:color w:val="auto"/>
          <w:highlight w:val="none"/>
        </w:rPr>
        <w:t xml:space="preserve">，分项价款在“分项报价表”中有明确规定。总合同价款不超过预算。总合同价款是货物设计、制造、包装、仓储、运输及验收合格之前及保修期内备品备件发生的所有费用。总合同价款还包含乙方应当提供的伴随服务/售后服务费用。</w:t>
      </w:r>
      <w:r>
        <w:rPr>
          <w:rFonts w:hint="eastAsia" w:ascii="宋体" w:hAnsi="宋体" w:cs="宋体"/>
          <w:color w:val="auto"/>
          <w:highlight w:val="none"/>
        </w:rPr>
        <w:t xml:space="preserve">总合同价款为固定总价包干，除双方另有书面约定外，甲方无需支付任何额外费用。</w:t>
      </w:r>
      <w:r/>
    </w:p>
    <w:p>
      <w:pPr>
        <w:ind w:right="-649"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第三条组成本合同的有关文件</w:t>
      </w:r>
      <w:r/>
    </w:p>
    <w:p>
      <w:pPr>
        <w:ind w:right="-649"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下列关于</w:t>
      </w:r>
      <w:r>
        <w:rPr>
          <w:rFonts w:hint="eastAsia" w:ascii="宋体" w:hAnsi="宋体" w:cs="宋体"/>
          <w:color w:val="auto"/>
          <w:szCs w:val="21"/>
          <w:highlight w:val="none"/>
          <w:lang w:eastAsia="zh-CN"/>
        </w:rPr>
        <w:t xml:space="preserve">JSZC-320115-DCZX-G2026-0032</w:t>
      </w:r>
      <w:r>
        <w:rPr>
          <w:rFonts w:hint="eastAsia" w:ascii="宋体" w:hAnsi="宋体" w:cs="宋体"/>
          <w:color w:val="auto"/>
          <w:highlight w:val="none"/>
        </w:rPr>
        <w:t xml:space="preserve">标的采购文件或与本次采购活动方式相适应的文件及有关附件是本合同不可分割的组成部分，与本合同具有同等法律效力，这些文件包括但不限于：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（1）乙方提供的响应文件和报价；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（2）交货地点一览表；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（3）货物质量、质保及服务承诺；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（4）甲乙双方商定的其他文件。</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第四条权利保证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乙方应保证甲方在使用该货物或其任何一部分时不受第三方提出侵犯其专利权、版权、商标权或其他权利的起诉。一旦出现侵权，乙方应承担全部责任。</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第五条质量保证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1.乙方所提供的货物的技术规格应与采购文件规定的技术规格及所附的“技术规格偏离表”相一致；若技术性能无特殊说明，则按国家有关部门最新颁布的标准及规范为准。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3.货物验收后，在质量保证期内，乙方应对由于设计、工艺或材料的缺陷所发生的任何不足或故障负责，所需费用由乙方承担。</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第六条包装要求</w:t>
      </w:r>
      <w:r/>
    </w:p>
    <w:p>
      <w:pPr>
        <w:ind w:firstLine="420"/>
        <w:spacing w:line="360" w:lineRule="auto"/>
        <w:tabs>
          <w:tab w:val="left" w:pos="0" w:leader="none"/>
        </w:tabs>
        <w:rPr>
          <w:rFonts w:hint="eastAsia" w:ascii="宋体" w:hAnsi="宋体" w:cs="宋体"/>
          <w:color w:val="auto"/>
          <w:highlight w:val="none"/>
        </w:rPr>
      </w:pPr>
      <w:r>
        <w:rPr>
          <w:rFonts w:hint="eastAsia" w:ascii="宋体" w:hAnsi="宋体" w:cs="宋体"/>
          <w:color w:val="auto"/>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auto"/>
          <w:highlight w:val="none"/>
        </w:rPr>
        <w:t xml:space="preserve">因此给甲方造成的损失由乙方承担。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2.每一包装单元内应附详细的装箱单和质量合格凭证。</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第七条交货和验收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1.乙方应按照本合同或采购文件及响应文件规定的时间和方式向甲方交付货物，交货地点由甲方指定。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交货时间：</w:t>
      </w:r>
      <w:r>
        <w:rPr>
          <w:rFonts w:hint="eastAsia" w:ascii="宋体" w:hAnsi="宋体" w:cs="宋体"/>
          <w:color w:val="auto"/>
          <w:highlight w:val="none"/>
        </w:rPr>
        <w:t xml:space="preserve">自合同签订后90日内完成供货及验收。乙方预计无法按期完工的，应提前15日提交书面延期申请给甲方，未经甲方书面同意不得顺延工期，若乙方未在工期内完成，由此造成的损失由乙方承担。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交货方式：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交货地点：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乙方交付的货物应当完全符合本合同或者采购文件及响应文件所规定的货物、数量和规格要求。乙方不得少交或多交货物。乙方提供的货物不符合采购文件、响应文件和合同规定的，甲方有权拒收货物，由此引起的风险，由乙方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3.货物的到货验收包括：型号、规格、数量、外观质量及货物包装是否完好。</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乙方应将所提供货物的装箱清单、用户手册、原厂保修卡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甲方应当在到货后的一周内对货物进行验收；需要乙方对货物或系统进行安装调试的，应在本项目施工、安装、调试完毕，甲方接收并全系统正常运行1周后，由甲方组织相关人员进行质量验收。验收合格的，由甲方签署验收单并加盖单位公章。</w:t>
      </w:r>
      <w:r>
        <w:rPr>
          <w:rFonts w:hint="eastAsia" w:ascii="宋体" w:hAnsi="宋体" w:cs="宋体"/>
          <w:color w:val="auto"/>
          <w:highlight w:val="none"/>
        </w:rPr>
        <w:t xml:space="preserve">验收不合格的，乙方应在甲方要求的期限内免费整改；整改后仍不合格的，甲方有权按合同总金额的10%扣减货款或解除合同。</w:t>
      </w:r>
      <w:r>
        <w:rPr>
          <w:rFonts w:hint="eastAsia" w:ascii="宋体" w:hAnsi="宋体" w:cs="宋体"/>
          <w:color w:val="auto"/>
          <w:highlight w:val="none"/>
        </w:rPr>
        <w:t xml:space="preserve">采购文件对检验期限另有规定的，从其规定。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6.货物和系统调试验收的标准：按行业通行标准、厂方出厂标准和乙方响应文件的承诺（详见合同附件载明的标准，并不低于国家相关标准）。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第八条伴随服务／售后服务</w:t>
      </w:r>
      <w:r/>
    </w:p>
    <w:p>
      <w:pPr>
        <w:ind w:firstLine="420"/>
        <w:spacing w:line="360" w:lineRule="auto"/>
        <w:tabs>
          <w:tab w:val="left" w:pos="1620" w:leader="none"/>
        </w:tabs>
        <w:rPr>
          <w:rFonts w:hint="eastAsia" w:ascii="宋体" w:hAnsi="宋体" w:cs="宋体"/>
          <w:color w:val="auto"/>
          <w:highlight w:val="none"/>
        </w:rPr>
      </w:pPr>
      <w:r>
        <w:rPr>
          <w:rFonts w:hint="eastAsia" w:ascii="宋体" w:hAnsi="宋体" w:cs="宋体"/>
          <w:color w:val="auto"/>
          <w:highlight w:val="none"/>
        </w:rPr>
        <w:t xml:space="preserve">1.乙方应按照国家有关法律法规规章和“三包”规定以及合同所附的“服务承诺”提供服务。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2.除前款规定外，乙方还应提供下列服务：</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2.1货物的现场安装、调试和/或启动监督；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2.2就货物的安装、启动、运行及维护等对甲方人员进行免费培训。</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2.3所有产品提供</w:t>
      </w:r>
      <w:r>
        <w:rPr>
          <w:rFonts w:hint="eastAsia" w:ascii="宋体" w:hAnsi="宋体" w:cs="宋体"/>
          <w:color w:val="auto"/>
          <w:highlight w:val="none"/>
          <w:u w:val="single"/>
        </w:rPr>
        <w:t xml:space="preserve">      </w:t>
      </w:r>
      <w:r>
        <w:rPr>
          <w:rFonts w:hint="eastAsia" w:ascii="宋体" w:hAnsi="宋体" w:cs="宋体"/>
          <w:color w:val="auto"/>
          <w:highlight w:val="none"/>
          <w:u w:val="single"/>
        </w:rPr>
        <w:t xml:space="preserve">年的（以乙方投标承诺为准，取较长者）</w:t>
      </w:r>
      <w:r>
        <w:rPr>
          <w:rFonts w:hint="eastAsia" w:ascii="宋体" w:hAnsi="宋体" w:cs="宋体"/>
          <w:color w:val="auto"/>
          <w:highlight w:val="none"/>
        </w:rPr>
        <w:t xml:space="preserve">免费上门质保服务，自验收报告签字确认日起，开始进入质保期。</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3.若采购文件中不包含有关伴随服务或售后服务的承诺，双方作如下约定：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3.2 所购货物按乙方投标承诺提供免费维护和质量保证，保修费用计入总价。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3.3 保修期内，乙方负责对其提供的货物进行维修和系统维护，不再收取任何费用，但不可抗力（如火灾、雷击等）造成的故障除外。</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3.4 货物故障报修的响应时间按乙方投标承诺执行。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3.5 若货物故障在报修24小时内无法及时修复，乙方应在24小时内免费提供不低于故障货物规格型号档次的备用货物供甲方使用，直至故障货物修复。</w:t>
      </w:r>
      <w:r>
        <w:rPr>
          <w:rFonts w:hint="eastAsia" w:ascii="宋体" w:hAnsi="宋体" w:cs="宋体"/>
          <w:color w:val="auto"/>
          <w:highlight w:val="none"/>
        </w:rPr>
        <w:t xml:space="preserve">因备用货物的运输，安装等为了保障甲方正常使用的措施而产生的费用由乙方承担。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3.6 所有货物保修服务方式均为乙方上门保修，即由乙方派员到货物使用现场维修，由此产生的一切费用均由乙方承担。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3.7 保修期后的货物维护由双方协商再定。</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第九条货款支付</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1.本合同项下所有款项均以人民币支付。</w:t>
      </w:r>
      <w:r/>
    </w:p>
    <w:p>
      <w:pPr>
        <w:ind w:firstLine="420"/>
        <w:spacing w:line="360" w:lineRule="auto"/>
        <w:rPr>
          <w:rFonts w:hint="eastAsia" w:ascii="宋体" w:hAnsi="宋体" w:cs="宋体"/>
          <w:color w:val="auto"/>
          <w:szCs w:val="21"/>
          <w:highlight w:val="none"/>
        </w:rPr>
      </w:pPr>
      <w:r>
        <w:rPr>
          <w:rFonts w:hint="eastAsia" w:ascii="宋体" w:hAnsi="宋体" w:cs="宋体"/>
          <w:iCs/>
          <w:color w:val="auto"/>
          <w:highlight w:val="none"/>
        </w:rPr>
        <w:t xml:space="preserve">2.</w:t>
      </w:r>
      <w:r>
        <w:rPr>
          <w:rFonts w:hint="eastAsia" w:ascii="宋体" w:hAnsi="宋体" w:cs="宋体"/>
          <w:bCs/>
          <w:color w:val="auto"/>
          <w:highlight w:val="none"/>
        </w:rPr>
        <w:t xml:space="preserve">本合同项下的采购资金系由甲方支付。</w:t>
      </w:r>
      <w:r>
        <w:rPr>
          <w:rFonts w:hint="eastAsia" w:ascii="宋体" w:hAnsi="宋体" w:cs="宋体"/>
          <w:color w:val="auto"/>
          <w:szCs w:val="21"/>
          <w:highlight w:val="none"/>
        </w:rPr>
        <w:t xml:space="preserve">合同签订生效后，由成交供应商根据以下要求履约实施。</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（1）合同签订且财政资金下达后，甲方经过申报审批后支付合同总价款的30%，作为预付款，乙方向甲方提供相关正式发票等凭据。</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rPr>
        <w:t xml:space="preserve">货物全部送达指定地点，安装调试完毕</w:t>
      </w:r>
      <w:r>
        <w:rPr>
          <w:rFonts w:hint="eastAsia" w:ascii="宋体" w:hAnsi="宋体" w:cs="宋体"/>
          <w:color w:val="auto"/>
          <w:highlight w:val="none"/>
        </w:rPr>
        <w:t xml:space="preserve">，乙方向甲方提供相关供货正式发票等凭据，经甲方验收合格后，甲方支付合同总价款的70%。</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（3）付款期限：满足合同约定支付条件的，采购人收到供应商发票后10个工作日内，将资金支付到合同约定的供应商账户。</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第十条违约责任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1.如乙方不能交付货物，乙方应向甲方支付合同总价5%的违约金。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2.乙方逾期交付货物的，每逾期1天，乙方向甲方偿付逾期交货部分货款总额的5‰的滞纳金。如乙方逾期交货达（30）天，甲方有权解除合同，解除合同的通知自到达乙方时生效。</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3.乙方所交付的货物品种、型号、规格不符合合同规定的，甲方有权拒收。甲方拒收的，乙方应向甲方支付货款总额5%的违约金。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4.在乙方承诺质量保证期内，如经乙方两次维修或更换，货物仍不能达到合同约定的质量标准，甲方有权退货，乙方应退回全部货款，并按第3款处理，同时，乙方还须赔偿甲方因此遭受的损失。</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5.乙方未按本合同的规定和“服务承诺”提供伴随服务/售后服务的，应按合同总价的5%向甲方承担违约责任。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6.乙方在承担上述2-5款一项或多项违约责任后，仍应继续履行合同规定的义务（甲方解除合同除外）。甲方未能及时追究乙方的任何一项违约责任并不表明甲方放弃追究乙方该项或其他违约责任。</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第十一条合同的变更和终止</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除《政府采购法》第49条、第50条第二款规定的情形外，本合同一经签订，甲乙双方不得擅自变更、中止或终止合同。</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第十二条合同的转让</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乙方不得擅自部分或全部转让其应履行的合同义务。</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第十三条争议的解决</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2.因履行本合同引起的或与本合同有关的争议，甲、乙双方应首先通过友好协商解决，如果协商不能解决争议，则采取以下第（1）种方式解决争议：</w:t>
      </w:r>
      <w:r/>
    </w:p>
    <w:p>
      <w:pPr>
        <w:ind w:firstLine="560"/>
        <w:spacing w:line="360" w:lineRule="auto"/>
        <w:rPr>
          <w:rFonts w:hint="eastAsia" w:ascii="宋体" w:hAnsi="宋体" w:cs="宋体"/>
          <w:color w:val="auto"/>
          <w:highlight w:val="none"/>
        </w:rPr>
      </w:pPr>
      <w:r>
        <w:rPr>
          <w:rFonts w:hint="eastAsia" w:ascii="宋体" w:hAnsi="宋体" w:cs="宋体"/>
          <w:color w:val="auto"/>
          <w:highlight w:val="none"/>
        </w:rPr>
        <w:t xml:space="preserve">（1）向甲方所在地有管辖权的人民法院提起诉讼；</w:t>
      </w:r>
      <w:r/>
    </w:p>
    <w:p>
      <w:pPr>
        <w:ind w:firstLine="560"/>
        <w:spacing w:line="360" w:lineRule="auto"/>
        <w:rPr>
          <w:rFonts w:hint="eastAsia" w:ascii="宋体" w:hAnsi="宋体" w:cs="宋体"/>
          <w:color w:val="auto"/>
          <w:highlight w:val="none"/>
        </w:rPr>
      </w:pPr>
      <w:r>
        <w:rPr>
          <w:rFonts w:hint="eastAsia" w:ascii="宋体" w:hAnsi="宋体" w:cs="宋体"/>
          <w:color w:val="auto"/>
          <w:highlight w:val="none"/>
        </w:rPr>
        <w:t xml:space="preserve">（2）向南京市江宁区仲裁委员会按其仲裁规则申请仲裁。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3.在诉讼期间，本合同应继续履行。</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第十四条诚实信用</w:t>
      </w:r>
      <w:r>
        <w:rPr>
          <w:rFonts w:hint="eastAsia" w:ascii="宋体" w:hAnsi="宋体" w:cs="宋体"/>
          <w:b/>
          <w:bCs/>
          <w:color w:val="auto"/>
          <w:highlight w:val="none"/>
        </w:rPr>
        <w:t xml:space="preserve">和知识产权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1.乙方应诚实信用，严格按照采购文件要求和投标承诺履行合同，不向甲方进行商业贿赂或者提供其他不正当利益。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乙方保证其交付的货物及配套软件不侵犯任何第三方的知识产权。如因乙方原因导致甲方被第三方主张侵权的，乙方应承担全部责任，并赔偿甲方因此遭受的全部损失（包括但不限于赔偿金、诉讼费、律师费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3.与本合同货物配套的软件，甲方享有在合同范围内的永久使用权，不受乙方与第三方之间任何协议的限制。</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第十五条合同生效及其他</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1、本合同经双方盖章并经授权代表签字后生效。</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2、本合同一式陆份，甲方贰份，乙方贰份，壹份代理机构存档，壹份报送政府采购监督管理部门备案。</w:t>
      </w:r>
      <w:r/>
    </w:p>
    <w:p>
      <w:pPr>
        <w:ind w:firstLine="42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3、南京东来工程咨询有限公司为甲方的采购代理机构，根据甲方的授权代其采购确定乙方为成交单位，但不承担本合同规定的甲方的权利和义务。</w:t>
      </w:r>
      <w:r/>
    </w:p>
    <w:p>
      <w:pPr>
        <w:spacing w:line="360" w:lineRule="auto"/>
        <w:rPr>
          <w:rFonts w:hint="eastAsia" w:ascii="宋体" w:hAnsi="宋体" w:cs="宋体"/>
          <w:color w:val="auto"/>
          <w:sz w:val="24"/>
          <w:highlight w:val="none"/>
        </w:rPr>
      </w:pPr>
      <w:r>
        <w:rPr>
          <w:rFonts w:hint="eastAsia" w:ascii="宋体" w:hAnsi="宋体" w:cs="宋体"/>
          <w:color w:val="auto"/>
          <w:szCs w:val="21"/>
          <w:highlight w:val="none"/>
        </w:rPr>
        <w:t xml:space="preserve">【以下无正文】</w:t>
      </w:r>
      <w:r/>
    </w:p>
    <w:tbl>
      <w:tblPr>
        <w:tblStyle w:val="72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textDirection w:val="lrTb"/>
            <w:noWrap/>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甲方（采购人）：（盖章）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委托代理人：（签字或盖章）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日期：年  月  日</w:t>
            </w:r>
            <w:r/>
          </w:p>
        </w:tc>
        <w:tc>
          <w:tcPr>
            <w:tcBorders>
              <w:top w:val="none" w:color="000000" w:sz="4" w:space="0"/>
              <w:left w:val="none" w:color="000000" w:sz="4" w:space="0"/>
              <w:bottom w:val="none" w:color="000000" w:sz="4" w:space="0"/>
              <w:right w:val="none" w:color="000000" w:sz="4" w:space="0"/>
            </w:tcBorders>
            <w:tcW w:w="4501" w:type="dxa"/>
            <w:textDirection w:val="lrTb"/>
            <w:noWrap/>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乙方（供应商）：（盖章）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委托代理人：（签字或盖章）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项目负责人：</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电话：</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开户银行：</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账号：</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单位地址：</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日期：年  月  日</w:t>
            </w:r>
            <w:r/>
          </w:p>
        </w:tc>
      </w:tr>
    </w:tbl>
    <w:p>
      <w:pPr>
        <w:ind w:firstLine="56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rPr>
      </w:pPr>
      <w:r/>
      <w:bookmarkStart w:id="133" w:name="_Toc120614284"/>
      <w:r>
        <w:rPr>
          <w:rFonts w:hint="eastAsia" w:ascii="宋体" w:hAnsi="宋体" w:eastAsia="宋体" w:cs="宋体"/>
          <w:color w:val="auto"/>
          <w:sz w:val="28"/>
          <w:szCs w:val="28"/>
          <w:highlight w:val="none"/>
        </w:rPr>
        <w:t xml:space="preserve">一、供应商信用承诺函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w:t>
      </w:r>
      <w:r>
        <w:rPr>
          <w:rFonts w:hint="eastAsia" w:ascii="宋体" w:hAnsi="宋体" w:eastAsia="宋体" w:cs="宋体"/>
          <w:color w:val="auto"/>
          <w:sz w:val="28"/>
          <w:szCs w:val="28"/>
          <w:highlight w:val="none"/>
          <w:lang w:eastAsia="zh-CN"/>
        </w:rPr>
        <w:t xml:space="preserve">南京市政府采购供应商信用承诺书</w:t>
      </w:r>
      <w:r>
        <w:rPr>
          <w:rFonts w:hint="eastAsia" w:ascii="宋体" w:hAnsi="宋体" w:eastAsia="宋体" w:cs="宋体"/>
          <w:color w:val="auto"/>
          <w:sz w:val="28"/>
          <w:szCs w:val="28"/>
          <w:highlight w:val="none"/>
        </w:rPr>
        <w:t xml:space="preserve">》</w:t>
      </w:r>
      <w:r/>
    </w:p>
    <w:p>
      <w:pPr>
        <w:pStyle w:val="749"/>
        <w:rPr>
          <w:rFonts w:hint="eastAsia"/>
          <w:color w:val="auto"/>
          <w:highlight w:val="none"/>
          <w:lang w:eastAsia="zh-CN"/>
        </w:rPr>
      </w:pPr>
      <w:r>
        <w:rPr>
          <w:rFonts w:hint="eastAsia"/>
          <w:color w:val="auto"/>
          <w:highlight w:val="none"/>
          <w:lang w:eastAsia="zh-CN"/>
        </w:rPr>
      </w:r>
      <w:r/>
    </w:p>
    <w:p>
      <w:pPr>
        <w:pStyle w:val="749"/>
        <w:rPr>
          <w:rFonts w:hint="eastAsia"/>
          <w:color w:val="auto"/>
          <w:highlight w:val="none"/>
          <w:lang w:eastAsia="zh-CN"/>
        </w:rPr>
      </w:pPr>
      <w:r>
        <w:rPr>
          <w:rFonts w:hint="eastAsia"/>
          <w:color w:val="auto"/>
          <w:highlight w:val="none"/>
          <w:lang w:eastAsia="zh-CN"/>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2"/>
        <w:rPr>
          <w:rFonts w:hint="eastAsia" w:eastAsia="宋体"/>
          <w:color w:val="auto"/>
          <w:sz w:val="24"/>
          <w:highlight w:val="none"/>
        </w:rPr>
      </w:pPr>
      <w:r>
        <w:rPr>
          <w:rFonts w:hint="eastAsia" w:eastAsia="宋体"/>
          <w:color w:val="auto"/>
          <w:sz w:val="24"/>
          <w:highlight w:val="none"/>
        </w:rPr>
      </w:r>
      <w:r/>
    </w:p>
    <w:p>
      <w:pPr>
        <w:pStyle w:val="912"/>
        <w:rPr>
          <w:rFonts w:hint="eastAsia" w:eastAsia="宋体"/>
          <w:color w:val="auto"/>
          <w:sz w:val="24"/>
          <w:highlight w:val="none"/>
        </w:rPr>
      </w:pPr>
      <w:r>
        <w:rPr>
          <w:rFonts w:hint="eastAsia" w:eastAsia="宋体"/>
          <w:color w:val="auto"/>
          <w:sz w:val="24"/>
          <w:highlight w:val="none"/>
        </w:rPr>
      </w:r>
      <w:r/>
    </w:p>
    <w:p>
      <w:pPr>
        <w:pStyle w:val="912"/>
        <w:rPr>
          <w:rFonts w:hint="eastAsia" w:eastAsia="宋体"/>
          <w:color w:val="auto"/>
          <w:sz w:val="24"/>
          <w:highlight w:val="none"/>
        </w:rPr>
      </w:pPr>
      <w:r>
        <w:rPr>
          <w:rFonts w:hint="eastAsia" w:eastAsia="宋体"/>
          <w:color w:val="auto"/>
          <w:sz w:val="24"/>
          <w:highlight w:val="none"/>
        </w:rPr>
      </w:r>
      <w:r/>
    </w:p>
    <w:p>
      <w:pPr>
        <w:pStyle w:val="912"/>
        <w:rPr>
          <w:rFonts w:hint="eastAsia" w:eastAsia="宋体"/>
          <w:color w:val="auto"/>
          <w:sz w:val="24"/>
          <w:highlight w:val="none"/>
        </w:rPr>
      </w:pPr>
      <w:r>
        <w:rPr>
          <w:rFonts w:hint="eastAsia" w:eastAsia="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南京市江宁区农业农村局：</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91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1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914"/>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4"/>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（投标人名称）</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u w:val="single"/>
        </w:rPr>
        <w:t xml:space="preserve">    （被授权人姓名）</w:t>
      </w:r>
      <w:r>
        <w:rPr>
          <w:rFonts w:hint="eastAsia" w:ascii="宋体" w:hAnsi="宋体" w:eastAsia="宋体" w:cs="宋体"/>
          <w:color w:val="auto"/>
          <w:sz w:val="24"/>
          <w:szCs w:val="24"/>
          <w:highlight w:val="none"/>
        </w:rPr>
        <w:t xml:space="preserve">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914"/>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914"/>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914"/>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914"/>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914"/>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914"/>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4" w:name="_Hlt26671380"/>
      <w:r/>
      <w:bookmarkEnd w:id="134"/>
      <w:r/>
      <w:bookmarkStart w:id="135" w:name="_格式3__银行出具的资信证明"/>
      <w:r/>
      <w:bookmarkEnd w:id="135"/>
      <w:r/>
      <w:bookmarkStart w:id="136" w:name="_Hlt26955070"/>
      <w:r/>
      <w:bookmarkEnd w:id="136"/>
      <w:r/>
      <w:r/>
    </w:p>
    <w:p>
      <w:pPr>
        <w:pStyle w:val="722"/>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722"/>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2"/>
        <w:rPr>
          <w:rFonts w:hint="eastAsia" w:eastAsia="宋体"/>
          <w:bCs/>
          <w:color w:val="auto"/>
          <w:sz w:val="24"/>
          <w:highlight w:val="none"/>
        </w:rPr>
      </w:pPr>
      <w:r>
        <w:rPr>
          <w:rFonts w:hint="eastAsia" w:eastAsia="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b/>
          <w:bCs/>
          <w:color w:val="auto"/>
          <w:szCs w:val="21"/>
          <w:highlight w:val="none"/>
        </w:rPr>
        <w:t xml:space="preserve">南京市江宁区农业农村局</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大型企业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小型企业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微型企业（在对应</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916"/>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916"/>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916"/>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916"/>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916"/>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pStyle w:val="746"/>
        <w:spacing w:before="100" w:after="1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投标人全称（CA公章）：</w:t>
      </w:r>
      <w:r/>
    </w:p>
    <w:p>
      <w:pPr>
        <w:pStyle w:val="746"/>
        <w:spacing w:before="100" w:after="1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项目名称： </w:t>
      </w:r>
      <w:r/>
    </w:p>
    <w:p>
      <w:pPr>
        <w:pStyle w:val="746"/>
        <w:spacing w:before="100" w:after="1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项目编号： </w:t>
      </w:r>
      <w:r/>
    </w:p>
    <w:p>
      <w:pPr>
        <w:pStyle w:val="746"/>
        <w:spacing w:before="100" w:after="1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分包号 ：</w:t>
      </w:r>
      <w:r/>
    </w:p>
    <w:tbl>
      <w:tblPr>
        <w:tblStyle w:val="720"/>
        <w:tblW w:w="99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0"/>
        <w:gridCol w:w="4950"/>
      </w:tblGrid>
      <w:tr>
        <w:trPr>
          <w:cantSplit/>
          <w:trHeight w:val="724"/>
        </w:trPr>
        <w:tc>
          <w:tcPr>
            <w:tcW w:w="4950" w:type="dxa"/>
            <w:vAlign w:val="center"/>
            <w:textDirection w:val="lrTb"/>
            <w:noWrap w:val="false"/>
          </w:tcPr>
          <w:p>
            <w:pPr>
              <w:pStyle w:val="746"/>
              <w:jc w:val="center"/>
              <w:spacing w:before="100" w:after="100"/>
              <w:rPr>
                <w:rFonts w:hint="eastAsia" w:ascii="宋体" w:hAnsi="宋体" w:eastAsia="宋体" w:cs="宋体"/>
                <w:color w:val="auto"/>
                <w:sz w:val="24"/>
                <w:szCs w:val="24"/>
                <w:highlight w:val="none"/>
                <w:lang w:eastAsia="en-US"/>
              </w:rPr>
            </w:pPr>
            <w:r>
              <w:rPr>
                <w:rFonts w:ascii="宋体" w:hAnsi="宋体" w:eastAsia="宋体" w:cs="宋体"/>
                <w:color w:val="auto"/>
                <w:sz w:val="24"/>
                <w:szCs w:val="24"/>
                <w:highlight w:val="none"/>
              </w:rPr>
              <w:t xml:space="preserve">投标货物名称</w:t>
            </w:r>
            <w:r/>
          </w:p>
        </w:tc>
        <w:tc>
          <w:tcPr>
            <w:tcW w:w="4950" w:type="dxa"/>
            <w:vAlign w:val="center"/>
            <w:textDirection w:val="lrTb"/>
            <w:noWrap w:val="false"/>
          </w:tcPr>
          <w:p>
            <w:pPr>
              <w:pStyle w:val="746"/>
              <w:jc w:val="center"/>
              <w:spacing w:before="100" w:after="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cantSplit/>
          <w:trHeight w:val="729"/>
        </w:trPr>
        <w:tc>
          <w:tcPr>
            <w:tcW w:w="4950" w:type="dxa"/>
            <w:vAlign w:val="center"/>
            <w:textDirection w:val="lrTb"/>
            <w:noWrap w:val="false"/>
          </w:tcPr>
          <w:p>
            <w:pPr>
              <w:pStyle w:val="916"/>
              <w:ind w:firstLine="0"/>
              <w:spacing w:before="0" w:after="0" w:line="500" w:lineRule="exact"/>
              <w:widowControl w:val="off"/>
              <w:rPr>
                <w:rFonts w:hint="eastAsia" w:ascii="宋体" w:hAnsi="宋体" w:eastAsia="宋体" w:cs="宋体"/>
                <w:color w:val="auto"/>
                <w:szCs w:val="21"/>
                <w:highlight w:val="none"/>
                <w:lang w:eastAsia="en-US"/>
              </w:rPr>
            </w:pPr>
            <w:r>
              <w:rPr>
                <w:rFonts w:ascii="宋体" w:hAnsi="宋体" w:eastAsia="宋体" w:cs="宋体"/>
                <w:color w:val="auto"/>
                <w:highlight w:val="none"/>
              </w:rPr>
              <w:t xml:space="preserve">投标产品名称</w:t>
            </w:r>
            <w:r/>
          </w:p>
        </w:tc>
        <w:tc>
          <w:tcPr>
            <w:tcW w:w="4950" w:type="dxa"/>
            <w:vAlign w:val="center"/>
            <w:textDirection w:val="lrTb"/>
            <w:noWrap w:val="false"/>
          </w:tcPr>
          <w:p>
            <w:pPr>
              <w:pStyle w:val="916"/>
              <w:ind w:firstLine="2702"/>
              <w:spacing w:before="0" w:after="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年  月  日</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720"/>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Cs w:val="21"/>
                <w:highlight w:val="none"/>
                <w:lang w:val="zh-CN" w:eastAsia="en-US"/>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158" w:type="dxa"/>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601" w:type="dxa"/>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158" w:type="dxa"/>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c>
          <w:tcPr>
            <w:tcBorders>
              <w:left w:val="single" w:color="000000" w:sz="4" w:space="0"/>
              <w:right w:val="single" w:color="000000" w:sz="4" w:space="0"/>
            </w:tcBorders>
            <w:tcW w:w="2601" w:type="dxa"/>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rPr>
            </w:pPr>
            <w:r>
              <w:rPr>
                <w:rFonts w:hint="eastAsia" w:ascii="宋体" w:hAnsi="宋体" w:eastAsia="宋体" w:cs="宋体"/>
                <w:color w:val="auto"/>
                <w:sz w:val="24"/>
                <w:szCs w:val="24"/>
                <w:highlight w:val="none"/>
                <w:lang w:val="zh-CN" w:eastAsia="en-US"/>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2.行数不够，可自行添加。</w: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投标分项报价表</w:t>
      </w:r>
      <w:r/>
    </w:p>
    <w:tbl>
      <w:tblPr>
        <w:tblStyle w:val="720"/>
        <w:tblW w:w="10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6"/>
        <w:gridCol w:w="2509"/>
        <w:gridCol w:w="1170"/>
        <w:gridCol w:w="1316"/>
        <w:gridCol w:w="1391"/>
        <w:gridCol w:w="1475"/>
      </w:tblGrid>
      <w:tr>
        <w:trPr>
          <w:cantSplit/>
          <w:trHeight w:val="551"/>
        </w:trPr>
        <w:tc>
          <w:tcPr>
            <w:tcW w:w="759" w:type="dxa"/>
            <w:vAlign w:val="center"/>
            <w:vMerge w:val="restart"/>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76"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09"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70"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16"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391"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75"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cantSplit/>
          <w:trHeight w:val="628"/>
        </w:trPr>
        <w:tc>
          <w:tcPr>
            <w:tcW w:w="759" w:type="dxa"/>
            <w:vAlign w:val="center"/>
            <w:vMerge w:val="continue"/>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2509"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品牌、规格或型号</w:t>
            </w:r>
            <w:r/>
          </w:p>
        </w:tc>
        <w:tc>
          <w:tcPr>
            <w:tcW w:w="1170"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1316"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91"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475"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rPr>
                <w:rFonts w:hint="eastAsia" w:ascii="宋体" w:hAnsi="宋体" w:cs="宋体"/>
                <w:color w:val="auto"/>
                <w:sz w:val="24"/>
                <w:szCs w:val="24"/>
                <w:highlight w:val="none"/>
              </w:rPr>
              <w:t xml:space="preserve">（元）</w:t>
            </w:r>
            <w:r/>
          </w:p>
        </w:tc>
      </w:tr>
      <w:tr>
        <w:trPr>
          <w:cantSplit/>
          <w:trHeight w:val="1633"/>
        </w:trPr>
        <w:tc>
          <w:tcPr>
            <w:tcW w:w="759"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76" w:type="dxa"/>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c>
          <w:tcPr>
            <w:tcW w:w="2509"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0"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6" w:type="dxa"/>
            <w:vAlign w:val="center"/>
            <w:textDirection w:val="lrTb"/>
            <w:noWrap/>
          </w:tcPr>
          <w:p>
            <w:pPr>
              <w:jc w:val="center"/>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 </w:t>
            </w:r>
            <w:r/>
          </w:p>
        </w:tc>
        <w:tc>
          <w:tcPr>
            <w:tcW w:w="1391" w:type="dxa"/>
            <w:vAlign w:val="center"/>
            <w:textDirection w:val="lrTb"/>
            <w:noWrap/>
          </w:tcPr>
          <w:p>
            <w:pPr>
              <w:jc w:val="center"/>
              <w:spacing w:line="360" w:lineRule="auto"/>
              <w:rPr>
                <w:rFonts w:hint="default" w:ascii="宋体" w:hAnsi="宋体" w:eastAsia="宋体" w:cs="宋体"/>
                <w:bCs/>
                <w:color w:val="auto"/>
                <w:szCs w:val="21"/>
                <w:highlight w:val="none"/>
                <w:lang w:val="en-US"/>
              </w:rPr>
            </w:pPr>
            <w:r>
              <w:rPr>
                <w:rFonts w:hint="default" w:ascii="宋体" w:hAnsi="宋体" w:eastAsia="宋体" w:cs="宋体"/>
                <w:bCs/>
                <w:color w:val="auto"/>
                <w:szCs w:val="21"/>
                <w:highlight w:val="none"/>
                <w:lang w:val="en-US"/>
              </w:rPr>
            </w:r>
            <w:r/>
          </w:p>
        </w:tc>
        <w:tc>
          <w:tcPr>
            <w:tcW w:w="1475"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0"/>
        </w:trPr>
        <w:tc>
          <w:tcPr>
            <w:gridSpan w:val="6"/>
            <w:tcW w:w="8821"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投标总价</w:t>
            </w:r>
            <w:r/>
          </w:p>
        </w:tc>
        <w:tc>
          <w:tcPr>
            <w:tcW w:w="1475" w:type="dxa"/>
            <w:vAlign w:val="center"/>
            <w:textDirection w:val="lrTb"/>
            <w:noWrap/>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2.“投标分项报价表”中“投标总价”应当与“开标一览表”中“投标总价”一致。</w:t>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3.供应商所投产品须与“第四章-产品清单”中的产品一一对应，如有缺项、漏项或者超出报价上限的，视为无效投标。</w:t>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720"/>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W w:w="1768"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招标文件要求</w:t>
            </w:r>
            <w:r/>
          </w:p>
        </w:tc>
        <w:tc>
          <w:tcPr>
            <w:tcW w:w="1809"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投标响应情况</w:t>
            </w:r>
            <w:r/>
          </w:p>
        </w:tc>
        <w:tc>
          <w:tcPr>
            <w:tcW w:w="1770"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正偏离、无偏离或负偏离</w:t>
            </w:r>
            <w:r/>
          </w:p>
        </w:tc>
        <w:tc>
          <w:tcPr>
            <w:tcW w:w="2755"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证明材料在投标文件中页码及条款号</w:t>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1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74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2.技术参数及要求</w:t>
      </w:r>
      <w:r>
        <w:rPr>
          <w:rFonts w:hint="eastAsia" w:ascii="宋体" w:hAnsi="宋体" w:eastAsia="宋体" w:cs="宋体"/>
          <w:color w:val="auto"/>
          <w:szCs w:val="21"/>
          <w:highlight w:val="none"/>
        </w:rPr>
        <w:t xml:space="preserve">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720"/>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52" w:type="dxa"/>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74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11"/>
        <w:rPr>
          <w:rFonts w:hint="eastAsia" w:ascii="宋体" w:hAnsi="宋体" w:eastAsia="宋体"/>
          <w:color w:val="auto"/>
          <w:sz w:val="32"/>
          <w:szCs w:val="32"/>
          <w:highlight w:val="none"/>
          <w:lang w:val="en-US"/>
        </w:rPr>
      </w:pPr>
      <w:r>
        <w:rPr>
          <w:rFonts w:hint="eastAsia" w:ascii="宋体" w:hAnsi="宋体" w:eastAsia="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pStyle w:val="746"/>
        <w:ind w:firstLine="240"/>
        <w:jc w:val="center"/>
        <w:spacing w:beforeAutospacing="0" w:afterAutospacing="0" w:line="0" w:lineRule="atLeast"/>
        <w:widowControl w:val="off"/>
        <w:rPr>
          <w:color w:val="auto"/>
          <w:highlight w:val="none"/>
        </w:rPr>
      </w:pPr>
      <w:r>
        <w:rPr>
          <w:rFonts w:hint="eastAsia" w:ascii="宋体" w:hAnsi="宋体" w:eastAsia="宋体" w:cs="宋体"/>
          <w:b/>
          <w:bCs/>
          <w:color w:val="auto"/>
          <w:sz w:val="24"/>
          <w:szCs w:val="24"/>
          <w:highlight w:val="none"/>
        </w:rPr>
        <w:t xml:space="preserve">中小微企业声明函（货物类项目）（采购包号：**）</w:t>
      </w:r>
      <w:r/>
    </w:p>
    <w:p>
      <w:pPr>
        <w:pStyle w:val="746"/>
        <w:ind w:firstLine="240"/>
        <w:jc w:val="center"/>
        <w:spacing w:beforeAutospacing="0" w:afterAutospacing="0" w:line="0" w:lineRule="atLeast"/>
        <w:widowControl w:val="off"/>
        <w:rPr>
          <w:color w:val="auto"/>
          <w:highlight w:val="none"/>
        </w:rPr>
      </w:pPr>
      <w:r>
        <w:rPr>
          <w:color w:val="auto"/>
          <w:highlight w:val="none"/>
        </w:rPr>
        <w:t xml:space="preserve"> </w:t>
      </w:r>
      <w:r/>
    </w:p>
    <w:p>
      <w:pPr>
        <w:pStyle w:val="746"/>
        <w:ind w:firstLine="360"/>
        <w:jc w:val="both"/>
        <w:spacing w:beforeAutospacing="0" w:afterAutospacing="0" w:line="360" w:lineRule="auto"/>
        <w:widowControl w:val="off"/>
        <w:rPr>
          <w:color w:val="auto"/>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pStyle w:val="746"/>
        <w:ind w:firstLine="360"/>
        <w:jc w:val="both"/>
        <w:spacing w:beforeAutospacing="0" w:afterAutospacing="0" w:line="360" w:lineRule="auto"/>
        <w:widowControl w:val="off"/>
        <w:rPr>
          <w:color w:val="auto"/>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pStyle w:val="746"/>
        <w:ind w:firstLine="360"/>
        <w:jc w:val="both"/>
        <w:spacing w:beforeAutospacing="0" w:afterAutospacing="0" w:line="360" w:lineRule="auto"/>
        <w:widowControl w:val="off"/>
        <w:rPr>
          <w:color w:val="auto"/>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pStyle w:val="746"/>
        <w:ind w:firstLine="360"/>
        <w:jc w:val="both"/>
        <w:spacing w:beforeAutospacing="0" w:afterAutospacing="0" w:line="360" w:lineRule="auto"/>
        <w:widowControl w:val="off"/>
        <w:rPr>
          <w:color w:val="auto"/>
          <w:highlight w:val="none"/>
        </w:rPr>
      </w:pPr>
      <w:r>
        <w:rPr>
          <w:rFonts w:hint="eastAsia" w:ascii="宋体" w:hAnsi="宋体" w:eastAsia="宋体" w:cs="宋体"/>
          <w:color w:val="auto"/>
          <w:sz w:val="24"/>
          <w:szCs w:val="24"/>
          <w:highlight w:val="none"/>
        </w:rPr>
        <w:t xml:space="preserve">……</w:t>
      </w:r>
      <w:r/>
    </w:p>
    <w:p>
      <w:pPr>
        <w:pStyle w:val="746"/>
        <w:ind w:firstLine="360"/>
        <w:jc w:val="both"/>
        <w:spacing w:beforeAutospacing="0" w:afterAutospacing="0" w:line="360" w:lineRule="auto"/>
        <w:widowControl w:val="off"/>
        <w:rPr>
          <w:color w:val="auto"/>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46"/>
        <w:ind w:firstLine="360"/>
        <w:jc w:val="both"/>
        <w:spacing w:beforeAutospacing="0" w:afterAutospacing="0" w:line="360" w:lineRule="auto"/>
        <w:widowControl w:val="off"/>
        <w:rPr>
          <w:color w:val="auto"/>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46"/>
        <w:ind w:right="720"/>
        <w:jc w:val="both"/>
        <w:spacing w:beforeAutospacing="0" w:afterAutospacing="0" w:line="360" w:lineRule="auto"/>
        <w:widowControl w:val="off"/>
        <w:rPr>
          <w:color w:val="auto"/>
          <w:highlight w:val="none"/>
        </w:rPr>
      </w:pPr>
      <w:r>
        <w:rPr>
          <w:color w:val="auto"/>
          <w:highlight w:val="none"/>
        </w:rPr>
        <w:t xml:space="preserve"> </w:t>
      </w:r>
      <w:r/>
    </w:p>
    <w:p>
      <w:pPr>
        <w:pStyle w:val="746"/>
        <w:ind w:right="180" w:firstLine="360"/>
        <w:jc w:val="center"/>
        <w:spacing w:beforeAutospacing="0" w:afterAutospacing="0" w:line="360" w:lineRule="auto"/>
        <w:widowControl w:val="off"/>
        <w:rPr>
          <w:color w:val="auto"/>
          <w:highlight w:val="none"/>
        </w:rPr>
      </w:pPr>
      <w:r>
        <w:rPr>
          <w:rFonts w:hint="eastAsia" w:ascii="宋体" w:hAnsi="宋体" w:eastAsia="宋体" w:cs="宋体"/>
          <w:color w:val="auto"/>
          <w:sz w:val="24"/>
          <w:szCs w:val="24"/>
          <w:highlight w:val="none"/>
        </w:rPr>
        <w:t xml:space="preserve">         企业名称（加盖CA电子公章）：</w:t>
      </w:r>
      <w:r/>
    </w:p>
    <w:p>
      <w:pPr>
        <w:pStyle w:val="746"/>
        <w:ind w:right="480" w:firstLine="4560"/>
        <w:jc w:val="both"/>
        <w:spacing w:beforeAutospacing="0" w:afterAutospacing="0" w:line="360" w:lineRule="auto"/>
        <w:widowControl w:val="off"/>
        <w:rPr>
          <w:color w:val="auto"/>
          <w:highlight w:val="none"/>
        </w:rPr>
      </w:pPr>
      <w:r>
        <w:rPr>
          <w:rFonts w:hint="eastAsia" w:ascii="宋体" w:hAnsi="宋体" w:eastAsia="宋体" w:cs="宋体"/>
          <w:color w:val="auto"/>
          <w:sz w:val="24"/>
          <w:szCs w:val="24"/>
          <w:highlight w:val="none"/>
        </w:rPr>
        <w:t xml:space="preserve">日  期：___年____月____日</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746"/>
        <w:ind w:firstLine="480"/>
        <w:jc w:val="both"/>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pStyle w:val="746"/>
        <w:ind w:firstLine="480"/>
        <w:jc w:val="both"/>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746"/>
        <w:ind w:firstLine="480"/>
        <w:jc w:val="both"/>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46"/>
        <w:ind w:firstLine="480"/>
        <w:jc w:val="both"/>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3.供应商应对照《工业和信息化部、国家统计局、国家发展和改革委员会、</w:t>
      </w:r>
      <w:r/>
    </w:p>
    <w:p>
      <w:pPr>
        <w:pStyle w:val="746"/>
        <w:ind w:firstLine="480"/>
        <w:jc w:val="both"/>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49"/>
        <w:rPr>
          <w:rFonts w:hint="eastAsia"/>
          <w:color w:val="auto"/>
          <w:highlight w:val="none"/>
          <w:lang w:eastAsia="zh-CN"/>
        </w:rPr>
      </w:pPr>
      <w:r>
        <w:rPr>
          <w:rFonts w:hint="eastAsia"/>
          <w:color w:val="auto"/>
          <w:highlight w:val="none"/>
          <w:lang w:eastAsia="zh-CN"/>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911"/>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12"/>
        <w:rPr>
          <w:rFonts w:hint="eastAsia" w:eastAsia="宋体"/>
          <w:color w:val="auto"/>
          <w:highlight w:val="none"/>
        </w:rPr>
      </w:pPr>
      <w:r>
        <w:rPr>
          <w:rFonts w:hint="eastAsia" w:eastAsia="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49"/>
        <w:rPr>
          <w:rFonts w:hint="eastAsia"/>
          <w:color w:val="auto"/>
          <w:highlight w:val="none"/>
          <w:lang w:eastAsia="zh-CN"/>
        </w:rPr>
      </w:pPr>
      <w:r>
        <w:rPr>
          <w:rFonts w:hint="eastAsia"/>
          <w:color w:val="auto"/>
          <w:highlight w:val="none"/>
          <w:lang w:eastAsia="zh-CN"/>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749"/>
        <w:ind w:firstLine="480"/>
        <w:rPr>
          <w:rFonts w:hint="eastAsia" w:eastAsia="宋体" w:cs="宋体"/>
          <w:color w:val="auto"/>
          <w:sz w:val="24"/>
          <w:highlight w:val="none"/>
          <w:lang w:eastAsia="zh-CN"/>
        </w:rPr>
      </w:pPr>
      <w:r>
        <w:rPr>
          <w:rFonts w:hint="eastAsia"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74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1.</w:t>
      </w:r>
      <w:r>
        <w:rPr>
          <w:rStyle w:val="752"/>
          <w:rFonts w:hint="eastAsia" w:ascii="宋体" w:hAnsi="宋体" w:eastAsia="宋体" w:cs="宋体"/>
          <w:i w:val="0"/>
          <w:color w:val="auto"/>
          <w:highlight w:val="none"/>
          <w:u w:val="single"/>
          <w:shd w:val="clear" w:color="auto" w:fill="ffffff"/>
        </w:rPr>
        <w:t xml:space="preserve">（产品名称1）</w:t>
      </w:r>
      <w:r>
        <w:rPr>
          <w:rStyle w:val="752"/>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752"/>
          <w:rFonts w:hint="eastAsia" w:ascii="宋体" w:hAnsi="宋体" w:eastAsia="宋体" w:cs="宋体"/>
          <w:i w:val="0"/>
          <w:color w:val="auto"/>
          <w:highlight w:val="none"/>
          <w:u w:val="single"/>
          <w:shd w:val="clear" w:color="auto" w:fill="ffffff"/>
        </w:rPr>
        <w:t xml:space="preserve">（厂名）</w:t>
      </w:r>
      <w:r>
        <w:rPr>
          <w:rStyle w:val="752"/>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52"/>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52"/>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的中国境内生产的组件成本占比≥</w:t>
      </w:r>
      <w:r>
        <w:rPr>
          <w:rStyle w:val="752"/>
          <w:rFonts w:hint="eastAsia" w:ascii="宋体" w:hAnsi="宋体" w:eastAsia="宋体" w:cs="宋体"/>
          <w:i w:val="0"/>
          <w:color w:val="auto"/>
          <w:highlight w:val="none"/>
          <w:u w:val="single"/>
          <w:shd w:val="clear" w:color="auto" w:fill="ffffff"/>
        </w:rPr>
        <w:t xml:space="preserve">（规定比例）</w:t>
      </w:r>
      <w:r>
        <w:rPr>
          <w:rStyle w:val="752"/>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52"/>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52"/>
          <w:rFonts w:hint="eastAsia" w:ascii="宋体" w:hAnsi="宋体" w:eastAsia="宋体" w:cs="宋体"/>
          <w:i w:val="0"/>
          <w:color w:val="auto"/>
          <w:highlight w:val="none"/>
          <w:u w:val="single"/>
          <w:shd w:val="clear" w:color="auto" w:fill="ffffff"/>
        </w:rPr>
        <w:t xml:space="preserve">（关键组件）</w:t>
      </w:r>
      <w:r>
        <w:rPr>
          <w:rStyle w:val="752"/>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52"/>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52"/>
          <w:rFonts w:hint="eastAsia" w:ascii="宋体" w:hAnsi="宋体" w:eastAsia="宋体" w:cs="宋体"/>
          <w:i w:val="0"/>
          <w:color w:val="auto"/>
          <w:highlight w:val="none"/>
          <w:u w:val="single"/>
          <w:shd w:val="clear" w:color="auto" w:fill="ffffff"/>
        </w:rPr>
        <w:t xml:space="preserve">（关键工序）</w:t>
      </w:r>
      <w:r>
        <w:rPr>
          <w:rStyle w:val="752"/>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4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2.</w:t>
      </w:r>
      <w:r>
        <w:rPr>
          <w:rStyle w:val="752"/>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52"/>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52"/>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52"/>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52"/>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52"/>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52"/>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52"/>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52"/>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46"/>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746"/>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Style w:val="752"/>
          <w:rFonts w:hint="eastAsia" w:ascii="宋体" w:hAnsi="宋体" w:eastAsia="宋体" w:cs="宋体"/>
          <w:color w:val="auto"/>
          <w:highlight w:val="none"/>
          <w:vertAlign w:val="superscript"/>
        </w:rPr>
        <w:t xml:space="preserve">6</w:t>
      </w:r>
      <w:r/>
    </w:p>
    <w:p>
      <w:pPr>
        <w:pStyle w:val="74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46"/>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46"/>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746"/>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746"/>
        <w:ind w:firstLine="420"/>
        <w:spacing w:before="24" w:beforeAutospacing="0" w:after="24" w:afterAutospacing="0"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1.产品如有型号，请在“产品名称”栏一并填写。</w:t>
      </w:r>
      <w:r/>
    </w:p>
    <w:p>
      <w:pPr>
        <w:pStyle w:val="746"/>
        <w:ind w:firstLine="420"/>
        <w:spacing w:before="24" w:beforeAutospacing="0" w:after="24" w:afterAutospacing="0"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2.生产厂名与厂址应与生产厂营业执照载明的相关信息保持一致。</w:t>
      </w:r>
      <w:r/>
    </w:p>
    <w:p>
      <w:pPr>
        <w:pStyle w:val="746"/>
        <w:ind w:firstLine="420"/>
        <w:spacing w:before="24" w:beforeAutospacing="0" w:after="24" w:afterAutospacing="0" w:line="360" w:lineRule="auto"/>
        <w:shd w:val="clear" w:color="auto" w:fill="ffff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shd w:val="clear" w:color="auto" w:fill="ffffff"/>
        </w:rPr>
        <w:t xml:space="preserve">3.该产品的中国境内生产的组件成本占比相关要求实施前，“规定比例”栏可不填。</w:t>
      </w:r>
      <w:r/>
    </w:p>
    <w:p>
      <w:pPr>
        <w:pStyle w:val="746"/>
        <w:ind w:firstLine="420"/>
        <w:spacing w:before="24" w:beforeAutospacing="0" w:after="24" w:afterAutospacing="0" w:line="360" w:lineRule="auto"/>
        <w:shd w:val="clear" w:color="auto" w:fill="ffffff"/>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4.该产品的关键组件要求实施前，“关键组件”栏可不填。</w:t>
      </w:r>
      <w:r/>
    </w:p>
    <w:p>
      <w:pPr>
        <w:pStyle w:val="746"/>
        <w:ind w:firstLine="420"/>
        <w:spacing w:before="24" w:beforeAutospacing="0" w:after="24" w:afterAutospacing="0" w:line="360" w:lineRule="auto"/>
        <w:shd w:val="clear" w:color="auto" w:fill="ffffff"/>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5.该产品的关键工序要求实施前，“关键工序”栏可不填。</w:t>
      </w:r>
      <w:r/>
    </w:p>
    <w:p>
      <w:pPr>
        <w:pStyle w:val="746"/>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r/>
      <w:r/>
    </w:p>
    <w:p>
      <w:pPr>
        <w:pStyle w:val="749"/>
        <w:ind w:left="420" w:firstLine="0"/>
        <w:rPr>
          <w:rFonts w:hint="eastAsia" w:eastAsia="宋体" w:cs="宋体"/>
          <w:color w:val="auto"/>
          <w:sz w:val="32"/>
          <w:szCs w:val="32"/>
          <w:highlight w:val="none"/>
          <w:lang w:eastAsia="zh-CN"/>
        </w:rPr>
      </w:pPr>
      <w:r>
        <w:rPr>
          <w:rFonts w:hint="eastAsia" w:eastAsia="宋体" w:cs="宋体"/>
          <w:color w:val="auto"/>
          <w:sz w:val="32"/>
          <w:szCs w:val="32"/>
          <w:highlight w:val="none"/>
          <w:lang w:eastAsia="zh-CN"/>
        </w:rPr>
        <w:t xml:space="preserve">十四、《南京市政府采购供应商信用承诺书》</w:t>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750"/>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jc w:val="center"/>
        <w:rPr>
          <w:rFonts w:hint="eastAsia" w:eastAsia="宋体"/>
          <w:color w:val="auto"/>
          <w:highlight w:val="none"/>
          <w:lang w:val="en-US" w:eastAsia="zh-CN"/>
        </w:rPr>
      </w:pPr>
      <w:r>
        <w:rPr>
          <w:rFonts w:hint="eastAsia" w:eastAsia="宋体"/>
          <w:color w:val="auto"/>
          <w:highlight w:val="none"/>
          <w:lang w:val="en-US" w:eastAsia="zh-CN"/>
        </w:rPr>
      </w:r>
      <w:r/>
    </w:p>
    <w:p>
      <w:pPr>
        <w:pStyle w:val="749"/>
        <w:ind w:left="420" w:firstLine="0"/>
        <w:rPr>
          <w:rFonts w:hint="eastAsia" w:eastAsia="宋体" w:cs="宋体"/>
          <w:color w:val="auto"/>
          <w:sz w:val="32"/>
          <w:szCs w:val="32"/>
          <w:highlight w:val="none"/>
          <w:lang w:eastAsia="zh-CN"/>
        </w:rPr>
      </w:pPr>
      <w:r>
        <w:rPr>
          <w:rFonts w:hint="eastAsia" w:eastAsia="宋体" w:cs="宋体"/>
          <w:color w:val="auto"/>
          <w:sz w:val="32"/>
          <w:szCs w:val="32"/>
          <w:highlight w:val="none"/>
          <w:lang w:eastAsia="zh-CN"/>
        </w:rPr>
      </w:r>
      <w:r/>
    </w:p>
    <w:p>
      <w:pPr>
        <w:pStyle w:val="749"/>
        <w:ind w:left="420" w:firstLine="0"/>
        <w:rPr>
          <w:rFonts w:hint="eastAsia" w:eastAsia="宋体" w:cs="宋体"/>
          <w:color w:val="auto"/>
          <w:sz w:val="32"/>
          <w:szCs w:val="32"/>
          <w:highlight w:val="none"/>
          <w:lang w:eastAsia="zh-CN"/>
        </w:rPr>
      </w:pPr>
      <w:r>
        <w:rPr>
          <w:rFonts w:hint="eastAsia" w:eastAsia="宋体" w:cs="宋体"/>
          <w:color w:val="auto"/>
          <w:sz w:val="32"/>
          <w:szCs w:val="32"/>
          <w:highlight w:val="none"/>
          <w:lang w:eastAsia="zh-CN"/>
        </w:rPr>
      </w:r>
      <w:r/>
    </w:p>
    <w:p>
      <w:pPr>
        <w:pStyle w:val="749"/>
        <w:ind w:left="420" w:firstLine="0"/>
        <w:rPr>
          <w:rFonts w:hint="eastAsia" w:eastAsia="宋体" w:cs="宋体"/>
          <w:color w:val="auto"/>
          <w:sz w:val="32"/>
          <w:szCs w:val="32"/>
          <w:highlight w:val="none"/>
          <w:lang w:eastAsia="zh-CN"/>
        </w:rPr>
      </w:pPr>
      <w:r>
        <w:rPr>
          <w:rFonts w:hint="eastAsia" w:eastAsia="宋体" w:cs="宋体"/>
          <w:color w:val="auto"/>
          <w:sz w:val="32"/>
          <w:szCs w:val="32"/>
          <w:highlight w:val="none"/>
          <w:lang w:eastAsia="zh-CN"/>
        </w:rPr>
      </w:r>
      <w:r/>
    </w:p>
    <w:p>
      <w:pPr>
        <w:pStyle w:val="749"/>
        <w:ind w:left="420" w:firstLine="0"/>
        <w:rPr>
          <w:rFonts w:hint="eastAsia" w:eastAsia="宋体" w:cs="宋体"/>
          <w:color w:val="auto"/>
          <w:sz w:val="32"/>
          <w:szCs w:val="32"/>
          <w:highlight w:val="none"/>
          <w:lang w:eastAsia="zh-CN"/>
        </w:rPr>
      </w:pPr>
      <w:r>
        <w:rPr>
          <w:rFonts w:hint="eastAsia" w:eastAsia="宋体" w:cs="宋体"/>
          <w:color w:val="auto"/>
          <w:sz w:val="32"/>
          <w:szCs w:val="32"/>
          <w:highlight w:val="none"/>
          <w:lang w:eastAsia="zh-CN"/>
        </w:rPr>
      </w:r>
      <w:r/>
    </w:p>
    <w:p>
      <w:pPr>
        <w:pStyle w:val="749"/>
        <w:ind w:left="420" w:firstLine="0"/>
        <w:rPr>
          <w:rFonts w:hint="eastAsia" w:eastAsia="宋体" w:cs="宋体"/>
          <w:color w:val="auto"/>
          <w:sz w:val="32"/>
          <w:szCs w:val="32"/>
          <w:highlight w:val="none"/>
          <w:lang w:eastAsia="zh-CN"/>
        </w:rPr>
      </w:pPr>
      <w:r>
        <w:rPr>
          <w:rFonts w:hint="eastAsia" w:eastAsia="宋体" w:cs="宋体"/>
          <w:color w:val="auto"/>
          <w:sz w:val="32"/>
          <w:szCs w:val="32"/>
          <w:highlight w:val="none"/>
          <w:lang w:eastAsia="zh-CN"/>
        </w:rPr>
      </w:r>
      <w:r/>
    </w:p>
    <w:p>
      <w:pPr>
        <w:pStyle w:val="749"/>
        <w:ind w:left="420" w:firstLine="0"/>
        <w:rPr>
          <w:rFonts w:hint="eastAsia" w:eastAsia="宋体" w:cs="宋体"/>
          <w:color w:val="auto"/>
          <w:sz w:val="32"/>
          <w:szCs w:val="32"/>
          <w:highlight w:val="none"/>
          <w:lang w:eastAsia="zh-CN"/>
        </w:rPr>
      </w:pPr>
      <w:r>
        <w:rPr>
          <w:rFonts w:hint="eastAsia" w:eastAsia="宋体" w:cs="宋体"/>
          <w:color w:val="auto"/>
          <w:sz w:val="32"/>
          <w:szCs w:val="32"/>
          <w:highlight w:val="none"/>
          <w:lang w:eastAsia="zh-CN"/>
        </w:rPr>
        <w:t xml:space="preserve">十五、</w:t>
      </w:r>
      <w:bookmarkStart w:id="137" w:name="OLE_LINK28"/>
      <w:r>
        <w:rPr>
          <w:rFonts w:hint="eastAsia" w:eastAsia="宋体" w:cs="宋体"/>
          <w:color w:val="auto"/>
          <w:sz w:val="32"/>
          <w:szCs w:val="32"/>
          <w:highlight w:val="none"/>
          <w:lang w:val="zh-CN" w:eastAsia="zh-CN"/>
        </w:rPr>
        <w:t xml:space="preserve">供应商认为需要提供的其他技术文件或资料</w:t>
      </w:r>
      <w:bookmarkEnd w:id="137"/>
      <w:r/>
      <w:r/>
    </w:p>
    <w:sectPr>
      <w:footerReference w:type="default" r:id="rId9"/>
      <w:footnotePr/>
      <w:endnotePr/>
      <w:type w:val="nextPage"/>
      <w:pgSz w:w="11906" w:h="16838" w:orient="portrait"/>
      <w:pgMar w:top="1134" w:right="850" w:bottom="1134" w:left="850"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方正小标宋简体">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3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719"/>
    <w:link w:val="710"/>
    <w:uiPriority w:val="9"/>
    <w:rPr>
      <w:rFonts w:ascii="Arial" w:hAnsi="Arial" w:eastAsia="Arial" w:cs="Arial"/>
      <w:sz w:val="40"/>
      <w:szCs w:val="40"/>
    </w:rPr>
  </w:style>
  <w:style w:type="character" w:styleId="673">
    <w:name w:val="Heading 2 Char"/>
    <w:basedOn w:val="719"/>
    <w:link w:val="711"/>
    <w:uiPriority w:val="9"/>
    <w:rPr>
      <w:rFonts w:ascii="Arial" w:hAnsi="Arial" w:eastAsia="Arial" w:cs="Arial"/>
      <w:sz w:val="34"/>
    </w:rPr>
  </w:style>
  <w:style w:type="character" w:styleId="674">
    <w:name w:val="Heading 3 Char"/>
    <w:basedOn w:val="719"/>
    <w:link w:val="712"/>
    <w:uiPriority w:val="9"/>
    <w:rPr>
      <w:rFonts w:ascii="Arial" w:hAnsi="Arial" w:eastAsia="Arial" w:cs="Arial"/>
      <w:sz w:val="30"/>
      <w:szCs w:val="30"/>
    </w:rPr>
  </w:style>
  <w:style w:type="character" w:styleId="675">
    <w:name w:val="Heading 4 Char"/>
    <w:basedOn w:val="719"/>
    <w:link w:val="713"/>
    <w:uiPriority w:val="9"/>
    <w:rPr>
      <w:rFonts w:ascii="Arial" w:hAnsi="Arial" w:eastAsia="Arial" w:cs="Arial"/>
      <w:b/>
      <w:bCs/>
      <w:sz w:val="26"/>
      <w:szCs w:val="26"/>
    </w:rPr>
  </w:style>
  <w:style w:type="character" w:styleId="676">
    <w:name w:val="Heading 5 Char"/>
    <w:basedOn w:val="719"/>
    <w:link w:val="714"/>
    <w:uiPriority w:val="9"/>
    <w:rPr>
      <w:rFonts w:ascii="Arial" w:hAnsi="Arial" w:eastAsia="Arial" w:cs="Arial"/>
      <w:b/>
      <w:bCs/>
      <w:sz w:val="24"/>
      <w:szCs w:val="24"/>
    </w:rPr>
  </w:style>
  <w:style w:type="character" w:styleId="677">
    <w:name w:val="Heading 6 Char"/>
    <w:basedOn w:val="719"/>
    <w:link w:val="715"/>
    <w:uiPriority w:val="9"/>
    <w:rPr>
      <w:rFonts w:ascii="Arial" w:hAnsi="Arial" w:eastAsia="Arial" w:cs="Arial"/>
      <w:b/>
      <w:bCs/>
      <w:sz w:val="22"/>
      <w:szCs w:val="22"/>
    </w:rPr>
  </w:style>
  <w:style w:type="character" w:styleId="678">
    <w:name w:val="Heading 7 Char"/>
    <w:basedOn w:val="719"/>
    <w:link w:val="716"/>
    <w:uiPriority w:val="9"/>
    <w:rPr>
      <w:rFonts w:ascii="Arial" w:hAnsi="Arial" w:eastAsia="Arial" w:cs="Arial"/>
      <w:b/>
      <w:bCs/>
      <w:i/>
      <w:iCs/>
      <w:sz w:val="22"/>
      <w:szCs w:val="22"/>
    </w:rPr>
  </w:style>
  <w:style w:type="character" w:styleId="679">
    <w:name w:val="Heading 8 Char"/>
    <w:basedOn w:val="719"/>
    <w:link w:val="717"/>
    <w:uiPriority w:val="9"/>
    <w:rPr>
      <w:rFonts w:ascii="Arial" w:hAnsi="Arial" w:eastAsia="Arial" w:cs="Arial"/>
      <w:i/>
      <w:iCs/>
      <w:sz w:val="22"/>
      <w:szCs w:val="22"/>
    </w:rPr>
  </w:style>
  <w:style w:type="character" w:styleId="680">
    <w:name w:val="Heading 9 Char"/>
    <w:basedOn w:val="719"/>
    <w:link w:val="718"/>
    <w:uiPriority w:val="9"/>
    <w:rPr>
      <w:rFonts w:ascii="Arial" w:hAnsi="Arial" w:eastAsia="Arial" w:cs="Arial"/>
      <w:i/>
      <w:iCs/>
      <w:sz w:val="21"/>
      <w:szCs w:val="21"/>
    </w:rPr>
  </w:style>
  <w:style w:type="character" w:styleId="681">
    <w:name w:val="Title Char"/>
    <w:basedOn w:val="719"/>
    <w:link w:val="747"/>
    <w:uiPriority w:val="10"/>
    <w:rPr>
      <w:sz w:val="48"/>
      <w:szCs w:val="48"/>
    </w:rPr>
  </w:style>
  <w:style w:type="character" w:styleId="682">
    <w:name w:val="Subtitle Char"/>
    <w:basedOn w:val="719"/>
    <w:link w:val="740"/>
    <w:uiPriority w:val="11"/>
    <w:rPr>
      <w:sz w:val="24"/>
      <w:szCs w:val="24"/>
    </w:rPr>
  </w:style>
  <w:style w:type="character" w:styleId="683">
    <w:name w:val="Quote Char"/>
    <w:link w:val="771"/>
    <w:uiPriority w:val="29"/>
    <w:rPr>
      <w:i/>
    </w:rPr>
  </w:style>
  <w:style w:type="character" w:styleId="684">
    <w:name w:val="Intense Quote Char"/>
    <w:link w:val="773"/>
    <w:uiPriority w:val="30"/>
    <w:rPr>
      <w:i/>
    </w:rPr>
  </w:style>
  <w:style w:type="character" w:styleId="685">
    <w:name w:val="Header Char"/>
    <w:basedOn w:val="719"/>
    <w:link w:val="737"/>
    <w:uiPriority w:val="99"/>
  </w:style>
  <w:style w:type="character" w:styleId="686">
    <w:name w:val="Caption Char"/>
    <w:basedOn w:val="723"/>
    <w:link w:val="736"/>
    <w:uiPriority w:val="99"/>
  </w:style>
  <w:style w:type="table" w:styleId="687">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8">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9">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1">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4">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6">
    <w:name w:val="Footnote Text Char"/>
    <w:link w:val="741"/>
    <w:uiPriority w:val="99"/>
    <w:rPr>
      <w:sz w:val="18"/>
    </w:rPr>
  </w:style>
  <w:style w:type="character" w:styleId="707">
    <w:name w:val="Endnote Text Char"/>
    <w:link w:val="735"/>
    <w:uiPriority w:val="99"/>
    <w:rPr>
      <w:sz w:val="20"/>
    </w:rPr>
  </w:style>
  <w:style w:type="paragraph" w:styleId="708">
    <w:name w:val="TOC Heading"/>
    <w:uiPriority w:val="39"/>
    <w:unhideWhenUsed/>
  </w:style>
  <w:style w:type="paragraph" w:styleId="709" w:default="1">
    <w:name w:val="Normal"/>
    <w:uiPriority w:val="0"/>
    <w:qFormat/>
    <w:rPr>
      <w:rFonts w:asciiTheme="minorHAnsi" w:hAnsiTheme="minorHAnsi" w:eastAsiaTheme="minorEastAsia" w:cstheme="minorBidi"/>
      <w:sz w:val="21"/>
      <w:szCs w:val="22"/>
      <w:lang w:val="en-US" w:eastAsia="zh-CN" w:bidi="ar-SA"/>
    </w:rPr>
  </w:style>
  <w:style w:type="paragraph" w:styleId="710">
    <w:name w:val="Heading 1"/>
    <w:next w:val="709"/>
    <w:link w:val="758"/>
    <w:uiPriority w:val="9"/>
    <w:qFormat/>
    <w:pPr>
      <w:keepLines/>
      <w:keepNext/>
      <w:spacing w:before="480" w:after="200"/>
      <w:outlineLvl w:val="0"/>
    </w:pPr>
    <w:rPr>
      <w:rFonts w:ascii="Arial" w:hAnsi="Arial" w:eastAsia="Arial" w:cs="Arial"/>
      <w:sz w:val="40"/>
      <w:szCs w:val="40"/>
      <w:lang w:val="en-US" w:eastAsia="zh-CN" w:bidi="ar-SA"/>
    </w:rPr>
  </w:style>
  <w:style w:type="paragraph" w:styleId="711">
    <w:name w:val="Heading 2"/>
    <w:next w:val="709"/>
    <w:link w:val="759"/>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712">
    <w:name w:val="Heading 3"/>
    <w:next w:val="709"/>
    <w:link w:val="76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13">
    <w:name w:val="Heading 4"/>
    <w:next w:val="709"/>
    <w:link w:val="76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14">
    <w:name w:val="Heading 5"/>
    <w:next w:val="709"/>
    <w:link w:val="76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15">
    <w:name w:val="Heading 6"/>
    <w:next w:val="709"/>
    <w:link w:val="76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16">
    <w:name w:val="Heading 7"/>
    <w:next w:val="709"/>
    <w:link w:val="76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17">
    <w:name w:val="Heading 8"/>
    <w:next w:val="709"/>
    <w:link w:val="76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18">
    <w:name w:val="Heading 9"/>
    <w:next w:val="709"/>
    <w:link w:val="76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next w:val="709"/>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22">
    <w:name w:val="Normal Indent"/>
    <w:basedOn w:val="709"/>
    <w:uiPriority w:val="0"/>
    <w:qFormat/>
    <w:pPr>
      <w:ind w:firstLine="420"/>
    </w:pPr>
    <w:rPr>
      <w:sz w:val="20"/>
      <w:szCs w:val="21"/>
      <w:lang w:eastAsia="en-US"/>
    </w:rPr>
  </w:style>
  <w:style w:type="paragraph" w:styleId="723">
    <w:name w:val="Caption"/>
    <w:next w:val="709"/>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724">
    <w:name w:val="annotation text"/>
    <w:basedOn w:val="709"/>
    <w:uiPriority w:val="99"/>
    <w:semiHidden/>
    <w:unhideWhenUsed/>
    <w:qFormat/>
  </w:style>
  <w:style w:type="paragraph" w:styleId="725">
    <w:name w:val="Body Text"/>
    <w:basedOn w:val="709"/>
    <w:next w:val="726"/>
    <w:uiPriority w:val="99"/>
    <w:unhideWhenUsed/>
    <w:qFormat/>
    <w:pPr>
      <w:spacing w:after="120"/>
    </w:pPr>
  </w:style>
  <w:style w:type="paragraph" w:styleId="726" w:customStyle="1">
    <w:name w:val="style4"/>
    <w:next w:val="727"/>
    <w:uiPriority w:val="0"/>
    <w:qFormat/>
    <w:pPr>
      <w:jc w:val="both"/>
      <w:spacing w:before="280" w:after="280"/>
    </w:pPr>
    <w:rPr>
      <w:rFonts w:ascii="宋体" w:hAnsi="Calibri" w:eastAsia="宋体" w:cs="Times New Roman"/>
      <w:sz w:val="18"/>
      <w:szCs w:val="24"/>
      <w:lang w:val="en-US" w:eastAsia="zh-CN" w:bidi="ar-SA"/>
    </w:rPr>
  </w:style>
  <w:style w:type="paragraph" w:styleId="727" w:customStyle="1">
    <w:name w:val="2"/>
    <w:next w:val="709"/>
    <w:uiPriority w:val="0"/>
    <w:qFormat/>
    <w:pPr>
      <w:jc w:val="both"/>
      <w:widowControl w:val="off"/>
    </w:pPr>
    <w:rPr>
      <w:rFonts w:ascii="Calibri" w:hAnsi="Calibri" w:eastAsia="宋体" w:cs="Times New Roman"/>
      <w:sz w:val="21"/>
      <w:szCs w:val="22"/>
      <w:lang w:val="en-US" w:eastAsia="zh-CN" w:bidi="ar-SA"/>
    </w:rPr>
  </w:style>
  <w:style w:type="paragraph" w:styleId="728">
    <w:name w:val="Body Text Indent"/>
    <w:basedOn w:val="709"/>
    <w:next w:val="729"/>
    <w:uiPriority w:val="99"/>
    <w:unhideWhenUsed/>
    <w:qFormat/>
    <w:pPr>
      <w:ind w:left="420"/>
      <w:spacing w:after="120"/>
    </w:pPr>
  </w:style>
  <w:style w:type="paragraph" w:styleId="729">
    <w:name w:val="envelope return"/>
    <w:basedOn w:val="709"/>
    <w:uiPriority w:val="0"/>
    <w:qFormat/>
    <w:rPr>
      <w:rFonts w:ascii="Arial" w:hAnsi="Arial" w:cs="宋体"/>
    </w:rPr>
  </w:style>
  <w:style w:type="paragraph" w:styleId="730">
    <w:name w:val="toc 5"/>
    <w:next w:val="709"/>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31">
    <w:name w:val="toc 3"/>
    <w:next w:val="709"/>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32">
    <w:name w:val="Plain Text"/>
    <w:basedOn w:val="709"/>
    <w:uiPriority w:val="0"/>
    <w:qFormat/>
    <w:rPr>
      <w:rFonts w:ascii="宋体" w:hAnsi="Courier New"/>
      <w:sz w:val="20"/>
      <w:szCs w:val="21"/>
      <w:lang w:eastAsia="en-US"/>
    </w:rPr>
  </w:style>
  <w:style w:type="paragraph" w:styleId="733">
    <w:name w:val="toc 8"/>
    <w:next w:val="709"/>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34">
    <w:name w:val="Body Text Indent 2"/>
    <w:basedOn w:val="709"/>
    <w:uiPriority w:val="99"/>
    <w:unhideWhenUsed/>
    <w:qFormat/>
    <w:pPr>
      <w:ind w:left="420"/>
      <w:spacing w:after="120" w:line="480" w:lineRule="auto"/>
    </w:pPr>
  </w:style>
  <w:style w:type="paragraph" w:styleId="735">
    <w:name w:val="endnote text"/>
    <w:link w:val="904"/>
    <w:uiPriority w:val="99"/>
    <w:semiHidden/>
    <w:unhideWhenUsed/>
    <w:qFormat/>
    <w:rPr>
      <w:rFonts w:asciiTheme="minorHAnsi" w:hAnsiTheme="minorHAnsi" w:eastAsiaTheme="minorEastAsia" w:cstheme="minorBidi"/>
      <w:szCs w:val="22"/>
      <w:lang w:val="en-US" w:eastAsia="zh-CN" w:bidi="ar-SA"/>
    </w:rPr>
  </w:style>
  <w:style w:type="paragraph" w:styleId="736">
    <w:name w:val="Footer"/>
    <w:link w:val="77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37">
    <w:name w:val="Header"/>
    <w:link w:val="77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38">
    <w:name w:val="toc 1"/>
    <w:next w:val="709"/>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39">
    <w:name w:val="toc 4"/>
    <w:next w:val="709"/>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40">
    <w:name w:val="Subtitle"/>
    <w:link w:val="770"/>
    <w:uiPriority w:val="11"/>
    <w:qFormat/>
    <w:pPr>
      <w:spacing w:before="200" w:after="200"/>
    </w:pPr>
    <w:rPr>
      <w:rFonts w:asciiTheme="minorHAnsi" w:hAnsiTheme="minorHAnsi" w:eastAsiaTheme="minorEastAsia" w:cstheme="minorBidi"/>
      <w:sz w:val="24"/>
      <w:szCs w:val="24"/>
      <w:lang w:val="en-US" w:eastAsia="zh-CN" w:bidi="ar-SA"/>
    </w:rPr>
  </w:style>
  <w:style w:type="paragraph" w:styleId="741">
    <w:name w:val="footnote text"/>
    <w:link w:val="90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42">
    <w:name w:val="toc 6"/>
    <w:next w:val="709"/>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43">
    <w:name w:val="table of figures"/>
    <w:next w:val="709"/>
    <w:uiPriority w:val="99"/>
    <w:unhideWhenUsed/>
    <w:qFormat/>
    <w:rPr>
      <w:rFonts w:asciiTheme="minorHAnsi" w:hAnsiTheme="minorHAnsi" w:eastAsiaTheme="minorEastAsia" w:cstheme="minorBidi"/>
      <w:sz w:val="21"/>
      <w:szCs w:val="22"/>
      <w:lang w:val="en-US" w:eastAsia="zh-CN" w:bidi="ar-SA"/>
    </w:rPr>
  </w:style>
  <w:style w:type="paragraph" w:styleId="744">
    <w:name w:val="toc 2"/>
    <w:next w:val="709"/>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45">
    <w:name w:val="toc 9"/>
    <w:next w:val="70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46">
    <w:name w:val="Normal (Web)"/>
    <w:basedOn w:val="709"/>
    <w:uiPriority w:val="99"/>
    <w:semiHidden/>
    <w:unhideWhenUsed/>
    <w:qFormat/>
    <w:pPr>
      <w:spacing w:beforeAutospacing="1" w:afterAutospacing="1"/>
    </w:pPr>
  </w:style>
  <w:style w:type="paragraph" w:styleId="747">
    <w:name w:val="Title"/>
    <w:link w:val="769"/>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48">
    <w:name w:val="Body Text First Indent"/>
    <w:basedOn w:val="725"/>
    <w:next w:val="709"/>
    <w:uiPriority w:val="0"/>
    <w:qFormat/>
    <w:pPr>
      <w:ind w:firstLine="420"/>
      <w:jc w:val="both"/>
    </w:pPr>
    <w:rPr>
      <w:rFonts w:ascii="Calibri" w:eastAsia="宋体"/>
      <w:szCs w:val="24"/>
    </w:rPr>
  </w:style>
  <w:style w:type="paragraph" w:styleId="749">
    <w:name w:val="Body Text First Indent 2"/>
    <w:basedOn w:val="728"/>
    <w:next w:val="709"/>
    <w:uiPriority w:val="0"/>
    <w:qFormat/>
    <w:pPr>
      <w:ind w:left="0" w:firstLine="420"/>
      <w:spacing w:after="0" w:line="360" w:lineRule="auto"/>
    </w:pPr>
    <w:rPr>
      <w:rFonts w:ascii="宋体" w:hAnsi="宋体"/>
      <w:sz w:val="20"/>
      <w:szCs w:val="20"/>
      <w:lang w:eastAsia="en-US"/>
    </w:r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Emphasis"/>
    <w:uiPriority w:val="0"/>
    <w:qFormat/>
    <w:rPr>
      <w:i/>
    </w:rPr>
  </w:style>
  <w:style w:type="character" w:styleId="753">
    <w:name w:val="Hyperlink"/>
    <w:uiPriority w:val="99"/>
    <w:unhideWhenUsed/>
    <w:qFormat/>
    <w:rPr>
      <w:color w:val="0000ff" w:themeColor="hyperlink"/>
      <w:u w:val="single"/>
    </w:rPr>
  </w:style>
  <w:style w:type="character" w:styleId="754">
    <w:name w:val="footnote reference"/>
    <w:uiPriority w:val="99"/>
    <w:unhideWhenUsed/>
    <w:qFormat/>
    <w:rPr>
      <w:vertAlign w:val="superscript"/>
    </w:rPr>
  </w:style>
  <w:style w:type="paragraph" w:styleId="755" w:customStyle="1">
    <w:name w:val="正文首行缩进 211"/>
    <w:basedOn w:val="756"/>
    <w:next w:val="709"/>
    <w:uiPriority w:val="0"/>
    <w:qFormat/>
    <w:pPr>
      <w:ind w:left="0" w:firstLine="420"/>
      <w:spacing w:after="0" w:line="360" w:lineRule="auto"/>
    </w:pPr>
    <w:rPr>
      <w:rFonts w:ascii="宋体" w:hAnsi="宋体" w:eastAsia="宋体" w:cs="Times New Roman"/>
      <w:szCs w:val="20"/>
    </w:rPr>
  </w:style>
  <w:style w:type="paragraph" w:styleId="756" w:customStyle="1">
    <w:name w:val="正文文本缩进111"/>
    <w:basedOn w:val="709"/>
    <w:next w:val="757"/>
    <w:uiPriority w:val="0"/>
    <w:unhideWhenUsed/>
    <w:qFormat/>
    <w:pPr>
      <w:ind w:left="420"/>
      <w:spacing w:after="120"/>
    </w:pPr>
  </w:style>
  <w:style w:type="paragraph" w:styleId="757" w:customStyle="1">
    <w:name w:val="寄信人地址11"/>
    <w:basedOn w:val="709"/>
    <w:uiPriority w:val="0"/>
    <w:qFormat/>
    <w:rPr>
      <w:rFonts w:ascii="Arial" w:hAnsi="Arial" w:eastAsia="宋体" w:cs="宋体"/>
    </w:rPr>
  </w:style>
  <w:style w:type="character" w:styleId="758" w:customStyle="1">
    <w:name w:val="标题 1 字符"/>
    <w:link w:val="710"/>
    <w:uiPriority w:val="9"/>
    <w:qFormat/>
    <w:rPr>
      <w:rFonts w:ascii="Arial" w:hAnsi="Arial" w:eastAsia="Arial" w:cs="Arial"/>
      <w:sz w:val="40"/>
      <w:szCs w:val="40"/>
    </w:rPr>
  </w:style>
  <w:style w:type="character" w:styleId="759" w:customStyle="1">
    <w:name w:val="标题 2 字符"/>
    <w:link w:val="711"/>
    <w:uiPriority w:val="9"/>
    <w:qFormat/>
    <w:rPr>
      <w:rFonts w:ascii="Arial" w:hAnsi="Arial" w:eastAsia="Arial" w:cs="Arial"/>
      <w:sz w:val="34"/>
    </w:rPr>
  </w:style>
  <w:style w:type="character" w:styleId="760" w:customStyle="1">
    <w:name w:val="标题 3 字符"/>
    <w:link w:val="712"/>
    <w:uiPriority w:val="9"/>
    <w:qFormat/>
    <w:rPr>
      <w:rFonts w:ascii="Arial" w:hAnsi="Arial" w:eastAsia="Arial" w:cs="Arial"/>
      <w:sz w:val="30"/>
      <w:szCs w:val="30"/>
    </w:rPr>
  </w:style>
  <w:style w:type="character" w:styleId="761" w:customStyle="1">
    <w:name w:val="标题 4 字符"/>
    <w:link w:val="713"/>
    <w:uiPriority w:val="9"/>
    <w:qFormat/>
    <w:rPr>
      <w:rFonts w:ascii="Arial" w:hAnsi="Arial" w:eastAsia="Arial" w:cs="Arial"/>
      <w:b/>
      <w:bCs/>
      <w:sz w:val="26"/>
      <w:szCs w:val="26"/>
    </w:rPr>
  </w:style>
  <w:style w:type="character" w:styleId="762" w:customStyle="1">
    <w:name w:val="标题 5 字符"/>
    <w:link w:val="714"/>
    <w:uiPriority w:val="9"/>
    <w:qFormat/>
    <w:rPr>
      <w:rFonts w:ascii="Arial" w:hAnsi="Arial" w:eastAsia="Arial" w:cs="Arial"/>
      <w:b/>
      <w:bCs/>
      <w:sz w:val="24"/>
      <w:szCs w:val="24"/>
    </w:rPr>
  </w:style>
  <w:style w:type="character" w:styleId="763" w:customStyle="1">
    <w:name w:val="标题 6 字符"/>
    <w:link w:val="715"/>
    <w:uiPriority w:val="9"/>
    <w:qFormat/>
    <w:rPr>
      <w:rFonts w:ascii="Arial" w:hAnsi="Arial" w:eastAsia="Arial" w:cs="Arial"/>
      <w:b/>
      <w:bCs/>
      <w:sz w:val="22"/>
      <w:szCs w:val="22"/>
    </w:rPr>
  </w:style>
  <w:style w:type="character" w:styleId="764" w:customStyle="1">
    <w:name w:val="标题 7 字符"/>
    <w:link w:val="716"/>
    <w:uiPriority w:val="9"/>
    <w:qFormat/>
    <w:rPr>
      <w:rFonts w:ascii="Arial" w:hAnsi="Arial" w:eastAsia="Arial" w:cs="Arial"/>
      <w:b/>
      <w:bCs/>
      <w:i/>
      <w:iCs/>
      <w:sz w:val="22"/>
      <w:szCs w:val="22"/>
    </w:rPr>
  </w:style>
  <w:style w:type="character" w:styleId="765" w:customStyle="1">
    <w:name w:val="标题 8 字符"/>
    <w:link w:val="717"/>
    <w:uiPriority w:val="9"/>
    <w:qFormat/>
    <w:rPr>
      <w:rFonts w:ascii="Arial" w:hAnsi="Arial" w:eastAsia="Arial" w:cs="Arial"/>
      <w:i/>
      <w:iCs/>
      <w:sz w:val="22"/>
      <w:szCs w:val="22"/>
    </w:rPr>
  </w:style>
  <w:style w:type="character" w:styleId="766" w:customStyle="1">
    <w:name w:val="标题 9 字符"/>
    <w:link w:val="718"/>
    <w:uiPriority w:val="9"/>
    <w:qFormat/>
    <w:rPr>
      <w:rFonts w:ascii="Arial" w:hAnsi="Arial" w:eastAsia="Arial" w:cs="Arial"/>
      <w:i/>
      <w:iCs/>
      <w:sz w:val="21"/>
      <w:szCs w:val="21"/>
    </w:rPr>
  </w:style>
  <w:style w:type="paragraph" w:styleId="767">
    <w:name w:val="List Paragraph"/>
    <w:basedOn w:val="709"/>
    <w:uiPriority w:val="34"/>
    <w:qFormat/>
    <w:pPr>
      <w:contextualSpacing/>
      <w:ind w:left="720"/>
    </w:pPr>
  </w:style>
  <w:style w:type="paragraph" w:styleId="768">
    <w:name w:val="No Spacing"/>
    <w:uiPriority w:val="1"/>
    <w:qFormat/>
    <w:rPr>
      <w:rFonts w:asciiTheme="minorHAnsi" w:hAnsiTheme="minorHAnsi" w:eastAsiaTheme="minorEastAsia" w:cstheme="minorBidi"/>
      <w:sz w:val="21"/>
      <w:szCs w:val="22"/>
      <w:lang w:val="en-US" w:eastAsia="zh-CN" w:bidi="ar-SA"/>
    </w:rPr>
  </w:style>
  <w:style w:type="character" w:styleId="769" w:customStyle="1">
    <w:name w:val="标题 字符"/>
    <w:link w:val="747"/>
    <w:uiPriority w:val="10"/>
    <w:qFormat/>
    <w:rPr>
      <w:sz w:val="48"/>
      <w:szCs w:val="48"/>
    </w:rPr>
  </w:style>
  <w:style w:type="character" w:styleId="770" w:customStyle="1">
    <w:name w:val="副标题 字符"/>
    <w:link w:val="740"/>
    <w:uiPriority w:val="11"/>
    <w:qFormat/>
    <w:rPr>
      <w:sz w:val="24"/>
      <w:szCs w:val="24"/>
    </w:rPr>
  </w:style>
  <w:style w:type="paragraph" w:styleId="771">
    <w:name w:val="Quote"/>
    <w:link w:val="772"/>
    <w:uiPriority w:val="29"/>
    <w:qFormat/>
    <w:pPr>
      <w:ind w:left="720" w:right="720"/>
    </w:pPr>
    <w:rPr>
      <w:rFonts w:asciiTheme="minorHAnsi" w:hAnsiTheme="minorHAnsi" w:eastAsiaTheme="minorEastAsia" w:cstheme="minorBidi"/>
      <w:i/>
      <w:sz w:val="21"/>
      <w:szCs w:val="22"/>
      <w:lang w:val="en-US" w:eastAsia="zh-CN" w:bidi="ar-SA"/>
    </w:rPr>
  </w:style>
  <w:style w:type="character" w:styleId="772" w:customStyle="1">
    <w:name w:val="引用 字符"/>
    <w:link w:val="771"/>
    <w:uiPriority w:val="29"/>
    <w:qFormat/>
    <w:rPr>
      <w:i/>
    </w:rPr>
  </w:style>
  <w:style w:type="paragraph" w:styleId="773">
    <w:name w:val="Intense Quote"/>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74" w:customStyle="1">
    <w:name w:val="明显引用 字符"/>
    <w:link w:val="773"/>
    <w:uiPriority w:val="30"/>
    <w:qFormat/>
    <w:rPr>
      <w:i/>
    </w:rPr>
  </w:style>
  <w:style w:type="character" w:styleId="775" w:customStyle="1">
    <w:name w:val="页眉 字符"/>
    <w:link w:val="737"/>
    <w:uiPriority w:val="99"/>
    <w:qFormat/>
  </w:style>
  <w:style w:type="character" w:styleId="776" w:customStyle="1">
    <w:name w:val="Footer Char"/>
    <w:uiPriority w:val="99"/>
    <w:qFormat/>
  </w:style>
  <w:style w:type="character" w:styleId="777" w:customStyle="1">
    <w:name w:val="页脚 字符"/>
    <w:link w:val="736"/>
    <w:uiPriority w:val="99"/>
    <w:qFormat/>
  </w:style>
  <w:style w:type="table" w:styleId="7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脚注文本 字符"/>
    <w:link w:val="741"/>
    <w:uiPriority w:val="99"/>
    <w:qFormat/>
    <w:rPr>
      <w:sz w:val="18"/>
    </w:rPr>
  </w:style>
  <w:style w:type="character" w:styleId="904" w:customStyle="1">
    <w:name w:val="尾注文本 字符"/>
    <w:link w:val="735"/>
    <w:uiPriority w:val="99"/>
    <w:qFormat/>
    <w:rPr>
      <w:sz w:val="20"/>
    </w:rPr>
  </w:style>
  <w:style w:type="paragraph" w:styleId="90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06" w:customStyle="1">
    <w:name w:val="列出段落1"/>
    <w:basedOn w:val="709"/>
    <w:uiPriority w:val="0"/>
    <w:qFormat/>
    <w:pPr>
      <w:ind w:firstLine="420"/>
    </w:pPr>
    <w:rPr>
      <w:rFonts w:eastAsia="宋体"/>
    </w:rPr>
  </w:style>
  <w:style w:type="paragraph" w:styleId="907" w:customStyle="1">
    <w:name w:val="正文文本11"/>
    <w:basedOn w:val="709"/>
    <w:uiPriority w:val="0"/>
    <w:qFormat/>
    <w:pPr>
      <w:spacing w:line="60" w:lineRule="auto"/>
    </w:pPr>
    <w:rPr>
      <w:rFonts w:ascii="仿宋_GB2312" w:eastAsia="仿宋_GB2312"/>
      <w:sz w:val="32"/>
    </w:rPr>
  </w:style>
  <w:style w:type="paragraph" w:styleId="908" w:customStyle="1">
    <w:name w:val="Table Paragraph"/>
    <w:basedOn w:val="709"/>
    <w:uiPriority w:val="1"/>
    <w:qFormat/>
    <w:rPr>
      <w:rFonts w:ascii="宋体" w:hAnsi="宋体" w:cs="宋体"/>
      <w:sz w:val="22"/>
      <w:lang w:val="zh-CN" w:bidi="zh-CN"/>
    </w:rPr>
  </w:style>
  <w:style w:type="paragraph" w:styleId="909" w:customStyle="1">
    <w:name w:val="标题 31"/>
    <w:basedOn w:val="709"/>
    <w:next w:val="722"/>
    <w:uiPriority w:val="0"/>
    <w:qFormat/>
    <w:pPr>
      <w:keepLines/>
      <w:keepNext/>
      <w:spacing w:before="260" w:after="260" w:line="416" w:lineRule="auto"/>
      <w:outlineLvl w:val="2"/>
    </w:pPr>
    <w:rPr>
      <w:b/>
      <w:bCs/>
      <w:sz w:val="32"/>
      <w:szCs w:val="32"/>
      <w:lang w:eastAsia="en-US"/>
    </w:rPr>
  </w:style>
  <w:style w:type="paragraph" w:styleId="910" w:customStyle="1">
    <w:name w:val="标题 41"/>
    <w:basedOn w:val="709"/>
    <w:next w:val="722"/>
    <w:uiPriority w:val="0"/>
    <w:qFormat/>
    <w:pPr>
      <w:keepLines/>
      <w:keepNext/>
      <w:spacing w:before="280" w:after="290" w:line="376" w:lineRule="auto"/>
      <w:outlineLvl w:val="3"/>
    </w:pPr>
    <w:rPr>
      <w:rFonts w:ascii="Arial" w:hAnsi="Arial" w:eastAsia="黑体"/>
      <w:b/>
      <w:bCs/>
      <w:sz w:val="28"/>
      <w:szCs w:val="28"/>
      <w:lang w:eastAsia="en-US"/>
    </w:rPr>
  </w:style>
  <w:style w:type="paragraph" w:styleId="911" w:customStyle="1">
    <w:name w:val="索引 41"/>
    <w:basedOn w:val="709"/>
    <w:next w:val="709"/>
    <w:uiPriority w:val="0"/>
    <w:semiHidden/>
    <w:qFormat/>
    <w:pPr>
      <w:ind w:left="1260"/>
    </w:pPr>
    <w:rPr>
      <w:rFonts w:ascii="Calibri" w:hAnsi="Calibri" w:eastAsia="Calibri" w:cs="宋体"/>
      <w:sz w:val="20"/>
      <w:lang w:val="zh-CN"/>
    </w:rPr>
  </w:style>
  <w:style w:type="paragraph" w:styleId="912" w:customStyle="1">
    <w:name w:val="正文文本12"/>
    <w:basedOn w:val="709"/>
    <w:uiPriority w:val="1"/>
    <w:qFormat/>
    <w:pPr>
      <w:ind w:left="120"/>
    </w:pPr>
    <w:rPr>
      <w:rFonts w:ascii="宋体" w:hAnsi="宋体" w:cs="宋体"/>
      <w:szCs w:val="21"/>
      <w:lang w:val="zh-CN" w:bidi="zh-CN"/>
    </w:rPr>
  </w:style>
  <w:style w:type="paragraph" w:styleId="913" w:customStyle="1">
    <w:name w:val="正文文本 211"/>
    <w:basedOn w:val="709"/>
    <w:uiPriority w:val="99"/>
    <w:qFormat/>
    <w:pPr>
      <w:jc w:val="center"/>
    </w:pPr>
    <w:rPr>
      <w:b/>
      <w:bCs/>
      <w:sz w:val="20"/>
      <w:szCs w:val="20"/>
    </w:rPr>
  </w:style>
  <w:style w:type="paragraph" w:styleId="914" w:customStyle="1">
    <w:name w:val="Char"/>
    <w:basedOn w:val="709"/>
    <w:uiPriority w:val="0"/>
    <w:qFormat/>
    <w:pPr>
      <w:ind w:firstLine="200"/>
      <w:tabs>
        <w:tab w:val="left" w:pos="360" w:leader="none"/>
      </w:tabs>
    </w:pPr>
    <w:rPr>
      <w:sz w:val="28"/>
      <w:szCs w:val="30"/>
    </w:rPr>
  </w:style>
  <w:style w:type="paragraph" w:styleId="915" w:customStyle="1">
    <w:name w:val="正文文本1"/>
    <w:basedOn w:val="709"/>
    <w:uiPriority w:val="0"/>
    <w:semiHidden/>
    <w:qFormat/>
    <w:rPr>
      <w:rFonts w:ascii="Arial" w:hAnsi="Arial" w:eastAsia="Arial" w:cs="Arial"/>
      <w:szCs w:val="21"/>
      <w:lang w:eastAsia="en-US"/>
    </w:rPr>
  </w:style>
  <w:style w:type="paragraph" w:styleId="916" w:customStyle="1">
    <w:name w:val="普通正文"/>
    <w:basedOn w:val="709"/>
    <w:uiPriority w:val="0"/>
    <w:qFormat/>
    <w:pPr>
      <w:ind w:firstLine="480"/>
      <w:spacing w:before="120" w:after="120" w:line="360" w:lineRule="auto"/>
    </w:pPr>
    <w:rPr>
      <w:rFonts w:ascii="Arial" w:hAnsi="Arial"/>
      <w:sz w:val="24"/>
      <w:szCs w:val="24"/>
    </w:rPr>
  </w:style>
  <w:style w:type="character" w:styleId="917" w:customStyle="1">
    <w:name w:val="font51"/>
    <w:basedOn w:val="719"/>
    <w:uiPriority w:val="0"/>
    <w:qFormat/>
    <w:rPr>
      <w:rFonts w:ascii="宋体" w:hAnsi="宋体" w:eastAsia="宋体" w:cs="宋体"/>
      <w:color w:val="000000"/>
      <w:sz w:val="18"/>
      <w:szCs w:val="18"/>
      <w:u w:val="none"/>
    </w:rPr>
  </w:style>
  <w:style w:type="character" w:styleId="918" w:customStyle="1">
    <w:name w:val="font11"/>
    <w:basedOn w:val="719"/>
    <w:uiPriority w:val="0"/>
    <w:qFormat/>
    <w:rPr>
      <w:rFonts w:hint="eastAsia" w:ascii="宋体" w:hAnsi="宋体" w:eastAsia="宋体" w:cs="宋体"/>
      <w:color w:val="ff0000"/>
      <w:sz w:val="22"/>
      <w:szCs w:val="22"/>
      <w:u w:val="none"/>
    </w:rPr>
  </w:style>
  <w:style w:type="character" w:styleId="919" w:customStyle="1">
    <w:name w:val="font01"/>
    <w:basedOn w:val="719"/>
    <w:uiPriority w:val="0"/>
    <w:qFormat/>
    <w:rPr>
      <w:rFonts w:hint="eastAsia" w:ascii="宋体" w:hAnsi="宋体" w:eastAsia="宋体" w:cs="宋体"/>
      <w:color w:val="000000"/>
      <w:sz w:val="22"/>
      <w:szCs w:val="22"/>
      <w:u w:val="none"/>
    </w:rPr>
  </w:style>
  <w:style w:type="character" w:styleId="920" w:customStyle="1">
    <w:name w:val="font21"/>
    <w:basedOn w:val="719"/>
    <w:uiPriority w:val="0"/>
    <w:qFormat/>
    <w:rPr>
      <w:rFonts w:hint="eastAsia" w:ascii="宋体" w:hAnsi="宋体" w:eastAsia="宋体" w:cs="宋体"/>
      <w:color w:val="000000"/>
      <w:sz w:val="21"/>
      <w:szCs w:val="21"/>
      <w:u w:val="none"/>
    </w:rPr>
  </w:style>
  <w:style w:type="character" w:styleId="921" w:customStyle="1">
    <w:name w:val="font31"/>
    <w:basedOn w:val="719"/>
    <w:uiPriority w:val="0"/>
    <w:qFormat/>
    <w:rPr>
      <w:rFonts w:hint="eastAsia" w:ascii="宋体" w:hAnsi="宋体" w:eastAsia="宋体" w:cs="宋体"/>
      <w:color w:val="ff0000"/>
      <w:sz w:val="21"/>
      <w:szCs w:val="21"/>
      <w:u w:val="none"/>
    </w:rPr>
  </w:style>
  <w:style w:type="character" w:styleId="922" w:customStyle="1">
    <w:name w:val="font41"/>
    <w:basedOn w:val="719"/>
    <w:uiPriority w:val="0"/>
    <w:qFormat/>
    <w:rPr>
      <w:rFonts w:hint="eastAsia" w:ascii="宋体" w:hAnsi="宋体" w:eastAsia="宋体" w:cs="宋体"/>
      <w:color w:val="000000"/>
      <w:sz w:val="21"/>
      <w:szCs w:val="21"/>
      <w:u w:val="none"/>
    </w:rPr>
  </w:style>
  <w:style w:type="paragraph" w:styleId="923" w:customStyle="1">
    <w:name w:val="纯文本11"/>
    <w:basedOn w:val="709"/>
    <w:uiPriority w:val="0"/>
    <w:qFormat/>
    <w:rPr>
      <w:rFonts w:ascii="宋体" w:hAnsi="Courier New" w:eastAsia="宋体" w:cs="Courier New"/>
      <w:szCs w:val="21"/>
    </w:rPr>
  </w:style>
  <w:style w:type="paragraph" w:styleId="924" w:customStyle="1">
    <w:name w:val="列表段落1"/>
    <w:basedOn w:val="709"/>
    <w:uiPriority w:val="34"/>
    <w:qFormat/>
    <w:pPr>
      <w:ind w:firstLine="420"/>
    </w:pPr>
  </w:style>
  <w:style w:type="paragraph" w:styleId="925" w:customStyle="1">
    <w:name w:val="正文首行缩进 21"/>
    <w:basedOn w:val="926"/>
    <w:uiPriority w:val="0"/>
    <w:qFormat/>
    <w:pPr>
      <w:ind w:firstLine="200"/>
      <w:spacing w:line="360" w:lineRule="auto"/>
    </w:pPr>
    <w:rPr>
      <w:rFonts w:ascii="宋体"/>
    </w:rPr>
  </w:style>
  <w:style w:type="paragraph" w:styleId="926" w:customStyle="1">
    <w:name w:val="正文文本缩进1"/>
    <w:basedOn w:val="709"/>
    <w:next w:val="925"/>
    <w:uiPriority w:val="0"/>
    <w:qFormat/>
    <w:pPr>
      <w:ind w:left="420"/>
      <w:spacing w:after="120"/>
    </w:pPr>
    <w:rPr>
      <w:sz w:val="24"/>
    </w:rPr>
  </w:style>
  <w:style w:type="table" w:styleId="927" w:customStyle="1">
    <w:name w:val="Table Normal"/>
    <w:uiPriority w:val="0"/>
    <w:unhideWhenUsed/>
    <w:qFormat/>
    <w:tblPr>
      <w:tblCellMar>
        <w:left w:w="0" w:type="dxa"/>
        <w:top w:w="0" w:type="dxa"/>
        <w:right w:w="0" w:type="dxa"/>
        <w:bottom w:w="0" w:type="dxa"/>
      </w:tblCellMar>
    </w:tblPr>
  </w:style>
  <w:style w:type="paragraph" w:styleId="928" w:customStyle="1">
    <w:name w:val="正文缩进1"/>
    <w:basedOn w:val="709"/>
    <w:uiPriority w:val="0"/>
    <w:qFormat/>
    <w:pPr>
      <w:ind w:firstLine="420"/>
    </w:pPr>
    <w:rPr>
      <w:sz w:val="20"/>
      <w:szCs w:val="20"/>
    </w:rPr>
  </w:style>
  <w:style w:type="paragraph" w:styleId="929" w:customStyle="1">
    <w:name w:val="Default"/>
    <w:uiPriority w:val="0"/>
    <w:qFormat/>
    <w:pPr>
      <w:widowControl w:val="off"/>
    </w:pPr>
    <w:rPr>
      <w:rFonts w:ascii="宋体" w:hAnsi="Times New Roman" w:eastAsia="宋体" w:cs="宋体"/>
      <w:color w:val="000000"/>
      <w:sz w:val="24"/>
      <w:szCs w:val="24"/>
      <w:lang w:val="en-US" w:eastAsia="zh-CN" w:bidi="ar-SA"/>
    </w:rPr>
  </w:style>
  <w:style w:type="table" w:styleId="930" w:customStyle="1">
    <w:name w:val="Table Normal1"/>
    <w:uiPriority w:val="0"/>
    <w:unhideWhenUsed/>
    <w:qFormat/>
    <w:tblPr>
      <w:tblCellMar>
        <w:left w:w="0" w:type="dxa"/>
        <w:top w:w="0" w:type="dxa"/>
        <w:right w:w="0" w:type="dxa"/>
        <w:bottom w:w="0" w:type="dxa"/>
      </w:tblCellMar>
    </w:tbl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张丽</cp:lastModifiedBy>
  <cp:revision>11</cp:revision>
  <dcterms:created xsi:type="dcterms:W3CDTF">2026-07-16T04:13:00Z</dcterms:created>
  <dcterms:modified xsi:type="dcterms:W3CDTF">2026-08-18T03:06:44Z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A77E97F1A6434FC2BB544CF44CB4ABD3_13</vt:lpwstr>
  </property>
  <property fmtid="{D5CDD505-2E9C-101B-9397-08002B2CF9AE}" pid="4" name="KSOTemplateDocerSaveRecord">
    <vt:lpwstr>eyJoZGlkIjoiYTU3MzY1MzlhMGU3NjRkNDlhNzU5Y2E0ODhjZTgwODgiLCJ1c2VySWQiOiI3MDkyNzI1ODcifQ==</vt:lpwstr>
  </property>
</Properties>
</file>