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71BA3">
      <w:pPr>
        <w:ind w:firstLine="1040"/>
        <w:jc w:val="center"/>
        <w:rPr>
          <w:rFonts w:hint="eastAsia" w:ascii="宋体" w:hAnsi="宋体" w:cs="宋体"/>
          <w:color w:val="auto"/>
          <w:sz w:val="52"/>
          <w:szCs w:val="52"/>
          <w:highlight w:val="none"/>
        </w:rPr>
      </w:pPr>
    </w:p>
    <w:p w14:paraId="1E1EBA9F">
      <w:pPr>
        <w:ind w:firstLine="0"/>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t>招　标　文　件</w:t>
      </w:r>
    </w:p>
    <w:p w14:paraId="521A5C93">
      <w:pPr>
        <w:rPr>
          <w:rFonts w:hint="eastAsia" w:ascii="宋体" w:hAnsi="宋体" w:cs="宋体"/>
          <w:b/>
          <w:bCs/>
          <w:color w:val="auto"/>
          <w:highlight w:val="none"/>
        </w:rPr>
      </w:pPr>
    </w:p>
    <w:p w14:paraId="1A5FF3BF">
      <w:pPr>
        <w:pStyle w:val="162"/>
        <w:ind w:firstLine="0"/>
        <w:jc w:val="center"/>
        <w:rPr>
          <w:rFonts w:ascii="??" w:hAnsi="Times New Roman" w:eastAsia="Times New Roman" w:cs="Times New Roman"/>
          <w:b/>
          <w:bCs/>
          <w:sz w:val="28"/>
          <w:szCs w:val="28"/>
          <w:highlight w:val="none"/>
        </w:rPr>
      </w:pPr>
      <w:r>
        <w:rPr>
          <w:rFonts w:hint="eastAsia" w:ascii="宋体" w:hAnsi="宋体" w:cs="宋体"/>
          <w:b/>
          <w:bCs/>
          <w:sz w:val="28"/>
          <w:szCs w:val="28"/>
          <w:highlight w:val="none"/>
        </w:rPr>
        <w:t>项目名称：</w:t>
      </w:r>
      <w:r>
        <w:rPr>
          <w:rFonts w:hint="eastAsia" w:ascii="宋体" w:hAnsi="宋体" w:cs="宋体"/>
          <w:b/>
          <w:bCs/>
          <w:color w:val="auto"/>
          <w:sz w:val="28"/>
          <w:szCs w:val="28"/>
          <w:highlight w:val="none"/>
          <w:lang w:eastAsia="zh-CN"/>
        </w:rPr>
        <w:t>2026-2027年南通市通州区镇级空气自动监测站运维服务项目</w:t>
      </w:r>
    </w:p>
    <w:p w14:paraId="30D815FE">
      <w:pPr>
        <w:ind w:firstLine="1383"/>
        <w:rPr>
          <w:rFonts w:hint="eastAsia" w:ascii="??" w:eastAsia="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sz w:val="28"/>
          <w:szCs w:val="28"/>
          <w:highlight w:val="none"/>
        </w:rPr>
        <w:t>项目编号：</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 JSZC-320612-JSGH-G2026-0014</w:t>
      </w:r>
    </w:p>
    <w:p w14:paraId="25ACCEAA">
      <w:pPr>
        <w:ind w:left="0" w:leftChars="0" w:firstLine="1050" w:firstLineChars="500"/>
        <w:rPr>
          <w:rFonts w:hint="eastAsia" w:ascii="宋体" w:hAnsi="宋体" w:cs="宋体"/>
          <w:color w:val="auto"/>
          <w:sz w:val="32"/>
          <w:szCs w:val="32"/>
          <w:highlight w:val="none"/>
          <w:shd w:val="clear" w:color="auto" w:fill="FFFFFF"/>
        </w:rPr>
      </w:pPr>
      <w:r>
        <w:rPr>
          <w:rFonts w:hint="eastAsia" w:ascii="宋体" w:hAnsi="宋体" w:cs="宋体"/>
          <w:color w:val="auto"/>
          <w:szCs w:val="21"/>
          <w:highlight w:val="none"/>
          <w:shd w:val="clear" w:color="auto" w:fill="FFFFFF"/>
        </w:rPr>
        <w:t xml:space="preserve"> </w:t>
      </w:r>
      <w:r>
        <w:rPr>
          <w:rFonts w:hint="eastAsia" w:ascii="宋体" w:hAnsi="宋体" w:cs="宋体"/>
          <w:color w:val="auto"/>
          <w:sz w:val="28"/>
          <w:szCs w:val="28"/>
          <w:highlight w:val="none"/>
          <w:shd w:val="clear" w:color="auto" w:fill="FFFFFF"/>
        </w:rPr>
        <w:t xml:space="preserve"> </w:t>
      </w:r>
    </w:p>
    <w:p w14:paraId="36B9F0B1">
      <w:pPr>
        <w:rPr>
          <w:rFonts w:hint="eastAsia" w:ascii="宋体" w:hAnsi="宋体" w:cs="宋体"/>
          <w:b/>
          <w:color w:val="auto"/>
          <w:sz w:val="30"/>
          <w:szCs w:val="30"/>
          <w:highlight w:val="none"/>
        </w:rPr>
      </w:pPr>
      <w:r>
        <w:rPr>
          <w:rFonts w:hint="eastAsia" w:ascii="宋体" w:hAnsi="宋体" w:cs="宋体"/>
          <w:color w:val="auto"/>
          <w:highlight w:val="none"/>
        </w:rPr>
        <w:t xml:space="preserve">           </w:t>
      </w:r>
      <w:r>
        <w:rPr>
          <w:rFonts w:hint="eastAsia" w:ascii="宋体" w:hAnsi="宋体" w:cs="宋体"/>
          <w:b/>
          <w:color w:val="auto"/>
          <w:sz w:val="30"/>
          <w:szCs w:val="30"/>
          <w:highlight w:val="none"/>
        </w:rPr>
        <w:t xml:space="preserve">     </w:t>
      </w:r>
    </w:p>
    <w:p w14:paraId="0D59E40C">
      <w:pPr>
        <w:pStyle w:val="105"/>
        <w:rPr>
          <w:rFonts w:hint="eastAsia" w:ascii="宋体" w:hAnsi="宋体" w:cs="宋体"/>
          <w:b/>
          <w:color w:val="auto"/>
          <w:sz w:val="30"/>
          <w:szCs w:val="30"/>
          <w:highlight w:val="none"/>
        </w:rPr>
      </w:pPr>
    </w:p>
    <w:p w14:paraId="3D106A66">
      <w:pPr>
        <w:pStyle w:val="106"/>
        <w:rPr>
          <w:rFonts w:hint="eastAsia" w:ascii="宋体" w:hAnsi="宋体" w:eastAsia="宋体" w:cs="宋体"/>
          <w:color w:val="auto"/>
          <w:highlight w:val="none"/>
        </w:rPr>
      </w:pPr>
    </w:p>
    <w:p w14:paraId="181F5776">
      <w:pPr>
        <w:rPr>
          <w:rFonts w:hint="eastAsia" w:ascii="宋体" w:hAnsi="宋体" w:cs="宋体"/>
          <w:color w:val="auto"/>
          <w:highlight w:val="none"/>
        </w:rPr>
      </w:pPr>
    </w:p>
    <w:p w14:paraId="6B3E902E">
      <w:pPr>
        <w:rPr>
          <w:rFonts w:hint="eastAsia" w:ascii="宋体" w:hAnsi="宋体" w:cs="宋体"/>
          <w:color w:val="auto"/>
          <w:highlight w:val="none"/>
        </w:rPr>
      </w:pPr>
    </w:p>
    <w:p w14:paraId="12AE22F1">
      <w:pPr>
        <w:pStyle w:val="154"/>
        <w:ind w:firstLine="480"/>
        <w:rPr>
          <w:rFonts w:hint="eastAsia" w:ascii="宋体" w:hAnsi="宋体" w:eastAsia="宋体" w:cs="宋体"/>
          <w:color w:val="auto"/>
          <w:highlight w:val="none"/>
        </w:rPr>
      </w:pPr>
    </w:p>
    <w:p w14:paraId="7A39B389">
      <w:pPr>
        <w:rPr>
          <w:rFonts w:hint="eastAsia" w:ascii="宋体" w:hAnsi="宋体" w:cs="宋体"/>
          <w:color w:val="auto"/>
          <w:highlight w:val="none"/>
        </w:rPr>
      </w:pPr>
    </w:p>
    <w:p w14:paraId="40938263">
      <w:pPr>
        <w:pStyle w:val="156"/>
        <w:ind w:left="63" w:right="63"/>
        <w:rPr>
          <w:rFonts w:hint="eastAsia" w:ascii="宋体" w:hAnsi="宋体" w:cs="宋体"/>
          <w:color w:val="auto"/>
          <w:highlight w:val="none"/>
        </w:rPr>
      </w:pPr>
    </w:p>
    <w:p w14:paraId="62C0B089">
      <w:pPr>
        <w:ind w:firstLine="560"/>
        <w:rPr>
          <w:rFonts w:hint="eastAsia" w:ascii="宋体" w:hAnsi="宋体" w:cs="宋体"/>
          <w:color w:val="auto"/>
          <w:sz w:val="28"/>
          <w:szCs w:val="28"/>
          <w:highlight w:val="none"/>
        </w:rPr>
      </w:pPr>
    </w:p>
    <w:p w14:paraId="5E8A1AA3">
      <w:pPr>
        <w:pStyle w:val="105"/>
        <w:rPr>
          <w:rFonts w:hint="eastAsia" w:ascii="宋体" w:hAnsi="宋体" w:cs="宋体"/>
          <w:color w:val="auto"/>
          <w:sz w:val="28"/>
          <w:szCs w:val="28"/>
          <w:highlight w:val="none"/>
        </w:rPr>
      </w:pPr>
    </w:p>
    <w:p w14:paraId="4ADA43B5">
      <w:pPr>
        <w:pStyle w:val="106"/>
        <w:rPr>
          <w:rFonts w:hint="eastAsia" w:ascii="宋体" w:hAnsi="宋体" w:eastAsia="宋体" w:cs="宋体"/>
          <w:color w:val="auto"/>
          <w:highlight w:val="none"/>
        </w:rPr>
      </w:pPr>
    </w:p>
    <w:p w14:paraId="0111FFB4">
      <w:pPr>
        <w:pStyle w:val="106"/>
        <w:rPr>
          <w:rFonts w:hint="eastAsia" w:ascii="宋体" w:hAnsi="宋体" w:eastAsia="宋体" w:cs="宋体"/>
          <w:color w:val="auto"/>
          <w:highlight w:val="none"/>
        </w:rPr>
      </w:pPr>
    </w:p>
    <w:p w14:paraId="1FDBB35D">
      <w:pPr>
        <w:pStyle w:val="106"/>
        <w:rPr>
          <w:rFonts w:hint="eastAsia" w:ascii="宋体" w:hAnsi="宋体" w:eastAsia="宋体" w:cs="宋体"/>
          <w:color w:val="auto"/>
          <w:highlight w:val="none"/>
        </w:rPr>
      </w:pPr>
    </w:p>
    <w:p w14:paraId="51EE66DF">
      <w:pPr>
        <w:ind w:firstLine="640"/>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南通市通州生态环境局</w:t>
      </w:r>
    </w:p>
    <w:p w14:paraId="666D137D">
      <w:pPr>
        <w:spacing w:line="560" w:lineRule="exact"/>
        <w:jc w:val="center"/>
        <w:rPr>
          <w:rFonts w:hint="default" w:eastAsia="宋体"/>
          <w:bCs/>
          <w:color w:val="auto"/>
          <w:sz w:val="32"/>
          <w:szCs w:val="32"/>
          <w:highlight w:val="none"/>
          <w:lang w:val="en-US" w:eastAsia="zh-CN"/>
        </w:rPr>
      </w:pPr>
      <w:r>
        <w:rPr>
          <w:rFonts w:hint="eastAsia" w:ascii="宋体" w:hAnsi="宋体" w:cs="宋体"/>
          <w:color w:val="auto"/>
          <w:sz w:val="32"/>
          <w:szCs w:val="32"/>
          <w:highlight w:val="none"/>
        </w:rPr>
        <w:t xml:space="preserve">   </w:t>
      </w:r>
      <w:r>
        <w:rPr>
          <w:rFonts w:hAnsi="宋体"/>
          <w:bCs/>
          <w:color w:val="auto"/>
          <w:sz w:val="32"/>
          <w:szCs w:val="32"/>
          <w:highlight w:val="none"/>
        </w:rPr>
        <w:t>采购代理机构：</w:t>
      </w:r>
      <w:r>
        <w:rPr>
          <w:rFonts w:hint="eastAsia" w:hAnsi="宋体"/>
          <w:bCs/>
          <w:color w:val="auto"/>
          <w:sz w:val="32"/>
          <w:szCs w:val="32"/>
          <w:highlight w:val="none"/>
          <w:lang w:val="en-US" w:eastAsia="zh-CN"/>
        </w:rPr>
        <w:t>江苏广和工程咨询有限公司</w:t>
      </w:r>
    </w:p>
    <w:p w14:paraId="1EA54EFF">
      <w:pPr>
        <w:pStyle w:val="162"/>
        <w:ind w:firstLine="640"/>
        <w:jc w:val="center"/>
        <w:rPr>
          <w:rFonts w:hint="eastAsia" w:ascii="宋体" w:hAnsi="宋体" w:cs="宋体"/>
          <w:color w:val="auto"/>
          <w:sz w:val="32"/>
          <w:szCs w:val="32"/>
          <w:highlight w:val="none"/>
        </w:rPr>
      </w:pPr>
      <w:r>
        <w:rPr>
          <w:bCs/>
          <w:color w:val="auto"/>
          <w:sz w:val="32"/>
          <w:szCs w:val="32"/>
          <w:highlight w:val="none"/>
        </w:rPr>
        <w:t>202</w:t>
      </w:r>
      <w:r>
        <w:rPr>
          <w:rFonts w:hint="eastAsia"/>
          <w:bCs/>
          <w:color w:val="auto"/>
          <w:sz w:val="32"/>
          <w:szCs w:val="32"/>
          <w:highlight w:val="none"/>
          <w:lang w:val="en-US" w:eastAsia="zh-CN"/>
        </w:rPr>
        <w:t>6</w:t>
      </w:r>
      <w:r>
        <w:rPr>
          <w:rFonts w:hAnsi="宋体"/>
          <w:bCs/>
          <w:color w:val="auto"/>
          <w:sz w:val="32"/>
          <w:szCs w:val="32"/>
          <w:highlight w:val="none"/>
        </w:rPr>
        <w:t>年</w:t>
      </w:r>
      <w:r>
        <w:rPr>
          <w:rFonts w:hint="eastAsia"/>
          <w:bCs/>
          <w:color w:val="auto"/>
          <w:sz w:val="32"/>
          <w:szCs w:val="32"/>
          <w:highlight w:val="none"/>
          <w:lang w:val="en-US" w:eastAsia="zh-CN"/>
        </w:rPr>
        <w:t>7</w:t>
      </w:r>
      <w:r>
        <w:rPr>
          <w:rFonts w:hAnsi="宋体"/>
          <w:bCs/>
          <w:color w:val="auto"/>
          <w:sz w:val="32"/>
          <w:szCs w:val="32"/>
          <w:highlight w:val="none"/>
        </w:rPr>
        <w:t>月</w:t>
      </w:r>
      <w:r>
        <w:rPr>
          <w:rFonts w:hint="eastAsia"/>
          <w:bCs/>
          <w:color w:val="auto"/>
          <w:sz w:val="32"/>
          <w:szCs w:val="32"/>
          <w:highlight w:val="none"/>
          <w:lang w:val="en-US" w:eastAsia="zh-CN"/>
        </w:rPr>
        <w:t>27</w:t>
      </w:r>
      <w:r>
        <w:rPr>
          <w:rFonts w:hAnsi="宋体"/>
          <w:bCs/>
          <w:color w:val="auto"/>
          <w:sz w:val="32"/>
          <w:szCs w:val="32"/>
          <w:highlight w:val="none"/>
        </w:rPr>
        <w:t>日</w:t>
      </w:r>
    </w:p>
    <w:p w14:paraId="5BED505B">
      <w:pPr>
        <w:jc w:val="center"/>
        <w:rPr>
          <w:rFonts w:hint="eastAsia" w:ascii="宋体" w:hAnsi="宋体" w:cs="宋体"/>
          <w:color w:val="auto"/>
          <w:sz w:val="36"/>
          <w:szCs w:val="36"/>
          <w:highlight w:val="none"/>
        </w:rPr>
      </w:pPr>
      <w:bookmarkStart w:id="0" w:name="_Toc120614210"/>
      <w:bookmarkStart w:id="1" w:name="_Toc523127445"/>
      <w:bookmarkStart w:id="2" w:name="_Toc513029200"/>
      <w:bookmarkStart w:id="3" w:name="_Toc20823272"/>
      <w:bookmarkStart w:id="4" w:name="_Toc479757206"/>
      <w:bookmarkStart w:id="5" w:name="_Toc16938516"/>
      <w:r>
        <w:rPr>
          <w:rFonts w:hint="eastAsia" w:ascii="宋体" w:hAnsi="宋体" w:cs="宋体"/>
          <w:color w:val="auto"/>
          <w:sz w:val="36"/>
          <w:szCs w:val="36"/>
          <w:highlight w:val="none"/>
        </w:rPr>
        <w:br w:type="page" w:clear="all"/>
      </w:r>
      <w:r>
        <w:rPr>
          <w:rFonts w:hint="eastAsia" w:ascii="宋体" w:hAnsi="宋体" w:cs="宋体"/>
          <w:color w:val="auto"/>
          <w:sz w:val="36"/>
          <w:szCs w:val="36"/>
          <w:highlight w:val="none"/>
        </w:rPr>
        <w:t>招标文件备案表</w:t>
      </w:r>
    </w:p>
    <w:tbl>
      <w:tblPr>
        <w:tblStyle w:val="34"/>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1"/>
      </w:tblGrid>
      <w:tr w14:paraId="360A8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3" w:hRule="atLeast"/>
        </w:trPr>
        <w:tc>
          <w:tcPr>
            <w:tcW w:w="8881" w:type="dxa"/>
          </w:tcPr>
          <w:p w14:paraId="73F04696">
            <w:pPr>
              <w:ind w:firstLine="560"/>
              <w:rPr>
                <w:rFonts w:hint="eastAsia" w:ascii="宋体" w:hAnsi="宋体" w:cs="宋体"/>
                <w:color w:val="auto"/>
                <w:sz w:val="28"/>
                <w:szCs w:val="28"/>
                <w:highlight w:val="none"/>
              </w:rPr>
            </w:pPr>
          </w:p>
          <w:p w14:paraId="4E11A83C">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招标代理：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盖章</w:t>
            </w:r>
            <w:r>
              <w:rPr>
                <w:rFonts w:hint="eastAsia" w:ascii="宋体" w:hAnsi="宋体" w:cs="宋体"/>
                <w:color w:val="auto"/>
                <w:sz w:val="28"/>
                <w:szCs w:val="28"/>
                <w:highlight w:val="none"/>
                <w:lang w:eastAsia="zh-CN"/>
              </w:rPr>
              <w:t>）</w:t>
            </w:r>
          </w:p>
          <w:p w14:paraId="0E846B8F">
            <w:pPr>
              <w:ind w:firstLine="560"/>
              <w:rPr>
                <w:rFonts w:hint="eastAsia" w:ascii="宋体" w:hAnsi="宋体" w:cs="宋体"/>
                <w:color w:val="auto"/>
                <w:sz w:val="28"/>
                <w:szCs w:val="28"/>
                <w:highlight w:val="none"/>
              </w:rPr>
            </w:pPr>
          </w:p>
          <w:p w14:paraId="350AC656">
            <w:pPr>
              <w:ind w:firstLine="560"/>
              <w:rPr>
                <w:rFonts w:hint="eastAsia" w:ascii="宋体" w:hAnsi="宋体" w:cs="宋体"/>
                <w:color w:val="auto"/>
                <w:sz w:val="28"/>
                <w:szCs w:val="28"/>
                <w:highlight w:val="none"/>
              </w:rPr>
            </w:pPr>
          </w:p>
          <w:p w14:paraId="16854085">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编制人：</w:t>
            </w:r>
          </w:p>
          <w:p w14:paraId="537BCA01">
            <w:pPr>
              <w:ind w:firstLine="560"/>
              <w:rPr>
                <w:rFonts w:hint="eastAsia" w:ascii="宋体" w:hAnsi="宋体" w:cs="宋体"/>
                <w:color w:val="auto"/>
                <w:sz w:val="28"/>
                <w:szCs w:val="28"/>
                <w:highlight w:val="none"/>
              </w:rPr>
            </w:pPr>
          </w:p>
          <w:p w14:paraId="5F308113">
            <w:pPr>
              <w:ind w:firstLine="560"/>
              <w:rPr>
                <w:rFonts w:hint="eastAsia" w:ascii="宋体" w:hAnsi="宋体" w:cs="宋体"/>
                <w:color w:val="auto"/>
                <w:sz w:val="28"/>
                <w:szCs w:val="28"/>
                <w:highlight w:val="none"/>
              </w:rPr>
            </w:pPr>
          </w:p>
          <w:p w14:paraId="0EE3905C">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日  期：202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   月    日</w:t>
            </w:r>
          </w:p>
        </w:tc>
      </w:tr>
      <w:tr w14:paraId="17707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7" w:hRule="atLeast"/>
        </w:trPr>
        <w:tc>
          <w:tcPr>
            <w:tcW w:w="8881" w:type="dxa"/>
          </w:tcPr>
          <w:p w14:paraId="08AC8FA2">
            <w:pPr>
              <w:ind w:firstLine="560"/>
              <w:rPr>
                <w:rFonts w:hint="eastAsia" w:ascii="宋体" w:hAnsi="宋体" w:cs="宋体"/>
                <w:color w:val="auto"/>
                <w:sz w:val="28"/>
                <w:szCs w:val="28"/>
                <w:highlight w:val="none"/>
              </w:rPr>
            </w:pPr>
          </w:p>
          <w:p w14:paraId="372C3BBF">
            <w:pPr>
              <w:ind w:firstLine="560"/>
              <w:rPr>
                <w:rFonts w:hint="eastAsia" w:ascii="宋体" w:hAnsi="宋体" w:cs="宋体"/>
                <w:color w:val="auto"/>
                <w:sz w:val="28"/>
                <w:szCs w:val="28"/>
                <w:highlight w:val="none"/>
              </w:rPr>
            </w:pPr>
          </w:p>
          <w:p w14:paraId="5CFF6946">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采购人：</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盖章</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 xml:space="preserve">                </w:t>
            </w:r>
          </w:p>
          <w:p w14:paraId="08E9889B">
            <w:pPr>
              <w:ind w:firstLine="560"/>
              <w:rPr>
                <w:rFonts w:hint="eastAsia" w:ascii="宋体" w:hAnsi="宋体" w:cs="宋体"/>
                <w:color w:val="auto"/>
                <w:sz w:val="28"/>
                <w:szCs w:val="28"/>
                <w:highlight w:val="none"/>
              </w:rPr>
            </w:pPr>
          </w:p>
          <w:p w14:paraId="4BCC4D74">
            <w:pPr>
              <w:ind w:firstLine="560"/>
              <w:rPr>
                <w:rFonts w:hint="eastAsia" w:ascii="宋体" w:hAnsi="宋体" w:cs="宋体"/>
                <w:color w:val="auto"/>
                <w:sz w:val="28"/>
                <w:szCs w:val="28"/>
                <w:highlight w:val="none"/>
              </w:rPr>
            </w:pPr>
          </w:p>
          <w:p w14:paraId="7989C866">
            <w:pPr>
              <w:ind w:firstLine="560"/>
              <w:rPr>
                <w:rFonts w:hint="eastAsia" w:ascii="宋体" w:hAnsi="宋体" w:cs="宋体"/>
                <w:color w:val="auto"/>
                <w:sz w:val="28"/>
                <w:szCs w:val="28"/>
                <w:highlight w:val="none"/>
              </w:rPr>
            </w:pPr>
          </w:p>
          <w:p w14:paraId="154818DC">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审阅人（签字）：</w:t>
            </w:r>
          </w:p>
          <w:p w14:paraId="43A56F82">
            <w:pPr>
              <w:ind w:firstLine="560"/>
              <w:rPr>
                <w:rFonts w:hint="eastAsia" w:ascii="宋体" w:hAnsi="宋体" w:cs="宋体"/>
                <w:color w:val="auto"/>
                <w:sz w:val="28"/>
                <w:szCs w:val="28"/>
                <w:highlight w:val="none"/>
              </w:rPr>
            </w:pPr>
          </w:p>
          <w:p w14:paraId="0926B430">
            <w:pPr>
              <w:ind w:firstLine="560"/>
              <w:rPr>
                <w:rFonts w:hint="eastAsia" w:ascii="宋体" w:hAnsi="宋体" w:cs="宋体"/>
                <w:color w:val="auto"/>
                <w:sz w:val="28"/>
                <w:szCs w:val="28"/>
                <w:highlight w:val="none"/>
              </w:rPr>
            </w:pPr>
          </w:p>
          <w:p w14:paraId="2AD59872">
            <w:pPr>
              <w:ind w:firstLine="560"/>
              <w:rPr>
                <w:rFonts w:hint="eastAsia" w:ascii="宋体" w:hAnsi="宋体" w:cs="宋体"/>
                <w:color w:val="auto"/>
                <w:sz w:val="28"/>
                <w:szCs w:val="28"/>
                <w:highlight w:val="none"/>
              </w:rPr>
            </w:pPr>
          </w:p>
          <w:p w14:paraId="1589AE54">
            <w:pPr>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日 期：202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   月    日</w:t>
            </w:r>
          </w:p>
          <w:p w14:paraId="789D132D">
            <w:pPr>
              <w:ind w:firstLine="560"/>
              <w:rPr>
                <w:rFonts w:hint="eastAsia" w:ascii="宋体" w:hAnsi="宋体" w:cs="宋体"/>
                <w:color w:val="auto"/>
                <w:sz w:val="28"/>
                <w:szCs w:val="28"/>
                <w:highlight w:val="none"/>
              </w:rPr>
            </w:pPr>
          </w:p>
          <w:p w14:paraId="5AEB588A">
            <w:pPr>
              <w:ind w:firstLine="560"/>
              <w:rPr>
                <w:rFonts w:hint="eastAsia" w:ascii="宋体" w:hAnsi="宋体" w:cs="宋体"/>
                <w:color w:val="auto"/>
                <w:sz w:val="28"/>
                <w:szCs w:val="28"/>
                <w:highlight w:val="none"/>
              </w:rPr>
            </w:pPr>
          </w:p>
        </w:tc>
      </w:tr>
    </w:tbl>
    <w:p w14:paraId="1E0C98FA">
      <w:pPr>
        <w:rPr>
          <w:rFonts w:hint="eastAsia" w:ascii="宋体" w:hAnsi="宋体" w:cs="宋体"/>
          <w:color w:val="auto"/>
          <w:highlight w:val="none"/>
        </w:rPr>
      </w:pPr>
    </w:p>
    <w:p w14:paraId="05AAEC30">
      <w:pPr>
        <w:rPr>
          <w:rFonts w:hint="eastAsia" w:ascii="宋体" w:hAnsi="宋体" w:cs="宋体"/>
          <w:color w:val="auto"/>
          <w:highlight w:val="none"/>
        </w:rPr>
        <w:sectPr>
          <w:headerReference r:id="rId5" w:type="defaul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1701" w:num="1"/>
          <w:titlePg/>
          <w:docGrid w:linePitch="360" w:charSpace="0"/>
        </w:sectPr>
      </w:pPr>
    </w:p>
    <w:p w14:paraId="76B268BE">
      <w:pPr>
        <w:pStyle w:val="93"/>
        <w:ind w:firstLine="560"/>
        <w:rPr>
          <w:rFonts w:hint="eastAsia" w:ascii="宋体" w:hAnsi="宋体" w:eastAsia="宋体" w:cs="宋体"/>
          <w:color w:val="auto"/>
          <w:highlight w:val="none"/>
        </w:rPr>
      </w:pPr>
    </w:p>
    <w:p w14:paraId="06641714">
      <w:pPr>
        <w:ind w:firstLine="0"/>
        <w:jc w:val="center"/>
        <w:rPr>
          <w:rFonts w:hint="eastAsia" w:ascii="宋体" w:hAnsi="宋体" w:cs="宋体"/>
          <w:bCs/>
          <w:color w:val="auto"/>
          <w:sz w:val="44"/>
          <w:szCs w:val="44"/>
          <w:highlight w:val="none"/>
        </w:rPr>
      </w:pPr>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投标邀请</w:t>
      </w:r>
    </w:p>
    <w:p w14:paraId="32CDF36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u w:val="single"/>
          <w:lang w:eastAsia="zh-CN"/>
        </w:rPr>
        <w:t>南通市通州生态环境局</w:t>
      </w:r>
      <w:r>
        <w:rPr>
          <w:rFonts w:hint="eastAsia" w:ascii="宋体" w:hAnsi="宋体" w:cs="宋体"/>
          <w:color w:val="auto"/>
          <w:sz w:val="28"/>
          <w:szCs w:val="28"/>
          <w:highlight w:val="none"/>
        </w:rPr>
        <w:t>的委托，</w:t>
      </w:r>
      <w:r>
        <w:rPr>
          <w:rFonts w:hint="eastAsia" w:ascii="宋体" w:hAnsi="宋体" w:cs="宋体"/>
          <w:color w:val="auto"/>
          <w:sz w:val="28"/>
          <w:szCs w:val="28"/>
          <w:highlight w:val="none"/>
          <w:lang w:eastAsia="zh-CN"/>
        </w:rPr>
        <w:t>江苏广和工程咨询有限公司</w:t>
      </w:r>
      <w:r>
        <w:rPr>
          <w:rFonts w:hint="eastAsia" w:ascii="宋体" w:hAnsi="宋体" w:cs="宋体"/>
          <w:color w:val="auto"/>
          <w:sz w:val="28"/>
          <w:szCs w:val="28"/>
          <w:highlight w:val="none"/>
        </w:rPr>
        <w:t>就</w:t>
      </w:r>
      <w:r>
        <w:rPr>
          <w:rFonts w:hint="eastAsia" w:ascii="宋体" w:hAnsi="宋体" w:cs="宋体"/>
          <w:color w:val="auto"/>
          <w:sz w:val="28"/>
          <w:szCs w:val="28"/>
          <w:highlight w:val="none"/>
          <w:u w:val="single"/>
          <w:lang w:eastAsia="zh-CN"/>
        </w:rPr>
        <w:t>2026-2027年南通市通州区镇级空气自动监测站运维服务项目</w:t>
      </w:r>
      <w:r>
        <w:rPr>
          <w:rFonts w:hint="eastAsia" w:ascii="宋体" w:hAnsi="宋体" w:cs="宋体"/>
          <w:color w:val="auto"/>
          <w:sz w:val="28"/>
          <w:szCs w:val="28"/>
          <w:highlight w:val="none"/>
        </w:rPr>
        <w:t>进行公开招标采购，欢迎符合条件的供应商投标。</w:t>
      </w:r>
    </w:p>
    <w:p w14:paraId="4736BABE">
      <w:pPr>
        <w:pBdr>
          <w:top w:val="single" w:color="000000" w:sz="4" w:space="1"/>
          <w:left w:val="single" w:color="000000" w:sz="4" w:space="4"/>
          <w:bottom w:val="single" w:color="000000" w:sz="4" w:space="1"/>
          <w:right w:val="single" w:color="000000" w:sz="4" w:space="4"/>
        </w:pBdr>
        <w:ind w:firstLine="560"/>
        <w:rPr>
          <w:rFonts w:hint="eastAsia" w:ascii="宋体" w:hAnsi="宋体" w:cs="宋体"/>
          <w:color w:val="auto"/>
          <w:sz w:val="28"/>
          <w:szCs w:val="28"/>
          <w:highlight w:val="none"/>
        </w:rPr>
      </w:pPr>
      <w:bookmarkStart w:id="6" w:name="_Toc28359079"/>
      <w:bookmarkStart w:id="7" w:name="_Toc38985263"/>
      <w:bookmarkStart w:id="8" w:name="_Toc35393790"/>
      <w:bookmarkStart w:id="9" w:name="_Toc28359002"/>
      <w:bookmarkStart w:id="10" w:name="_Toc35393621"/>
      <w:bookmarkStart w:id="11" w:name="_Hlk24379207"/>
      <w:r>
        <w:rPr>
          <w:rFonts w:hint="eastAsia" w:ascii="宋体" w:hAnsi="宋体" w:cs="宋体"/>
          <w:color w:val="auto"/>
          <w:sz w:val="28"/>
          <w:szCs w:val="28"/>
          <w:highlight w:val="none"/>
        </w:rPr>
        <w:t>项目概况</w:t>
      </w:r>
    </w:p>
    <w:p w14:paraId="7D776D2F">
      <w:pPr>
        <w:pBdr>
          <w:top w:val="single" w:color="000000" w:sz="4" w:space="1"/>
          <w:left w:val="single" w:color="000000" w:sz="4" w:space="4"/>
          <w:bottom w:val="single" w:color="000000" w:sz="4" w:space="1"/>
          <w:right w:val="single" w:color="000000" w:sz="4" w:space="4"/>
        </w:pBd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u w:val="single"/>
          <w:lang w:eastAsia="zh-CN"/>
        </w:rPr>
        <w:t>2026-2027年南通市通州区镇级空气自动监测站运维服务项目</w:t>
      </w:r>
      <w:r>
        <w:rPr>
          <w:rFonts w:hint="eastAsia" w:ascii="宋体" w:hAnsi="宋体" w:cs="宋体"/>
          <w:color w:val="auto"/>
          <w:sz w:val="28"/>
          <w:szCs w:val="28"/>
          <w:highlight w:val="none"/>
        </w:rPr>
        <w:t>的潜在投标人可在</w:t>
      </w:r>
      <w:r>
        <w:rPr>
          <w:rFonts w:hint="eastAsia" w:ascii="宋体" w:hAnsi="宋体" w:cs="宋体"/>
          <w:color w:val="auto"/>
          <w:sz w:val="28"/>
          <w:szCs w:val="28"/>
          <w:highlight w:val="none"/>
          <w:u w:val="single"/>
        </w:rPr>
        <w:t>“江苏政府采购网”自行免费下载</w:t>
      </w:r>
      <w:r>
        <w:rPr>
          <w:rFonts w:hint="eastAsia" w:ascii="宋体" w:hAnsi="宋体" w:cs="宋体"/>
          <w:color w:val="auto"/>
          <w:sz w:val="28"/>
          <w:szCs w:val="28"/>
          <w:highlight w:val="none"/>
        </w:rPr>
        <w:t>招标文件，并于</w:t>
      </w:r>
      <w:r>
        <w:rPr>
          <w:rFonts w:hint="eastAsia" w:ascii="宋体" w:hAnsi="宋体" w:cs="宋体"/>
          <w:color w:val="auto"/>
          <w:sz w:val="28"/>
          <w:szCs w:val="28"/>
          <w:highlight w:val="none"/>
          <w:u w:val="single"/>
        </w:rPr>
        <w:t>202</w:t>
      </w:r>
      <w:r>
        <w:rPr>
          <w:rFonts w:hint="eastAsia" w:ascii="宋体" w:hAnsi="宋体" w:cs="宋体"/>
          <w:color w:val="auto"/>
          <w:sz w:val="28"/>
          <w:szCs w:val="28"/>
          <w:highlight w:val="none"/>
          <w:u w:val="single"/>
          <w:lang w:val="en-US" w:eastAsia="zh-CN"/>
        </w:rPr>
        <w:t>6</w:t>
      </w:r>
      <w:r>
        <w:rPr>
          <w:rFonts w:hint="eastAsia" w:ascii="宋体" w:hAnsi="宋体" w:cs="宋体"/>
          <w:bCs/>
          <w:color w:val="auto"/>
          <w:sz w:val="28"/>
          <w:szCs w:val="28"/>
          <w:highlight w:val="none"/>
          <w:u w:val="single"/>
        </w:rPr>
        <w:t>年</w:t>
      </w:r>
      <w:r>
        <w:rPr>
          <w:rFonts w:hint="eastAsia" w:ascii="宋体" w:hAnsi="宋体" w:cs="宋体"/>
          <w:bCs/>
          <w:color w:val="auto"/>
          <w:sz w:val="28"/>
          <w:szCs w:val="28"/>
          <w:highlight w:val="none"/>
          <w:u w:val="single"/>
          <w:lang w:val="en-US" w:eastAsia="zh-CN"/>
        </w:rPr>
        <w:t>8</w:t>
      </w:r>
      <w:r>
        <w:rPr>
          <w:rFonts w:hint="eastAsia" w:ascii="宋体" w:hAnsi="宋体" w:cs="宋体"/>
          <w:bCs/>
          <w:color w:val="auto"/>
          <w:sz w:val="28"/>
          <w:szCs w:val="28"/>
          <w:highlight w:val="none"/>
          <w:u w:val="single"/>
        </w:rPr>
        <w:t>月</w:t>
      </w:r>
      <w:r>
        <w:rPr>
          <w:rFonts w:hint="eastAsia" w:ascii="宋体" w:hAnsi="宋体" w:cs="宋体"/>
          <w:bCs/>
          <w:color w:val="auto"/>
          <w:sz w:val="28"/>
          <w:szCs w:val="28"/>
          <w:highlight w:val="none"/>
          <w:u w:val="single"/>
          <w:lang w:val="en-US" w:eastAsia="zh-CN"/>
        </w:rPr>
        <w:t>31</w:t>
      </w:r>
      <w:r>
        <w:rPr>
          <w:rFonts w:hint="eastAsia" w:ascii="宋体" w:hAnsi="宋体" w:cs="宋体"/>
          <w:bCs/>
          <w:color w:val="auto"/>
          <w:sz w:val="28"/>
          <w:szCs w:val="28"/>
          <w:highlight w:val="none"/>
          <w:u w:val="single"/>
        </w:rPr>
        <w:t>日</w:t>
      </w:r>
      <w:r>
        <w:rPr>
          <w:rFonts w:hint="eastAsia" w:ascii="宋体" w:hAnsi="宋体" w:cs="宋体"/>
          <w:bCs/>
          <w:color w:val="auto"/>
          <w:sz w:val="28"/>
          <w:szCs w:val="28"/>
          <w:highlight w:val="none"/>
          <w:u w:val="single"/>
          <w:lang w:val="en-US" w:eastAsia="zh-CN"/>
        </w:rPr>
        <w:t>9</w:t>
      </w:r>
      <w:r>
        <w:rPr>
          <w:rFonts w:hint="eastAsia" w:ascii="宋体" w:hAnsi="宋体" w:cs="宋体"/>
          <w:bCs/>
          <w:color w:val="auto"/>
          <w:sz w:val="28"/>
          <w:szCs w:val="28"/>
          <w:highlight w:val="none"/>
          <w:u w:val="single"/>
        </w:rPr>
        <w:t>点</w:t>
      </w:r>
      <w:r>
        <w:rPr>
          <w:rFonts w:hint="eastAsia" w:ascii="宋体" w:hAnsi="宋体" w:cs="宋体"/>
          <w:bCs/>
          <w:color w:val="auto"/>
          <w:sz w:val="28"/>
          <w:szCs w:val="28"/>
          <w:highlight w:val="none"/>
          <w:u w:val="single"/>
          <w:lang w:val="en-US" w:eastAsia="zh-CN"/>
        </w:rPr>
        <w:t>00</w:t>
      </w:r>
      <w:r>
        <w:rPr>
          <w:rFonts w:hint="eastAsia" w:ascii="宋体" w:hAnsi="宋体" w:cs="宋体"/>
          <w:bCs/>
          <w:color w:val="auto"/>
          <w:sz w:val="28"/>
          <w:szCs w:val="28"/>
          <w:highlight w:val="none"/>
          <w:u w:val="single"/>
        </w:rPr>
        <w:t>分（</w:t>
      </w:r>
      <w:r>
        <w:rPr>
          <w:rFonts w:hint="eastAsia" w:ascii="宋体" w:hAnsi="宋体" w:cs="宋体"/>
          <w:bCs/>
          <w:color w:val="auto"/>
          <w:sz w:val="28"/>
          <w:szCs w:val="28"/>
          <w:highlight w:val="none"/>
        </w:rPr>
        <w:t>北京时间）前递交投标文件</w:t>
      </w:r>
      <w:r>
        <w:rPr>
          <w:rFonts w:hint="eastAsia" w:ascii="宋体" w:hAnsi="宋体" w:cs="宋体"/>
          <w:color w:val="auto"/>
          <w:sz w:val="28"/>
          <w:szCs w:val="28"/>
          <w:highlight w:val="none"/>
        </w:rPr>
        <w:t>。</w:t>
      </w:r>
    </w:p>
    <w:p w14:paraId="4ED78A6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一、项目基本情况</w:t>
      </w:r>
      <w:bookmarkEnd w:id="6"/>
      <w:bookmarkEnd w:id="7"/>
      <w:bookmarkEnd w:id="8"/>
      <w:bookmarkEnd w:id="9"/>
      <w:bookmarkEnd w:id="10"/>
    </w:p>
    <w:p w14:paraId="25DFD5C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1.项目编号</w:t>
      </w:r>
      <w:r>
        <w:rPr>
          <w:rFonts w:hint="eastAsia" w:ascii="宋体" w:hAnsi="宋体" w:cs="宋体"/>
          <w:color w:val="auto"/>
          <w:sz w:val="28"/>
          <w:szCs w:val="28"/>
          <w:highlight w:val="none"/>
          <w:lang w:eastAsia="zh-CN"/>
        </w:rPr>
        <w:t>：</w:t>
      </w:r>
      <w:r>
        <w:rPr>
          <w:rFonts w:hint="eastAsia" w:ascii="宋体" w:hAnsi="宋体" w:cs="宋体"/>
          <w:color w:val="auto"/>
          <w:szCs w:val="21"/>
          <w:highlight w:val="none"/>
          <w:shd w:val="clear" w:color="auto" w:fill="FFFFFF"/>
        </w:rPr>
        <w:t xml:space="preserve"> </w:t>
      </w:r>
      <w:r>
        <w:rPr>
          <w:rFonts w:hint="eastAsia" w:ascii="宋体" w:hAnsi="宋体" w:cs="宋体"/>
          <w:color w:val="auto"/>
          <w:sz w:val="28"/>
          <w:szCs w:val="28"/>
          <w:highlight w:val="none"/>
        </w:rPr>
        <w:t xml:space="preserve">JSZC-320612-JSGH-G2026-0014 </w:t>
      </w:r>
      <w:r>
        <w:rPr>
          <w:rFonts w:hint="eastAsia" w:ascii="宋体" w:hAnsi="宋体" w:cs="宋体"/>
          <w:color w:val="auto"/>
          <w:sz w:val="28"/>
          <w:szCs w:val="28"/>
          <w:highlight w:val="none"/>
          <w:shd w:val="clear" w:color="auto" w:fill="FFFFFF"/>
        </w:rPr>
        <w:t xml:space="preserve"> </w:t>
      </w:r>
    </w:p>
    <w:p w14:paraId="50728CF5">
      <w:pPr>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2.项目名称：</w:t>
      </w:r>
      <w:bookmarkEnd w:id="11"/>
      <w:r>
        <w:rPr>
          <w:rFonts w:hint="eastAsia" w:ascii="宋体" w:hAnsi="宋体" w:cs="宋体"/>
          <w:color w:val="auto"/>
          <w:sz w:val="28"/>
          <w:szCs w:val="28"/>
          <w:highlight w:val="none"/>
          <w:lang w:eastAsia="zh-CN"/>
        </w:rPr>
        <w:t>2026-2027年南通市通州区镇级空气自动监测站运维服务项目</w:t>
      </w:r>
    </w:p>
    <w:p w14:paraId="4412F07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3.预算金额：人民币</w:t>
      </w:r>
      <w:r>
        <w:rPr>
          <w:rFonts w:hint="eastAsia" w:ascii="宋体" w:hAnsi="宋体" w:cs="宋体"/>
          <w:color w:val="auto"/>
          <w:sz w:val="28"/>
          <w:szCs w:val="28"/>
          <w:highlight w:val="none"/>
          <w:lang w:val="en-US" w:eastAsia="zh-CN"/>
        </w:rPr>
        <w:t>158万</w:t>
      </w:r>
      <w:r>
        <w:rPr>
          <w:rFonts w:hint="eastAsia" w:ascii="宋体" w:hAnsi="宋体" w:cs="宋体"/>
          <w:color w:val="auto"/>
          <w:sz w:val="28"/>
          <w:szCs w:val="28"/>
          <w:highlight w:val="none"/>
        </w:rPr>
        <w:t>元</w:t>
      </w:r>
      <w:r>
        <w:rPr>
          <w:rFonts w:hint="eastAsia" w:ascii="宋体" w:hAnsi="宋体" w:cs="宋体"/>
          <w:color w:val="auto"/>
          <w:sz w:val="28"/>
          <w:szCs w:val="28"/>
          <w:highlight w:val="none"/>
          <w:lang w:val="en-US" w:eastAsia="zh-CN"/>
        </w:rPr>
        <w:t>/年</w:t>
      </w:r>
      <w:r>
        <w:rPr>
          <w:rFonts w:hint="eastAsia" w:ascii="宋体" w:hAnsi="宋体" w:cs="宋体"/>
          <w:color w:val="auto"/>
          <w:sz w:val="28"/>
          <w:szCs w:val="28"/>
          <w:highlight w:val="none"/>
        </w:rPr>
        <w:t>。</w:t>
      </w:r>
    </w:p>
    <w:p w14:paraId="067A421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4.最高限价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人民币</w:t>
      </w:r>
      <w:r>
        <w:rPr>
          <w:rFonts w:hint="eastAsia" w:ascii="宋体" w:hAnsi="宋体" w:cs="宋体"/>
          <w:color w:val="auto"/>
          <w:sz w:val="28"/>
          <w:szCs w:val="28"/>
          <w:highlight w:val="none"/>
          <w:lang w:val="en-US" w:eastAsia="zh-CN"/>
        </w:rPr>
        <w:t>158万</w:t>
      </w:r>
      <w:r>
        <w:rPr>
          <w:rFonts w:hint="eastAsia" w:ascii="宋体" w:hAnsi="宋体" w:cs="宋体"/>
          <w:color w:val="auto"/>
          <w:sz w:val="28"/>
          <w:szCs w:val="28"/>
          <w:highlight w:val="none"/>
        </w:rPr>
        <w:t>元</w:t>
      </w:r>
      <w:r>
        <w:rPr>
          <w:rFonts w:hint="eastAsia" w:ascii="宋体" w:hAnsi="宋体" w:cs="宋体"/>
          <w:color w:val="auto"/>
          <w:sz w:val="28"/>
          <w:szCs w:val="28"/>
          <w:highlight w:val="none"/>
          <w:lang w:val="en-US" w:eastAsia="zh-CN"/>
        </w:rPr>
        <w:t>/年，投标报价超过最高限价按照无效标处理</w:t>
      </w:r>
      <w:r>
        <w:rPr>
          <w:rFonts w:hint="eastAsia" w:ascii="宋体" w:hAnsi="宋体" w:cs="宋体"/>
          <w:color w:val="auto"/>
          <w:sz w:val="28"/>
          <w:szCs w:val="28"/>
          <w:highlight w:val="none"/>
        </w:rPr>
        <w:t>。</w:t>
      </w:r>
    </w:p>
    <w:p w14:paraId="57F7D86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采购需求：南通市通州区14个镇级空气自动监测站的运行维护及管理工作（含电费、网络传输费、无线通讯费、场地费），站点数据审核、每日数据汇总报告等数据服务工作，以及镇街空气质量末位提醒、技术服务等大气管控工作，具体详见采购文件第四章项目需求。</w:t>
      </w:r>
    </w:p>
    <w:p w14:paraId="4499F85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6.合同履行期限：1年，合同一年一签，运维服务项目的起始日在后续的采购合同中另行规定。</w:t>
      </w:r>
    </w:p>
    <w:p w14:paraId="159E836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7.项目类型：</w:t>
      </w:r>
      <w:r>
        <w:rPr>
          <w:rFonts w:hint="eastAsia" w:ascii="宋体" w:hAnsi="宋体" w:cs="宋体"/>
          <w:color w:val="auto"/>
          <w:sz w:val="28"/>
          <w:szCs w:val="28"/>
          <w:highlight w:val="none"/>
          <w:lang w:val="en-US" w:eastAsia="zh-CN"/>
        </w:rPr>
        <w:t>服务</w:t>
      </w:r>
      <w:r>
        <w:rPr>
          <w:rFonts w:hint="eastAsia" w:ascii="宋体" w:hAnsi="宋体" w:cs="宋体"/>
          <w:color w:val="auto"/>
          <w:sz w:val="28"/>
          <w:szCs w:val="28"/>
          <w:highlight w:val="none"/>
        </w:rPr>
        <w:t>。</w:t>
      </w:r>
    </w:p>
    <w:p w14:paraId="0B285E9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8.所属行业：其他未列明行业。</w:t>
      </w:r>
    </w:p>
    <w:p w14:paraId="38E700A5">
      <w:pPr>
        <w:pStyle w:val="156"/>
        <w:spacing w:line="360" w:lineRule="auto"/>
        <w:ind w:left="63" w:right="63" w:firstLine="560"/>
        <w:jc w:val="both"/>
        <w:rPr>
          <w:rFonts w:hint="eastAsia" w:ascii="宋体" w:hAnsi="宋体" w:cs="宋体"/>
          <w:color w:val="auto"/>
          <w:sz w:val="28"/>
          <w:szCs w:val="28"/>
          <w:highlight w:val="none"/>
        </w:rPr>
      </w:pPr>
      <w:bookmarkStart w:id="12" w:name="_Toc35393622"/>
      <w:bookmarkStart w:id="13" w:name="_Toc38985264"/>
      <w:bookmarkStart w:id="14" w:name="_Toc28359003"/>
      <w:bookmarkStart w:id="15" w:name="_Toc28359080"/>
      <w:bookmarkStart w:id="16" w:name="_Toc35393791"/>
      <w:r>
        <w:rPr>
          <w:rFonts w:hint="eastAsia" w:ascii="宋体" w:hAnsi="宋体" w:cs="宋体"/>
          <w:color w:val="auto"/>
          <w:sz w:val="28"/>
          <w:szCs w:val="28"/>
          <w:highlight w:val="none"/>
        </w:rPr>
        <w:t>二、申请人的资格要求：</w:t>
      </w:r>
      <w:bookmarkEnd w:id="12"/>
      <w:bookmarkEnd w:id="13"/>
      <w:bookmarkEnd w:id="14"/>
      <w:bookmarkEnd w:id="15"/>
      <w:bookmarkEnd w:id="16"/>
    </w:p>
    <w:p w14:paraId="2EC40358">
      <w:pPr>
        <w:ind w:firstLine="560"/>
        <w:rPr>
          <w:rFonts w:hint="eastAsia" w:ascii="宋体" w:hAnsi="宋体" w:cs="宋体"/>
          <w:color w:val="auto"/>
          <w:sz w:val="28"/>
          <w:szCs w:val="28"/>
          <w:highlight w:val="none"/>
        </w:rPr>
      </w:pPr>
      <w:bookmarkStart w:id="17" w:name="_Toc38985265"/>
      <w:bookmarkStart w:id="18" w:name="_Toc35393792"/>
      <w:bookmarkStart w:id="19" w:name="_Toc28359004"/>
      <w:bookmarkStart w:id="20" w:name="_Toc35393623"/>
      <w:bookmarkStart w:id="21" w:name="_Toc28359081"/>
      <w:r>
        <w:rPr>
          <w:rFonts w:hint="eastAsia" w:ascii="宋体" w:hAnsi="宋体" w:cs="宋体"/>
          <w:color w:val="auto"/>
          <w:sz w:val="28"/>
          <w:szCs w:val="28"/>
          <w:highlight w:val="none"/>
        </w:rPr>
        <w:t>（一）通用资格要求</w:t>
      </w:r>
    </w:p>
    <w:p w14:paraId="34F84AF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1.满足《中华人民共和国政府采购法》第二十二条规定，并提供下列材料：</w:t>
      </w:r>
    </w:p>
    <w:p w14:paraId="01690BA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1.1.法人或者其他组织的营业执照等证明文件，自然人的身份证明；</w:t>
      </w:r>
    </w:p>
    <w:p w14:paraId="5E89F58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1.2.202</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年度的财务审计报告（成立不满一年无需提供）或开户银行出具的银行资信证明；</w:t>
      </w:r>
    </w:p>
    <w:p w14:paraId="52A7DE7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1.3.依法缴纳税收和社会保障资金的相关材料（提供提交投标文件截止时间前一年内至少一个月依法缴纳税收及缴纳社会保障资金的证明材料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投标人依法享受缓缴、免缴税收、社会保障资金的</w:t>
      </w:r>
      <w:r>
        <w:rPr>
          <w:rFonts w:hint="eastAsia" w:ascii="宋体" w:hAnsi="宋体" w:cs="宋体"/>
          <w:color w:val="auto"/>
          <w:sz w:val="28"/>
          <w:szCs w:val="28"/>
          <w:highlight w:val="none"/>
          <w:lang w:eastAsia="zh-CN"/>
        </w:rPr>
        <w:t>，提供</w:t>
      </w:r>
      <w:r>
        <w:rPr>
          <w:rFonts w:hint="eastAsia" w:ascii="宋体" w:hAnsi="宋体" w:cs="宋体"/>
          <w:color w:val="auto"/>
          <w:sz w:val="28"/>
          <w:szCs w:val="28"/>
          <w:highlight w:val="none"/>
        </w:rPr>
        <w:t>证明材料）；</w:t>
      </w:r>
    </w:p>
    <w:p w14:paraId="0F972D5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1.4.具备履行合同所必需的设备和专业技术能力的书面声明；</w:t>
      </w:r>
    </w:p>
    <w:p w14:paraId="0C283F4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1.5.参加政府采购活动前3年内在经营活动中没有重大违法记录的书面声明。</w:t>
      </w:r>
    </w:p>
    <w:p w14:paraId="01CD712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w:t>
      </w:r>
      <w:r>
        <w:rPr>
          <w:rFonts w:hint="eastAsia" w:ascii="宋体" w:hAnsi="宋体" w:cs="宋体"/>
          <w:color w:val="auto"/>
          <w:sz w:val="28"/>
          <w:szCs w:val="28"/>
          <w:highlight w:val="none"/>
          <w:lang w:eastAsia="zh-CN"/>
        </w:rPr>
        <w:t>文件</w:t>
      </w:r>
      <w:r>
        <w:rPr>
          <w:rFonts w:hint="eastAsia" w:ascii="宋体" w:hAnsi="宋体" w:cs="宋体"/>
          <w:color w:val="auto"/>
          <w:sz w:val="28"/>
          <w:szCs w:val="28"/>
          <w:highlight w:val="none"/>
        </w:rPr>
        <w:t>无需提供证明材料）</w:t>
      </w:r>
    </w:p>
    <w:p w14:paraId="641FDBB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3.本项目专门面向中小企业采购。</w:t>
      </w:r>
    </w:p>
    <w:p w14:paraId="6102A54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4.本项目</w:t>
      </w:r>
      <w:r>
        <w:rPr>
          <w:rFonts w:hint="eastAsia" w:ascii="宋体" w:hAnsi="宋体" w:cs="宋体"/>
          <w:color w:val="auto"/>
          <w:sz w:val="28"/>
          <w:szCs w:val="28"/>
          <w:highlight w:val="none"/>
          <w:lang w:val="en-US" w:eastAsia="zh-CN"/>
        </w:rPr>
        <w:t>不</w:t>
      </w:r>
      <w:r>
        <w:rPr>
          <w:rFonts w:hint="eastAsia" w:ascii="宋体" w:hAnsi="宋体" w:cs="宋体"/>
          <w:color w:val="auto"/>
          <w:sz w:val="28"/>
          <w:szCs w:val="28"/>
          <w:highlight w:val="none"/>
        </w:rPr>
        <w:t>接受联合体投标。</w:t>
      </w:r>
    </w:p>
    <w:p w14:paraId="018F3CDE">
      <w:pPr>
        <w:ind w:firstLine="56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5.单位负责人为同一人或者存在直接控股、管理关系的不同供应商，不得参加同一合同项下的政府采购活动。</w:t>
      </w:r>
    </w:p>
    <w:p w14:paraId="3A9E2D6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三、获取招标文件</w:t>
      </w:r>
      <w:bookmarkEnd w:id="17"/>
      <w:bookmarkEnd w:id="18"/>
      <w:bookmarkEnd w:id="19"/>
      <w:bookmarkEnd w:id="20"/>
      <w:bookmarkEnd w:id="21"/>
    </w:p>
    <w:p w14:paraId="626140C1">
      <w:pPr>
        <w:ind w:firstLine="560"/>
        <w:rPr>
          <w:rFonts w:hint="eastAsia" w:ascii="宋体" w:hAnsi="宋体" w:cs="宋体"/>
          <w:color w:val="auto"/>
          <w:sz w:val="28"/>
          <w:szCs w:val="28"/>
          <w:highlight w:val="none"/>
        </w:rPr>
      </w:pPr>
      <w:bookmarkStart w:id="22" w:name="_Toc28359005"/>
      <w:bookmarkStart w:id="23" w:name="_Toc28359082"/>
      <w:bookmarkStart w:id="24" w:name="_Toc38985266"/>
      <w:bookmarkStart w:id="25" w:name="_Toc35393624"/>
      <w:bookmarkStart w:id="26" w:name="_Toc35393793"/>
      <w:r>
        <w:rPr>
          <w:rFonts w:hint="eastAsia" w:ascii="宋体" w:hAnsi="宋体" w:cs="宋体"/>
          <w:color w:val="auto"/>
          <w:sz w:val="28"/>
          <w:szCs w:val="28"/>
          <w:highlight w:val="none"/>
        </w:rPr>
        <w:t>1.时间：自招标文件公告发布之日起5个工作日。</w:t>
      </w:r>
    </w:p>
    <w:p w14:paraId="40E21C3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2.获取方式：</w:t>
      </w:r>
    </w:p>
    <w:p w14:paraId="4CDE769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地点：江苏政府采购网</w:t>
      </w:r>
    </w:p>
    <w:p w14:paraId="7F0EFF5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获取方式：本项目采用网上注册登记方式。</w:t>
      </w:r>
    </w:p>
    <w:p w14:paraId="1C9AF13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2.1潜在供应商访问电子招标响应交易平台的网络地址和方法：</w:t>
      </w:r>
    </w:p>
    <w:p w14:paraId="736DC84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“苏采云”系统用户注册</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获取“CA数字证书”--CA绑定与登录--网上报名</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下载采购文件（后缀名为“.kedt”）--将后缀名为“.kedt”的采购文件导入政府采购客户端工具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制作投标文件</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导出加密的投标文件（后缀名为zip）--通过“苏采云”系统上传投标文件。具体见《（苏采云）供应商操作手册》。</w:t>
      </w:r>
    </w:p>
    <w:p w14:paraId="6F77FD8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2.2潜在供应商访问“苏采云”系统的网络地址和方法：“苏采云”系统的网址：http://jszfcg.jsczt.cn/。</w:t>
      </w:r>
    </w:p>
    <w:p w14:paraId="5CA79A4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2.3“CA数字证书”的获取：</w:t>
      </w:r>
    </w:p>
    <w:p w14:paraId="53F2FBB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供应商需办理CA锁，“苏采云”系统目前仅支持政务CA，省内各地区办理的用于“苏采云”平台的政务CA全省通用。南通地区“CA数字证书”的办理：南通市政务中心四楼，电话：18951314963。</w:t>
      </w:r>
    </w:p>
    <w:p w14:paraId="0A33E3F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2.4采购文件（后缀名为“.kedt”）、供应商操作手册及政府采购客户端工具可通过“苏采云”系统</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已报名项目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报名详情页面内相应链接进行下载。</w:t>
      </w:r>
    </w:p>
    <w:p w14:paraId="1443097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2.5采购人或</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将数据电文形式的采购文件加载至“苏采云”系统，供潜在供应商下载或者查阅。</w:t>
      </w:r>
    </w:p>
    <w:p w14:paraId="40B858F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2.6请潜在供应商提前安装相应的控件（详见《（苏采云）供应商操作手册》）并使用谷歌浏览器登录“苏采云”系统参与不见面开评标。</w:t>
      </w:r>
    </w:p>
    <w:p w14:paraId="1EFCA38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四、提交投标文件</w:t>
      </w:r>
      <w:bookmarkEnd w:id="22"/>
      <w:bookmarkEnd w:id="23"/>
      <w:r>
        <w:rPr>
          <w:rFonts w:hint="eastAsia" w:ascii="宋体" w:hAnsi="宋体" w:cs="宋体"/>
          <w:color w:val="auto"/>
          <w:sz w:val="28"/>
          <w:szCs w:val="28"/>
          <w:highlight w:val="none"/>
        </w:rPr>
        <w:t>截止时间、开标时间和地点</w:t>
      </w:r>
      <w:bookmarkEnd w:id="24"/>
      <w:bookmarkEnd w:id="25"/>
      <w:bookmarkEnd w:id="26"/>
    </w:p>
    <w:p w14:paraId="79F66C0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1.时间：202</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lang w:val="en-US" w:eastAsia="zh-CN"/>
        </w:rPr>
        <w:t>8</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lang w:val="en-US" w:eastAsia="zh-CN"/>
        </w:rPr>
        <w:t>31</w:t>
      </w:r>
      <w:r>
        <w:rPr>
          <w:rFonts w:hint="eastAsia" w:ascii="宋体" w:hAnsi="宋体" w:cs="宋体"/>
          <w:color w:val="auto"/>
          <w:sz w:val="28"/>
          <w:szCs w:val="28"/>
          <w:highlight w:val="none"/>
        </w:rPr>
        <w:t>日</w:t>
      </w:r>
      <w:r>
        <w:rPr>
          <w:rFonts w:hint="eastAsia" w:ascii="宋体" w:hAnsi="宋体" w:cs="宋体"/>
          <w:color w:val="auto"/>
          <w:sz w:val="28"/>
          <w:szCs w:val="28"/>
          <w:highlight w:val="none"/>
          <w:u w:val="single"/>
          <w:lang w:val="en-US" w:eastAsia="zh-CN"/>
        </w:rPr>
        <w:t>9</w:t>
      </w:r>
      <w:r>
        <w:rPr>
          <w:rFonts w:hint="eastAsia" w:ascii="宋体" w:hAnsi="宋体" w:cs="宋体"/>
          <w:color w:val="auto"/>
          <w:sz w:val="28"/>
          <w:szCs w:val="28"/>
          <w:highlight w:val="none"/>
        </w:rPr>
        <w:t>点</w:t>
      </w:r>
      <w:r>
        <w:rPr>
          <w:rFonts w:hint="eastAsia" w:ascii="宋体" w:hAnsi="宋体" w:cs="宋体"/>
          <w:color w:val="auto"/>
          <w:sz w:val="28"/>
          <w:szCs w:val="28"/>
          <w:highlight w:val="none"/>
          <w:u w:val="single"/>
          <w:lang w:val="en-US" w:eastAsia="zh-CN"/>
        </w:rPr>
        <w:t>00</w:t>
      </w:r>
      <w:r>
        <w:rPr>
          <w:rFonts w:hint="eastAsia" w:ascii="宋体" w:hAnsi="宋体" w:cs="宋体"/>
          <w:color w:val="auto"/>
          <w:sz w:val="28"/>
          <w:szCs w:val="28"/>
          <w:highlight w:val="none"/>
        </w:rPr>
        <w:t>分（北京时间）。</w:t>
      </w:r>
    </w:p>
    <w:p w14:paraId="4C5F9B3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2.地点：“苏采云”政府采购交易系统网上开标大厅。</w:t>
      </w:r>
    </w:p>
    <w:p w14:paraId="1DBF8F27">
      <w:pPr>
        <w:ind w:firstLine="560"/>
        <w:rPr>
          <w:rFonts w:hint="eastAsia" w:ascii="宋体" w:hAnsi="宋体" w:cs="宋体"/>
          <w:color w:val="auto"/>
          <w:sz w:val="28"/>
          <w:szCs w:val="28"/>
          <w:highlight w:val="none"/>
        </w:rPr>
      </w:pPr>
      <w:bookmarkStart w:id="27" w:name="_Toc38985267"/>
      <w:bookmarkStart w:id="28" w:name="_Toc35393625"/>
      <w:bookmarkStart w:id="29" w:name="_Toc35393794"/>
      <w:bookmarkStart w:id="30" w:name="_Toc28359084"/>
      <w:bookmarkStart w:id="31" w:name="_Toc28359007"/>
      <w:r>
        <w:rPr>
          <w:rFonts w:hint="eastAsia" w:ascii="宋体" w:hAnsi="宋体" w:cs="宋体"/>
          <w:color w:val="auto"/>
          <w:sz w:val="28"/>
          <w:szCs w:val="28"/>
          <w:highlight w:val="none"/>
        </w:rPr>
        <w:t>五、公告期限</w:t>
      </w:r>
      <w:bookmarkEnd w:id="27"/>
      <w:bookmarkEnd w:id="28"/>
      <w:bookmarkEnd w:id="29"/>
      <w:bookmarkEnd w:id="30"/>
      <w:bookmarkEnd w:id="31"/>
      <w:bookmarkStart w:id="202" w:name="_GoBack"/>
      <w:bookmarkEnd w:id="202"/>
    </w:p>
    <w:p w14:paraId="686972A8">
      <w:pPr>
        <w:ind w:firstLine="560"/>
        <w:rPr>
          <w:rFonts w:hint="eastAsia" w:ascii="宋体" w:hAnsi="宋体" w:cs="宋体"/>
          <w:color w:val="auto"/>
          <w:sz w:val="28"/>
          <w:szCs w:val="28"/>
          <w:highlight w:val="none"/>
        </w:rPr>
      </w:pPr>
      <w:bookmarkStart w:id="32" w:name="_Toc35393795"/>
      <w:bookmarkStart w:id="33" w:name="_Toc35393626"/>
      <w:bookmarkStart w:id="34" w:name="_Toc38985268"/>
      <w:r>
        <w:rPr>
          <w:rFonts w:hint="eastAsia" w:ascii="宋体" w:hAnsi="宋体" w:cs="宋体"/>
          <w:color w:val="auto"/>
          <w:sz w:val="28"/>
          <w:szCs w:val="28"/>
          <w:highlight w:val="none"/>
        </w:rPr>
        <w:t>招标文件公告期限为自本公告发布之日起5个工作日。</w:t>
      </w:r>
      <w:bookmarkEnd w:id="32"/>
      <w:bookmarkEnd w:id="33"/>
      <w:bookmarkEnd w:id="34"/>
    </w:p>
    <w:p w14:paraId="3863EF9E">
      <w:pPr>
        <w:ind w:firstLine="560"/>
        <w:rPr>
          <w:rFonts w:hint="eastAsia" w:ascii="宋体" w:hAnsi="宋体" w:cs="宋体"/>
          <w:color w:val="auto"/>
          <w:sz w:val="28"/>
          <w:szCs w:val="28"/>
          <w:highlight w:val="none"/>
        </w:rPr>
      </w:pPr>
      <w:bookmarkStart w:id="35" w:name="_Toc35393627"/>
      <w:bookmarkStart w:id="36" w:name="_Toc28359085"/>
      <w:bookmarkStart w:id="37" w:name="_Toc35393796"/>
      <w:bookmarkStart w:id="38" w:name="_Toc38985269"/>
      <w:bookmarkStart w:id="39" w:name="_Toc28359008"/>
      <w:r>
        <w:rPr>
          <w:rFonts w:hint="eastAsia" w:ascii="宋体" w:hAnsi="宋体" w:cs="宋体"/>
          <w:color w:val="auto"/>
          <w:sz w:val="28"/>
          <w:szCs w:val="28"/>
          <w:highlight w:val="none"/>
        </w:rPr>
        <w:t>六、其他补充事宜</w:t>
      </w:r>
    </w:p>
    <w:p w14:paraId="07172D38">
      <w:pP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1.</w:t>
      </w:r>
      <w:r>
        <w:rPr>
          <w:rFonts w:hint="eastAsia" w:ascii="宋体" w:hAnsi="宋体" w:cs="宋体"/>
          <w:color w:val="auto"/>
          <w:sz w:val="28"/>
          <w:szCs w:val="28"/>
          <w:highlight w:val="none"/>
        </w:rPr>
        <w:t>本次招标不收取投标保证金。</w:t>
      </w:r>
    </w:p>
    <w:p w14:paraId="24DAF78E">
      <w:pPr>
        <w:pStyle w:val="133"/>
        <w:rPr>
          <w:rFonts w:hint="eastAsia" w:cs="宋体"/>
          <w:color w:val="auto"/>
          <w:sz w:val="28"/>
          <w:szCs w:val="28"/>
          <w:highlight w:val="none"/>
        </w:rPr>
      </w:pPr>
      <w:r>
        <w:rPr>
          <w:rFonts w:hint="eastAsia" w:cs="宋体"/>
          <w:color w:val="auto"/>
          <w:sz w:val="28"/>
          <w:szCs w:val="28"/>
          <w:highlight w:val="none"/>
          <w:lang w:eastAsia="zh-CN"/>
        </w:rPr>
        <w:t>2.</w:t>
      </w:r>
      <w:r>
        <w:rPr>
          <w:rFonts w:hint="eastAsia" w:cs="宋体"/>
          <w:color w:val="auto"/>
          <w:sz w:val="28"/>
          <w:szCs w:val="28"/>
          <w:highlight w:val="none"/>
        </w:rPr>
        <w:t>本次招标落实的政府采购政策</w:t>
      </w:r>
    </w:p>
    <w:p w14:paraId="05A9DCC4">
      <w:pPr>
        <w:pStyle w:val="133"/>
        <w:rPr>
          <w:rFonts w:hint="eastAsia" w:cs="宋体"/>
          <w:color w:val="auto"/>
          <w:sz w:val="28"/>
          <w:szCs w:val="28"/>
          <w:highlight w:val="none"/>
        </w:rPr>
      </w:pPr>
      <w:r>
        <w:rPr>
          <w:rFonts w:hint="eastAsia" w:cs="宋体"/>
          <w:color w:val="auto"/>
          <w:sz w:val="28"/>
          <w:szCs w:val="28"/>
          <w:highlight w:val="none"/>
        </w:rPr>
        <w:t>（1）按照《财政部生态环境部关于印发环境标志产品政府采购品目清单的通知》（财库〔2019〕18号）和《财政部发展改革委关于印发节能产品政府采购品目清单的通知》（财库〔2019〕19号）的规定，落实国家节能环保政策。</w:t>
      </w:r>
    </w:p>
    <w:p w14:paraId="054D2C95">
      <w:pPr>
        <w:pStyle w:val="133"/>
        <w:rPr>
          <w:rFonts w:hint="eastAsia" w:cs="宋体"/>
          <w:color w:val="auto"/>
          <w:sz w:val="28"/>
          <w:szCs w:val="28"/>
          <w:highlight w:val="none"/>
        </w:rPr>
      </w:pPr>
      <w:r>
        <w:rPr>
          <w:rFonts w:hint="eastAsia" w:cs="宋体"/>
          <w:color w:val="auto"/>
          <w:sz w:val="28"/>
          <w:szCs w:val="28"/>
          <w:highlight w:val="none"/>
        </w:rPr>
        <w:t>（2）按照财政部、工业和信息化部关于印发《政府采购促进中小企业发展管理办法》的通知（财库〔2020〕46号）的规定，落实促进中小企业发展政策。</w:t>
      </w:r>
    </w:p>
    <w:p w14:paraId="4103AAA4">
      <w:pPr>
        <w:pStyle w:val="133"/>
        <w:rPr>
          <w:rFonts w:hint="eastAsia" w:cs="宋体"/>
          <w:color w:val="auto"/>
          <w:sz w:val="28"/>
          <w:szCs w:val="28"/>
          <w:highlight w:val="none"/>
        </w:rPr>
      </w:pPr>
      <w:r>
        <w:rPr>
          <w:rFonts w:hint="eastAsia" w:cs="宋体"/>
          <w:color w:val="auto"/>
          <w:sz w:val="28"/>
          <w:szCs w:val="28"/>
          <w:highlight w:val="none"/>
        </w:rPr>
        <w:t>（3）按照《财政部、司法部关于政府采购支持监狱企业发展有关问题的通知》（财库〔2014〕68号）的规定，落实支持监狱企业发展政策。</w:t>
      </w:r>
    </w:p>
    <w:p w14:paraId="428B78D9">
      <w:pPr>
        <w:pStyle w:val="133"/>
        <w:rPr>
          <w:rFonts w:hint="eastAsia" w:cs="宋体"/>
          <w:color w:val="auto"/>
          <w:sz w:val="28"/>
          <w:szCs w:val="28"/>
          <w:highlight w:val="none"/>
        </w:rPr>
      </w:pPr>
      <w:r>
        <w:rPr>
          <w:rFonts w:hint="eastAsia" w:cs="宋体"/>
          <w:color w:val="auto"/>
          <w:sz w:val="28"/>
          <w:szCs w:val="28"/>
          <w:highlight w:val="none"/>
        </w:rPr>
        <w:t>（4）按照《三部门联合发布关于促进残疾人就业政府采购政策的通知》（财库〔2017〕141号）的规定，落实支持残疾人福利性单位发展政策。 </w:t>
      </w:r>
    </w:p>
    <w:p w14:paraId="213741B8">
      <w:pPr>
        <w:rPr>
          <w:rFonts w:hint="eastAsia" w:ascii="宋体" w:hAnsi="宋体" w:cs="宋体"/>
          <w:color w:val="auto"/>
          <w:sz w:val="28"/>
          <w:szCs w:val="28"/>
          <w:highlight w:val="none"/>
        </w:rPr>
      </w:pPr>
      <w:r>
        <w:rPr>
          <w:rFonts w:hint="eastAsia" w:ascii="宋体" w:hAnsi="宋体" w:cs="宋体"/>
          <w:color w:val="auto"/>
          <w:sz w:val="28"/>
          <w:szCs w:val="28"/>
          <w:highlight w:val="none"/>
        </w:rPr>
        <w:t>七、本次招标联系方式</w:t>
      </w:r>
      <w:bookmarkEnd w:id="35"/>
      <w:bookmarkEnd w:id="36"/>
      <w:bookmarkEnd w:id="37"/>
      <w:bookmarkEnd w:id="38"/>
      <w:bookmarkEnd w:id="39"/>
    </w:p>
    <w:p w14:paraId="21690CF6">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1.采购人信息</w:t>
      </w:r>
    </w:p>
    <w:p w14:paraId="22D87CF7">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名称：南通市通州生态环境局</w:t>
      </w:r>
    </w:p>
    <w:p w14:paraId="38A4ABBA">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地址：江苏省南通市通州区金新街道银河路66号</w:t>
      </w:r>
    </w:p>
    <w:p w14:paraId="42D35FBA">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联系人： 杨先生</w:t>
      </w:r>
    </w:p>
    <w:p w14:paraId="5E243E3A">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联系电话：0513-86527677 </w:t>
      </w:r>
    </w:p>
    <w:p w14:paraId="6175BFDD">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2.采购代理机构信息</w:t>
      </w:r>
    </w:p>
    <w:p w14:paraId="49378215">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名 称：江苏广和工程咨询有限公司</w:t>
      </w:r>
    </w:p>
    <w:p w14:paraId="05E60236">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地　址：南通高新区金通路7号</w:t>
      </w:r>
    </w:p>
    <w:p w14:paraId="4709CBC6">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联系方式：吴先生 13862811224</w:t>
      </w:r>
    </w:p>
    <w:p w14:paraId="5912C5C7">
      <w:pPr>
        <w:ind w:firstLine="480"/>
        <w:jc w:val="center"/>
        <w:rPr>
          <w:rFonts w:hint="eastAsia" w:ascii="宋体" w:hAnsi="宋体" w:cs="宋体"/>
          <w:color w:val="auto"/>
          <w:highlight w:val="none"/>
        </w:rPr>
      </w:pPr>
      <w:r>
        <w:rPr>
          <w:rFonts w:hint="eastAsia" w:ascii="宋体" w:hAnsi="宋体" w:cs="宋体"/>
          <w:color w:val="auto"/>
          <w:sz w:val="24"/>
          <w:szCs w:val="24"/>
          <w:highlight w:val="none"/>
        </w:rPr>
        <w:br w:type="page" w:clear="all"/>
      </w:r>
      <w:bookmarkStart w:id="40" w:name="_Toc120614211"/>
      <w:r>
        <w:rPr>
          <w:rFonts w:hint="eastAsia" w:ascii="宋体" w:hAnsi="宋体" w:cs="宋体"/>
          <w:color w:val="auto"/>
          <w:sz w:val="44"/>
          <w:szCs w:val="44"/>
          <w:highlight w:val="none"/>
        </w:rPr>
        <w:t xml:space="preserve">第二章  </w:t>
      </w:r>
      <w:bookmarkEnd w:id="1"/>
      <w:bookmarkEnd w:id="2"/>
      <w:bookmarkEnd w:id="3"/>
      <w:bookmarkEnd w:id="4"/>
      <w:bookmarkEnd w:id="5"/>
      <w:bookmarkEnd w:id="40"/>
      <w:bookmarkStart w:id="41" w:name="_Toc16938518"/>
      <w:bookmarkStart w:id="42" w:name="_Toc20823274"/>
      <w:bookmarkStart w:id="43" w:name="_Toc120614213"/>
      <w:bookmarkStart w:id="44" w:name="_Toc513029202"/>
      <w:r>
        <w:rPr>
          <w:rFonts w:hint="eastAsia" w:ascii="宋体" w:hAnsi="宋体" w:cs="宋体"/>
          <w:color w:val="auto"/>
          <w:sz w:val="44"/>
          <w:szCs w:val="44"/>
          <w:highlight w:val="none"/>
        </w:rPr>
        <w:t>投标人须知</w:t>
      </w:r>
      <w:bookmarkEnd w:id="41"/>
      <w:bookmarkEnd w:id="42"/>
      <w:bookmarkEnd w:id="43"/>
      <w:bookmarkEnd w:id="44"/>
    </w:p>
    <w:p w14:paraId="092A8783">
      <w:pPr>
        <w:ind w:firstLine="560"/>
        <w:rPr>
          <w:rFonts w:hint="eastAsia" w:ascii="宋体" w:hAnsi="宋体" w:cs="宋体"/>
          <w:color w:val="auto"/>
          <w:sz w:val="28"/>
          <w:szCs w:val="28"/>
          <w:highlight w:val="none"/>
        </w:rPr>
      </w:pPr>
      <w:bookmarkStart w:id="45" w:name="_Toc20823275"/>
      <w:bookmarkStart w:id="46" w:name="_Toc513029203"/>
      <w:bookmarkStart w:id="47" w:name="_Toc120614214"/>
      <w:bookmarkStart w:id="48" w:name="_Toc16938519"/>
      <w:r>
        <w:rPr>
          <w:rFonts w:hint="eastAsia" w:ascii="宋体" w:hAnsi="宋体" w:cs="宋体"/>
          <w:color w:val="auto"/>
          <w:sz w:val="28"/>
          <w:szCs w:val="28"/>
          <w:highlight w:val="none"/>
        </w:rPr>
        <w:t>一、总则</w:t>
      </w:r>
      <w:bookmarkEnd w:id="45"/>
      <w:bookmarkEnd w:id="46"/>
      <w:bookmarkEnd w:id="47"/>
      <w:bookmarkEnd w:id="48"/>
    </w:p>
    <w:p w14:paraId="3ACCDCC3">
      <w:pPr>
        <w:ind w:firstLine="560"/>
        <w:rPr>
          <w:rFonts w:hint="eastAsia" w:ascii="宋体" w:hAnsi="宋体" w:cs="宋体"/>
          <w:color w:val="auto"/>
          <w:sz w:val="28"/>
          <w:szCs w:val="28"/>
          <w:highlight w:val="none"/>
        </w:rPr>
      </w:pPr>
      <w:bookmarkStart w:id="49" w:name="_Hlt16619475"/>
      <w:bookmarkEnd w:id="49"/>
      <w:bookmarkStart w:id="50" w:name="_Toc458694821"/>
      <w:bookmarkStart w:id="51" w:name="_Toc513029204"/>
      <w:bookmarkStart w:id="52" w:name="_Toc20823276"/>
      <w:bookmarkStart w:id="53" w:name="_Toc16938520"/>
      <w:r>
        <w:rPr>
          <w:rFonts w:hint="eastAsia" w:ascii="宋体" w:hAnsi="宋体" w:cs="宋体"/>
          <w:color w:val="auto"/>
          <w:sz w:val="28"/>
          <w:szCs w:val="28"/>
          <w:highlight w:val="none"/>
          <w:lang w:eastAsia="zh-CN"/>
        </w:rPr>
        <w:t>1.</w:t>
      </w:r>
      <w:bookmarkEnd w:id="50"/>
      <w:r>
        <w:rPr>
          <w:rFonts w:hint="eastAsia" w:ascii="宋体" w:hAnsi="宋体" w:cs="宋体"/>
          <w:color w:val="auto"/>
          <w:sz w:val="28"/>
          <w:szCs w:val="28"/>
          <w:highlight w:val="none"/>
          <w:lang w:eastAsia="zh-CN"/>
        </w:rPr>
        <w:t>甲方</w:t>
      </w:r>
      <w:r>
        <w:rPr>
          <w:rFonts w:hint="eastAsia" w:ascii="宋体" w:hAnsi="宋体" w:cs="宋体"/>
          <w:color w:val="auto"/>
          <w:sz w:val="28"/>
          <w:szCs w:val="28"/>
          <w:highlight w:val="none"/>
        </w:rPr>
        <w:t>式</w:t>
      </w:r>
      <w:bookmarkEnd w:id="51"/>
      <w:bookmarkEnd w:id="52"/>
      <w:bookmarkEnd w:id="53"/>
    </w:p>
    <w:p w14:paraId="35123C9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w:t>
      </w:r>
      <w:r>
        <w:rPr>
          <w:rFonts w:hint="eastAsia" w:ascii="宋体" w:hAnsi="宋体" w:cs="宋体"/>
          <w:color w:val="auto"/>
          <w:sz w:val="28"/>
          <w:szCs w:val="28"/>
          <w:highlight w:val="none"/>
          <w:lang w:eastAsia="zh-CN"/>
        </w:rPr>
        <w:t>公开方</w:t>
      </w:r>
      <w:r>
        <w:rPr>
          <w:rFonts w:hint="eastAsia" w:ascii="宋体" w:hAnsi="宋体" w:cs="宋体"/>
          <w:color w:val="auto"/>
          <w:sz w:val="28"/>
          <w:szCs w:val="28"/>
          <w:highlight w:val="none"/>
        </w:rPr>
        <w:t>式，本招标文件仅适用于招标公告中所述项目。</w:t>
      </w:r>
    </w:p>
    <w:p w14:paraId="409E492B">
      <w:pPr>
        <w:ind w:firstLine="560"/>
        <w:rPr>
          <w:rFonts w:hint="eastAsia" w:ascii="宋体" w:hAnsi="宋体" w:cs="宋体"/>
          <w:color w:val="auto"/>
          <w:sz w:val="28"/>
          <w:szCs w:val="28"/>
          <w:highlight w:val="none"/>
        </w:rPr>
      </w:pPr>
      <w:bookmarkStart w:id="54" w:name="_Toc20823277"/>
      <w:bookmarkStart w:id="55" w:name="_Toc16938521"/>
      <w:bookmarkStart w:id="56" w:name="_Toc513029205"/>
      <w:r>
        <w:rPr>
          <w:rFonts w:hint="eastAsia" w:ascii="宋体" w:hAnsi="宋体" w:cs="宋体"/>
          <w:color w:val="auto"/>
          <w:sz w:val="28"/>
          <w:szCs w:val="28"/>
          <w:highlight w:val="none"/>
          <w:lang w:eastAsia="zh-CN"/>
        </w:rPr>
        <w:t>2.</w:t>
      </w:r>
      <w:r>
        <w:rPr>
          <w:rFonts w:hint="eastAsia" w:ascii="宋体" w:hAnsi="宋体" w:cs="宋体"/>
          <w:color w:val="auto"/>
          <w:sz w:val="28"/>
          <w:szCs w:val="28"/>
          <w:highlight w:val="none"/>
        </w:rPr>
        <w:t>合格的投标人</w:t>
      </w:r>
      <w:bookmarkEnd w:id="54"/>
      <w:bookmarkEnd w:id="55"/>
      <w:bookmarkEnd w:id="56"/>
    </w:p>
    <w:p w14:paraId="4D0EC73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2.1满足招标公告中供应商的资格</w:t>
      </w:r>
      <w:r>
        <w:rPr>
          <w:rFonts w:hint="eastAsia" w:ascii="宋体" w:hAnsi="宋体" w:cs="宋体"/>
          <w:color w:val="auto"/>
          <w:sz w:val="28"/>
          <w:szCs w:val="28"/>
          <w:highlight w:val="none"/>
          <w:lang w:eastAsia="zh-CN"/>
        </w:rPr>
        <w:t>要求</w:t>
      </w:r>
      <w:r>
        <w:rPr>
          <w:rFonts w:hint="eastAsia" w:ascii="宋体" w:hAnsi="宋体" w:cs="宋体"/>
          <w:color w:val="auto"/>
          <w:sz w:val="28"/>
          <w:szCs w:val="28"/>
          <w:highlight w:val="none"/>
        </w:rPr>
        <w:t>。</w:t>
      </w:r>
    </w:p>
    <w:p w14:paraId="39555FD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w:t>
      </w:r>
      <w:r>
        <w:rPr>
          <w:rFonts w:hint="eastAsia" w:ascii="宋体" w:hAnsi="宋体" w:cs="宋体"/>
          <w:color w:val="auto"/>
          <w:sz w:val="28"/>
          <w:szCs w:val="28"/>
          <w:highlight w:val="none"/>
          <w:lang w:eastAsia="zh-CN"/>
        </w:rPr>
        <w:t>的实质性</w:t>
      </w:r>
      <w:r>
        <w:rPr>
          <w:rFonts w:hint="eastAsia" w:ascii="宋体" w:hAnsi="宋体" w:cs="宋体"/>
          <w:color w:val="auto"/>
          <w:sz w:val="28"/>
          <w:szCs w:val="28"/>
          <w:highlight w:val="none"/>
        </w:rPr>
        <w:t>要求和</w:t>
      </w:r>
      <w:r>
        <w:rPr>
          <w:rFonts w:hint="eastAsia" w:ascii="宋体" w:hAnsi="宋体" w:cs="宋体"/>
          <w:color w:val="auto"/>
          <w:sz w:val="28"/>
          <w:szCs w:val="28"/>
          <w:highlight w:val="none"/>
          <w:lang w:eastAsia="zh-CN"/>
        </w:rPr>
        <w:t>条件</w:t>
      </w:r>
      <w:r>
        <w:rPr>
          <w:rFonts w:hint="eastAsia" w:ascii="宋体" w:hAnsi="宋体" w:cs="宋体"/>
          <w:color w:val="auto"/>
          <w:sz w:val="28"/>
          <w:szCs w:val="28"/>
          <w:highlight w:val="none"/>
        </w:rPr>
        <w:t>。</w:t>
      </w:r>
    </w:p>
    <w:p w14:paraId="696D1AFD">
      <w:pPr>
        <w:ind w:firstLine="560"/>
        <w:rPr>
          <w:rFonts w:hint="eastAsia" w:ascii="宋体" w:hAnsi="宋体" w:cs="宋体"/>
          <w:color w:val="auto"/>
          <w:sz w:val="28"/>
          <w:szCs w:val="28"/>
          <w:highlight w:val="none"/>
        </w:rPr>
      </w:pPr>
      <w:bookmarkStart w:id="57" w:name="_Toc513029206"/>
      <w:bookmarkStart w:id="58" w:name="_Toc20823278"/>
      <w:bookmarkStart w:id="59" w:name="_Toc16938522"/>
      <w:r>
        <w:rPr>
          <w:rFonts w:hint="eastAsia" w:ascii="宋体" w:hAnsi="宋体" w:cs="宋体"/>
          <w:color w:val="auto"/>
          <w:sz w:val="28"/>
          <w:szCs w:val="28"/>
          <w:highlight w:val="none"/>
          <w:lang w:eastAsia="zh-CN"/>
        </w:rPr>
        <w:t>3.</w:t>
      </w:r>
      <w:r>
        <w:rPr>
          <w:rFonts w:hint="eastAsia" w:ascii="宋体" w:hAnsi="宋体" w:cs="宋体"/>
          <w:color w:val="auto"/>
          <w:sz w:val="28"/>
          <w:szCs w:val="28"/>
          <w:highlight w:val="none"/>
        </w:rPr>
        <w:t>适用法律</w:t>
      </w:r>
      <w:bookmarkEnd w:id="57"/>
      <w:bookmarkEnd w:id="58"/>
      <w:bookmarkEnd w:id="59"/>
    </w:p>
    <w:p w14:paraId="5682FC8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 本次招标及由此产生的合同受中华人民共和国有关</w:t>
      </w:r>
      <w:r>
        <w:rPr>
          <w:rFonts w:hint="eastAsia" w:ascii="宋体" w:hAnsi="宋体" w:cs="宋体"/>
          <w:color w:val="auto"/>
          <w:sz w:val="28"/>
          <w:szCs w:val="28"/>
          <w:highlight w:val="none"/>
          <w:lang w:eastAsia="zh-CN"/>
        </w:rPr>
        <w:t>法律法规的</w:t>
      </w:r>
      <w:r>
        <w:rPr>
          <w:rFonts w:hint="eastAsia" w:ascii="宋体" w:hAnsi="宋体" w:cs="宋体"/>
          <w:color w:val="auto"/>
          <w:sz w:val="28"/>
          <w:szCs w:val="28"/>
          <w:highlight w:val="none"/>
        </w:rPr>
        <w:t>制约和保护。</w:t>
      </w:r>
    </w:p>
    <w:p w14:paraId="237EB0F4">
      <w:pPr>
        <w:ind w:firstLine="560"/>
        <w:rPr>
          <w:rFonts w:hint="eastAsia" w:ascii="宋体" w:hAnsi="宋体" w:cs="宋体"/>
          <w:color w:val="auto"/>
          <w:sz w:val="28"/>
          <w:szCs w:val="28"/>
          <w:highlight w:val="none"/>
        </w:rPr>
      </w:pPr>
      <w:bookmarkStart w:id="60" w:name="_Toc20823279"/>
      <w:bookmarkStart w:id="61" w:name="_Toc513029207"/>
      <w:bookmarkStart w:id="62" w:name="_Toc16938523"/>
      <w:bookmarkStart w:id="63" w:name="_Toc462564067"/>
      <w:r>
        <w:rPr>
          <w:rFonts w:hint="eastAsia" w:ascii="宋体" w:hAnsi="宋体" w:cs="宋体"/>
          <w:color w:val="auto"/>
          <w:sz w:val="28"/>
          <w:szCs w:val="28"/>
          <w:highlight w:val="none"/>
          <w:lang w:eastAsia="zh-CN"/>
        </w:rPr>
        <w:t>4.</w:t>
      </w:r>
      <w:r>
        <w:rPr>
          <w:rFonts w:hint="eastAsia" w:ascii="宋体" w:hAnsi="宋体" w:cs="宋体"/>
          <w:color w:val="auto"/>
          <w:sz w:val="28"/>
          <w:szCs w:val="28"/>
          <w:highlight w:val="none"/>
        </w:rPr>
        <w:t>投标费用</w:t>
      </w:r>
      <w:bookmarkEnd w:id="60"/>
      <w:bookmarkEnd w:id="61"/>
      <w:bookmarkEnd w:id="62"/>
      <w:bookmarkEnd w:id="63"/>
    </w:p>
    <w:p w14:paraId="115377F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4.1 投标人应自行承担所有与参加投标有关的费用，无论投标过程中的做法和结果如何，</w:t>
      </w:r>
      <w:r>
        <w:rPr>
          <w:rFonts w:hint="eastAsia" w:ascii="宋体" w:hAnsi="宋体" w:cs="宋体"/>
          <w:color w:val="auto"/>
          <w:sz w:val="28"/>
          <w:szCs w:val="28"/>
          <w:highlight w:val="none"/>
          <w:lang w:eastAsia="zh-CN"/>
        </w:rPr>
        <w:t>江苏广和工程咨询有限公司</w:t>
      </w:r>
      <w:r>
        <w:rPr>
          <w:rFonts w:hint="eastAsia" w:ascii="宋体" w:hAnsi="宋体" w:cs="宋体"/>
          <w:color w:val="auto"/>
          <w:sz w:val="28"/>
          <w:szCs w:val="28"/>
          <w:highlight w:val="none"/>
        </w:rPr>
        <w:t>（以下简称</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）在任何情况下均无义务和责任承担这些费用。</w:t>
      </w:r>
    </w:p>
    <w:p w14:paraId="1F2A197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4.2本次招标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采购代理机构和采购人不收取标书工本费。</w:t>
      </w:r>
    </w:p>
    <w:p w14:paraId="686A396A">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4.3关于采购代理服务费的说明。根据《中华人民共和国政府采购法》《中华人民共和国招标投标法》及其实施条例等相关规定，采购人依法委托采购代理机构组织实施本次采购活动。为明确费用承担及支付事宜，现就采购代理服务费约定如下：</w:t>
      </w:r>
    </w:p>
    <w:p w14:paraId="1E4D795E">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4.3.1费用承担原因</w:t>
      </w:r>
    </w:p>
    <w:p w14:paraId="424536B5">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采购代理机构为本项目提供采购文件编制、组织开评标、结果公示、合同协助签订等全流程专业服务，相关服务成本及合理报酬由中标（成交）供应商承担。</w:t>
      </w:r>
    </w:p>
    <w:p w14:paraId="19436F36">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4.3.2收取方式</w:t>
      </w:r>
    </w:p>
    <w:p w14:paraId="48A608E0">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中标（成交）供应商应在领取中标（成交）通知书时，中标（成交）供应商一次性足额向采购代理机构缴纳采购代理服务费。供应商报价时包含招标代理费，报价时综合考虑，采购人不单独支付。</w:t>
      </w:r>
    </w:p>
    <w:p w14:paraId="1F8CF79F">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4.3.3收费标准</w:t>
      </w:r>
    </w:p>
    <w:p w14:paraId="15A67146">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本项目招标代理费人民币4000元。</w:t>
      </w:r>
    </w:p>
    <w:p w14:paraId="2E1950B0">
      <w:pPr>
        <w:ind w:firstLine="560"/>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4.3.4收费依据</w:t>
      </w:r>
    </w:p>
    <w:p w14:paraId="38930ADE">
      <w:pPr>
        <w:ind w:firstLine="56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招标代理费收费标准依据采购人年度招标代理合同价确定。</w:t>
      </w:r>
    </w:p>
    <w:p w14:paraId="1EFD93F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5.</w:t>
      </w:r>
      <w:r>
        <w:rPr>
          <w:rFonts w:hint="eastAsia" w:ascii="宋体" w:hAnsi="宋体" w:cs="宋体"/>
          <w:color w:val="auto"/>
          <w:sz w:val="28"/>
          <w:szCs w:val="28"/>
          <w:highlight w:val="none"/>
        </w:rPr>
        <w:t>招标文件的约束力</w:t>
      </w:r>
    </w:p>
    <w:p w14:paraId="333900D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5.1 投标人一旦参加本项目采购活动，即被认为接受了本招标文件的规定和约束。</w:t>
      </w:r>
    </w:p>
    <w:p w14:paraId="64F88AB9">
      <w:pPr>
        <w:ind w:firstLine="560"/>
        <w:rPr>
          <w:rFonts w:hint="eastAsia" w:ascii="宋体" w:hAnsi="宋体" w:cs="宋体"/>
          <w:color w:val="auto"/>
          <w:sz w:val="28"/>
          <w:szCs w:val="28"/>
          <w:highlight w:val="none"/>
        </w:rPr>
      </w:pPr>
      <w:bookmarkStart w:id="64" w:name="_Toc20823281"/>
      <w:bookmarkStart w:id="65" w:name="_Toc513029209"/>
      <w:bookmarkStart w:id="66" w:name="_Toc120614215"/>
      <w:bookmarkStart w:id="67" w:name="_Toc16938525"/>
      <w:r>
        <w:rPr>
          <w:rFonts w:hint="eastAsia" w:ascii="宋体" w:hAnsi="宋体" w:cs="宋体"/>
          <w:color w:val="auto"/>
          <w:sz w:val="28"/>
          <w:szCs w:val="28"/>
          <w:highlight w:val="none"/>
        </w:rPr>
        <w:t>二、招标文件</w:t>
      </w:r>
      <w:bookmarkEnd w:id="64"/>
      <w:bookmarkEnd w:id="65"/>
      <w:bookmarkEnd w:id="66"/>
      <w:bookmarkEnd w:id="67"/>
    </w:p>
    <w:p w14:paraId="6E9B02D1">
      <w:pPr>
        <w:ind w:firstLine="560"/>
        <w:rPr>
          <w:rFonts w:hint="eastAsia" w:ascii="宋体" w:hAnsi="宋体" w:cs="宋体"/>
          <w:color w:val="auto"/>
          <w:sz w:val="28"/>
          <w:szCs w:val="28"/>
          <w:highlight w:val="none"/>
        </w:rPr>
      </w:pPr>
      <w:bookmarkStart w:id="68" w:name="_Toc513029210"/>
      <w:bookmarkStart w:id="69" w:name="_Toc20823282"/>
      <w:bookmarkStart w:id="70" w:name="_Toc16938526"/>
      <w:r>
        <w:rPr>
          <w:rFonts w:hint="eastAsia" w:ascii="宋体" w:hAnsi="宋体" w:cs="宋体"/>
          <w:color w:val="auto"/>
          <w:sz w:val="28"/>
          <w:szCs w:val="28"/>
          <w:highlight w:val="none"/>
          <w:lang w:eastAsia="zh-CN"/>
        </w:rPr>
        <w:t>6.</w:t>
      </w:r>
      <w:r>
        <w:rPr>
          <w:rFonts w:hint="eastAsia" w:ascii="宋体" w:hAnsi="宋体" w:cs="宋体"/>
          <w:color w:val="auto"/>
          <w:sz w:val="28"/>
          <w:szCs w:val="28"/>
          <w:highlight w:val="none"/>
        </w:rPr>
        <w:t>招标文件构成</w:t>
      </w:r>
      <w:bookmarkEnd w:id="68"/>
      <w:bookmarkEnd w:id="69"/>
      <w:bookmarkEnd w:id="70"/>
    </w:p>
    <w:p w14:paraId="29C060F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6.1 招标文件由以下部分</w:t>
      </w:r>
      <w:r>
        <w:rPr>
          <w:rFonts w:hint="eastAsia" w:ascii="宋体" w:hAnsi="宋体" w:cs="宋体"/>
          <w:color w:val="auto"/>
          <w:sz w:val="28"/>
          <w:szCs w:val="28"/>
          <w:highlight w:val="none"/>
          <w:lang w:eastAsia="zh-CN"/>
        </w:rPr>
        <w:t>组成：</w:t>
      </w:r>
    </w:p>
    <w:p w14:paraId="1DA449F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（1）投标邀请</w:t>
      </w:r>
    </w:p>
    <w:p w14:paraId="146E586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（2）投标人须知</w:t>
      </w:r>
    </w:p>
    <w:p w14:paraId="4A244DF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（3）合同文本</w:t>
      </w:r>
    </w:p>
    <w:p w14:paraId="232F167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（4）采购需求</w:t>
      </w:r>
    </w:p>
    <w:p w14:paraId="1A2C5B3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（5）评标方法与评标标准</w:t>
      </w:r>
    </w:p>
    <w:p w14:paraId="4FBB738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（6）投标文件格式</w:t>
      </w:r>
    </w:p>
    <w:p w14:paraId="4F458E6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联系解决。</w:t>
      </w:r>
    </w:p>
    <w:p w14:paraId="76EDF3B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34B0155">
      <w:pPr>
        <w:ind w:firstLine="560"/>
        <w:rPr>
          <w:rFonts w:hint="eastAsia" w:ascii="宋体" w:hAnsi="宋体" w:cs="宋体"/>
          <w:color w:val="auto"/>
          <w:sz w:val="28"/>
          <w:szCs w:val="28"/>
          <w:highlight w:val="none"/>
        </w:rPr>
      </w:pPr>
      <w:bookmarkStart w:id="71" w:name="_Toc16938527"/>
      <w:bookmarkStart w:id="72" w:name="_Toc513029211"/>
      <w:bookmarkStart w:id="73" w:name="_Toc20823283"/>
      <w:bookmarkStart w:id="74" w:name="_Toc462564070"/>
      <w:r>
        <w:rPr>
          <w:rFonts w:hint="eastAsia" w:ascii="宋体" w:hAnsi="宋体" w:cs="宋体"/>
          <w:color w:val="auto"/>
          <w:sz w:val="28"/>
          <w:szCs w:val="28"/>
          <w:highlight w:val="none"/>
          <w:lang w:eastAsia="zh-CN"/>
        </w:rPr>
        <w:t>7.</w:t>
      </w:r>
      <w:r>
        <w:rPr>
          <w:rFonts w:hint="eastAsia" w:ascii="宋体" w:hAnsi="宋体" w:cs="宋体"/>
          <w:color w:val="auto"/>
          <w:sz w:val="28"/>
          <w:szCs w:val="28"/>
          <w:highlight w:val="none"/>
        </w:rPr>
        <w:t>招标文件的澄清</w:t>
      </w:r>
      <w:bookmarkEnd w:id="71"/>
      <w:bookmarkEnd w:id="72"/>
      <w:bookmarkEnd w:id="73"/>
      <w:bookmarkEnd w:id="74"/>
    </w:p>
    <w:p w14:paraId="3C871CB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7.1 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w:t>
      </w:r>
    </w:p>
    <w:p w14:paraId="56326B17">
      <w:pPr>
        <w:ind w:firstLine="560"/>
        <w:rPr>
          <w:rFonts w:hint="eastAsia" w:ascii="宋体" w:hAnsi="宋体" w:cs="宋体"/>
          <w:color w:val="auto"/>
          <w:sz w:val="28"/>
          <w:szCs w:val="28"/>
          <w:highlight w:val="none"/>
        </w:rPr>
      </w:pPr>
      <w:bookmarkStart w:id="75" w:name="_Toc513029212"/>
      <w:bookmarkStart w:id="76" w:name="_Toc16938528"/>
      <w:bookmarkStart w:id="77" w:name="_Toc462564071"/>
      <w:bookmarkStart w:id="78" w:name="_Toc20823284"/>
      <w:r>
        <w:rPr>
          <w:rFonts w:hint="eastAsia" w:ascii="宋体" w:hAnsi="宋体" w:cs="宋体"/>
          <w:color w:val="auto"/>
          <w:sz w:val="28"/>
          <w:szCs w:val="28"/>
          <w:highlight w:val="none"/>
          <w:lang w:eastAsia="zh-CN"/>
        </w:rPr>
        <w:t>8.</w:t>
      </w:r>
      <w:r>
        <w:rPr>
          <w:rFonts w:hint="eastAsia" w:ascii="宋体" w:hAnsi="宋体" w:cs="宋体"/>
          <w:color w:val="auto"/>
          <w:sz w:val="28"/>
          <w:szCs w:val="28"/>
          <w:highlight w:val="none"/>
        </w:rPr>
        <w:t>招标文件的修改</w:t>
      </w:r>
      <w:bookmarkEnd w:id="75"/>
      <w:bookmarkEnd w:id="76"/>
      <w:bookmarkEnd w:id="77"/>
      <w:bookmarkEnd w:id="78"/>
    </w:p>
    <w:p w14:paraId="47345BE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8.1 在投标截止时间前，</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可以对招标文件进行修改。</w:t>
      </w:r>
    </w:p>
    <w:p w14:paraId="06F0C91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8.2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有权按照法定的要求推迟投标截止日期和开标日期。</w:t>
      </w:r>
    </w:p>
    <w:p w14:paraId="20609B7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8.3 招标文件的修改将在江苏政府采购网公布，补充文件将作为招标文件的组成部分，并对投标人具有约束力。</w:t>
      </w:r>
    </w:p>
    <w:p w14:paraId="6C317C24">
      <w:pPr>
        <w:ind w:firstLine="720"/>
        <w:jc w:val="center"/>
        <w:rPr>
          <w:rFonts w:hint="eastAsia" w:ascii="宋体" w:hAnsi="宋体" w:cs="宋体"/>
          <w:color w:val="auto"/>
          <w:sz w:val="36"/>
          <w:szCs w:val="36"/>
          <w:highlight w:val="none"/>
        </w:rPr>
      </w:pPr>
      <w:bookmarkStart w:id="79" w:name="_Toc462564072"/>
      <w:bookmarkStart w:id="80" w:name="_Toc513029213"/>
      <w:bookmarkStart w:id="81" w:name="_Toc20823285"/>
      <w:bookmarkStart w:id="82" w:name="_Toc120614216"/>
      <w:bookmarkStart w:id="83" w:name="_Toc16938529"/>
      <w:r>
        <w:rPr>
          <w:rFonts w:hint="eastAsia" w:ascii="宋体" w:hAnsi="宋体" w:cs="宋体"/>
          <w:color w:val="auto"/>
          <w:sz w:val="36"/>
          <w:szCs w:val="36"/>
          <w:highlight w:val="none"/>
        </w:rPr>
        <w:t>三、投标文件的编制</w:t>
      </w:r>
      <w:bookmarkEnd w:id="79"/>
      <w:bookmarkEnd w:id="80"/>
      <w:bookmarkEnd w:id="81"/>
      <w:bookmarkEnd w:id="82"/>
      <w:bookmarkEnd w:id="83"/>
    </w:p>
    <w:p w14:paraId="061ED4D0">
      <w:pPr>
        <w:ind w:firstLine="560"/>
        <w:rPr>
          <w:rFonts w:hint="eastAsia" w:ascii="宋体" w:hAnsi="宋体" w:cs="宋体"/>
          <w:color w:val="auto"/>
          <w:sz w:val="28"/>
          <w:szCs w:val="28"/>
          <w:highlight w:val="none"/>
        </w:rPr>
      </w:pPr>
      <w:bookmarkStart w:id="84" w:name="_Toc16938530"/>
      <w:bookmarkStart w:id="85" w:name="_Toc462564073"/>
      <w:bookmarkStart w:id="86" w:name="_Toc513029214"/>
      <w:bookmarkStart w:id="87" w:name="_Toc20823286"/>
      <w:r>
        <w:rPr>
          <w:rFonts w:hint="eastAsia" w:ascii="宋体" w:hAnsi="宋体" w:cs="宋体"/>
          <w:color w:val="auto"/>
          <w:sz w:val="28"/>
          <w:szCs w:val="28"/>
          <w:highlight w:val="none"/>
          <w:lang w:eastAsia="zh-CN"/>
        </w:rPr>
        <w:t>9.</w:t>
      </w:r>
      <w:r>
        <w:rPr>
          <w:rFonts w:hint="eastAsia" w:ascii="宋体" w:hAnsi="宋体" w:cs="宋体"/>
          <w:color w:val="auto"/>
          <w:sz w:val="28"/>
          <w:szCs w:val="28"/>
          <w:highlight w:val="none"/>
        </w:rPr>
        <w:t>投标文件的语言及度量衡单位</w:t>
      </w:r>
      <w:bookmarkEnd w:id="84"/>
      <w:bookmarkEnd w:id="85"/>
      <w:bookmarkEnd w:id="86"/>
      <w:bookmarkEnd w:id="87"/>
    </w:p>
    <w:p w14:paraId="2FA7572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9.1 投标人提交的投标文件以及投标人与</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就有关投标的所有来往通知、函件和文件均应使用简体中文。</w:t>
      </w:r>
    </w:p>
    <w:p w14:paraId="6F904D2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9.2 除技术性能另有规定外，投标文件所使用的度量衡单位，均须采用国家法定计量单位。</w:t>
      </w:r>
    </w:p>
    <w:p w14:paraId="4F278A1D">
      <w:pPr>
        <w:ind w:firstLine="560"/>
        <w:rPr>
          <w:rFonts w:hint="eastAsia" w:ascii="宋体" w:hAnsi="宋体" w:cs="宋体"/>
          <w:color w:val="auto"/>
          <w:sz w:val="28"/>
          <w:szCs w:val="28"/>
          <w:highlight w:val="none"/>
        </w:rPr>
      </w:pPr>
      <w:bookmarkStart w:id="88" w:name="_Toc513029215"/>
      <w:bookmarkStart w:id="89" w:name="_Toc20823287"/>
      <w:bookmarkStart w:id="90" w:name="_Toc16938531"/>
      <w:bookmarkStart w:id="91" w:name="_Toc462564074"/>
      <w:r>
        <w:rPr>
          <w:rFonts w:hint="eastAsia" w:ascii="宋体" w:hAnsi="宋体" w:cs="宋体"/>
          <w:color w:val="auto"/>
          <w:sz w:val="28"/>
          <w:szCs w:val="28"/>
          <w:highlight w:val="none"/>
          <w:lang w:eastAsia="zh-CN"/>
        </w:rPr>
        <w:t>10.</w:t>
      </w:r>
      <w:r>
        <w:rPr>
          <w:rFonts w:hint="eastAsia" w:ascii="宋体" w:hAnsi="宋体" w:cs="宋体"/>
          <w:color w:val="auto"/>
          <w:sz w:val="28"/>
          <w:szCs w:val="28"/>
          <w:highlight w:val="none"/>
        </w:rPr>
        <w:t>投标文件构成</w:t>
      </w:r>
      <w:bookmarkEnd w:id="88"/>
      <w:bookmarkEnd w:id="89"/>
      <w:bookmarkEnd w:id="90"/>
      <w:bookmarkEnd w:id="91"/>
    </w:p>
    <w:p w14:paraId="292BA3A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10.1 投标人编写的投标文件应包括资格证明文件、符合性证明文件、投标分项报价表、技术要求响应及偏离表、商务要求响应及偏离表、</w:t>
      </w:r>
      <w:r>
        <w:rPr>
          <w:rFonts w:hint="eastAsia" w:ascii="宋体" w:hAnsi="宋体" w:cs="宋体"/>
          <w:color w:val="auto"/>
          <w:sz w:val="28"/>
          <w:szCs w:val="28"/>
          <w:highlight w:val="none"/>
          <w:lang w:val="en-US" w:eastAsia="zh-CN"/>
        </w:rPr>
        <w:t>商务技术标文件</w:t>
      </w:r>
      <w:r>
        <w:rPr>
          <w:rFonts w:hint="eastAsia" w:ascii="宋体" w:hAnsi="宋体" w:cs="宋体"/>
          <w:color w:val="auto"/>
          <w:sz w:val="28"/>
          <w:szCs w:val="28"/>
          <w:highlight w:val="none"/>
        </w:rPr>
        <w:t>、投标函、开标一览表等部分。</w:t>
      </w:r>
    </w:p>
    <w:p w14:paraId="58A9EFD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10.2 如标书制作工具中的格式和内容与“江苏政府采购网”发布的招标文件不一致，请以“江苏政府采购网”发布的招标文件为准。</w:t>
      </w:r>
    </w:p>
    <w:p w14:paraId="33DFA374">
      <w:pPr>
        <w:ind w:firstLine="560"/>
        <w:rPr>
          <w:rFonts w:hint="eastAsia" w:ascii="宋体" w:hAnsi="宋体" w:cs="宋体"/>
          <w:color w:val="auto"/>
          <w:sz w:val="28"/>
          <w:szCs w:val="28"/>
          <w:highlight w:val="none"/>
        </w:rPr>
      </w:pPr>
      <w:bookmarkStart w:id="92" w:name="_Hlt26954838"/>
      <w:bookmarkEnd w:id="92"/>
      <w:bookmarkStart w:id="93" w:name="_Hlt26668975"/>
      <w:bookmarkEnd w:id="93"/>
      <w:bookmarkStart w:id="94" w:name="_Hlt26670360"/>
      <w:bookmarkEnd w:id="94"/>
      <w:bookmarkStart w:id="95" w:name="_Toc14577354"/>
      <w:bookmarkStart w:id="96" w:name="_Toc513029216"/>
      <w:bookmarkStart w:id="97" w:name="_Toc49090509"/>
      <w:bookmarkStart w:id="98" w:name="_Toc49090507"/>
      <w:bookmarkStart w:id="99" w:name="_Toc513029219"/>
      <w:bookmarkStart w:id="100" w:name="_Toc14577357"/>
      <w:bookmarkStart w:id="101" w:name="_Toc14577355"/>
      <w:bookmarkStart w:id="102" w:name="_Toc49090508"/>
      <w:r>
        <w:rPr>
          <w:rFonts w:hint="eastAsia" w:ascii="宋体" w:hAnsi="宋体" w:cs="宋体"/>
          <w:color w:val="auto"/>
          <w:sz w:val="28"/>
          <w:szCs w:val="28"/>
          <w:highlight w:val="none"/>
          <w:lang w:eastAsia="zh-CN"/>
        </w:rPr>
        <w:t>11.</w:t>
      </w:r>
      <w:r>
        <w:rPr>
          <w:rFonts w:hint="eastAsia" w:ascii="宋体" w:hAnsi="宋体" w:cs="宋体"/>
          <w:color w:val="auto"/>
          <w:sz w:val="28"/>
          <w:szCs w:val="28"/>
          <w:highlight w:val="none"/>
        </w:rPr>
        <w:t>证明投标人及投标标的符合招标文件规定的文件</w:t>
      </w:r>
      <w:bookmarkEnd w:id="95"/>
      <w:bookmarkEnd w:id="96"/>
      <w:bookmarkEnd w:id="97"/>
      <w:bookmarkEnd w:id="98"/>
      <w:bookmarkEnd w:id="99"/>
      <w:bookmarkEnd w:id="100"/>
    </w:p>
    <w:p w14:paraId="24F5615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11.1 投标人应按照招标文件要求提交证明文件，证明其及投标标的符合招标文件规定。</w:t>
      </w:r>
    </w:p>
    <w:p w14:paraId="1D8247A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11.2招标文件对证明文件无明确形式要求的，证明文件可以以文字资料、图纸和数据等形式提交。</w:t>
      </w:r>
      <w:bookmarkEnd w:id="101"/>
      <w:bookmarkEnd w:id="102"/>
    </w:p>
    <w:p w14:paraId="3576E9E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12.</w:t>
      </w:r>
      <w:r>
        <w:rPr>
          <w:rFonts w:hint="eastAsia" w:ascii="宋体" w:hAnsi="宋体" w:cs="宋体"/>
          <w:color w:val="auto"/>
          <w:sz w:val="28"/>
          <w:szCs w:val="28"/>
          <w:highlight w:val="none"/>
        </w:rPr>
        <w:t>投标分项报价表</w:t>
      </w:r>
    </w:p>
    <w:p w14:paraId="285F781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12.1 投标人应按照招标文件规定格式填报投标分项报价表。</w:t>
      </w:r>
    </w:p>
    <w:p w14:paraId="16A98E4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12.2投标货币。投标文件中的单价和总价无特殊规定的采用人民币报价，以元为单位标注。招标文件中另有规定的按规定执行。</w:t>
      </w:r>
    </w:p>
    <w:p w14:paraId="2E507515">
      <w:pPr>
        <w:ind w:firstLine="560"/>
        <w:rPr>
          <w:rFonts w:hint="eastAsia" w:ascii="宋体" w:hAnsi="宋体" w:cs="宋体"/>
          <w:color w:val="auto"/>
          <w:sz w:val="28"/>
          <w:szCs w:val="28"/>
          <w:highlight w:val="none"/>
        </w:rPr>
      </w:pPr>
      <w:bookmarkStart w:id="103" w:name="_Hlt26670486"/>
      <w:bookmarkEnd w:id="103"/>
      <w:bookmarkStart w:id="104" w:name="_Hlt26954848"/>
      <w:bookmarkEnd w:id="104"/>
      <w:bookmarkStart w:id="105" w:name="_Hlt26954846"/>
      <w:bookmarkEnd w:id="105"/>
      <w:bookmarkStart w:id="106" w:name="_Hlt26954731"/>
      <w:bookmarkEnd w:id="106"/>
      <w:bookmarkStart w:id="107" w:name="_Hlt26670482"/>
      <w:bookmarkEnd w:id="107"/>
      <w:r>
        <w:rPr>
          <w:rFonts w:hint="eastAsia" w:ascii="宋体" w:hAnsi="宋体" w:cs="宋体"/>
          <w:color w:val="auto"/>
          <w:sz w:val="28"/>
          <w:szCs w:val="28"/>
          <w:highlight w:val="none"/>
          <w:lang w:eastAsia="zh-CN"/>
        </w:rPr>
        <w:t>13.</w:t>
      </w:r>
      <w:r>
        <w:rPr>
          <w:rFonts w:hint="eastAsia" w:ascii="宋体" w:hAnsi="宋体" w:cs="宋体"/>
          <w:color w:val="auto"/>
          <w:sz w:val="28"/>
          <w:szCs w:val="28"/>
          <w:highlight w:val="none"/>
        </w:rPr>
        <w:t>技术要求响应及偏离表、商务要求响应及偏离表</w:t>
      </w:r>
    </w:p>
    <w:p w14:paraId="032FC962">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13.1 投标人需对招标文件中的技术要求与商务要求逐项作出响应或偏离，并说明原因。</w:t>
      </w:r>
    </w:p>
    <w:p w14:paraId="32C09D49">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13.2 投标人可在投标文件中提供认为需要的其他技术文件或说明。</w:t>
      </w:r>
    </w:p>
    <w:p w14:paraId="6AEFCD3E">
      <w:pPr>
        <w:ind w:firstLine="560"/>
        <w:rPr>
          <w:rFonts w:hint="eastAsia" w:ascii="宋体" w:hAnsi="宋体" w:cs="宋体"/>
          <w:color w:val="auto"/>
          <w:sz w:val="28"/>
          <w:szCs w:val="28"/>
          <w:highlight w:val="none"/>
        </w:rPr>
      </w:pPr>
      <w:bookmarkStart w:id="108" w:name="_Toc49090510"/>
      <w:bookmarkStart w:id="109" w:name="_Toc14577359"/>
      <w:r>
        <w:rPr>
          <w:rFonts w:hint="eastAsia" w:ascii="宋体" w:hAnsi="宋体" w:cs="宋体"/>
          <w:color w:val="auto"/>
          <w:sz w:val="28"/>
          <w:szCs w:val="28"/>
          <w:highlight w:val="none"/>
          <w:lang w:eastAsia="zh-CN"/>
        </w:rPr>
        <w:t>14.</w:t>
      </w:r>
      <w:r>
        <w:rPr>
          <w:rFonts w:hint="eastAsia" w:ascii="宋体" w:hAnsi="宋体" w:cs="宋体"/>
          <w:color w:val="auto"/>
          <w:sz w:val="28"/>
          <w:szCs w:val="28"/>
          <w:highlight w:val="none"/>
        </w:rPr>
        <w:t>投标函和开标一览表</w:t>
      </w:r>
    </w:p>
    <w:p w14:paraId="623D4ED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14.1 投标人应按照招标文件中提供的格式完整、正确填写投标函、开标一览表。</w:t>
      </w:r>
    </w:p>
    <w:p w14:paraId="4840D94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14.2 对于采用货币报价的项目，开标一览表中的投标总报价应与投标分项报价表中的投标总报价一致，如不一致，不作为无效投标处理，但评标时按开标一览表中价格为准。</w:t>
      </w:r>
      <w:bookmarkEnd w:id="108"/>
      <w:bookmarkEnd w:id="109"/>
    </w:p>
    <w:p w14:paraId="1E9DAC0C">
      <w:pPr>
        <w:ind w:firstLine="560"/>
        <w:rPr>
          <w:rFonts w:hint="eastAsia" w:ascii="宋体" w:hAnsi="宋体" w:cs="宋体"/>
          <w:color w:val="auto"/>
          <w:sz w:val="28"/>
          <w:szCs w:val="28"/>
          <w:highlight w:val="none"/>
        </w:rPr>
      </w:pPr>
      <w:bookmarkStart w:id="110" w:name="_Toc49090511"/>
      <w:bookmarkStart w:id="111" w:name="_Toc14577360"/>
      <w:r>
        <w:rPr>
          <w:rFonts w:hint="eastAsia" w:ascii="宋体" w:hAnsi="宋体" w:cs="宋体"/>
          <w:color w:val="auto"/>
          <w:sz w:val="28"/>
          <w:szCs w:val="28"/>
          <w:highlight w:val="none"/>
          <w:lang w:eastAsia="zh-CN"/>
        </w:rPr>
        <w:t>15.</w:t>
      </w:r>
      <w:r>
        <w:rPr>
          <w:rFonts w:hint="eastAsia" w:ascii="宋体" w:hAnsi="宋体" w:cs="宋体"/>
          <w:color w:val="auto"/>
          <w:sz w:val="28"/>
          <w:szCs w:val="28"/>
          <w:highlight w:val="none"/>
        </w:rPr>
        <w:t>投标有效期</w:t>
      </w:r>
      <w:bookmarkEnd w:id="110"/>
      <w:bookmarkEnd w:id="111"/>
    </w:p>
    <w:p w14:paraId="34B11D5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15.1投标有效期为</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规定的开标之日后六十（60）天。投标有效期比规定短的将被视为未实质性响应招标文件而予以拒绝。</w:t>
      </w:r>
    </w:p>
    <w:p w14:paraId="4698EEC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16.</w:t>
      </w:r>
      <w:r>
        <w:rPr>
          <w:rFonts w:hint="eastAsia" w:ascii="宋体" w:hAnsi="宋体" w:cs="宋体"/>
          <w:color w:val="auto"/>
          <w:sz w:val="28"/>
          <w:szCs w:val="28"/>
          <w:highlight w:val="none"/>
        </w:rPr>
        <w:t>投标有效期的延长</w:t>
      </w:r>
    </w:p>
    <w:p w14:paraId="220AD87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16.1在特殊情况下，</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于原投标有效期满之前，可向投标人提出延长投标有效期的要求。这种要求与答复均应采用书面形式。投标人可以拒绝</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的这一要求而放弃投标，同意延长投标有效期的投标人既不能要求也不允许修改其投标文件。受投标有效期约束的所有权利与义务均延长至新的有效期。</w:t>
      </w:r>
    </w:p>
    <w:p w14:paraId="6FAAD3D4">
      <w:pPr>
        <w:ind w:firstLine="720"/>
        <w:jc w:val="center"/>
        <w:rPr>
          <w:rFonts w:hint="eastAsia" w:ascii="宋体" w:hAnsi="宋体" w:cs="宋体"/>
          <w:color w:val="auto"/>
          <w:sz w:val="36"/>
          <w:szCs w:val="36"/>
          <w:highlight w:val="none"/>
        </w:rPr>
      </w:pPr>
      <w:bookmarkStart w:id="112" w:name="_Hlt26954852"/>
      <w:bookmarkEnd w:id="112"/>
      <w:bookmarkStart w:id="113" w:name="_Hlt26954739"/>
      <w:bookmarkEnd w:id="113"/>
      <w:bookmarkStart w:id="114" w:name="_Toc120614217"/>
      <w:bookmarkStart w:id="115" w:name="_Toc513029224"/>
      <w:bookmarkStart w:id="116" w:name="_Toc16938540"/>
      <w:bookmarkStart w:id="117" w:name="_Toc20823296"/>
      <w:r>
        <w:rPr>
          <w:rFonts w:hint="eastAsia" w:ascii="宋体" w:hAnsi="宋体" w:cs="宋体"/>
          <w:color w:val="auto"/>
          <w:sz w:val="36"/>
          <w:szCs w:val="36"/>
          <w:highlight w:val="none"/>
        </w:rPr>
        <w:t>四、投标文件的递交</w:t>
      </w:r>
      <w:bookmarkEnd w:id="114"/>
      <w:bookmarkEnd w:id="115"/>
      <w:bookmarkEnd w:id="116"/>
      <w:bookmarkEnd w:id="117"/>
    </w:p>
    <w:p w14:paraId="5E982942">
      <w:pPr>
        <w:ind w:firstLine="560"/>
        <w:rPr>
          <w:rFonts w:hint="eastAsia" w:ascii="宋体" w:hAnsi="宋体" w:cs="宋体"/>
          <w:color w:val="auto"/>
          <w:sz w:val="28"/>
          <w:szCs w:val="28"/>
          <w:highlight w:val="none"/>
        </w:rPr>
      </w:pPr>
      <w:bookmarkStart w:id="118" w:name="_Toc513029225"/>
      <w:bookmarkStart w:id="119" w:name="_Toc16938541"/>
      <w:bookmarkStart w:id="120" w:name="_Toc462564084"/>
      <w:bookmarkStart w:id="121" w:name="_Toc20823297"/>
      <w:r>
        <w:rPr>
          <w:rFonts w:hint="eastAsia" w:ascii="宋体" w:hAnsi="宋体" w:cs="宋体"/>
          <w:color w:val="auto"/>
          <w:sz w:val="28"/>
          <w:szCs w:val="28"/>
          <w:highlight w:val="none"/>
          <w:lang w:eastAsia="zh-CN"/>
        </w:rPr>
        <w:t>17.</w:t>
      </w:r>
      <w:r>
        <w:rPr>
          <w:rFonts w:hint="eastAsia" w:ascii="宋体" w:hAnsi="宋体" w:cs="宋体"/>
          <w:color w:val="auto"/>
          <w:sz w:val="28"/>
          <w:szCs w:val="28"/>
          <w:highlight w:val="none"/>
        </w:rPr>
        <w:t>电子投标文件</w:t>
      </w:r>
      <w:bookmarkEnd w:id="118"/>
      <w:bookmarkEnd w:id="119"/>
      <w:bookmarkEnd w:id="120"/>
      <w:bookmarkEnd w:id="121"/>
      <w:r>
        <w:rPr>
          <w:rFonts w:hint="eastAsia" w:ascii="宋体" w:hAnsi="宋体" w:cs="宋体"/>
          <w:color w:val="auto"/>
          <w:sz w:val="28"/>
          <w:szCs w:val="28"/>
          <w:highlight w:val="none"/>
        </w:rPr>
        <w:t>的递交</w:t>
      </w:r>
    </w:p>
    <w:p w14:paraId="0D04145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17.1投标人应当按照《操作手册》规定，在投标截止时间前制作并上传电子投标文件。</w:t>
      </w:r>
      <w:bookmarkStart w:id="122" w:name="_Toc20823298"/>
      <w:bookmarkStart w:id="123" w:name="_Toc16938542"/>
      <w:bookmarkStart w:id="124" w:name="_Toc513029226"/>
    </w:p>
    <w:p w14:paraId="40C4B96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18.</w:t>
      </w:r>
      <w:r>
        <w:rPr>
          <w:rFonts w:hint="eastAsia" w:ascii="宋体" w:hAnsi="宋体" w:cs="宋体"/>
          <w:color w:val="auto"/>
          <w:sz w:val="28"/>
          <w:szCs w:val="28"/>
          <w:highlight w:val="none"/>
        </w:rPr>
        <w:t>投标截止日期</w:t>
      </w:r>
      <w:bookmarkEnd w:id="122"/>
      <w:bookmarkEnd w:id="123"/>
      <w:bookmarkEnd w:id="124"/>
    </w:p>
    <w:p w14:paraId="5014F8E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18.1 投标人上传电子投标文件的时间不得迟于招标公告中规定的投标截止时间。</w:t>
      </w:r>
    </w:p>
    <w:p w14:paraId="753A60F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投标人应充分考虑网络环境、网络带宽等风险因素，如因投标人自身原因造成的电子投标文件上传不成功的按照本招标文件第二章第27.1.2条规定做无效投标处理。</w:t>
      </w:r>
    </w:p>
    <w:p w14:paraId="788029A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18.2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可以按照规定，通过修改招标文件酌情延长投标截止日期，在此情况下，投标人的所有权利和义务以及投标人受制的截止日期均应以延长后新的截止日期为准。</w:t>
      </w:r>
    </w:p>
    <w:p w14:paraId="04C1F3AC">
      <w:pPr>
        <w:ind w:firstLine="560"/>
        <w:rPr>
          <w:rFonts w:hint="eastAsia" w:ascii="宋体" w:hAnsi="宋体" w:cs="宋体"/>
          <w:color w:val="auto"/>
          <w:sz w:val="28"/>
          <w:szCs w:val="28"/>
          <w:highlight w:val="none"/>
        </w:rPr>
      </w:pPr>
      <w:bookmarkStart w:id="125" w:name="_Toc513029227"/>
      <w:bookmarkStart w:id="126" w:name="_Toc20823299"/>
      <w:bookmarkStart w:id="127" w:name="_Toc16938543"/>
      <w:r>
        <w:rPr>
          <w:rFonts w:hint="eastAsia" w:ascii="宋体" w:hAnsi="宋体" w:cs="宋体"/>
          <w:color w:val="auto"/>
          <w:sz w:val="28"/>
          <w:szCs w:val="28"/>
          <w:highlight w:val="none"/>
          <w:lang w:eastAsia="zh-CN"/>
        </w:rPr>
        <w:t>19.</w:t>
      </w:r>
      <w:r>
        <w:rPr>
          <w:rFonts w:hint="eastAsia" w:ascii="宋体" w:hAnsi="宋体" w:cs="宋体"/>
          <w:color w:val="auto"/>
          <w:sz w:val="28"/>
          <w:szCs w:val="28"/>
          <w:highlight w:val="none"/>
        </w:rPr>
        <w:t>投标文件</w:t>
      </w:r>
      <w:bookmarkEnd w:id="125"/>
      <w:bookmarkEnd w:id="126"/>
      <w:bookmarkEnd w:id="127"/>
      <w:r>
        <w:rPr>
          <w:rFonts w:hint="eastAsia" w:ascii="宋体" w:hAnsi="宋体" w:cs="宋体"/>
          <w:color w:val="auto"/>
          <w:sz w:val="28"/>
          <w:szCs w:val="28"/>
          <w:highlight w:val="none"/>
        </w:rPr>
        <w:t>的拒收</w:t>
      </w:r>
    </w:p>
    <w:p w14:paraId="54298E5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19.1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拒绝接收在其规定的投标截止时间后上传的任何投标文件。</w:t>
      </w:r>
    </w:p>
    <w:p w14:paraId="0D8E98D0">
      <w:pPr>
        <w:ind w:firstLine="560"/>
        <w:rPr>
          <w:rFonts w:hint="eastAsia" w:ascii="宋体" w:hAnsi="宋体" w:cs="宋体"/>
          <w:color w:val="auto"/>
          <w:sz w:val="28"/>
          <w:szCs w:val="28"/>
          <w:highlight w:val="none"/>
        </w:rPr>
      </w:pPr>
      <w:bookmarkStart w:id="128" w:name="_Toc16938544"/>
      <w:bookmarkStart w:id="129" w:name="_Toc513029228"/>
      <w:bookmarkStart w:id="130" w:name="_Toc20823300"/>
      <w:r>
        <w:rPr>
          <w:rFonts w:hint="eastAsia" w:ascii="宋体" w:hAnsi="宋体" w:cs="宋体"/>
          <w:color w:val="auto"/>
          <w:sz w:val="28"/>
          <w:szCs w:val="28"/>
          <w:highlight w:val="none"/>
          <w:lang w:eastAsia="zh-CN"/>
        </w:rPr>
        <w:t>20.</w:t>
      </w:r>
      <w:r>
        <w:rPr>
          <w:rFonts w:hint="eastAsia" w:ascii="宋体" w:hAnsi="宋体" w:cs="宋体"/>
          <w:color w:val="auto"/>
          <w:sz w:val="28"/>
          <w:szCs w:val="28"/>
          <w:highlight w:val="none"/>
        </w:rPr>
        <w:t>投标文件的撤回和修改</w:t>
      </w:r>
      <w:bookmarkEnd w:id="128"/>
      <w:bookmarkEnd w:id="129"/>
      <w:bookmarkEnd w:id="130"/>
    </w:p>
    <w:p w14:paraId="27AE498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20.1 投标文件的撤回</w:t>
      </w:r>
    </w:p>
    <w:p w14:paraId="34E6418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20.1.1 电子投标文件的撤回</w:t>
      </w:r>
    </w:p>
    <w:p w14:paraId="1269D3F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投标人可在投标截止时间前，撤回其电子投标文件，具体操作方法见《操作手册》。</w:t>
      </w:r>
    </w:p>
    <w:p w14:paraId="052A214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20.1.2 投标人撤回电子投标文件，则认为其不再参与本项目投标活动。</w:t>
      </w:r>
    </w:p>
    <w:p w14:paraId="17932AC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20.2 投标文件的修改</w:t>
      </w:r>
    </w:p>
    <w:p w14:paraId="4C12677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20.2.1投标人可在投标截止时间前，对其电子投标文件进行修改，具体操作方法见《操作手册》。</w:t>
      </w:r>
    </w:p>
    <w:p w14:paraId="63DE706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20.2.2 在投标截止时间之后，投标人不得对其电子投标文件作任何修改。</w:t>
      </w:r>
    </w:p>
    <w:p w14:paraId="61400A4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20.3 在投标截止时间至招标文件中规定的投标有效期满之间的这段时间内，投标人不得撤回其投标。</w:t>
      </w:r>
    </w:p>
    <w:p w14:paraId="3EAC8175">
      <w:pPr>
        <w:ind w:firstLine="720"/>
        <w:jc w:val="center"/>
        <w:rPr>
          <w:rFonts w:hint="eastAsia" w:ascii="宋体" w:hAnsi="宋体" w:cs="宋体"/>
          <w:color w:val="auto"/>
          <w:sz w:val="36"/>
          <w:szCs w:val="36"/>
          <w:highlight w:val="none"/>
        </w:rPr>
      </w:pPr>
      <w:bookmarkStart w:id="131" w:name="_Toc120614218"/>
      <w:bookmarkStart w:id="132" w:name="_Toc20823301"/>
      <w:bookmarkStart w:id="133" w:name="_Toc513029229"/>
      <w:bookmarkStart w:id="134" w:name="_Toc16938545"/>
      <w:r>
        <w:rPr>
          <w:rFonts w:hint="eastAsia" w:ascii="宋体" w:hAnsi="宋体" w:cs="宋体"/>
          <w:color w:val="auto"/>
          <w:sz w:val="36"/>
          <w:szCs w:val="36"/>
          <w:highlight w:val="none"/>
        </w:rPr>
        <w:t>五、开标与评标</w:t>
      </w:r>
      <w:bookmarkEnd w:id="131"/>
      <w:bookmarkEnd w:id="132"/>
      <w:bookmarkEnd w:id="133"/>
      <w:bookmarkEnd w:id="134"/>
    </w:p>
    <w:p w14:paraId="6A10D72F">
      <w:pPr>
        <w:ind w:firstLine="560"/>
        <w:rPr>
          <w:rFonts w:hint="eastAsia" w:ascii="宋体" w:hAnsi="宋体" w:cs="宋体"/>
          <w:color w:val="auto"/>
          <w:sz w:val="28"/>
          <w:szCs w:val="28"/>
          <w:highlight w:val="none"/>
        </w:rPr>
      </w:pPr>
      <w:bookmarkStart w:id="135" w:name="_Toc513029230"/>
      <w:bookmarkStart w:id="136" w:name="_Toc16938546"/>
      <w:bookmarkStart w:id="137" w:name="_Toc20823302"/>
      <w:r>
        <w:rPr>
          <w:rFonts w:hint="eastAsia" w:ascii="宋体" w:hAnsi="宋体" w:cs="宋体"/>
          <w:color w:val="auto"/>
          <w:sz w:val="28"/>
          <w:szCs w:val="28"/>
          <w:highlight w:val="none"/>
          <w:lang w:eastAsia="zh-CN"/>
        </w:rPr>
        <w:t>21.</w:t>
      </w:r>
      <w:r>
        <w:rPr>
          <w:rFonts w:hint="eastAsia" w:ascii="宋体" w:hAnsi="宋体" w:cs="宋体"/>
          <w:color w:val="auto"/>
          <w:sz w:val="28"/>
          <w:szCs w:val="28"/>
          <w:highlight w:val="none"/>
        </w:rPr>
        <w:t>开标</w:t>
      </w:r>
      <w:bookmarkEnd w:id="135"/>
      <w:bookmarkEnd w:id="136"/>
      <w:bookmarkEnd w:id="137"/>
    </w:p>
    <w:p w14:paraId="7B93F61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21.1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将在招标公告中规定的时间和地点组织公开开标。投标人应当按照《操作手册》规定，参加开标活动和在苏采云系统规定的时间内对投标文件进行解密。</w:t>
      </w:r>
    </w:p>
    <w:p w14:paraId="2570204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21.2开标仪式由</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组织。苏采云系统将自动对项目进行开标，并宣布各投标人名称和投标价格。</w:t>
      </w:r>
    </w:p>
    <w:p w14:paraId="37C66C9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21.3投标人在开标过程中涉及的投标文件解密、开标结果确认等工作，应按照《操作手册》规定执行。</w:t>
      </w:r>
    </w:p>
    <w:p w14:paraId="5CC0D1B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21.4投标人如果对开标过程和开标记录有疑义，应当根据《操作手册》规定提出，如 苏采云系统中《开标记录表》宣布后5分钟内未提出的，视同认可开标结果。</w:t>
      </w:r>
    </w:p>
    <w:p w14:paraId="72EF84B6">
      <w:pPr>
        <w:ind w:firstLine="560"/>
        <w:rPr>
          <w:rFonts w:hint="eastAsia" w:ascii="宋体" w:hAnsi="宋体" w:cs="宋体"/>
          <w:color w:val="auto"/>
          <w:sz w:val="28"/>
          <w:szCs w:val="28"/>
          <w:highlight w:val="none"/>
        </w:rPr>
      </w:pPr>
      <w:bookmarkStart w:id="138" w:name="_Toc16938547"/>
      <w:bookmarkStart w:id="139" w:name="_Toc513029231"/>
      <w:bookmarkStart w:id="140" w:name="_Toc20823303"/>
      <w:r>
        <w:rPr>
          <w:rFonts w:hint="eastAsia" w:ascii="宋体" w:hAnsi="宋体" w:cs="宋体"/>
          <w:color w:val="auto"/>
          <w:sz w:val="28"/>
          <w:szCs w:val="28"/>
          <w:highlight w:val="none"/>
          <w:lang w:eastAsia="zh-CN"/>
        </w:rPr>
        <w:t>22.</w:t>
      </w:r>
      <w:r>
        <w:rPr>
          <w:rFonts w:hint="eastAsia" w:ascii="宋体" w:hAnsi="宋体" w:cs="宋体"/>
          <w:color w:val="auto"/>
          <w:sz w:val="28"/>
          <w:szCs w:val="28"/>
          <w:highlight w:val="none"/>
        </w:rPr>
        <w:t>评标委员会</w:t>
      </w:r>
    </w:p>
    <w:p w14:paraId="5E59A96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22.1 开标后，</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将立即组织评标委员会（以下简称评委会）进行评标。</w:t>
      </w:r>
    </w:p>
    <w:p w14:paraId="7E555B6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22.2 评委会由采购人代表和有关技术、经济等方面的专家组成，且人员构成符合政府采购有关规定。</w:t>
      </w:r>
    </w:p>
    <w:p w14:paraId="147FDD6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22.3评委会独立工作，负责评审所有投标文件并确定中标候选人。</w:t>
      </w:r>
    </w:p>
    <w:p w14:paraId="5254006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23.</w:t>
      </w:r>
      <w:r>
        <w:rPr>
          <w:rFonts w:hint="eastAsia" w:ascii="宋体" w:hAnsi="宋体" w:cs="宋体"/>
          <w:color w:val="auto"/>
          <w:sz w:val="28"/>
          <w:szCs w:val="28"/>
          <w:highlight w:val="none"/>
        </w:rPr>
        <w:t>评标过程的保密与公正</w:t>
      </w:r>
      <w:bookmarkEnd w:id="138"/>
      <w:bookmarkEnd w:id="139"/>
      <w:bookmarkEnd w:id="140"/>
    </w:p>
    <w:p w14:paraId="287F006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23.1凡是与审查、澄清、评价和比较投标的有关资料以及授标建议等，采购人、评委、</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均不得向投标人或与评标无关的其他人员透露。</w:t>
      </w:r>
    </w:p>
    <w:p w14:paraId="53C6D20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23.2在评标过程中，投标人不得以任何行为影响评标过程，否则其投标文件将被作为无效投标文件。</w:t>
      </w:r>
    </w:p>
    <w:p w14:paraId="55E5E24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23.3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和评标委员会不向未中标的投标人解释未中标原因，也不公布评标过程中的相关细节。</w:t>
      </w:r>
    </w:p>
    <w:p w14:paraId="2D4557E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23.4 采用综合评分法的项目，未中标的投标人可于中标结果公告期限届满之日起通过苏采云系统查看自己的评审得分及排序情况。</w:t>
      </w:r>
    </w:p>
    <w:p w14:paraId="1E188F26">
      <w:pPr>
        <w:ind w:firstLine="560"/>
        <w:rPr>
          <w:rFonts w:hint="eastAsia" w:ascii="宋体" w:hAnsi="宋体" w:cs="宋体"/>
          <w:color w:val="auto"/>
          <w:sz w:val="28"/>
          <w:szCs w:val="28"/>
          <w:highlight w:val="none"/>
        </w:rPr>
      </w:pPr>
      <w:bookmarkStart w:id="141" w:name="_Toc513029232"/>
      <w:bookmarkStart w:id="142" w:name="_Toc20823304"/>
      <w:bookmarkStart w:id="143" w:name="_Toc16938548"/>
      <w:r>
        <w:rPr>
          <w:rFonts w:hint="eastAsia" w:ascii="宋体" w:hAnsi="宋体" w:cs="宋体"/>
          <w:color w:val="auto"/>
          <w:sz w:val="28"/>
          <w:szCs w:val="28"/>
          <w:highlight w:val="none"/>
          <w:lang w:eastAsia="zh-CN"/>
        </w:rPr>
        <w:t>24.</w:t>
      </w:r>
      <w:r>
        <w:rPr>
          <w:rFonts w:hint="eastAsia" w:ascii="宋体" w:hAnsi="宋体" w:cs="宋体"/>
          <w:color w:val="auto"/>
          <w:sz w:val="28"/>
          <w:szCs w:val="28"/>
          <w:highlight w:val="none"/>
        </w:rPr>
        <w:t>投标文件的澄清</w:t>
      </w:r>
      <w:bookmarkEnd w:id="141"/>
      <w:bookmarkEnd w:id="142"/>
      <w:bookmarkEnd w:id="143"/>
    </w:p>
    <w:p w14:paraId="6B952229">
      <w:pPr>
        <w:ind w:firstLine="560"/>
        <w:rPr>
          <w:rFonts w:hint="eastAsia" w:ascii="宋体" w:hAnsi="宋体" w:cs="宋体"/>
          <w:color w:val="auto"/>
          <w:sz w:val="28"/>
          <w:szCs w:val="28"/>
          <w:highlight w:val="none"/>
        </w:rPr>
      </w:pPr>
      <w:bookmarkStart w:id="144" w:name="_Toc513029233"/>
      <w:bookmarkStart w:id="145" w:name="_Toc20823305"/>
      <w:bookmarkStart w:id="146" w:name="_Toc16938549"/>
      <w:r>
        <w:rPr>
          <w:rFonts w:hint="eastAsia" w:ascii="宋体" w:hAnsi="宋体" w:cs="宋体"/>
          <w:color w:val="auto"/>
          <w:sz w:val="28"/>
          <w:szCs w:val="28"/>
          <w:highlight w:val="none"/>
        </w:rPr>
        <w:t>24.1评标期间，评委会对投标文件中含义不明确、同类问题表述不一致或者有明显文字和计算错误的内容 ，有权要求投标人作出必要的澄清、说明或者补正。</w:t>
      </w:r>
    </w:p>
    <w:p w14:paraId="0288551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投标人的澄清、说明或者补正不得超出投标文件的范围或者改变投标文件的实质性内容。</w:t>
      </w:r>
    </w:p>
    <w:p w14:paraId="70B3DED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评标委员会并非对每个投标人都做澄清要求。</w:t>
      </w:r>
    </w:p>
    <w:p w14:paraId="2C0146A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95E968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24.3 接到评委会澄清、说明和补正要求的投标人如未按规定作出澄清、说明和补正，其风险由投标人自行承担。</w:t>
      </w:r>
    </w:p>
    <w:p w14:paraId="3A448AB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25.</w:t>
      </w:r>
      <w:r>
        <w:rPr>
          <w:rFonts w:hint="eastAsia" w:ascii="宋体" w:hAnsi="宋体" w:cs="宋体"/>
          <w:color w:val="auto"/>
          <w:sz w:val="28"/>
          <w:szCs w:val="28"/>
          <w:highlight w:val="none"/>
        </w:rPr>
        <w:t>对投标文件的初审</w:t>
      </w:r>
      <w:bookmarkEnd w:id="144"/>
      <w:bookmarkEnd w:id="145"/>
      <w:bookmarkEnd w:id="146"/>
    </w:p>
    <w:p w14:paraId="2C6F8F1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25.1投标文件初审分为资格审查和符合性审查。</w:t>
      </w:r>
    </w:p>
    <w:p w14:paraId="285B7E6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25.1.1 资格审查：依据法律法规和招标文件的规定，由采购人对投标文件中的资格证明文件进行审查。资格审查的结论，采购人以书面形式向评委会进行反馈。</w:t>
      </w:r>
    </w:p>
    <w:p w14:paraId="524BBFD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采购人在进行资格性审查的同时，将在“信用中国”网站（www.creditchina.gov.cn）查询投标人的信用记录，以确定投标人是否具备投标资格</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查询结果留存并归档。</w:t>
      </w:r>
    </w:p>
    <w:p w14:paraId="540C1C8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接受联合体的项目，两个以上的自然人、法人或者其他组织组成一个联合体，以一个供应商的身份共同参加政府采购活动的</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联合体成员中任何一方存在不良信用记录的，视同联合体存在不良应用记录。</w:t>
      </w:r>
    </w:p>
    <w:p w14:paraId="172F382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25.1.2 符合性审查：依据招标文件的规定，由评委会从投标文件的有效性、完整性和对招标文件的响应程度进行审查，以确定是否对招标文件的实质性要求作出响应。</w:t>
      </w:r>
    </w:p>
    <w:p w14:paraId="6447B34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25.1.3 未通过资格审查或符合性审查的投标人，</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将在苏采云系统中告知未通过资格审查或符合性审查的原因，评审结束后，</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将不再告知未通过资格审查或符合性审查的原因。</w:t>
      </w:r>
    </w:p>
    <w:p w14:paraId="06012A9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42F49B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所谓重大偏离或保留是指与招标文件规定的实质性要求存在负偏离，或者在实质上与招标文件不一致，而且限制了合同中采购人和</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77C2D2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25.3如果投标文件实质上没有响应招标文件的要求，评委会将予以拒绝，投标人不得通过修改或撤销</w:t>
      </w:r>
      <w:r>
        <w:rPr>
          <w:rFonts w:hint="eastAsia" w:ascii="宋体" w:hAnsi="宋体" w:cs="宋体"/>
          <w:color w:val="auto"/>
          <w:sz w:val="28"/>
          <w:szCs w:val="28"/>
          <w:highlight w:val="none"/>
          <w:lang w:eastAsia="zh-CN"/>
        </w:rPr>
        <w:t>不符</w:t>
      </w:r>
      <w:r>
        <w:rPr>
          <w:rFonts w:hint="eastAsia" w:ascii="宋体" w:hAnsi="宋体" w:cs="宋体"/>
          <w:color w:val="auto"/>
          <w:sz w:val="28"/>
          <w:szCs w:val="28"/>
          <w:highlight w:val="none"/>
        </w:rPr>
        <w:t>合要求的偏离或保留而使其投标成为实质性响应的投标。</w:t>
      </w:r>
    </w:p>
    <w:p w14:paraId="652B019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25.4评委会将对确定为实质性响应的投标进行进一步审核，看其是否有计算上或累加上的算术错误，修正错误的原则如下：</w:t>
      </w:r>
    </w:p>
    <w:p w14:paraId="4DCDECF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（1）投标文件中开标一览表内容与投标文件中相应内容不一致的，以开标一览表为准。</w:t>
      </w:r>
    </w:p>
    <w:p w14:paraId="1E34B76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（2）大写金额和小写金额不一致的，以大写金额为准。</w:t>
      </w:r>
    </w:p>
    <w:p w14:paraId="656B316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（3）单价金额小数点或者百分比有明显错位的，以开标一览表的总价为准，并修改单价。</w:t>
      </w:r>
    </w:p>
    <w:p w14:paraId="269A334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（4）总价金额与按单价汇总金额不一致的，以单价金额计算结果为准。同时出现两种以上错误的，按照前款规定的顺序修正。</w:t>
      </w:r>
    </w:p>
    <w:p w14:paraId="556E7A5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26.5评委会将按上述修正错误的方法调整投标文件中的投标报价，并通过苏采云系统告知投标人，调整后的价格对投标人具有约束力。如果投标人不接受修正后的价格，则其投标将被拒绝。</w:t>
      </w:r>
    </w:p>
    <w:p w14:paraId="557F3B05">
      <w:pPr>
        <w:ind w:firstLine="560"/>
        <w:rPr>
          <w:rFonts w:hint="eastAsia" w:ascii="宋体" w:hAnsi="宋体" w:cs="宋体"/>
          <w:color w:val="auto"/>
          <w:sz w:val="28"/>
          <w:szCs w:val="28"/>
          <w:highlight w:val="none"/>
        </w:rPr>
      </w:pPr>
      <w:bookmarkStart w:id="147" w:name="_Toc20823306"/>
      <w:bookmarkStart w:id="148" w:name="_Toc513029234"/>
      <w:bookmarkStart w:id="149" w:name="_Toc16938550"/>
      <w:r>
        <w:rPr>
          <w:rFonts w:hint="eastAsia" w:ascii="宋体" w:hAnsi="宋体" w:cs="宋体"/>
          <w:color w:val="auto"/>
          <w:sz w:val="28"/>
          <w:szCs w:val="28"/>
          <w:highlight w:val="none"/>
        </w:rPr>
        <w:t>25.6投标人在开、评标全过程中应</w:t>
      </w:r>
      <w:r>
        <w:rPr>
          <w:rFonts w:hint="eastAsia" w:ascii="宋体" w:hAnsi="宋体" w:cs="宋体"/>
          <w:color w:val="auto"/>
          <w:sz w:val="28"/>
          <w:szCs w:val="28"/>
          <w:highlight w:val="none"/>
          <w:lang w:eastAsia="zh-CN"/>
        </w:rPr>
        <w:t>保持通信畅通</w:t>
      </w:r>
      <w:r>
        <w:rPr>
          <w:rFonts w:hint="eastAsia" w:ascii="宋体" w:hAnsi="宋体" w:cs="宋体"/>
          <w:color w:val="auto"/>
          <w:sz w:val="28"/>
          <w:szCs w:val="28"/>
          <w:highlight w:val="none"/>
        </w:rPr>
        <w:t>，及时登录苏采云系统查阅、答复相关信息，并安排专人与交易中心及评标委员会联系。</w:t>
      </w:r>
    </w:p>
    <w:p w14:paraId="56EA12D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26.</w:t>
      </w:r>
      <w:bookmarkEnd w:id="147"/>
      <w:bookmarkEnd w:id="148"/>
      <w:bookmarkEnd w:id="149"/>
      <w:r>
        <w:rPr>
          <w:rFonts w:hint="eastAsia" w:ascii="宋体" w:hAnsi="宋体" w:cs="宋体"/>
          <w:color w:val="auto"/>
          <w:sz w:val="28"/>
          <w:szCs w:val="28"/>
          <w:highlight w:val="none"/>
        </w:rPr>
        <w:t>无效投标条款和废标条款</w:t>
      </w:r>
    </w:p>
    <w:p w14:paraId="1A5164D2">
      <w:pPr>
        <w:ind w:firstLine="560"/>
        <w:rPr>
          <w:rFonts w:hint="eastAsia" w:ascii="宋体" w:hAnsi="宋体" w:cs="宋体"/>
          <w:color w:val="auto"/>
          <w:sz w:val="28"/>
          <w:szCs w:val="28"/>
          <w:highlight w:val="none"/>
        </w:rPr>
      </w:pPr>
      <w:bookmarkStart w:id="150" w:name="_Toc513029235"/>
      <w:bookmarkStart w:id="151" w:name="_Toc20823307"/>
      <w:bookmarkStart w:id="152" w:name="_Toc16938551"/>
      <w:r>
        <w:rPr>
          <w:rFonts w:hint="eastAsia" w:ascii="宋体" w:hAnsi="宋体" w:cs="宋体"/>
          <w:color w:val="auto"/>
          <w:sz w:val="28"/>
          <w:szCs w:val="28"/>
          <w:highlight w:val="none"/>
        </w:rPr>
        <w:t>26.1无效投标条款</w:t>
      </w:r>
    </w:p>
    <w:p w14:paraId="7C98586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26.1.1 投标人在苏采云系统规定的时间内未成功解密电子投标文件的。</w:t>
      </w:r>
    </w:p>
    <w:p w14:paraId="457F8D8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26.1.2 投标人未按照招标文件要求上传电子投标文件的。</w:t>
      </w:r>
    </w:p>
    <w:p w14:paraId="07D48DE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26.1.3同一投标人提交两个（含两个）以上不同的投标报价的。</w:t>
      </w:r>
    </w:p>
    <w:p w14:paraId="16F4205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26.1.4投标人不具备招标文件中规定资格要求的。</w:t>
      </w:r>
    </w:p>
    <w:p w14:paraId="1D14EA6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26.1.5投标人的报价超过了采购预算或最高限价的。</w:t>
      </w:r>
    </w:p>
    <w:p w14:paraId="4702AB6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26.1.6未通过符合性审查的。</w:t>
      </w:r>
    </w:p>
    <w:p w14:paraId="1333C32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26.1.7不符合招标文件中规定的实质性要求和条件的。</w:t>
      </w:r>
    </w:p>
    <w:p w14:paraId="7EA39F8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BAAA6C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26.1.9 投标文件含有采购人不能接受的附加条件的。</w:t>
      </w:r>
    </w:p>
    <w:p w14:paraId="71C4FBA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2386D1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26.1.1</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 xml:space="preserve"> 投标文件未按照招标文件要求加盖CA电子公章的。</w:t>
      </w:r>
    </w:p>
    <w:p w14:paraId="158EA7F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26.1.1</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 xml:space="preserve"> 未按照投标文件格式及要求填写的。</w:t>
      </w:r>
    </w:p>
    <w:p w14:paraId="4021DA4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26.1.1</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其他法律法规及本招标文件规定的</w:t>
      </w:r>
      <w:r>
        <w:rPr>
          <w:rFonts w:hint="eastAsia" w:ascii="宋体" w:hAnsi="宋体" w:cs="宋体"/>
          <w:color w:val="auto"/>
          <w:sz w:val="28"/>
          <w:szCs w:val="28"/>
          <w:highlight w:val="none"/>
          <w:lang w:eastAsia="zh-CN"/>
        </w:rPr>
        <w:t>属于</w:t>
      </w:r>
      <w:r>
        <w:rPr>
          <w:rFonts w:hint="eastAsia" w:ascii="宋体" w:hAnsi="宋体" w:cs="宋体"/>
          <w:color w:val="auto"/>
          <w:sz w:val="28"/>
          <w:szCs w:val="28"/>
          <w:highlight w:val="none"/>
        </w:rPr>
        <w:t>无效投标的情形。</w:t>
      </w:r>
    </w:p>
    <w:p w14:paraId="0A25073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26.2废标条款</w:t>
      </w:r>
    </w:p>
    <w:p w14:paraId="24F7DC0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26.2.1符合专业条件的供应商或者对招标文件作实质响应的供应商不足三家的。</w:t>
      </w:r>
    </w:p>
    <w:p w14:paraId="22273B3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27.2.2出现影响采购公正的违法、违规行为的。</w:t>
      </w:r>
    </w:p>
    <w:p w14:paraId="67EF2FD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26.2.3因重大变故，采购任务取消的。</w:t>
      </w:r>
    </w:p>
    <w:p w14:paraId="15B2F71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26.2.4评标委员会认定招标文件存在歧义、重大缺陷导致评审工作无法进行。</w:t>
      </w:r>
    </w:p>
    <w:p w14:paraId="1DD811C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26.2.5 因苏采云系统故障原因造成开标不成功的。</w:t>
      </w:r>
    </w:p>
    <w:p w14:paraId="15BA3FB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26.3 投标截止时间结束后参加投标的供应商不足三家的处理：</w:t>
      </w:r>
    </w:p>
    <w:p w14:paraId="77304A6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26.3.1如出现投标截止时间结束后参加投标的供应商或者在评标期间对招标文件做出实质响应的供应商不足三家情况，按政府采购相关规定执行。</w:t>
      </w:r>
    </w:p>
    <w:p w14:paraId="047D02C2">
      <w:pPr>
        <w:ind w:firstLine="0"/>
        <w:jc w:val="center"/>
        <w:rPr>
          <w:rFonts w:hint="eastAsia" w:ascii="宋体" w:hAnsi="宋体" w:cs="宋体"/>
          <w:color w:val="auto"/>
          <w:sz w:val="36"/>
          <w:szCs w:val="36"/>
          <w:highlight w:val="none"/>
        </w:rPr>
      </w:pPr>
      <w:bookmarkStart w:id="153" w:name="_Toc120614219"/>
      <w:r>
        <w:rPr>
          <w:rFonts w:hint="eastAsia" w:ascii="宋体" w:hAnsi="宋体" w:cs="宋体"/>
          <w:color w:val="auto"/>
          <w:sz w:val="36"/>
          <w:szCs w:val="36"/>
          <w:highlight w:val="none"/>
        </w:rPr>
        <w:t>六、</w:t>
      </w:r>
      <w:bookmarkEnd w:id="150"/>
      <w:bookmarkEnd w:id="151"/>
      <w:bookmarkEnd w:id="152"/>
      <w:r>
        <w:rPr>
          <w:rFonts w:hint="eastAsia" w:ascii="宋体" w:hAnsi="宋体" w:cs="宋体"/>
          <w:color w:val="auto"/>
          <w:sz w:val="36"/>
          <w:szCs w:val="36"/>
          <w:highlight w:val="none"/>
        </w:rPr>
        <w:t>定标</w:t>
      </w:r>
      <w:bookmarkEnd w:id="153"/>
    </w:p>
    <w:p w14:paraId="42B2FEC5">
      <w:pPr>
        <w:ind w:firstLine="560"/>
        <w:rPr>
          <w:rFonts w:hint="eastAsia" w:ascii="宋体" w:hAnsi="宋体" w:cs="宋体"/>
          <w:color w:val="auto"/>
          <w:sz w:val="28"/>
          <w:szCs w:val="28"/>
          <w:highlight w:val="none"/>
        </w:rPr>
      </w:pPr>
      <w:bookmarkStart w:id="154" w:name="_Toc513029238"/>
      <w:bookmarkStart w:id="155" w:name="_Toc16938554"/>
      <w:bookmarkStart w:id="156" w:name="_Toc20823310"/>
      <w:r>
        <w:rPr>
          <w:rFonts w:hint="eastAsia" w:ascii="宋体" w:hAnsi="宋体" w:cs="宋体"/>
          <w:color w:val="auto"/>
          <w:sz w:val="28"/>
          <w:szCs w:val="28"/>
          <w:highlight w:val="none"/>
          <w:lang w:eastAsia="zh-CN"/>
        </w:rPr>
        <w:t>27.</w:t>
      </w:r>
      <w:bookmarkEnd w:id="154"/>
      <w:r>
        <w:rPr>
          <w:rFonts w:hint="eastAsia" w:ascii="宋体" w:hAnsi="宋体" w:cs="宋体"/>
          <w:color w:val="auto"/>
          <w:sz w:val="28"/>
          <w:szCs w:val="28"/>
          <w:highlight w:val="none"/>
        </w:rPr>
        <w:t>确定</w:t>
      </w:r>
      <w:bookmarkEnd w:id="155"/>
      <w:bookmarkEnd w:id="156"/>
      <w:r>
        <w:rPr>
          <w:rFonts w:hint="eastAsia" w:ascii="宋体" w:hAnsi="宋体" w:cs="宋体"/>
          <w:color w:val="auto"/>
          <w:sz w:val="28"/>
          <w:szCs w:val="28"/>
          <w:highlight w:val="none"/>
        </w:rPr>
        <w:t>中标单位</w:t>
      </w:r>
    </w:p>
    <w:p w14:paraId="519B481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27.1中标候选人的选取原则和数量见招标文件第五章规定。 </w:t>
      </w:r>
    </w:p>
    <w:p w14:paraId="634C2E5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27.2 采购人应根据评委会推荐的中标候选人确定中标人。</w:t>
      </w:r>
    </w:p>
    <w:p w14:paraId="55AF9B0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27.3 </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将在“江苏政府采购网”发布中标公告，公告期限为1个工作日。</w:t>
      </w:r>
    </w:p>
    <w:p w14:paraId="4C89C87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  若有充分证据证明，中标人出现下列情况之一的，一经查实，将被取消中标资格：</w:t>
      </w:r>
    </w:p>
    <w:p w14:paraId="42DAC6A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27.4.1提供虚假材料谋取中标的。</w:t>
      </w:r>
    </w:p>
    <w:p w14:paraId="52EC56D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27.4.2向采购人、</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行贿或者提供其他不正当利益的。</w:t>
      </w:r>
    </w:p>
    <w:p w14:paraId="6EF62A4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27.4.3属于本文件规定的无效条件，但在评标过程中又未被评委会发现的。</w:t>
      </w:r>
    </w:p>
    <w:p w14:paraId="7EA30F9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27.4.4与采购人或者其他供应商恶意串通的。</w:t>
      </w:r>
    </w:p>
    <w:p w14:paraId="0543E25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27.4.5采取不正当手段诋毁、排挤其他供应商的。</w:t>
      </w:r>
    </w:p>
    <w:p w14:paraId="3A2639AD">
      <w:pPr>
        <w:ind w:firstLine="560"/>
        <w:rPr>
          <w:rFonts w:hint="eastAsia" w:ascii="宋体" w:hAnsi="宋体" w:cs="宋体"/>
          <w:color w:val="auto"/>
          <w:sz w:val="28"/>
          <w:szCs w:val="28"/>
          <w:highlight w:val="none"/>
        </w:rPr>
      </w:pPr>
      <w:bookmarkStart w:id="157" w:name="_Toc200451960"/>
      <w:r>
        <w:rPr>
          <w:rFonts w:hint="eastAsia" w:ascii="宋体" w:hAnsi="宋体" w:cs="宋体"/>
          <w:color w:val="auto"/>
          <w:sz w:val="28"/>
          <w:szCs w:val="28"/>
          <w:highlight w:val="none"/>
        </w:rPr>
        <w:t>27.5. 有下列情形之一的，视为投标人串通投标，投标无效：</w:t>
      </w:r>
    </w:p>
    <w:p w14:paraId="74E618C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27.5.1不同投标人的投标文件由同一单位或者个人编制；</w:t>
      </w:r>
    </w:p>
    <w:p w14:paraId="7B2356D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27.5.2不同投标人委托同一单位或者个人办理投标事宜；</w:t>
      </w:r>
    </w:p>
    <w:p w14:paraId="5F79274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27.5.3 不同投标人的投标文件载明的项目管理成员或者联系人员为同一人；</w:t>
      </w:r>
    </w:p>
    <w:p w14:paraId="5127157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27.5.4不同投标人的投标文件异常一致或者投标报价呈规律性差异；</w:t>
      </w:r>
    </w:p>
    <w:p w14:paraId="223BBB6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28.</w:t>
      </w:r>
      <w:r>
        <w:rPr>
          <w:rFonts w:hint="eastAsia" w:ascii="宋体" w:hAnsi="宋体" w:cs="宋体"/>
          <w:color w:val="auto"/>
          <w:sz w:val="28"/>
          <w:szCs w:val="28"/>
          <w:highlight w:val="none"/>
        </w:rPr>
        <w:t>质疑处理</w:t>
      </w:r>
      <w:bookmarkEnd w:id="157"/>
    </w:p>
    <w:p w14:paraId="7261AD4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28.1 提出质疑的供应商应当是参与所质疑项目采购活动的供应商。潜在供应商依法获取其可质疑的采购文件的，可以对采购文件提出质疑。</w:t>
      </w:r>
    </w:p>
    <w:p w14:paraId="7FA1AAA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或采购人提出质疑。上述应知其权益受到损害之日，是指：</w:t>
      </w:r>
    </w:p>
    <w:p w14:paraId="183D909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28.2.1对可以质疑的采购文件提出质疑的，为收到采购文件之日或者采购文件公告期限届满之日；</w:t>
      </w:r>
    </w:p>
    <w:p w14:paraId="0137763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28.2.2对采购过程提出质疑的，为各采购程序环节结束之日；</w:t>
      </w:r>
    </w:p>
    <w:p w14:paraId="6650905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28.2.3对中标或者成交结果提出质疑的，为中标或者成交结果公告期限届满之日。</w:t>
      </w:r>
    </w:p>
    <w:p w14:paraId="1D2D4F0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、采购人将只对供应商第一次质疑作出答复。</w:t>
      </w:r>
    </w:p>
    <w:p w14:paraId="7D030F4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BE5167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28.4 供应商（含潜在供应商）对与本项目有关的所有询问、质疑均请向采购人提出，由采购人负责答复。</w:t>
      </w:r>
    </w:p>
    <w:p w14:paraId="7C578FCA">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采购人只接收以纸质原件形式送达的质疑</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建议供应商尽量通过邮寄方式提交质疑（采购人不接受未填写快递运单的快件）。</w:t>
      </w:r>
    </w:p>
    <w:p w14:paraId="1FD8313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采购人质疑接收人及联系方式见招标文件第一章。</w:t>
      </w:r>
    </w:p>
    <w:p w14:paraId="328DCF0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 以下情形的质疑不予受理</w:t>
      </w:r>
    </w:p>
    <w:p w14:paraId="64B84F2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28.5.1 内容不符合《政府采购质疑和投诉办法》第十二条规定的质疑。</w:t>
      </w:r>
    </w:p>
    <w:p w14:paraId="2DFA7D7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28.5.2 超出政府采购法定期限的质疑。</w:t>
      </w:r>
    </w:p>
    <w:p w14:paraId="303E22F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28.5.3 以传真、电子邮件等方式递交的非原件形式的质疑。</w:t>
      </w:r>
    </w:p>
    <w:p w14:paraId="2A8C689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28.5.4 未参加投标活动的供应商或在投标活动中自身权益未受到损害的供应商所提出的质疑。</w:t>
      </w:r>
    </w:p>
    <w:p w14:paraId="203D5A7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28.5.5供应商组成联合体参加投标，联合体中任何一方或多方未按要求签字、盖章、加盖公章的质疑。</w:t>
      </w:r>
    </w:p>
    <w:p w14:paraId="1EC384CF">
      <w:pPr>
        <w:ind w:firstLine="56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B4492A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29.</w:t>
      </w:r>
      <w:r>
        <w:rPr>
          <w:rFonts w:hint="eastAsia" w:ascii="宋体" w:hAnsi="宋体" w:cs="宋体"/>
          <w:color w:val="auto"/>
          <w:sz w:val="28"/>
          <w:szCs w:val="28"/>
          <w:highlight w:val="none"/>
        </w:rPr>
        <w:t>中标通知书</w:t>
      </w:r>
    </w:p>
    <w:p w14:paraId="513B408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29.l 中标结果确定后，</w:t>
      </w:r>
      <w:r>
        <w:rPr>
          <w:rFonts w:hint="eastAsia" w:ascii="宋体" w:hAnsi="宋体" w:cs="宋体"/>
          <w:color w:val="auto"/>
          <w:sz w:val="28"/>
          <w:szCs w:val="28"/>
          <w:highlight w:val="none"/>
          <w:lang w:eastAsia="zh-CN"/>
        </w:rPr>
        <w:t>采购代理机构</w:t>
      </w:r>
      <w:r>
        <w:rPr>
          <w:rFonts w:hint="eastAsia" w:ascii="宋体" w:hAnsi="宋体" w:cs="宋体"/>
          <w:color w:val="auto"/>
          <w:sz w:val="28"/>
          <w:szCs w:val="28"/>
          <w:highlight w:val="none"/>
        </w:rPr>
        <w:t>将向中标人发出中标通知书。请中标人在中标结果公告届满之日起30日内</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因未及时下载而造成的不利后果由中标人自行承担。</w:t>
      </w:r>
    </w:p>
    <w:p w14:paraId="3A62F2C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29.2中标通知书将是合同的一个组成部分。对采购人和中标供应商均具有法律效力。中标通知书发出后，采购人改变中标结果的，或者中标供应商放弃中标项目的，应当依法承担法律责任。</w:t>
      </w:r>
    </w:p>
    <w:p w14:paraId="730E18C7">
      <w:pPr>
        <w:ind w:firstLine="0"/>
        <w:jc w:val="center"/>
        <w:rPr>
          <w:rFonts w:hint="eastAsia" w:ascii="宋体" w:hAnsi="宋体" w:cs="宋体"/>
          <w:color w:val="auto"/>
          <w:sz w:val="36"/>
          <w:szCs w:val="36"/>
          <w:highlight w:val="none"/>
        </w:rPr>
      </w:pPr>
      <w:bookmarkStart w:id="158" w:name="_Toc20823308"/>
      <w:bookmarkStart w:id="159" w:name="_Toc16938552"/>
      <w:bookmarkStart w:id="160" w:name="_Toc120614220"/>
      <w:bookmarkStart w:id="161" w:name="_Toc513029236"/>
      <w:r>
        <w:rPr>
          <w:rFonts w:hint="eastAsia" w:ascii="宋体" w:hAnsi="宋体" w:cs="宋体"/>
          <w:color w:val="auto"/>
          <w:sz w:val="36"/>
          <w:szCs w:val="36"/>
          <w:highlight w:val="none"/>
        </w:rPr>
        <w:t>七、授予合同</w:t>
      </w:r>
      <w:bookmarkEnd w:id="158"/>
      <w:bookmarkEnd w:id="159"/>
      <w:bookmarkEnd w:id="160"/>
      <w:bookmarkEnd w:id="161"/>
    </w:p>
    <w:p w14:paraId="49D83EEC">
      <w:pPr>
        <w:ind w:firstLine="560"/>
        <w:rPr>
          <w:rFonts w:hint="eastAsia" w:ascii="宋体" w:hAnsi="宋体" w:cs="宋体"/>
          <w:color w:val="auto"/>
          <w:sz w:val="28"/>
          <w:szCs w:val="28"/>
          <w:highlight w:val="none"/>
        </w:rPr>
      </w:pPr>
      <w:bookmarkStart w:id="162" w:name="_Toc16938553"/>
      <w:bookmarkStart w:id="163" w:name="_Toc513029237"/>
      <w:bookmarkStart w:id="164" w:name="_Toc20823309"/>
      <w:r>
        <w:rPr>
          <w:rFonts w:hint="eastAsia" w:ascii="宋体" w:hAnsi="宋体" w:cs="宋体"/>
          <w:color w:val="auto"/>
          <w:sz w:val="28"/>
          <w:szCs w:val="28"/>
          <w:highlight w:val="none"/>
        </w:rPr>
        <w:t>30. 签订合同</w:t>
      </w:r>
    </w:p>
    <w:p w14:paraId="345C645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30.l中标人应当在中标通知书发出之日起三十日内，按照招标文件确定的事项与采购人签订政府采购合同。</w:t>
      </w:r>
    </w:p>
    <w:p w14:paraId="65C779B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30.2 招标文件、中标人的投标文件及招标过程中有关澄清、承诺文件均应作为合同附件。</w:t>
      </w:r>
    </w:p>
    <w:p w14:paraId="6F47E1D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72D8AF8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31.</w:t>
      </w:r>
      <w:bookmarkEnd w:id="162"/>
      <w:bookmarkEnd w:id="163"/>
      <w:bookmarkEnd w:id="164"/>
      <w:bookmarkStart w:id="165" w:name="_Toc20823314"/>
      <w:bookmarkStart w:id="166" w:name="_Toc513029242"/>
      <w:bookmarkStart w:id="167" w:name="_Toc16938558"/>
      <w:bookmarkStart w:id="168" w:name="_Toc120614221"/>
      <w:bookmarkStart w:id="169" w:name="_Toc479757207"/>
      <w:r>
        <w:rPr>
          <w:rFonts w:hint="eastAsia" w:ascii="宋体" w:hAnsi="宋体" w:cs="宋体"/>
          <w:color w:val="auto"/>
          <w:sz w:val="28"/>
          <w:szCs w:val="28"/>
          <w:highlight w:val="none"/>
        </w:rPr>
        <w:t>货物（包含与货物相关的服务）的追加。</w:t>
      </w:r>
    </w:p>
    <w:p w14:paraId="7258F49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31.1政府采购合同履行中，采购人需追加与合同标的相同的货物（包含与货物相关的服务），在不改变合同其他条款的前提下，可以与中标人协商签订补充合同，但所有补充合同的采购金额不超过原合同金额的10%。</w:t>
      </w:r>
    </w:p>
    <w:p w14:paraId="6D63DFB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32.</w:t>
      </w:r>
      <w:r>
        <w:rPr>
          <w:rFonts w:hint="eastAsia" w:ascii="宋体" w:hAnsi="宋体" w:cs="宋体"/>
          <w:color w:val="auto"/>
          <w:sz w:val="28"/>
          <w:szCs w:val="28"/>
          <w:highlight w:val="none"/>
        </w:rPr>
        <w:t>政府采购履约资金扶持政策</w:t>
      </w:r>
    </w:p>
    <w:p w14:paraId="4C1E369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中标人可凭政府采购合同办理融资贷款，详情请见江苏政府采购网“政采贷”专栏。</w:t>
      </w:r>
    </w:p>
    <w:p w14:paraId="386ACF49">
      <w:pPr>
        <w:jc w:val="center"/>
        <w:rPr>
          <w:rFonts w:hint="eastAsia" w:ascii="宋体" w:hAnsi="宋体" w:cs="宋体"/>
          <w:b/>
          <w:bCs/>
          <w:color w:val="auto"/>
          <w:spacing w:val="-20"/>
          <w:sz w:val="48"/>
          <w:szCs w:val="48"/>
          <w:highlight w:val="none"/>
        </w:rPr>
      </w:pPr>
      <w:r>
        <w:rPr>
          <w:rFonts w:hint="eastAsia" w:ascii="宋体" w:hAnsi="宋体" w:cs="宋体"/>
          <w:color w:val="auto"/>
          <w:highlight w:val="none"/>
        </w:rPr>
        <w:br w:type="page" w:clear="all"/>
      </w:r>
      <w:r>
        <w:rPr>
          <w:rFonts w:hint="eastAsia" w:ascii="宋体" w:hAnsi="宋体" w:cs="宋体"/>
          <w:color w:val="auto"/>
          <w:sz w:val="44"/>
          <w:szCs w:val="44"/>
          <w:highlight w:val="none"/>
        </w:rPr>
        <w:t>第三章  合同</w:t>
      </w:r>
      <w:bookmarkEnd w:id="165"/>
      <w:bookmarkEnd w:id="166"/>
      <w:bookmarkEnd w:id="167"/>
      <w:bookmarkEnd w:id="168"/>
      <w:bookmarkEnd w:id="169"/>
      <w:r>
        <w:rPr>
          <w:rFonts w:hint="eastAsia" w:ascii="宋体" w:hAnsi="宋体" w:cs="宋体"/>
          <w:color w:val="auto"/>
          <w:sz w:val="44"/>
          <w:szCs w:val="44"/>
          <w:highlight w:val="none"/>
        </w:rPr>
        <w:t>文本</w:t>
      </w:r>
      <w:bookmarkStart w:id="170" w:name="_Hlt16619350"/>
      <w:bookmarkStart w:id="171" w:name="_Toc120614244"/>
      <w:bookmarkStart w:id="172" w:name="_Toc20823346"/>
      <w:bookmarkStart w:id="173" w:name="_Toc16938590"/>
      <w:bookmarkStart w:id="174" w:name="_Toc462564139"/>
      <w:bookmarkStart w:id="175" w:name="_Toc479757211"/>
    </w:p>
    <w:p w14:paraId="26612729">
      <w:pPr>
        <w:ind w:left="0" w:leftChars="0" w:firstLine="0" w:firstLineChars="0"/>
        <w:jc w:val="center"/>
        <w:rPr>
          <w:rFonts w:hint="eastAsia" w:ascii="宋体" w:hAnsi="宋体" w:eastAsia="宋体" w:cs="宋体"/>
          <w:b/>
          <w:color w:val="auto"/>
          <w:sz w:val="44"/>
          <w:szCs w:val="44"/>
          <w:highlight w:val="none"/>
          <w:lang w:eastAsia="zh-CN"/>
        </w:rPr>
      </w:pPr>
    </w:p>
    <w:p w14:paraId="686A9B31">
      <w:pPr>
        <w:ind w:left="0" w:leftChars="0" w:firstLine="0" w:firstLineChars="0"/>
        <w:jc w:val="center"/>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2026-2027年南通市通州区镇级空气自动监测站运维服务项目</w:t>
      </w:r>
      <w:r>
        <w:rPr>
          <w:rFonts w:hint="eastAsia" w:ascii="宋体" w:hAnsi="宋体" w:eastAsia="宋体" w:cs="宋体"/>
          <w:b/>
          <w:color w:val="auto"/>
          <w:sz w:val="44"/>
          <w:szCs w:val="44"/>
          <w:highlight w:val="none"/>
          <w:lang w:val="en-US" w:eastAsia="zh-CN"/>
        </w:rPr>
        <w:t>政府</w:t>
      </w:r>
      <w:r>
        <w:rPr>
          <w:rFonts w:hint="eastAsia" w:ascii="宋体" w:hAnsi="宋体" w:eastAsia="宋体" w:cs="宋体"/>
          <w:b/>
          <w:color w:val="auto"/>
          <w:sz w:val="44"/>
          <w:szCs w:val="44"/>
          <w:highlight w:val="none"/>
        </w:rPr>
        <w:t>采购合同</w:t>
      </w:r>
    </w:p>
    <w:p w14:paraId="72FF2B88">
      <w:pPr>
        <w:pStyle w:val="167"/>
        <w:spacing w:line="360" w:lineRule="auto"/>
        <w:ind w:firstLine="0"/>
        <w:rPr>
          <w:rFonts w:hint="eastAsia" w:ascii="宋体" w:hAnsi="宋体" w:eastAsia="宋体" w:cs="宋体"/>
          <w:color w:val="auto"/>
          <w:szCs w:val="24"/>
          <w:highlight w:val="none"/>
        </w:rPr>
      </w:pPr>
    </w:p>
    <w:p w14:paraId="52D9B37B">
      <w:pPr>
        <w:pStyle w:val="167"/>
        <w:spacing w:line="360" w:lineRule="auto"/>
        <w:ind w:firstLine="0"/>
        <w:rPr>
          <w:rFonts w:hint="eastAsia" w:ascii="宋体" w:hAnsi="宋体" w:eastAsia="宋体" w:cs="宋体"/>
          <w:color w:val="auto"/>
          <w:szCs w:val="24"/>
          <w:highlight w:val="none"/>
        </w:rPr>
      </w:pPr>
    </w:p>
    <w:p w14:paraId="5421AA4C">
      <w:pPr>
        <w:spacing w:before="120" w:line="360" w:lineRule="auto"/>
        <w:ind w:left="960" w:firstLine="720" w:firstLineChars="300"/>
        <w:rPr>
          <w:rFonts w:hint="eastAsia" w:ascii="宋体" w:hAnsi="宋体" w:eastAsia="宋体" w:cs="宋体"/>
          <w:color w:val="auto"/>
          <w:sz w:val="24"/>
          <w:highlight w:val="none"/>
        </w:rPr>
      </w:pPr>
    </w:p>
    <w:p w14:paraId="124D630E">
      <w:pPr>
        <w:spacing w:before="120" w:line="360" w:lineRule="auto"/>
        <w:ind w:left="960" w:firstLine="720" w:firstLineChars="300"/>
        <w:rPr>
          <w:rFonts w:hint="eastAsia" w:ascii="宋体" w:hAnsi="宋体" w:eastAsia="宋体" w:cs="宋体"/>
          <w:color w:val="auto"/>
          <w:sz w:val="24"/>
          <w:highlight w:val="none"/>
        </w:rPr>
      </w:pPr>
    </w:p>
    <w:p w14:paraId="249CDE07">
      <w:pPr>
        <w:spacing w:before="120" w:line="360" w:lineRule="auto"/>
        <w:ind w:left="960" w:firstLine="720" w:firstLineChars="300"/>
        <w:rPr>
          <w:rFonts w:hint="eastAsia" w:ascii="宋体" w:hAnsi="宋体" w:eastAsia="宋体" w:cs="宋体"/>
          <w:color w:val="auto"/>
          <w:sz w:val="24"/>
          <w:highlight w:val="none"/>
        </w:rPr>
      </w:pPr>
    </w:p>
    <w:p w14:paraId="4B7751CD">
      <w:pPr>
        <w:spacing w:before="120" w:line="360" w:lineRule="auto"/>
        <w:ind w:left="960" w:firstLine="720" w:firstLineChars="300"/>
        <w:rPr>
          <w:rFonts w:hint="eastAsia" w:ascii="宋体" w:hAnsi="宋体" w:eastAsia="宋体" w:cs="宋体"/>
          <w:color w:val="auto"/>
          <w:sz w:val="24"/>
          <w:highlight w:val="none"/>
        </w:rPr>
      </w:pPr>
    </w:p>
    <w:p w14:paraId="36C6F810">
      <w:pPr>
        <w:spacing w:before="120" w:line="360" w:lineRule="auto"/>
        <w:ind w:left="960" w:firstLine="720" w:firstLineChars="300"/>
        <w:rPr>
          <w:rFonts w:hint="eastAsia" w:ascii="宋体" w:hAnsi="宋体" w:eastAsia="宋体" w:cs="宋体"/>
          <w:color w:val="auto"/>
          <w:sz w:val="24"/>
          <w:highlight w:val="none"/>
        </w:rPr>
      </w:pPr>
    </w:p>
    <w:p w14:paraId="610EAAFE">
      <w:pPr>
        <w:spacing w:before="120" w:line="360" w:lineRule="auto"/>
        <w:ind w:left="960" w:firstLine="720" w:firstLineChars="300"/>
        <w:rPr>
          <w:rFonts w:hint="eastAsia" w:ascii="宋体" w:hAnsi="宋体" w:eastAsia="宋体" w:cs="宋体"/>
          <w:color w:val="auto"/>
          <w:sz w:val="24"/>
          <w:highlight w:val="none"/>
        </w:rPr>
      </w:pPr>
    </w:p>
    <w:p w14:paraId="208752B3">
      <w:pPr>
        <w:spacing w:before="120" w:line="360" w:lineRule="auto"/>
        <w:ind w:left="960" w:firstLine="720" w:firstLineChars="300"/>
        <w:rPr>
          <w:rFonts w:hint="eastAsia" w:ascii="宋体" w:hAnsi="宋体" w:eastAsia="宋体" w:cs="宋体"/>
          <w:color w:val="auto"/>
          <w:sz w:val="24"/>
          <w:highlight w:val="none"/>
        </w:rPr>
      </w:pPr>
    </w:p>
    <w:p w14:paraId="1D621BFD">
      <w:pPr>
        <w:pStyle w:val="287"/>
        <w:rPr>
          <w:rFonts w:hint="eastAsia" w:ascii="宋体" w:hAnsi="宋体" w:eastAsia="宋体" w:cs="宋体"/>
          <w:color w:val="auto"/>
          <w:highlight w:val="none"/>
        </w:rPr>
      </w:pPr>
    </w:p>
    <w:p w14:paraId="406F0231">
      <w:pPr>
        <w:ind w:left="2520" w:leftChars="1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甲方：</w:t>
      </w:r>
      <w:r>
        <w:rPr>
          <w:rFonts w:hint="eastAsia" w:ascii="宋体" w:hAnsi="宋体" w:cs="宋体"/>
          <w:color w:val="auto"/>
          <w:sz w:val="28"/>
          <w:szCs w:val="28"/>
          <w:highlight w:val="none"/>
          <w:u w:val="single"/>
          <w:lang w:val="en-US" w:eastAsia="zh-CN"/>
        </w:rPr>
        <w:t xml:space="preserve">                       </w:t>
      </w:r>
    </w:p>
    <w:p w14:paraId="7B87E997">
      <w:pPr>
        <w:ind w:left="2520" w:leftChars="1200"/>
        <w:rPr>
          <w:rFonts w:hint="eastAsia" w:ascii="宋体" w:hAnsi="宋体" w:eastAsia="宋体" w:cs="宋体"/>
          <w:color w:val="auto"/>
          <w:sz w:val="28"/>
          <w:szCs w:val="28"/>
          <w:highlight w:val="none"/>
        </w:rPr>
      </w:pPr>
    </w:p>
    <w:p w14:paraId="4719E52A">
      <w:pPr>
        <w:ind w:left="2520" w:leftChars="1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u w:val="single"/>
        </w:rPr>
        <w:t xml:space="preserve">                     </w:t>
      </w:r>
    </w:p>
    <w:p w14:paraId="1E092AB2">
      <w:pPr>
        <w:rPr>
          <w:rFonts w:hint="eastAsia" w:ascii="宋体" w:hAnsi="宋体" w:eastAsia="宋体" w:cs="宋体"/>
          <w:color w:val="auto"/>
          <w:sz w:val="28"/>
          <w:szCs w:val="28"/>
          <w:highlight w:val="none"/>
        </w:rPr>
      </w:pPr>
    </w:p>
    <w:p w14:paraId="702CD82A">
      <w:pPr>
        <w:ind w:left="2520" w:leftChars="1200"/>
        <w:rPr>
          <w:rFonts w:hint="eastAsia" w:ascii="宋体"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rPr>
        <w:t>签订地：</w:t>
      </w:r>
      <w:r>
        <w:rPr>
          <w:rFonts w:hint="eastAsia" w:ascii="宋体" w:hAnsi="宋体" w:cs="宋体"/>
          <w:color w:val="auto"/>
          <w:sz w:val="28"/>
          <w:szCs w:val="28"/>
          <w:highlight w:val="none"/>
          <w:u w:val="single"/>
          <w:lang w:val="en-US" w:eastAsia="zh-CN"/>
        </w:rPr>
        <w:t xml:space="preserve">                   </w:t>
      </w:r>
    </w:p>
    <w:p w14:paraId="09EDDC3E">
      <w:pPr>
        <w:ind w:left="2520" w:leftChars="1200"/>
        <w:rPr>
          <w:rFonts w:hint="default" w:ascii="宋体" w:hAnsi="宋体" w:cs="宋体"/>
          <w:color w:val="auto"/>
          <w:sz w:val="28"/>
          <w:szCs w:val="28"/>
          <w:highlight w:val="none"/>
          <w:u w:val="single"/>
          <w:lang w:val="en-US" w:eastAsia="zh-CN"/>
        </w:rPr>
      </w:pPr>
    </w:p>
    <w:p w14:paraId="52D26BE3">
      <w:pPr>
        <w:ind w:left="0" w:leftChars="0" w:firstLine="0" w:firstLineChars="0"/>
        <w:jc w:val="center"/>
        <w:rPr>
          <w:rFonts w:hint="eastAsia" w:ascii="宋体" w:hAnsi="宋体" w:cs="宋体"/>
          <w:b w:val="0"/>
          <w:bCs/>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签订日期：202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年　月　 日</w:t>
      </w:r>
    </w:p>
    <w:p w14:paraId="21266FB0">
      <w:pP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br w:type="page"/>
      </w:r>
    </w:p>
    <w:bookmarkEnd w:id="170"/>
    <w:p w14:paraId="4FECD57B">
      <w:pPr>
        <w:pStyle w:val="18"/>
        <w:snapToGrid w:val="0"/>
        <w:spacing w:line="500" w:lineRule="exact"/>
        <w:rPr>
          <w:rFonts w:ascii="Times New Roman" w:hAnsi="Times New Roman" w:cs="Times New Roman"/>
          <w:color w:val="auto"/>
          <w:sz w:val="24"/>
          <w:szCs w:val="24"/>
          <w:highlight w:val="none"/>
        </w:rPr>
      </w:pPr>
      <w:r>
        <w:rPr>
          <w:rFonts w:ascii="Times New Roman" w:hAnsi="宋体" w:cs="Times New Roman"/>
          <w:color w:val="auto"/>
          <w:sz w:val="24"/>
          <w:szCs w:val="24"/>
          <w:highlight w:val="none"/>
        </w:rPr>
        <w:t>甲方：</w:t>
      </w:r>
      <w:r>
        <w:rPr>
          <w:rFonts w:ascii="Times New Roman" w:hAnsi="Times New Roman" w:cs="Times New Roman"/>
          <w:color w:val="auto"/>
          <w:sz w:val="24"/>
          <w:szCs w:val="24"/>
          <w:highlight w:val="none"/>
        </w:rPr>
        <w:t xml:space="preserve">_________         </w:t>
      </w:r>
    </w:p>
    <w:p w14:paraId="59113FDB">
      <w:pPr>
        <w:pStyle w:val="18"/>
        <w:snapToGrid w:val="0"/>
        <w:spacing w:line="500" w:lineRule="exact"/>
        <w:rPr>
          <w:rFonts w:ascii="Times New Roman" w:hAnsi="Times New Roman" w:cs="Times New Roman"/>
          <w:color w:val="auto"/>
          <w:sz w:val="24"/>
          <w:szCs w:val="24"/>
          <w:highlight w:val="none"/>
        </w:rPr>
      </w:pPr>
      <w:r>
        <w:rPr>
          <w:rFonts w:ascii="Times New Roman" w:hAnsi="宋体" w:cs="Times New Roman"/>
          <w:color w:val="auto"/>
          <w:sz w:val="24"/>
          <w:szCs w:val="24"/>
          <w:highlight w:val="none"/>
        </w:rPr>
        <w:t>乙方：</w:t>
      </w:r>
      <w:r>
        <w:rPr>
          <w:rFonts w:ascii="Times New Roman" w:hAnsi="Times New Roman" w:cs="Times New Roman"/>
          <w:color w:val="auto"/>
          <w:sz w:val="24"/>
          <w:szCs w:val="24"/>
          <w:highlight w:val="none"/>
        </w:rPr>
        <w:t>________</w:t>
      </w:r>
    </w:p>
    <w:p w14:paraId="5D0FB148">
      <w:pPr>
        <w:spacing w:line="500" w:lineRule="exact"/>
        <w:ind w:firstLine="600" w:firstLineChars="250"/>
        <w:rPr>
          <w:color w:val="auto"/>
          <w:sz w:val="24"/>
          <w:highlight w:val="none"/>
        </w:rPr>
      </w:pPr>
      <w:r>
        <w:rPr>
          <w:rFonts w:hint="eastAsia"/>
          <w:color w:val="auto"/>
          <w:sz w:val="24"/>
          <w:highlight w:val="none"/>
          <w:lang w:eastAsia="zh-CN"/>
        </w:rPr>
        <w:t>2026</w:t>
      </w:r>
      <w:r>
        <w:rPr>
          <w:rFonts w:hAnsi="宋体"/>
          <w:color w:val="auto"/>
          <w:sz w:val="24"/>
          <w:highlight w:val="none"/>
          <w:lang w:val="zh-CN"/>
        </w:rPr>
        <w:t>年月日</w:t>
      </w:r>
      <w:r>
        <w:rPr>
          <w:rFonts w:hAnsi="宋体"/>
          <w:color w:val="auto"/>
          <w:sz w:val="24"/>
          <w:highlight w:val="none"/>
        </w:rPr>
        <w:t>，</w:t>
      </w:r>
      <w:r>
        <w:rPr>
          <w:rFonts w:hAnsi="宋体"/>
          <w:b/>
          <w:bCs/>
          <w:color w:val="auto"/>
          <w:sz w:val="24"/>
          <w:highlight w:val="none"/>
          <w:u w:val="single"/>
        </w:rPr>
        <w:t>南通市通州生态环境局</w:t>
      </w:r>
      <w:r>
        <w:rPr>
          <w:rFonts w:hAnsi="宋体"/>
          <w:color w:val="auto"/>
          <w:sz w:val="24"/>
          <w:highlight w:val="none"/>
        </w:rPr>
        <w:t>以</w:t>
      </w:r>
      <w:r>
        <w:rPr>
          <w:rFonts w:hAnsi="宋体"/>
          <w:color w:val="auto"/>
          <w:sz w:val="24"/>
          <w:highlight w:val="none"/>
          <w:u w:val="single"/>
        </w:rPr>
        <w:t>公开招标方式</w:t>
      </w:r>
      <w:r>
        <w:rPr>
          <w:rFonts w:hAnsi="宋体"/>
          <w:color w:val="auto"/>
          <w:sz w:val="24"/>
          <w:highlight w:val="none"/>
        </w:rPr>
        <w:t>对</w:t>
      </w:r>
      <w:r>
        <w:rPr>
          <w:rFonts w:hint="eastAsia"/>
          <w:color w:val="auto"/>
          <w:sz w:val="24"/>
          <w:highlight w:val="none"/>
          <w:u w:val="single"/>
          <w:lang w:eastAsia="zh-CN"/>
        </w:rPr>
        <w:t>2026</w:t>
      </w:r>
      <w:r>
        <w:rPr>
          <w:color w:val="auto"/>
          <w:sz w:val="24"/>
          <w:highlight w:val="none"/>
          <w:u w:val="single"/>
        </w:rPr>
        <w:t>-202</w:t>
      </w:r>
      <w:r>
        <w:rPr>
          <w:rFonts w:hint="eastAsia"/>
          <w:color w:val="auto"/>
          <w:sz w:val="24"/>
          <w:highlight w:val="none"/>
          <w:u w:val="single"/>
          <w:lang w:val="en-US" w:eastAsia="zh-CN"/>
        </w:rPr>
        <w:t>7</w:t>
      </w:r>
      <w:r>
        <w:rPr>
          <w:rFonts w:hAnsi="宋体"/>
          <w:color w:val="auto"/>
          <w:sz w:val="24"/>
          <w:highlight w:val="none"/>
          <w:u w:val="single"/>
        </w:rPr>
        <w:t>年南通市通州区镇级空气自动监测站运维服务项目</w:t>
      </w:r>
      <w:r>
        <w:rPr>
          <w:rFonts w:hAnsi="宋体"/>
          <w:color w:val="auto"/>
          <w:sz w:val="24"/>
          <w:highlight w:val="none"/>
        </w:rPr>
        <w:t>进行了采购。经</w:t>
      </w:r>
      <w:r>
        <w:rPr>
          <w:rFonts w:hAnsi="宋体"/>
          <w:color w:val="auto"/>
          <w:sz w:val="24"/>
          <w:highlight w:val="none"/>
          <w:u w:val="single"/>
        </w:rPr>
        <w:t>评标委员会</w:t>
      </w:r>
      <w:r>
        <w:rPr>
          <w:rFonts w:hAnsi="宋体"/>
          <w:color w:val="auto"/>
          <w:sz w:val="24"/>
          <w:highlight w:val="none"/>
        </w:rPr>
        <w:t>评定，</w:t>
      </w:r>
      <w:r>
        <w:rPr>
          <w:rFonts w:hAnsi="宋体"/>
          <w:color w:val="auto"/>
          <w:sz w:val="24"/>
          <w:highlight w:val="none"/>
          <w:u w:val="single"/>
        </w:rPr>
        <w:t>（中标供应商名称）</w:t>
      </w:r>
      <w:r>
        <w:rPr>
          <w:rFonts w:hAnsi="宋体"/>
          <w:color w:val="auto"/>
          <w:sz w:val="24"/>
          <w:highlight w:val="none"/>
        </w:rPr>
        <w:t>为该项目中标供应商。现于中标通知书发出之日起十五日内，按照采购文件确定的事项签订本合同。</w:t>
      </w:r>
    </w:p>
    <w:p w14:paraId="5E0F410C">
      <w:pPr>
        <w:spacing w:line="500" w:lineRule="exact"/>
        <w:ind w:firstLine="480" w:firstLineChars="200"/>
        <w:rPr>
          <w:color w:val="auto"/>
          <w:sz w:val="24"/>
          <w:highlight w:val="none"/>
        </w:rPr>
      </w:pPr>
      <w:r>
        <w:rPr>
          <w:rFonts w:hAnsi="宋体"/>
          <w:color w:val="auto"/>
          <w:sz w:val="24"/>
          <w:highlight w:val="none"/>
          <w:lang w:val="zh-CN"/>
        </w:rPr>
        <w:t>根据《中华人民共和国民法典》、《中华人民共和国政府采购法》等相关法律法规之规定，按照平等、自愿、公平和诚实信用的原则，经</w:t>
      </w:r>
      <w:r>
        <w:rPr>
          <w:rFonts w:hAnsi="宋体"/>
          <w:b/>
          <w:bCs/>
          <w:color w:val="auto"/>
          <w:sz w:val="24"/>
          <w:highlight w:val="none"/>
          <w:u w:val="single"/>
        </w:rPr>
        <w:t>南通市通州生态环境局</w:t>
      </w:r>
      <w:r>
        <w:rPr>
          <w:color w:val="auto"/>
          <w:sz w:val="24"/>
          <w:highlight w:val="none"/>
          <w:lang w:val="zh-CN"/>
        </w:rPr>
        <w:t>(</w:t>
      </w:r>
      <w:r>
        <w:rPr>
          <w:rFonts w:hAnsi="宋体"/>
          <w:color w:val="auto"/>
          <w:sz w:val="24"/>
          <w:highlight w:val="none"/>
          <w:lang w:val="zh-CN"/>
        </w:rPr>
        <w:t>以下简称：甲方</w:t>
      </w:r>
      <w:r>
        <w:rPr>
          <w:color w:val="auto"/>
          <w:sz w:val="24"/>
          <w:highlight w:val="none"/>
          <w:lang w:val="zh-CN"/>
        </w:rPr>
        <w:t>)</w:t>
      </w:r>
      <w:r>
        <w:rPr>
          <w:rFonts w:hAnsi="宋体"/>
          <w:color w:val="auto"/>
          <w:sz w:val="24"/>
          <w:highlight w:val="none"/>
          <w:lang w:val="zh-CN"/>
        </w:rPr>
        <w:t>和</w:t>
      </w:r>
      <w:r>
        <w:rPr>
          <w:rFonts w:hAnsi="宋体"/>
          <w:color w:val="auto"/>
          <w:sz w:val="24"/>
          <w:highlight w:val="none"/>
          <w:u w:val="single"/>
        </w:rPr>
        <w:t>（中标供应商名称）</w:t>
      </w:r>
      <w:r>
        <w:rPr>
          <w:color w:val="auto"/>
          <w:sz w:val="24"/>
          <w:highlight w:val="none"/>
          <w:lang w:val="zh-CN"/>
        </w:rPr>
        <w:t>(</w:t>
      </w:r>
      <w:r>
        <w:rPr>
          <w:rFonts w:hAnsi="宋体"/>
          <w:color w:val="auto"/>
          <w:sz w:val="24"/>
          <w:highlight w:val="none"/>
          <w:lang w:val="zh-CN"/>
        </w:rPr>
        <w:t>以下简称：乙方</w:t>
      </w:r>
      <w:r>
        <w:rPr>
          <w:color w:val="auto"/>
          <w:sz w:val="24"/>
          <w:highlight w:val="none"/>
          <w:lang w:val="zh-CN"/>
        </w:rPr>
        <w:t>)</w:t>
      </w:r>
      <w:r>
        <w:rPr>
          <w:rFonts w:hAnsi="宋体"/>
          <w:color w:val="auto"/>
          <w:sz w:val="24"/>
          <w:highlight w:val="none"/>
          <w:lang w:val="zh-CN"/>
        </w:rPr>
        <w:t>协商一致，约定</w:t>
      </w:r>
      <w:r>
        <w:rPr>
          <w:rFonts w:hAnsi="宋体"/>
          <w:color w:val="auto"/>
          <w:sz w:val="24"/>
          <w:highlight w:val="none"/>
        </w:rPr>
        <w:t>以下合同条款，以兹共同遵守、全面履行。</w:t>
      </w:r>
    </w:p>
    <w:p w14:paraId="68892B78">
      <w:pPr>
        <w:spacing w:line="500" w:lineRule="exact"/>
        <w:ind w:firstLine="482" w:firstLineChars="200"/>
        <w:rPr>
          <w:b/>
          <w:color w:val="auto"/>
          <w:sz w:val="24"/>
          <w:highlight w:val="none"/>
        </w:rPr>
      </w:pPr>
      <w:r>
        <w:rPr>
          <w:rFonts w:hAnsi="宋体"/>
          <w:b/>
          <w:color w:val="auto"/>
          <w:sz w:val="24"/>
          <w:highlight w:val="none"/>
        </w:rPr>
        <w:t>第一条</w:t>
      </w:r>
      <w:r>
        <w:rPr>
          <w:b/>
          <w:color w:val="auto"/>
          <w:sz w:val="24"/>
          <w:highlight w:val="none"/>
        </w:rPr>
        <w:t xml:space="preserve">  </w:t>
      </w:r>
      <w:r>
        <w:rPr>
          <w:rFonts w:hAnsi="宋体"/>
          <w:b/>
          <w:color w:val="auto"/>
          <w:sz w:val="24"/>
          <w:highlight w:val="none"/>
        </w:rPr>
        <w:t>合同内容</w:t>
      </w:r>
    </w:p>
    <w:p w14:paraId="1C8AD015">
      <w:pPr>
        <w:spacing w:line="560" w:lineRule="exact"/>
        <w:ind w:firstLine="480" w:firstLineChars="200"/>
        <w:rPr>
          <w:color w:val="auto"/>
          <w:sz w:val="24"/>
          <w:highlight w:val="none"/>
        </w:rPr>
      </w:pPr>
      <w:r>
        <w:rPr>
          <w:color w:val="auto"/>
          <w:sz w:val="24"/>
          <w:highlight w:val="none"/>
        </w:rPr>
        <w:t>1</w:t>
      </w:r>
      <w:r>
        <w:rPr>
          <w:rFonts w:hAnsi="宋体"/>
          <w:color w:val="auto"/>
          <w:sz w:val="24"/>
          <w:highlight w:val="none"/>
        </w:rPr>
        <w:t>、服务内容：南通市通州区</w:t>
      </w:r>
      <w:r>
        <w:rPr>
          <w:color w:val="auto"/>
          <w:sz w:val="24"/>
          <w:highlight w:val="none"/>
        </w:rPr>
        <w:t>14</w:t>
      </w:r>
      <w:r>
        <w:rPr>
          <w:rFonts w:hAnsi="宋体"/>
          <w:color w:val="auto"/>
          <w:sz w:val="24"/>
          <w:highlight w:val="none"/>
        </w:rPr>
        <w:t>个镇级空气自动监测站的运行维护及管理工作（含电费、网络传输费、无线通讯费、场地费），站点数据审核、每日数据汇总报告等数据服务工作以及技术服务等大气管控工作。</w:t>
      </w:r>
    </w:p>
    <w:p w14:paraId="7815334F">
      <w:pPr>
        <w:spacing w:line="560" w:lineRule="exact"/>
        <w:ind w:firstLine="480" w:firstLineChars="200"/>
        <w:rPr>
          <w:color w:val="auto"/>
          <w:sz w:val="24"/>
          <w:highlight w:val="none"/>
        </w:rPr>
      </w:pPr>
      <w:r>
        <w:rPr>
          <w:color w:val="auto"/>
          <w:sz w:val="24"/>
          <w:highlight w:val="none"/>
        </w:rPr>
        <w:t>2.</w:t>
      </w:r>
      <w:r>
        <w:rPr>
          <w:rFonts w:hAnsi="宋体"/>
          <w:color w:val="auto"/>
          <w:sz w:val="24"/>
          <w:highlight w:val="none"/>
        </w:rPr>
        <w:t>服务期限：</w:t>
      </w:r>
      <w:r>
        <w:rPr>
          <w:rFonts w:hint="eastAsia" w:hAnsi="宋体"/>
          <w:color w:val="auto"/>
          <w:sz w:val="24"/>
          <w:highlight w:val="none"/>
          <w:lang w:val="en-US" w:eastAsia="zh-CN"/>
        </w:rPr>
        <w:t>2026年5月12日-2027年5月11日。</w:t>
      </w:r>
      <w:r>
        <w:rPr>
          <w:color w:val="auto"/>
          <w:sz w:val="24"/>
          <w:highlight w:val="none"/>
        </w:rPr>
        <w:t xml:space="preserve"> </w:t>
      </w:r>
    </w:p>
    <w:p w14:paraId="504E216A">
      <w:pPr>
        <w:spacing w:line="500" w:lineRule="exact"/>
        <w:ind w:firstLine="482" w:firstLineChars="200"/>
        <w:rPr>
          <w:b/>
          <w:color w:val="auto"/>
          <w:sz w:val="24"/>
          <w:highlight w:val="none"/>
        </w:rPr>
      </w:pPr>
      <w:r>
        <w:rPr>
          <w:rFonts w:hAnsi="宋体"/>
          <w:b/>
          <w:color w:val="auto"/>
          <w:sz w:val="24"/>
          <w:highlight w:val="none"/>
        </w:rPr>
        <w:t>第二条</w:t>
      </w:r>
      <w:r>
        <w:rPr>
          <w:b/>
          <w:color w:val="auto"/>
          <w:sz w:val="24"/>
          <w:highlight w:val="none"/>
        </w:rPr>
        <w:t xml:space="preserve"> </w:t>
      </w:r>
      <w:r>
        <w:rPr>
          <w:rFonts w:hAnsi="宋体"/>
          <w:b/>
          <w:color w:val="auto"/>
          <w:sz w:val="24"/>
          <w:highlight w:val="none"/>
        </w:rPr>
        <w:t>合同总价</w:t>
      </w:r>
    </w:p>
    <w:p w14:paraId="52D0EB56">
      <w:pPr>
        <w:spacing w:line="500" w:lineRule="exact"/>
        <w:ind w:firstLine="480" w:firstLineChars="200"/>
        <w:rPr>
          <w:color w:val="auto"/>
          <w:sz w:val="24"/>
          <w:highlight w:val="none"/>
        </w:rPr>
      </w:pPr>
      <w:r>
        <w:rPr>
          <w:color w:val="auto"/>
          <w:sz w:val="24"/>
          <w:highlight w:val="none"/>
        </w:rPr>
        <w:t>1</w:t>
      </w:r>
      <w:r>
        <w:rPr>
          <w:rFonts w:hAnsi="宋体"/>
          <w:color w:val="auto"/>
          <w:sz w:val="24"/>
          <w:highlight w:val="none"/>
        </w:rPr>
        <w:t>、合同价格（大写）人民币</w:t>
      </w:r>
      <w:r>
        <w:rPr>
          <w:color w:val="auto"/>
          <w:sz w:val="24"/>
          <w:highlight w:val="none"/>
        </w:rPr>
        <w:t xml:space="preserve"> </w:t>
      </w:r>
      <w:r>
        <w:rPr>
          <w:rFonts w:hAnsi="宋体"/>
          <w:color w:val="auto"/>
          <w:sz w:val="24"/>
          <w:highlight w:val="none"/>
        </w:rPr>
        <w:t>圆整（￥</w:t>
      </w:r>
      <w:r>
        <w:rPr>
          <w:rFonts w:hAnsi="宋体"/>
          <w:color w:val="auto"/>
          <w:sz w:val="24"/>
          <w:highlight w:val="none"/>
          <w:u w:val="single"/>
        </w:rPr>
        <w:t>：</w:t>
      </w:r>
      <w:r>
        <w:rPr>
          <w:color w:val="auto"/>
          <w:sz w:val="24"/>
          <w:highlight w:val="none"/>
          <w:u w:val="single"/>
        </w:rPr>
        <w:t xml:space="preserve">     .00</w:t>
      </w:r>
      <w:r>
        <w:rPr>
          <w:rFonts w:hAnsi="宋体"/>
          <w:color w:val="auto"/>
          <w:sz w:val="24"/>
          <w:highlight w:val="none"/>
        </w:rPr>
        <w:t>）。</w:t>
      </w:r>
    </w:p>
    <w:p w14:paraId="46E77386">
      <w:pPr>
        <w:spacing w:line="500" w:lineRule="exact"/>
        <w:ind w:firstLine="480" w:firstLineChars="200"/>
        <w:rPr>
          <w:color w:val="auto"/>
          <w:sz w:val="24"/>
          <w:highlight w:val="none"/>
        </w:rPr>
      </w:pPr>
      <w:r>
        <w:rPr>
          <w:rFonts w:hAnsi="宋体"/>
          <w:color w:val="auto"/>
          <w:sz w:val="24"/>
          <w:highlight w:val="none"/>
        </w:rPr>
        <w:t>合同价格包括项目全过程产生的所有成本和费用以及一切税费，含完成本项目所需的一切电费、网络传输费、无线通讯费、场地费、数据服务、管控服务、安全防护、人工、管理、设备、耗材、零部件的更换、培训、售后服务、免费维护、质控、保险、利润、税金、政策性文件规定及合同包含的所有风险、责任等各项费用。</w:t>
      </w:r>
    </w:p>
    <w:p w14:paraId="73B31B93">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、如遇镇级空气自动站上收、停运等情况，运维费用按照已开展的运维月数核算，最终尾款支付以实际运维的时间为准</w:t>
      </w:r>
      <w:r>
        <w:rPr>
          <w:rFonts w:hint="eastAsia" w:hAnsi="宋体"/>
          <w:color w:val="auto"/>
          <w:sz w:val="24"/>
          <w:highlight w:val="none"/>
        </w:rPr>
        <w:t>，在已支付款项的基础上多退少补</w:t>
      </w:r>
      <w:r>
        <w:rPr>
          <w:rFonts w:hAnsi="宋体"/>
          <w:color w:val="auto"/>
          <w:sz w:val="24"/>
          <w:highlight w:val="none"/>
        </w:rPr>
        <w:t>。计算方法如下：每一个站的运维费均按以下方式计算：成交价总额</w:t>
      </w:r>
      <w:r>
        <w:rPr>
          <w:color w:val="auto"/>
          <w:sz w:val="24"/>
          <w:highlight w:val="none"/>
        </w:rPr>
        <w:t>÷14÷12×</w:t>
      </w:r>
      <w:r>
        <w:rPr>
          <w:rFonts w:hAnsi="宋体"/>
          <w:color w:val="auto"/>
          <w:sz w:val="24"/>
          <w:highlight w:val="none"/>
        </w:rPr>
        <w:t>实际已运维月数。</w:t>
      </w:r>
    </w:p>
    <w:p w14:paraId="2FF763EC">
      <w:pPr>
        <w:spacing w:line="500" w:lineRule="exact"/>
        <w:ind w:firstLine="482" w:firstLineChars="200"/>
        <w:rPr>
          <w:b/>
          <w:color w:val="auto"/>
          <w:sz w:val="24"/>
          <w:highlight w:val="none"/>
        </w:rPr>
      </w:pPr>
      <w:r>
        <w:rPr>
          <w:rFonts w:hAnsi="宋体"/>
          <w:b/>
          <w:color w:val="auto"/>
          <w:sz w:val="24"/>
          <w:highlight w:val="none"/>
        </w:rPr>
        <w:t>第三条</w:t>
      </w:r>
      <w:r>
        <w:rPr>
          <w:b/>
          <w:color w:val="auto"/>
          <w:sz w:val="24"/>
          <w:highlight w:val="none"/>
        </w:rPr>
        <w:t xml:space="preserve"> </w:t>
      </w:r>
      <w:r>
        <w:rPr>
          <w:rFonts w:hAnsi="宋体"/>
          <w:b/>
          <w:color w:val="auto"/>
          <w:sz w:val="24"/>
          <w:highlight w:val="none"/>
        </w:rPr>
        <w:t>组成本合同的有关文件</w:t>
      </w:r>
    </w:p>
    <w:p w14:paraId="06A47620">
      <w:pPr>
        <w:spacing w:line="500" w:lineRule="exact"/>
        <w:ind w:firstLine="480" w:firstLineChars="200"/>
        <w:rPr>
          <w:color w:val="auto"/>
          <w:sz w:val="24"/>
          <w:highlight w:val="none"/>
        </w:rPr>
      </w:pPr>
      <w:r>
        <w:rPr>
          <w:rFonts w:hAnsi="宋体"/>
          <w:color w:val="auto"/>
          <w:sz w:val="24"/>
          <w:highlight w:val="none"/>
        </w:rPr>
        <w:t>下列关于采购磋商文件和有关附件是本合同不可分割的组成部分，与本合同具有同等法律效力：（</w:t>
      </w:r>
      <w:r>
        <w:rPr>
          <w:color w:val="auto"/>
          <w:sz w:val="24"/>
          <w:highlight w:val="none"/>
        </w:rPr>
        <w:t>1</w:t>
      </w:r>
      <w:r>
        <w:rPr>
          <w:rFonts w:hAnsi="宋体"/>
          <w:color w:val="auto"/>
          <w:sz w:val="24"/>
          <w:highlight w:val="none"/>
        </w:rPr>
        <w:t>）招标文件；（</w:t>
      </w:r>
      <w:r>
        <w:rPr>
          <w:color w:val="auto"/>
          <w:sz w:val="24"/>
          <w:highlight w:val="none"/>
        </w:rPr>
        <w:t>2</w:t>
      </w:r>
      <w:r>
        <w:rPr>
          <w:rFonts w:hAnsi="宋体"/>
          <w:color w:val="auto"/>
          <w:sz w:val="24"/>
          <w:highlight w:val="none"/>
        </w:rPr>
        <w:t>）乙方递交的投标文件；（</w:t>
      </w:r>
      <w:r>
        <w:rPr>
          <w:color w:val="auto"/>
          <w:sz w:val="24"/>
          <w:highlight w:val="none"/>
        </w:rPr>
        <w:t>3</w:t>
      </w:r>
      <w:r>
        <w:rPr>
          <w:rFonts w:hAnsi="宋体"/>
          <w:color w:val="auto"/>
          <w:sz w:val="24"/>
          <w:highlight w:val="none"/>
        </w:rPr>
        <w:t>）乙方所作的相关书面澄清；（</w:t>
      </w:r>
      <w:r>
        <w:rPr>
          <w:color w:val="auto"/>
          <w:sz w:val="24"/>
          <w:highlight w:val="none"/>
        </w:rPr>
        <w:t>4</w:t>
      </w:r>
      <w:r>
        <w:rPr>
          <w:rFonts w:hAnsi="宋体"/>
          <w:color w:val="auto"/>
          <w:sz w:val="24"/>
          <w:highlight w:val="none"/>
        </w:rPr>
        <w:t>）中标通知书；（</w:t>
      </w:r>
      <w:r>
        <w:rPr>
          <w:color w:val="auto"/>
          <w:sz w:val="24"/>
          <w:highlight w:val="none"/>
        </w:rPr>
        <w:t>5</w:t>
      </w:r>
      <w:r>
        <w:rPr>
          <w:rFonts w:hAnsi="宋体"/>
          <w:color w:val="auto"/>
          <w:sz w:val="24"/>
          <w:highlight w:val="none"/>
        </w:rPr>
        <w:t>）甲乙双方商定的其他必要文件。</w:t>
      </w:r>
    </w:p>
    <w:p w14:paraId="3488526F">
      <w:pPr>
        <w:spacing w:line="500" w:lineRule="exact"/>
        <w:ind w:firstLine="361" w:firstLineChars="150"/>
        <w:rPr>
          <w:b/>
          <w:color w:val="auto"/>
          <w:sz w:val="24"/>
          <w:highlight w:val="none"/>
        </w:rPr>
      </w:pPr>
      <w:r>
        <w:rPr>
          <w:rFonts w:hAnsi="宋体"/>
          <w:b/>
          <w:color w:val="auto"/>
          <w:sz w:val="24"/>
          <w:highlight w:val="none"/>
        </w:rPr>
        <w:t>第四条</w:t>
      </w:r>
      <w:r>
        <w:rPr>
          <w:b/>
          <w:color w:val="auto"/>
          <w:sz w:val="24"/>
          <w:highlight w:val="none"/>
        </w:rPr>
        <w:t xml:space="preserve">  </w:t>
      </w:r>
      <w:r>
        <w:rPr>
          <w:rFonts w:hAnsi="宋体"/>
          <w:b/>
          <w:color w:val="auto"/>
          <w:sz w:val="24"/>
          <w:highlight w:val="none"/>
        </w:rPr>
        <w:t>考核细则</w:t>
      </w:r>
    </w:p>
    <w:p w14:paraId="70B70102">
      <w:pPr>
        <w:spacing w:line="500" w:lineRule="exact"/>
        <w:ind w:firstLine="360" w:firstLineChars="150"/>
        <w:rPr>
          <w:color w:val="auto"/>
          <w:sz w:val="24"/>
          <w:highlight w:val="none"/>
        </w:rPr>
      </w:pPr>
      <w:r>
        <w:rPr>
          <w:rFonts w:hAnsi="宋体"/>
          <w:color w:val="auto"/>
          <w:sz w:val="24"/>
          <w:highlight w:val="none"/>
        </w:rPr>
        <w:t>详见</w:t>
      </w:r>
      <w:r>
        <w:rPr>
          <w:rFonts w:hint="eastAsia" w:hAnsi="宋体"/>
          <w:color w:val="auto"/>
          <w:sz w:val="24"/>
          <w:highlight w:val="none"/>
          <w:lang w:val="en-US" w:eastAsia="zh-CN"/>
        </w:rPr>
        <w:t>招标</w:t>
      </w:r>
      <w:r>
        <w:rPr>
          <w:rFonts w:hAnsi="宋体"/>
          <w:color w:val="auto"/>
          <w:sz w:val="24"/>
          <w:highlight w:val="none"/>
        </w:rPr>
        <w:t>文件第四章。（如有调整按新标准执行）</w:t>
      </w:r>
    </w:p>
    <w:p w14:paraId="494B8357">
      <w:pPr>
        <w:spacing w:line="500" w:lineRule="exact"/>
        <w:ind w:firstLine="361" w:firstLineChars="150"/>
        <w:rPr>
          <w:b/>
          <w:color w:val="auto"/>
          <w:sz w:val="24"/>
          <w:highlight w:val="none"/>
        </w:rPr>
      </w:pPr>
      <w:r>
        <w:rPr>
          <w:rFonts w:hAnsi="宋体"/>
          <w:b/>
          <w:color w:val="auto"/>
          <w:sz w:val="24"/>
          <w:highlight w:val="none"/>
        </w:rPr>
        <w:t>第五条质量保证</w:t>
      </w:r>
    </w:p>
    <w:p w14:paraId="7A25304A">
      <w:pPr>
        <w:spacing w:line="500" w:lineRule="exact"/>
        <w:ind w:firstLine="360" w:firstLineChars="150"/>
        <w:rPr>
          <w:color w:val="auto"/>
          <w:sz w:val="24"/>
          <w:highlight w:val="none"/>
        </w:rPr>
      </w:pPr>
      <w:r>
        <w:rPr>
          <w:color w:val="auto"/>
          <w:sz w:val="24"/>
          <w:highlight w:val="none"/>
        </w:rPr>
        <w:t>1</w:t>
      </w:r>
      <w:r>
        <w:rPr>
          <w:rFonts w:hAnsi="宋体"/>
          <w:color w:val="auto"/>
          <w:sz w:val="24"/>
          <w:highlight w:val="none"/>
        </w:rPr>
        <w:t>、建立质量管理体系并有效运行，运维服务能够接受质量考核。</w:t>
      </w:r>
    </w:p>
    <w:p w14:paraId="4C767E75">
      <w:pPr>
        <w:spacing w:line="500" w:lineRule="exact"/>
        <w:ind w:firstLine="360" w:firstLineChars="150"/>
        <w:rPr>
          <w:color w:val="auto"/>
          <w:sz w:val="24"/>
          <w:highlight w:val="none"/>
        </w:rPr>
      </w:pPr>
      <w:r>
        <w:rPr>
          <w:color w:val="auto"/>
          <w:sz w:val="24"/>
          <w:highlight w:val="none"/>
        </w:rPr>
        <w:t>2</w:t>
      </w:r>
      <w:r>
        <w:rPr>
          <w:rFonts w:hAnsi="宋体"/>
          <w:color w:val="auto"/>
          <w:sz w:val="24"/>
          <w:highlight w:val="none"/>
        </w:rPr>
        <w:t>、各项承诺指标及所采取的措施符合</w:t>
      </w:r>
      <w:r>
        <w:rPr>
          <w:color w:val="auto"/>
          <w:sz w:val="24"/>
          <w:highlight w:val="none"/>
        </w:rPr>
        <w:t>“</w:t>
      </w:r>
      <w:r>
        <w:rPr>
          <w:rFonts w:hAnsi="宋体"/>
          <w:color w:val="auto"/>
          <w:sz w:val="24"/>
          <w:highlight w:val="none"/>
        </w:rPr>
        <w:t>招标文件</w:t>
      </w:r>
      <w:r>
        <w:rPr>
          <w:color w:val="auto"/>
          <w:sz w:val="24"/>
          <w:highlight w:val="none"/>
        </w:rPr>
        <w:t>”</w:t>
      </w:r>
      <w:r>
        <w:rPr>
          <w:rFonts w:hAnsi="宋体"/>
          <w:color w:val="auto"/>
          <w:sz w:val="24"/>
          <w:highlight w:val="none"/>
        </w:rPr>
        <w:t>要求及承诺。</w:t>
      </w:r>
    </w:p>
    <w:p w14:paraId="63E88E3A">
      <w:pPr>
        <w:spacing w:line="500" w:lineRule="exact"/>
        <w:ind w:firstLine="472" w:firstLineChars="196"/>
        <w:rPr>
          <w:b/>
          <w:color w:val="auto"/>
          <w:sz w:val="24"/>
          <w:highlight w:val="none"/>
        </w:rPr>
      </w:pPr>
      <w:r>
        <w:rPr>
          <w:rFonts w:hAnsi="宋体"/>
          <w:b/>
          <w:color w:val="auto"/>
          <w:sz w:val="24"/>
          <w:highlight w:val="none"/>
        </w:rPr>
        <w:t>第六条</w:t>
      </w:r>
      <w:r>
        <w:rPr>
          <w:b/>
          <w:color w:val="auto"/>
          <w:sz w:val="24"/>
          <w:highlight w:val="none"/>
        </w:rPr>
        <w:t xml:space="preserve">  </w:t>
      </w:r>
      <w:r>
        <w:rPr>
          <w:rFonts w:hAnsi="宋体"/>
          <w:b/>
          <w:color w:val="auto"/>
          <w:sz w:val="24"/>
          <w:highlight w:val="none"/>
        </w:rPr>
        <w:t>双方责任</w:t>
      </w:r>
    </w:p>
    <w:p w14:paraId="616D15FC">
      <w:pPr>
        <w:spacing w:line="500" w:lineRule="exact"/>
        <w:ind w:firstLine="480"/>
        <w:rPr>
          <w:color w:val="auto"/>
          <w:sz w:val="24"/>
          <w:highlight w:val="none"/>
        </w:rPr>
      </w:pPr>
      <w:r>
        <w:rPr>
          <w:rFonts w:hAnsi="宋体"/>
          <w:color w:val="auto"/>
          <w:sz w:val="24"/>
          <w:highlight w:val="none"/>
        </w:rPr>
        <w:t>一、甲方责任</w:t>
      </w:r>
    </w:p>
    <w:p w14:paraId="1835D4E0">
      <w:pPr>
        <w:spacing w:line="500" w:lineRule="exact"/>
        <w:ind w:firstLine="600" w:firstLineChars="250"/>
        <w:jc w:val="left"/>
        <w:rPr>
          <w:color w:val="auto"/>
          <w:sz w:val="24"/>
          <w:highlight w:val="none"/>
        </w:rPr>
      </w:pPr>
      <w:r>
        <w:rPr>
          <w:color w:val="auto"/>
          <w:sz w:val="24"/>
          <w:highlight w:val="none"/>
        </w:rPr>
        <w:t>1</w:t>
      </w:r>
      <w:r>
        <w:rPr>
          <w:rFonts w:hAnsi="宋体"/>
          <w:color w:val="auto"/>
          <w:sz w:val="24"/>
          <w:highlight w:val="none"/>
        </w:rPr>
        <w:t>、按考核办法对乙方进行考核，如有调整按新考核标准执行。</w:t>
      </w:r>
    </w:p>
    <w:p w14:paraId="52CBCBD9">
      <w:pPr>
        <w:spacing w:line="500" w:lineRule="exact"/>
        <w:ind w:firstLine="600" w:firstLineChars="250"/>
        <w:jc w:val="left"/>
        <w:rPr>
          <w:color w:val="auto"/>
          <w:sz w:val="24"/>
          <w:highlight w:val="none"/>
        </w:rPr>
      </w:pPr>
      <w:r>
        <w:rPr>
          <w:color w:val="auto"/>
          <w:sz w:val="24"/>
          <w:highlight w:val="none"/>
        </w:rPr>
        <w:t>2</w:t>
      </w:r>
      <w:r>
        <w:rPr>
          <w:rFonts w:hAnsi="宋体"/>
          <w:color w:val="auto"/>
          <w:sz w:val="24"/>
          <w:highlight w:val="none"/>
        </w:rPr>
        <w:t>、按规定向乙方支付服务费用。</w:t>
      </w:r>
    </w:p>
    <w:p w14:paraId="75C780BA">
      <w:pPr>
        <w:spacing w:line="500" w:lineRule="exact"/>
        <w:ind w:firstLine="600" w:firstLineChars="250"/>
        <w:jc w:val="left"/>
        <w:rPr>
          <w:color w:val="auto"/>
          <w:sz w:val="24"/>
          <w:highlight w:val="none"/>
        </w:rPr>
      </w:pPr>
      <w:r>
        <w:rPr>
          <w:color w:val="auto"/>
          <w:sz w:val="24"/>
          <w:highlight w:val="none"/>
        </w:rPr>
        <w:t>3</w:t>
      </w:r>
      <w:r>
        <w:rPr>
          <w:rFonts w:hAnsi="宋体"/>
          <w:color w:val="auto"/>
          <w:sz w:val="24"/>
          <w:highlight w:val="none"/>
        </w:rPr>
        <w:t>、在服务进度满足条件时，及时组织对乙方的工作进行考核。</w:t>
      </w:r>
    </w:p>
    <w:p w14:paraId="4B37A618">
      <w:pPr>
        <w:spacing w:line="500" w:lineRule="exact"/>
        <w:ind w:firstLine="480"/>
        <w:rPr>
          <w:color w:val="auto"/>
          <w:sz w:val="24"/>
          <w:highlight w:val="none"/>
        </w:rPr>
      </w:pPr>
      <w:r>
        <w:rPr>
          <w:rFonts w:hAnsi="宋体"/>
          <w:color w:val="auto"/>
          <w:sz w:val="24"/>
          <w:highlight w:val="none"/>
        </w:rPr>
        <w:t>二、乙方责任</w:t>
      </w:r>
    </w:p>
    <w:p w14:paraId="22B844A1">
      <w:pPr>
        <w:spacing w:line="500" w:lineRule="exact"/>
        <w:ind w:firstLine="600" w:firstLineChars="250"/>
        <w:rPr>
          <w:color w:val="auto"/>
          <w:sz w:val="24"/>
          <w:highlight w:val="none"/>
        </w:rPr>
      </w:pPr>
      <w:r>
        <w:rPr>
          <w:color w:val="auto"/>
          <w:sz w:val="24"/>
          <w:highlight w:val="none"/>
        </w:rPr>
        <w:t>1</w:t>
      </w:r>
      <w:r>
        <w:rPr>
          <w:rFonts w:hAnsi="宋体"/>
          <w:color w:val="auto"/>
          <w:sz w:val="24"/>
          <w:highlight w:val="none"/>
        </w:rPr>
        <w:t>、乙方所提供服务的质量应与招标文件规定及投标文件承诺的内容相一致。</w:t>
      </w:r>
    </w:p>
    <w:p w14:paraId="529506B6">
      <w:pPr>
        <w:spacing w:line="500" w:lineRule="exact"/>
        <w:ind w:firstLine="600" w:firstLineChars="250"/>
        <w:rPr>
          <w:color w:val="auto"/>
          <w:sz w:val="24"/>
          <w:highlight w:val="none"/>
        </w:rPr>
      </w:pPr>
      <w:r>
        <w:rPr>
          <w:color w:val="auto"/>
          <w:sz w:val="24"/>
          <w:highlight w:val="none"/>
        </w:rPr>
        <w:t>2</w:t>
      </w:r>
      <w:r>
        <w:rPr>
          <w:rFonts w:hAnsi="宋体"/>
          <w:color w:val="auto"/>
          <w:sz w:val="24"/>
          <w:highlight w:val="none"/>
        </w:rPr>
        <w:t>、乙方根据考核办法和响应文件所作的承诺自觉开展各项工作。</w:t>
      </w:r>
    </w:p>
    <w:p w14:paraId="7D7C56E8">
      <w:pPr>
        <w:spacing w:line="500" w:lineRule="exact"/>
        <w:ind w:firstLine="600" w:firstLineChars="250"/>
        <w:rPr>
          <w:color w:val="auto"/>
          <w:sz w:val="24"/>
          <w:highlight w:val="none"/>
        </w:rPr>
      </w:pPr>
      <w:r>
        <w:rPr>
          <w:color w:val="auto"/>
          <w:sz w:val="24"/>
          <w:highlight w:val="none"/>
        </w:rPr>
        <w:t>3</w:t>
      </w:r>
      <w:r>
        <w:rPr>
          <w:rFonts w:hAnsi="宋体"/>
          <w:color w:val="auto"/>
          <w:sz w:val="24"/>
          <w:highlight w:val="none"/>
        </w:rPr>
        <w:t>、乙方应独立承担服务中的各类责任（安全责任、用工责任和经济责任等），</w:t>
      </w:r>
      <w:r>
        <w:rPr>
          <w:color w:val="auto"/>
          <w:sz w:val="24"/>
          <w:highlight w:val="none"/>
        </w:rPr>
        <w:t>包括但不限于采取必要的安全防护措施，消除事故隐患，防止发生安全事故、设备损坏遗失事故等。防护措施费用已包含在合同价格内，在项目实施过程中发生的一切事故的责任与费用均由乙方自行承担。</w:t>
      </w:r>
    </w:p>
    <w:p w14:paraId="356BC56D">
      <w:pPr>
        <w:spacing w:line="500" w:lineRule="exact"/>
        <w:ind w:firstLine="600" w:firstLineChars="250"/>
        <w:rPr>
          <w:color w:val="auto"/>
          <w:sz w:val="24"/>
          <w:szCs w:val="24"/>
          <w:highlight w:val="none"/>
        </w:rPr>
      </w:pPr>
      <w:r>
        <w:rPr>
          <w:color w:val="auto"/>
          <w:sz w:val="24"/>
          <w:szCs w:val="24"/>
          <w:highlight w:val="none"/>
        </w:rPr>
        <w:t>4</w:t>
      </w:r>
      <w:r>
        <w:rPr>
          <w:rFonts w:hAnsi="宋体"/>
          <w:color w:val="auto"/>
          <w:sz w:val="24"/>
          <w:szCs w:val="24"/>
          <w:highlight w:val="none"/>
        </w:rPr>
        <w:t>、乙方根据甲方要求，在规定的时间内安排相应人员进行服务作业，并负责维护、管理工作环境。乙方安排的人员在工作期间，必须服从甲方的工作规定和管理制度。如果乙方工作人员不服从甲方管理，造成严重后果，甲方有权解除合同并提出索赔。</w:t>
      </w:r>
    </w:p>
    <w:p w14:paraId="0511C3C2">
      <w:pPr>
        <w:pStyle w:val="33"/>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5、</w:t>
      </w:r>
      <w:r>
        <w:rPr>
          <w:color w:val="auto"/>
          <w:sz w:val="24"/>
          <w:szCs w:val="24"/>
          <w:highlight w:val="none"/>
        </w:rPr>
        <w:t>乙方根据甲方要求</w:t>
      </w:r>
      <w:r>
        <w:rPr>
          <w:rFonts w:hint="eastAsia"/>
          <w:color w:val="auto"/>
          <w:sz w:val="24"/>
          <w:szCs w:val="24"/>
          <w:highlight w:val="none"/>
        </w:rPr>
        <w:t>，开展运维服务的同时，协同做好镇街大气</w:t>
      </w:r>
      <w:r>
        <w:rPr>
          <w:rFonts w:hint="eastAsia"/>
          <w:color w:val="auto"/>
          <w:sz w:val="24"/>
          <w:szCs w:val="24"/>
          <w:highlight w:val="none"/>
          <w:lang w:val="en-US" w:eastAsia="zh-CN"/>
        </w:rPr>
        <w:t>污染防治</w:t>
      </w:r>
      <w:r>
        <w:rPr>
          <w:rFonts w:hint="eastAsia"/>
          <w:color w:val="auto"/>
          <w:sz w:val="24"/>
          <w:szCs w:val="24"/>
          <w:highlight w:val="none"/>
        </w:rPr>
        <w:t>工作，</w:t>
      </w:r>
    </w:p>
    <w:p w14:paraId="693B3CC6">
      <w:pPr>
        <w:pStyle w:val="33"/>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6</w:t>
      </w:r>
      <w:r>
        <w:rPr>
          <w:rFonts w:ascii="Times New Roman"/>
          <w:color w:val="auto"/>
          <w:sz w:val="24"/>
          <w:szCs w:val="24"/>
          <w:highlight w:val="none"/>
        </w:rPr>
        <w:t>、乙方</w:t>
      </w:r>
      <w:r>
        <w:rPr>
          <w:rFonts w:ascii="Times New Roman" w:hAnsi="Times New Roman"/>
          <w:color w:val="auto"/>
          <w:sz w:val="24"/>
          <w:highlight w:val="none"/>
        </w:rPr>
        <w:t>在监测数据及其相关资料的真实性和保密性方面对甲方负责，若由于乙方原因导致数据存在弄虚作假或者数据泄露，甲方有权解除合同并提出索赔。</w:t>
      </w:r>
    </w:p>
    <w:p w14:paraId="7C330D80">
      <w:pPr>
        <w:pStyle w:val="33"/>
        <w:ind w:firstLine="480"/>
        <w:rPr>
          <w:rFonts w:ascii="Times New Roman" w:hAnsi="Times New Roman"/>
          <w:color w:val="auto"/>
          <w:sz w:val="24"/>
          <w:highlight w:val="none"/>
        </w:rPr>
      </w:pPr>
      <w:r>
        <w:rPr>
          <w:rFonts w:hint="eastAsia" w:ascii="Times New Roman" w:hAnsi="Times New Roman"/>
          <w:color w:val="auto"/>
          <w:sz w:val="24"/>
          <w:highlight w:val="none"/>
        </w:rPr>
        <w:t>7</w:t>
      </w:r>
      <w:r>
        <w:rPr>
          <w:rFonts w:ascii="Times New Roman"/>
          <w:color w:val="auto"/>
          <w:sz w:val="24"/>
          <w:highlight w:val="none"/>
        </w:rPr>
        <w:t>、法规、政策规定由乙方承担的其他责任。</w:t>
      </w:r>
    </w:p>
    <w:p w14:paraId="57DD6BF0">
      <w:pPr>
        <w:spacing w:line="500" w:lineRule="exact"/>
        <w:ind w:firstLine="482" w:firstLineChars="200"/>
        <w:rPr>
          <w:b/>
          <w:color w:val="auto"/>
          <w:sz w:val="24"/>
          <w:highlight w:val="none"/>
        </w:rPr>
      </w:pPr>
      <w:r>
        <w:rPr>
          <w:rFonts w:hAnsi="宋体"/>
          <w:b/>
          <w:color w:val="auto"/>
          <w:sz w:val="24"/>
          <w:highlight w:val="none"/>
        </w:rPr>
        <w:t>第七条履约保证金</w:t>
      </w:r>
    </w:p>
    <w:p w14:paraId="0E06C94D">
      <w:pPr>
        <w:spacing w:line="500" w:lineRule="exact"/>
        <w:ind w:firstLine="480" w:firstLineChars="200"/>
        <w:rPr>
          <w:rFonts w:ascii="Times New Roman" w:hAnsi="Times New Roman" w:eastAsia="宋体" w:cs="Times New Roman"/>
          <w:color w:val="auto"/>
          <w:kern w:val="2"/>
          <w:sz w:val="24"/>
          <w:szCs w:val="21"/>
          <w:highlight w:val="none"/>
          <w:u w:val="single"/>
        </w:rPr>
      </w:pPr>
      <w:r>
        <w:rPr>
          <w:rFonts w:ascii="Times New Roman" w:hAnsi="Times New Roman" w:eastAsia="宋体" w:cs="Times New Roman"/>
          <w:color w:val="auto"/>
          <w:kern w:val="2"/>
          <w:sz w:val="24"/>
          <w:szCs w:val="21"/>
          <w:highlight w:val="none"/>
          <w:u w:val="single"/>
        </w:rPr>
        <w:t>1</w:t>
      </w:r>
      <w:r>
        <w:rPr>
          <w:rFonts w:ascii="Times New Roman" w:hAnsi="宋体" w:eastAsia="宋体" w:cs="Times New Roman"/>
          <w:color w:val="auto"/>
          <w:kern w:val="2"/>
          <w:sz w:val="24"/>
          <w:szCs w:val="21"/>
          <w:highlight w:val="none"/>
          <w:u w:val="single"/>
        </w:rPr>
        <w:t>、本项目履约保证金为中标价的</w:t>
      </w:r>
      <w:r>
        <w:rPr>
          <w:rFonts w:ascii="Times New Roman" w:hAnsi="Times New Roman" w:eastAsia="宋体" w:cs="Times New Roman"/>
          <w:color w:val="auto"/>
          <w:kern w:val="2"/>
          <w:sz w:val="24"/>
          <w:szCs w:val="21"/>
          <w:highlight w:val="none"/>
          <w:u w:val="single"/>
        </w:rPr>
        <w:t>5%</w:t>
      </w:r>
      <w:r>
        <w:rPr>
          <w:rFonts w:ascii="Times New Roman" w:hAnsi="宋体" w:eastAsia="宋体" w:cs="Times New Roman"/>
          <w:color w:val="auto"/>
          <w:kern w:val="2"/>
          <w:sz w:val="24"/>
          <w:szCs w:val="21"/>
          <w:highlight w:val="none"/>
          <w:u w:val="single"/>
        </w:rPr>
        <w:t>，</w:t>
      </w:r>
      <w:r>
        <w:rPr>
          <w:rFonts w:hint="eastAsia" w:ascii="Times New Roman" w:hAnsi="宋体" w:eastAsia="宋体" w:cs="Times New Roman"/>
          <w:color w:val="auto"/>
          <w:kern w:val="2"/>
          <w:sz w:val="24"/>
          <w:szCs w:val="21"/>
          <w:highlight w:val="none"/>
          <w:u w:val="single"/>
          <w:lang w:val="en-US" w:eastAsia="zh-CN"/>
        </w:rPr>
        <w:t>形式为转账或保函形式，</w:t>
      </w:r>
      <w:r>
        <w:rPr>
          <w:rFonts w:ascii="Times New Roman" w:hAnsi="宋体" w:eastAsia="宋体" w:cs="Times New Roman"/>
          <w:color w:val="auto"/>
          <w:kern w:val="2"/>
          <w:sz w:val="24"/>
          <w:szCs w:val="21"/>
          <w:highlight w:val="none"/>
          <w:u w:val="single"/>
        </w:rPr>
        <w:t>在</w:t>
      </w:r>
      <w:r>
        <w:rPr>
          <w:rFonts w:hint="eastAsia" w:ascii="Times New Roman" w:hAnsi="宋体" w:eastAsia="宋体" w:cs="Times New Roman"/>
          <w:color w:val="auto"/>
          <w:kern w:val="2"/>
          <w:sz w:val="24"/>
          <w:szCs w:val="21"/>
          <w:highlight w:val="none"/>
          <w:u w:val="single"/>
          <w:lang w:val="en-US" w:eastAsia="zh-CN"/>
        </w:rPr>
        <w:t>合同签订前缴纳完成</w:t>
      </w:r>
      <w:r>
        <w:rPr>
          <w:rFonts w:ascii="Times New Roman" w:hAnsi="宋体" w:eastAsia="宋体" w:cs="Times New Roman"/>
          <w:color w:val="auto"/>
          <w:kern w:val="2"/>
          <w:sz w:val="24"/>
          <w:szCs w:val="21"/>
          <w:highlight w:val="none"/>
          <w:u w:val="single"/>
        </w:rPr>
        <w:t>。</w:t>
      </w:r>
    </w:p>
    <w:p w14:paraId="1B34652C">
      <w:pPr>
        <w:spacing w:line="500" w:lineRule="exact"/>
        <w:ind w:firstLine="480" w:firstLineChars="200"/>
        <w:rPr>
          <w:rFonts w:ascii="Times New Roman" w:hAnsi="Times New Roman" w:eastAsia="宋体" w:cs="Times New Roman"/>
          <w:color w:val="auto"/>
          <w:kern w:val="2"/>
          <w:sz w:val="24"/>
          <w:szCs w:val="21"/>
          <w:highlight w:val="none"/>
          <w:u w:val="single"/>
        </w:rPr>
      </w:pPr>
      <w:r>
        <w:rPr>
          <w:rFonts w:ascii="Times New Roman" w:hAnsi="Times New Roman" w:eastAsia="宋体" w:cs="Times New Roman"/>
          <w:color w:val="auto"/>
          <w:kern w:val="2"/>
          <w:sz w:val="24"/>
          <w:szCs w:val="21"/>
          <w:highlight w:val="none"/>
          <w:u w:val="single"/>
        </w:rPr>
        <w:t>2</w:t>
      </w:r>
      <w:r>
        <w:rPr>
          <w:rFonts w:ascii="Times New Roman" w:hAnsi="宋体" w:eastAsia="宋体" w:cs="Times New Roman"/>
          <w:color w:val="auto"/>
          <w:kern w:val="2"/>
          <w:sz w:val="24"/>
          <w:szCs w:val="21"/>
          <w:highlight w:val="none"/>
          <w:u w:val="single"/>
        </w:rPr>
        <w:t>、如乙方未能履行合同规定的义务，甲方有权从履约保证金中取得补偿。</w:t>
      </w:r>
    </w:p>
    <w:p w14:paraId="5F65BF5E">
      <w:pPr>
        <w:spacing w:line="500" w:lineRule="exact"/>
        <w:ind w:firstLine="480" w:firstLineChars="200"/>
        <w:rPr>
          <w:rFonts w:ascii="Times New Roman" w:hAnsi="宋体" w:eastAsia="宋体" w:cs="Times New Roman"/>
          <w:color w:val="auto"/>
          <w:kern w:val="2"/>
          <w:sz w:val="24"/>
          <w:szCs w:val="21"/>
          <w:highlight w:val="none"/>
          <w:u w:val="single"/>
        </w:rPr>
      </w:pPr>
      <w:r>
        <w:rPr>
          <w:rFonts w:ascii="Times New Roman" w:hAnsi="Times New Roman" w:eastAsia="宋体" w:cs="Times New Roman"/>
          <w:color w:val="auto"/>
          <w:kern w:val="2"/>
          <w:sz w:val="24"/>
          <w:szCs w:val="21"/>
          <w:highlight w:val="none"/>
          <w:u w:val="single"/>
        </w:rPr>
        <w:t>3</w:t>
      </w:r>
      <w:r>
        <w:rPr>
          <w:rFonts w:ascii="Times New Roman" w:hAnsi="宋体" w:eastAsia="宋体" w:cs="Times New Roman"/>
          <w:color w:val="auto"/>
          <w:kern w:val="2"/>
          <w:sz w:val="24"/>
          <w:szCs w:val="21"/>
          <w:highlight w:val="none"/>
          <w:u w:val="single"/>
        </w:rPr>
        <w:t>、履约保证金扣除甲方应得的补偿后的余额在服务期满后退还给乙方。</w:t>
      </w:r>
    </w:p>
    <w:p w14:paraId="7B7C383A">
      <w:pPr>
        <w:spacing w:line="500" w:lineRule="exact"/>
        <w:ind w:firstLine="480" w:firstLineChars="200"/>
        <w:rPr>
          <w:rFonts w:hint="eastAsia" w:ascii="Times New Roman" w:hAnsi="宋体" w:eastAsia="宋体" w:cs="Times New Roman"/>
          <w:color w:val="auto"/>
          <w:kern w:val="2"/>
          <w:sz w:val="24"/>
          <w:szCs w:val="21"/>
          <w:highlight w:val="none"/>
          <w:u w:val="single"/>
          <w:lang w:val="en-US" w:eastAsia="zh-CN"/>
        </w:rPr>
      </w:pPr>
      <w:r>
        <w:rPr>
          <w:rFonts w:hint="eastAsia" w:ascii="Times New Roman" w:hAnsi="宋体" w:eastAsia="宋体" w:cs="Times New Roman"/>
          <w:color w:val="auto"/>
          <w:kern w:val="2"/>
          <w:sz w:val="24"/>
          <w:szCs w:val="21"/>
          <w:highlight w:val="none"/>
          <w:u w:val="single"/>
          <w:lang w:val="en-US" w:eastAsia="zh-CN"/>
        </w:rPr>
        <w:t>4、甲方若无故逾期退还履约保证金的，按照逾期部分的每日0.05%支付违约金。</w:t>
      </w:r>
    </w:p>
    <w:p w14:paraId="301135B8">
      <w:pPr>
        <w:spacing w:line="500" w:lineRule="exact"/>
        <w:ind w:firstLine="482" w:firstLineChars="200"/>
        <w:rPr>
          <w:b/>
          <w:color w:val="auto"/>
          <w:sz w:val="24"/>
          <w:highlight w:val="none"/>
        </w:rPr>
      </w:pPr>
      <w:r>
        <w:rPr>
          <w:rFonts w:hAnsi="宋体"/>
          <w:b/>
          <w:color w:val="auto"/>
          <w:sz w:val="24"/>
          <w:highlight w:val="none"/>
        </w:rPr>
        <w:t>第八条合同款支付</w:t>
      </w:r>
    </w:p>
    <w:p w14:paraId="2E16DFF9">
      <w:pPr>
        <w:spacing w:line="560" w:lineRule="exact"/>
        <w:ind w:firstLine="480" w:firstLineChars="200"/>
        <w:rPr>
          <w:b/>
          <w:color w:val="auto"/>
          <w:sz w:val="24"/>
          <w:highlight w:val="none"/>
        </w:rPr>
      </w:pPr>
      <w:r>
        <w:rPr>
          <w:color w:val="auto"/>
          <w:sz w:val="24"/>
          <w:highlight w:val="none"/>
        </w:rPr>
        <w:t>1</w:t>
      </w:r>
      <w:r>
        <w:rPr>
          <w:rFonts w:hAnsi="宋体"/>
          <w:color w:val="auto"/>
          <w:sz w:val="24"/>
          <w:highlight w:val="none"/>
        </w:rPr>
        <w:t>、本合同项下所有款项均以人民币支付，</w:t>
      </w:r>
      <w:r>
        <w:rPr>
          <w:color w:val="auto"/>
          <w:sz w:val="24"/>
          <w:highlight w:val="none"/>
        </w:rPr>
        <w:t>服务发票由乙方按国家有关财税规定开具给甲方</w:t>
      </w:r>
      <w:r>
        <w:rPr>
          <w:rFonts w:hAnsi="宋体"/>
          <w:color w:val="auto"/>
          <w:sz w:val="24"/>
          <w:highlight w:val="none"/>
        </w:rPr>
        <w:t>。</w:t>
      </w:r>
    </w:p>
    <w:p w14:paraId="5F02684B">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、付款方式：</w:t>
      </w:r>
    </w:p>
    <w:p w14:paraId="40124F5C">
      <w:pPr>
        <w:spacing w:line="500" w:lineRule="exact"/>
        <w:ind w:firstLine="482" w:firstLineChars="200"/>
        <w:rPr>
          <w:rFonts w:hint="eastAsia" w:hAnsi="宋体"/>
          <w:b/>
          <w:color w:val="auto"/>
          <w:sz w:val="24"/>
          <w:highlight w:val="none"/>
          <w:u w:val="single"/>
        </w:rPr>
      </w:pPr>
      <w:r>
        <w:rPr>
          <w:rFonts w:hint="eastAsia" w:hAnsi="宋体"/>
          <w:b/>
          <w:color w:val="auto"/>
          <w:sz w:val="24"/>
          <w:highlight w:val="none"/>
          <w:u w:val="single"/>
        </w:rPr>
        <w:t>合同签订后，采购人一次性支付合同额的30%作为项目首付款， 运维半年后根据日常考核情况15个工作日内支付合同额的40%，运维期满后根据日常考核情况15个工作日内支付合同额的30%余款。</w:t>
      </w:r>
    </w:p>
    <w:p w14:paraId="5F2FD5CD">
      <w:pPr>
        <w:spacing w:line="500" w:lineRule="exact"/>
        <w:ind w:firstLine="482" w:firstLineChars="200"/>
        <w:rPr>
          <w:rFonts w:hint="eastAsia" w:hAnsi="宋体"/>
          <w:b/>
          <w:color w:val="auto"/>
          <w:sz w:val="24"/>
          <w:highlight w:val="none"/>
          <w:u w:val="single"/>
        </w:rPr>
      </w:pPr>
      <w:r>
        <w:rPr>
          <w:rFonts w:hint="eastAsia" w:hAnsi="宋体"/>
          <w:b/>
          <w:color w:val="auto"/>
          <w:sz w:val="24"/>
          <w:highlight w:val="none"/>
          <w:u w:val="single"/>
        </w:rPr>
        <w:t>说明：若因不可控因素导致本次运维服务超过原有运维周期，202</w:t>
      </w:r>
      <w:r>
        <w:rPr>
          <w:rFonts w:hint="eastAsia" w:hAnsi="宋体"/>
          <w:b/>
          <w:color w:val="auto"/>
          <w:sz w:val="24"/>
          <w:highlight w:val="none"/>
          <w:u w:val="single"/>
          <w:lang w:val="en-US" w:eastAsia="zh-CN"/>
        </w:rPr>
        <w:t>6</w:t>
      </w:r>
      <w:r>
        <w:rPr>
          <w:rFonts w:hint="eastAsia" w:hAnsi="宋体"/>
          <w:b/>
          <w:color w:val="auto"/>
          <w:sz w:val="24"/>
          <w:highlight w:val="none"/>
          <w:u w:val="single"/>
        </w:rPr>
        <w:t>年</w:t>
      </w:r>
      <w:r>
        <w:rPr>
          <w:rFonts w:hint="eastAsia" w:hAnsi="宋体"/>
          <w:b/>
          <w:color w:val="auto"/>
          <w:sz w:val="24"/>
          <w:highlight w:val="none"/>
          <w:u w:val="single"/>
          <w:lang w:val="en-US" w:eastAsia="zh-CN"/>
        </w:rPr>
        <w:t>5</w:t>
      </w:r>
      <w:r>
        <w:rPr>
          <w:rFonts w:hint="eastAsia" w:hAnsi="宋体"/>
          <w:b/>
          <w:color w:val="auto"/>
          <w:sz w:val="24"/>
          <w:highlight w:val="none"/>
          <w:u w:val="single"/>
        </w:rPr>
        <w:t>月</w:t>
      </w:r>
      <w:r>
        <w:rPr>
          <w:rFonts w:hint="eastAsia" w:hAnsi="宋体"/>
          <w:b/>
          <w:color w:val="auto"/>
          <w:sz w:val="24"/>
          <w:highlight w:val="none"/>
          <w:u w:val="single"/>
          <w:lang w:val="en-US" w:eastAsia="zh-CN"/>
        </w:rPr>
        <w:t>12</w:t>
      </w:r>
      <w:r>
        <w:rPr>
          <w:rFonts w:hint="eastAsia" w:hAnsi="宋体"/>
          <w:b/>
          <w:color w:val="auto"/>
          <w:sz w:val="24"/>
          <w:highlight w:val="none"/>
          <w:u w:val="single"/>
        </w:rPr>
        <w:t>日至本合同签订之日期间的运维仍由原运维单位负责。成交供应商需承诺，超原有运维周期所产生的运维费用以本次中标价格和实际发生时间计算，由成交供应商支付给原运维单位。</w:t>
      </w:r>
    </w:p>
    <w:p w14:paraId="567313C1">
      <w:pPr>
        <w:spacing w:line="500" w:lineRule="exact"/>
        <w:ind w:firstLine="482" w:firstLineChars="200"/>
        <w:rPr>
          <w:b/>
          <w:color w:val="auto"/>
          <w:sz w:val="24"/>
          <w:highlight w:val="none"/>
        </w:rPr>
      </w:pPr>
      <w:r>
        <w:rPr>
          <w:rFonts w:hAnsi="宋体"/>
          <w:b/>
          <w:color w:val="auto"/>
          <w:sz w:val="24"/>
          <w:highlight w:val="none"/>
        </w:rPr>
        <w:t>第九条违约责任</w:t>
      </w:r>
    </w:p>
    <w:p w14:paraId="0B2F1690">
      <w:pPr>
        <w:spacing w:line="500" w:lineRule="exact"/>
        <w:ind w:firstLine="480" w:firstLineChars="200"/>
        <w:rPr>
          <w:color w:val="auto"/>
          <w:sz w:val="24"/>
          <w:highlight w:val="none"/>
        </w:rPr>
      </w:pPr>
      <w:r>
        <w:rPr>
          <w:color w:val="auto"/>
          <w:sz w:val="24"/>
          <w:highlight w:val="none"/>
        </w:rPr>
        <w:t>1</w:t>
      </w:r>
      <w:r>
        <w:rPr>
          <w:rFonts w:hAnsi="宋体"/>
          <w:color w:val="auto"/>
          <w:sz w:val="24"/>
          <w:highlight w:val="none"/>
        </w:rPr>
        <w:t>、乙方未按本合同规定提供相关服务或未能履行本合同规定的其他义务的，甲方有权要求乙方限期整改，逾期不整改或整改后仍达不到甲方要求的，甲方有权终止合同，由此造成甲方经济损失的，乙方应承担赔偿责任。同时乙方应向甲方支付合同总价</w:t>
      </w:r>
      <w:r>
        <w:rPr>
          <w:color w:val="auto"/>
          <w:sz w:val="24"/>
          <w:highlight w:val="none"/>
        </w:rPr>
        <w:t>5%</w:t>
      </w:r>
      <w:r>
        <w:rPr>
          <w:rFonts w:hAnsi="宋体"/>
          <w:color w:val="auto"/>
          <w:sz w:val="24"/>
          <w:highlight w:val="none"/>
        </w:rPr>
        <w:t>的违约金。</w:t>
      </w:r>
    </w:p>
    <w:p w14:paraId="3A2D4BE7">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、乙方无正当理由，违反本合同第二条的有关规定，擅自收费或擅自提高收费标准的，对擅自收费部分或超出标准的部分，甲方有权要求乙方双倍返还；造成甲方经济损失的，乙方应给予甲方经济赔偿。</w:t>
      </w:r>
    </w:p>
    <w:p w14:paraId="73620DEB">
      <w:pPr>
        <w:spacing w:line="500" w:lineRule="exact"/>
        <w:ind w:firstLine="480" w:firstLineChars="200"/>
        <w:rPr>
          <w:color w:val="auto"/>
          <w:sz w:val="24"/>
          <w:highlight w:val="none"/>
        </w:rPr>
      </w:pPr>
      <w:r>
        <w:rPr>
          <w:color w:val="auto"/>
          <w:sz w:val="24"/>
          <w:highlight w:val="none"/>
        </w:rPr>
        <w:t>3</w:t>
      </w:r>
      <w:r>
        <w:rPr>
          <w:rFonts w:hAnsi="宋体"/>
          <w:color w:val="auto"/>
          <w:sz w:val="24"/>
          <w:highlight w:val="none"/>
        </w:rPr>
        <w:t>、乙方在承担上述</w:t>
      </w:r>
      <w:r>
        <w:rPr>
          <w:color w:val="auto"/>
          <w:sz w:val="24"/>
          <w:highlight w:val="none"/>
        </w:rPr>
        <w:t>1</w:t>
      </w:r>
      <w:r>
        <w:rPr>
          <w:rFonts w:hAnsi="宋体"/>
          <w:color w:val="auto"/>
          <w:sz w:val="24"/>
          <w:highlight w:val="none"/>
        </w:rPr>
        <w:t>、</w:t>
      </w:r>
      <w:r>
        <w:rPr>
          <w:color w:val="auto"/>
          <w:sz w:val="24"/>
          <w:highlight w:val="none"/>
        </w:rPr>
        <w:t>2</w:t>
      </w:r>
      <w:r>
        <w:rPr>
          <w:rFonts w:hAnsi="宋体"/>
          <w:color w:val="auto"/>
          <w:sz w:val="24"/>
          <w:highlight w:val="none"/>
        </w:rPr>
        <w:t>款一项或多项违约责任后，仍应继续履行合同规定的义务（甲方解除合同的除外）。甲方未能及时追究乙方的任何一项违约责任并不表明甲方放弃追究乙方该项或其他违约责任。</w:t>
      </w:r>
    </w:p>
    <w:p w14:paraId="4C8380AF">
      <w:pPr>
        <w:spacing w:line="560" w:lineRule="exact"/>
        <w:ind w:firstLine="482" w:firstLineChars="200"/>
        <w:rPr>
          <w:b/>
          <w:color w:val="auto"/>
          <w:sz w:val="24"/>
          <w:highlight w:val="none"/>
        </w:rPr>
      </w:pPr>
      <w:r>
        <w:rPr>
          <w:b/>
          <w:color w:val="auto"/>
          <w:sz w:val="24"/>
          <w:highlight w:val="none"/>
        </w:rPr>
        <w:t>第十条 不可抗力</w:t>
      </w:r>
    </w:p>
    <w:p w14:paraId="788DD5C6">
      <w:pPr>
        <w:spacing w:line="560" w:lineRule="exact"/>
        <w:ind w:firstLine="480" w:firstLineChars="200"/>
        <w:rPr>
          <w:color w:val="auto"/>
          <w:sz w:val="24"/>
          <w:highlight w:val="none"/>
        </w:rPr>
      </w:pPr>
      <w:r>
        <w:rPr>
          <w:color w:val="auto"/>
          <w:sz w:val="24"/>
          <w:highlight w:val="none"/>
        </w:rPr>
        <w:t>1、由于不可抗力因素（指火灾、地震、洪水、战争等）使乙方不能按合同和采购文件规定的要求履行服务的，乙方必须立即以书面形式通知甲方，并以书面形式向甲方提供有关政府机关所出具的不可抗力因素证明。</w:t>
      </w:r>
    </w:p>
    <w:p w14:paraId="4E32CC2A">
      <w:pPr>
        <w:spacing w:line="560" w:lineRule="exact"/>
        <w:ind w:firstLine="480" w:firstLineChars="200"/>
        <w:rPr>
          <w:color w:val="auto"/>
          <w:sz w:val="24"/>
          <w:highlight w:val="none"/>
        </w:rPr>
      </w:pPr>
      <w:r>
        <w:rPr>
          <w:color w:val="auto"/>
          <w:sz w:val="24"/>
          <w:highlight w:val="none"/>
        </w:rPr>
        <w:t>2、在不可抗力发生时，乙方应尽快以书面形式将不可抗力的情况和原因通知甲方。</w:t>
      </w:r>
    </w:p>
    <w:p w14:paraId="49084791">
      <w:pPr>
        <w:spacing w:line="560" w:lineRule="exact"/>
        <w:ind w:firstLine="480" w:firstLineChars="200"/>
        <w:rPr>
          <w:color w:val="auto"/>
          <w:sz w:val="24"/>
          <w:highlight w:val="none"/>
        </w:rPr>
      </w:pPr>
      <w:r>
        <w:rPr>
          <w:color w:val="auto"/>
          <w:sz w:val="24"/>
          <w:highlight w:val="none"/>
        </w:rPr>
        <w:t>3、除非甲方书面另有要求，乙方应尽可能继续履行合同义务，以及寻求合理的方案履行未受不可抗力影响的其它事项。</w:t>
      </w:r>
    </w:p>
    <w:p w14:paraId="7602C404">
      <w:pPr>
        <w:spacing w:line="560" w:lineRule="exact"/>
        <w:ind w:firstLine="480" w:firstLineChars="200"/>
        <w:rPr>
          <w:color w:val="auto"/>
          <w:sz w:val="24"/>
          <w:highlight w:val="none"/>
        </w:rPr>
      </w:pPr>
      <w:r>
        <w:rPr>
          <w:color w:val="auto"/>
          <w:sz w:val="24"/>
          <w:highlight w:val="none"/>
        </w:rPr>
        <w:t>4、如因不可抗力导致合同不能履约，并在30天内不能恢复履约，则任何一方可提出终止合同。在这种情况下，双方应协商解决合同终止以前双方应得的利益问题。</w:t>
      </w:r>
    </w:p>
    <w:p w14:paraId="3F829C55">
      <w:pPr>
        <w:spacing w:line="500" w:lineRule="exact"/>
        <w:ind w:firstLine="482" w:firstLineChars="200"/>
        <w:rPr>
          <w:b/>
          <w:color w:val="auto"/>
          <w:sz w:val="24"/>
          <w:highlight w:val="none"/>
        </w:rPr>
      </w:pPr>
      <w:r>
        <w:rPr>
          <w:rFonts w:hAnsi="宋体"/>
          <w:b/>
          <w:color w:val="auto"/>
          <w:sz w:val="24"/>
          <w:highlight w:val="none"/>
        </w:rPr>
        <w:t>第十一条</w:t>
      </w:r>
      <w:r>
        <w:rPr>
          <w:b/>
          <w:color w:val="auto"/>
          <w:sz w:val="24"/>
          <w:highlight w:val="none"/>
        </w:rPr>
        <w:t xml:space="preserve"> </w:t>
      </w:r>
      <w:r>
        <w:rPr>
          <w:rFonts w:hAnsi="宋体"/>
          <w:b/>
          <w:color w:val="auto"/>
          <w:sz w:val="24"/>
          <w:highlight w:val="none"/>
        </w:rPr>
        <w:t>合同的变更和终止</w:t>
      </w:r>
    </w:p>
    <w:p w14:paraId="73DAD06A">
      <w:pPr>
        <w:spacing w:line="500" w:lineRule="exact"/>
        <w:ind w:firstLine="480" w:firstLineChars="200"/>
        <w:rPr>
          <w:color w:val="auto"/>
          <w:sz w:val="24"/>
          <w:highlight w:val="none"/>
        </w:rPr>
      </w:pPr>
      <w:r>
        <w:rPr>
          <w:color w:val="auto"/>
          <w:sz w:val="24"/>
          <w:highlight w:val="none"/>
        </w:rPr>
        <w:t>1</w:t>
      </w:r>
      <w:r>
        <w:rPr>
          <w:rFonts w:hAnsi="宋体"/>
          <w:color w:val="auto"/>
          <w:sz w:val="24"/>
          <w:highlight w:val="none"/>
        </w:rPr>
        <w:t>、本合同一经签订，甲乙双方不得擅自变更、中止或终止合同。</w:t>
      </w:r>
    </w:p>
    <w:p w14:paraId="0B1B1B60">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、除发生法律规定的不能预见、不能避免并不能克服的客观情况外，甲乙双方不得放弃</w:t>
      </w:r>
      <w:r>
        <w:rPr>
          <w:rFonts w:hAnsi="宋体"/>
          <w:color w:val="auto"/>
          <w:kern w:val="0"/>
          <w:sz w:val="24"/>
          <w:highlight w:val="none"/>
        </w:rPr>
        <w:t>或拒绝履行合同。乙方放弃或拒绝履行合同，履约保证金不予退还，在三年内不得参加通州区的政府招标活动。</w:t>
      </w:r>
    </w:p>
    <w:p w14:paraId="47F969C6">
      <w:pPr>
        <w:spacing w:line="500" w:lineRule="exact"/>
        <w:ind w:firstLine="482" w:firstLineChars="200"/>
        <w:rPr>
          <w:b/>
          <w:color w:val="auto"/>
          <w:sz w:val="24"/>
          <w:highlight w:val="none"/>
        </w:rPr>
      </w:pPr>
      <w:r>
        <w:rPr>
          <w:rFonts w:hAnsi="宋体"/>
          <w:b/>
          <w:color w:val="auto"/>
          <w:sz w:val="24"/>
          <w:highlight w:val="none"/>
        </w:rPr>
        <w:t>第十二条</w:t>
      </w:r>
      <w:r>
        <w:rPr>
          <w:b/>
          <w:color w:val="auto"/>
          <w:sz w:val="24"/>
          <w:highlight w:val="none"/>
        </w:rPr>
        <w:t xml:space="preserve"> </w:t>
      </w:r>
      <w:r>
        <w:rPr>
          <w:rFonts w:hAnsi="宋体"/>
          <w:b/>
          <w:color w:val="auto"/>
          <w:sz w:val="24"/>
          <w:highlight w:val="none"/>
        </w:rPr>
        <w:t>争议的解决</w:t>
      </w:r>
    </w:p>
    <w:p w14:paraId="1F8BDBA7">
      <w:pPr>
        <w:spacing w:line="500" w:lineRule="exact"/>
        <w:ind w:firstLine="480" w:firstLineChars="200"/>
        <w:rPr>
          <w:color w:val="auto"/>
          <w:sz w:val="24"/>
          <w:highlight w:val="none"/>
        </w:rPr>
      </w:pPr>
      <w:r>
        <w:rPr>
          <w:color w:val="auto"/>
          <w:sz w:val="24"/>
          <w:highlight w:val="none"/>
        </w:rPr>
        <w:t>1</w:t>
      </w:r>
      <w:r>
        <w:rPr>
          <w:rFonts w:hAnsi="宋体"/>
          <w:color w:val="auto"/>
          <w:sz w:val="24"/>
          <w:highlight w:val="none"/>
        </w:rPr>
        <w:t>、因履行本合同引起的或与本合同有关的争议，甲、乙双方应首先通过友好协商解决，如果协商不能解决争议，则采取以下第（</w:t>
      </w:r>
      <w:r>
        <w:rPr>
          <w:color w:val="auto"/>
          <w:sz w:val="24"/>
          <w:highlight w:val="none"/>
        </w:rPr>
        <w:t>2</w:t>
      </w:r>
      <w:r>
        <w:rPr>
          <w:rFonts w:hAnsi="宋体"/>
          <w:color w:val="auto"/>
          <w:sz w:val="24"/>
          <w:highlight w:val="none"/>
        </w:rPr>
        <w:t>）种方式解决争议：</w:t>
      </w:r>
    </w:p>
    <w:p w14:paraId="44D69E1B">
      <w:pPr>
        <w:spacing w:line="500" w:lineRule="exact"/>
        <w:ind w:firstLine="480" w:firstLineChars="200"/>
        <w:rPr>
          <w:color w:val="auto"/>
          <w:sz w:val="24"/>
          <w:highlight w:val="none"/>
        </w:rPr>
      </w:pPr>
      <w:r>
        <w:rPr>
          <w:rFonts w:hAnsi="宋体"/>
          <w:color w:val="auto"/>
          <w:sz w:val="24"/>
          <w:highlight w:val="none"/>
        </w:rPr>
        <w:t>（</w:t>
      </w:r>
      <w:r>
        <w:rPr>
          <w:color w:val="auto"/>
          <w:sz w:val="24"/>
          <w:highlight w:val="none"/>
        </w:rPr>
        <w:t>1</w:t>
      </w:r>
      <w:r>
        <w:rPr>
          <w:rFonts w:hAnsi="宋体"/>
          <w:color w:val="auto"/>
          <w:sz w:val="24"/>
          <w:highlight w:val="none"/>
        </w:rPr>
        <w:t>）向甲方所在地有管辖权的人民法院提起诉讼；</w:t>
      </w:r>
    </w:p>
    <w:p w14:paraId="755059E8">
      <w:pPr>
        <w:spacing w:line="500" w:lineRule="exact"/>
        <w:ind w:firstLine="480" w:firstLineChars="200"/>
        <w:rPr>
          <w:color w:val="auto"/>
          <w:sz w:val="24"/>
          <w:highlight w:val="none"/>
        </w:rPr>
      </w:pPr>
      <w:r>
        <w:rPr>
          <w:rFonts w:hAnsi="宋体"/>
          <w:color w:val="auto"/>
          <w:sz w:val="24"/>
          <w:highlight w:val="none"/>
        </w:rPr>
        <w:t>（</w:t>
      </w:r>
      <w:r>
        <w:rPr>
          <w:color w:val="auto"/>
          <w:sz w:val="24"/>
          <w:highlight w:val="none"/>
        </w:rPr>
        <w:t>2</w:t>
      </w:r>
      <w:r>
        <w:rPr>
          <w:rFonts w:hAnsi="宋体"/>
          <w:color w:val="auto"/>
          <w:sz w:val="24"/>
          <w:highlight w:val="none"/>
        </w:rPr>
        <w:t>）向通州区仲裁委员会按其仲裁规则申请仲裁。</w:t>
      </w:r>
    </w:p>
    <w:p w14:paraId="3022F80E">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、在仲裁期间，本合同应继续履行。</w:t>
      </w:r>
    </w:p>
    <w:p w14:paraId="427132C9">
      <w:pPr>
        <w:spacing w:line="500" w:lineRule="exact"/>
        <w:ind w:firstLine="482" w:firstLineChars="200"/>
        <w:rPr>
          <w:b/>
          <w:color w:val="auto"/>
          <w:sz w:val="24"/>
          <w:highlight w:val="none"/>
        </w:rPr>
      </w:pPr>
      <w:r>
        <w:rPr>
          <w:rFonts w:hAnsi="宋体"/>
          <w:b/>
          <w:color w:val="auto"/>
          <w:sz w:val="24"/>
          <w:highlight w:val="none"/>
        </w:rPr>
        <w:t>第十三条诚实信用</w:t>
      </w:r>
    </w:p>
    <w:p w14:paraId="68934CAF">
      <w:pPr>
        <w:spacing w:line="500" w:lineRule="exact"/>
        <w:ind w:firstLine="480" w:firstLineChars="200"/>
        <w:rPr>
          <w:color w:val="auto"/>
          <w:sz w:val="24"/>
          <w:highlight w:val="none"/>
        </w:rPr>
      </w:pPr>
      <w:r>
        <w:rPr>
          <w:rFonts w:hAnsi="宋体"/>
          <w:color w:val="auto"/>
          <w:sz w:val="24"/>
          <w:highlight w:val="none"/>
        </w:rPr>
        <w:t>乙方应诚实信用，严格按照</w:t>
      </w:r>
      <w:r>
        <w:rPr>
          <w:rFonts w:hint="eastAsia" w:hAnsi="宋体"/>
          <w:color w:val="auto"/>
          <w:sz w:val="24"/>
          <w:highlight w:val="none"/>
          <w:lang w:val="en-US" w:eastAsia="zh-CN"/>
        </w:rPr>
        <w:t>招标</w:t>
      </w:r>
      <w:r>
        <w:rPr>
          <w:rFonts w:hAnsi="宋体"/>
          <w:color w:val="auto"/>
          <w:sz w:val="24"/>
          <w:highlight w:val="none"/>
        </w:rPr>
        <w:t>文件要求和承诺履行合同，不向甲方进行商业贿赂或者提供不正当利益。</w:t>
      </w:r>
    </w:p>
    <w:p w14:paraId="7642E457">
      <w:pPr>
        <w:spacing w:line="500" w:lineRule="exact"/>
        <w:ind w:firstLine="482" w:firstLineChars="200"/>
        <w:rPr>
          <w:b/>
          <w:color w:val="auto"/>
          <w:sz w:val="24"/>
          <w:highlight w:val="none"/>
        </w:rPr>
      </w:pPr>
      <w:r>
        <w:rPr>
          <w:rFonts w:hAnsi="宋体"/>
          <w:b/>
          <w:color w:val="auto"/>
          <w:sz w:val="24"/>
          <w:highlight w:val="none"/>
        </w:rPr>
        <w:t>第十四条合同生效及其他</w:t>
      </w:r>
    </w:p>
    <w:p w14:paraId="29A00996">
      <w:pPr>
        <w:spacing w:line="500" w:lineRule="exact"/>
        <w:ind w:firstLine="480" w:firstLineChars="200"/>
        <w:rPr>
          <w:color w:val="auto"/>
          <w:sz w:val="24"/>
          <w:highlight w:val="none"/>
        </w:rPr>
      </w:pPr>
      <w:r>
        <w:rPr>
          <w:color w:val="auto"/>
          <w:sz w:val="24"/>
          <w:highlight w:val="none"/>
        </w:rPr>
        <w:t>1</w:t>
      </w:r>
      <w:r>
        <w:rPr>
          <w:rFonts w:hAnsi="宋体"/>
          <w:color w:val="auto"/>
          <w:sz w:val="24"/>
          <w:highlight w:val="none"/>
        </w:rPr>
        <w:t>、本合同自签订之日起生效。</w:t>
      </w:r>
    </w:p>
    <w:p w14:paraId="1F3AE42C">
      <w:pPr>
        <w:spacing w:line="500" w:lineRule="exact"/>
        <w:ind w:firstLine="480" w:firstLineChars="200"/>
        <w:rPr>
          <w:color w:val="auto"/>
          <w:sz w:val="24"/>
          <w:highlight w:val="none"/>
        </w:rPr>
      </w:pPr>
      <w:r>
        <w:rPr>
          <w:color w:val="auto"/>
          <w:sz w:val="24"/>
          <w:highlight w:val="none"/>
        </w:rPr>
        <w:t>2</w:t>
      </w:r>
      <w:r>
        <w:rPr>
          <w:rFonts w:hAnsi="宋体"/>
          <w:color w:val="auto"/>
          <w:sz w:val="24"/>
          <w:highlight w:val="none"/>
        </w:rPr>
        <w:t>、在本合同有效期内，甲方指定为甲方项目联系人，乙方指定为乙方项目联系人。一方变更项目联系人的，应当及时以书面形式通知另一方，未及时通知并影响本合同履行或造成损失的，应承担相应的责任。</w:t>
      </w:r>
    </w:p>
    <w:p w14:paraId="40EB2974">
      <w:pPr>
        <w:spacing w:line="500" w:lineRule="exact"/>
        <w:ind w:firstLine="480" w:firstLineChars="200"/>
        <w:rPr>
          <w:color w:val="auto"/>
          <w:sz w:val="24"/>
          <w:highlight w:val="none"/>
        </w:rPr>
      </w:pPr>
      <w:r>
        <w:rPr>
          <w:color w:val="auto"/>
          <w:sz w:val="24"/>
          <w:highlight w:val="none"/>
        </w:rPr>
        <w:t>3</w:t>
      </w:r>
      <w:r>
        <w:rPr>
          <w:rFonts w:hAnsi="宋体"/>
          <w:color w:val="auto"/>
          <w:sz w:val="24"/>
          <w:highlight w:val="none"/>
        </w:rPr>
        <w:t>、本合同应按照中华人民共和国的现行法律进行解释。</w:t>
      </w:r>
    </w:p>
    <w:p w14:paraId="3177F952">
      <w:pPr>
        <w:spacing w:line="500" w:lineRule="exact"/>
        <w:ind w:firstLine="480" w:firstLineChars="200"/>
        <w:rPr>
          <w:color w:val="auto"/>
          <w:kern w:val="0"/>
          <w:sz w:val="24"/>
          <w:highlight w:val="none"/>
        </w:rPr>
      </w:pPr>
      <w:r>
        <w:rPr>
          <w:color w:val="auto"/>
          <w:sz w:val="24"/>
          <w:highlight w:val="none"/>
        </w:rPr>
        <w:t>4</w:t>
      </w:r>
      <w:r>
        <w:rPr>
          <w:rFonts w:hAnsi="宋体"/>
          <w:color w:val="auto"/>
          <w:sz w:val="24"/>
          <w:highlight w:val="none"/>
        </w:rPr>
        <w:t>、本合同一切未尽事宜，按合同法有关规定执行，无相关规定的，由甲乙双方协商解</w:t>
      </w:r>
      <w:r>
        <w:rPr>
          <w:rFonts w:hAnsi="宋体"/>
          <w:color w:val="auto"/>
          <w:kern w:val="0"/>
          <w:sz w:val="24"/>
          <w:highlight w:val="none"/>
        </w:rPr>
        <w:t>决。</w:t>
      </w:r>
    </w:p>
    <w:p w14:paraId="62891AE3">
      <w:pPr>
        <w:spacing w:line="500" w:lineRule="exact"/>
        <w:ind w:firstLine="482" w:firstLineChars="200"/>
        <w:rPr>
          <w:b/>
          <w:color w:val="auto"/>
          <w:sz w:val="24"/>
          <w:highlight w:val="none"/>
        </w:rPr>
      </w:pPr>
      <w:r>
        <w:rPr>
          <w:rFonts w:hAnsi="宋体"/>
          <w:b/>
          <w:color w:val="auto"/>
          <w:sz w:val="24"/>
          <w:highlight w:val="none"/>
        </w:rPr>
        <w:t>第十五条附则</w:t>
      </w:r>
    </w:p>
    <w:p w14:paraId="7E50FE69">
      <w:pPr>
        <w:spacing w:line="500" w:lineRule="exact"/>
        <w:ind w:firstLine="616" w:firstLineChars="257"/>
        <w:rPr>
          <w:color w:val="auto"/>
          <w:highlight w:val="none"/>
        </w:rPr>
      </w:pPr>
      <w:r>
        <w:rPr>
          <w:rFonts w:hAnsi="宋体"/>
          <w:color w:val="auto"/>
          <w:sz w:val="24"/>
          <w:highlight w:val="none"/>
        </w:rPr>
        <w:t>本合同一式六份，甲、乙方各执两份，政府采购监督管理部门备案一份，采购代理机构一份。</w:t>
      </w:r>
    </w:p>
    <w:p w14:paraId="6E92EB71">
      <w:pPr>
        <w:widowControl/>
        <w:tabs>
          <w:tab w:val="left" w:pos="4620"/>
        </w:tabs>
        <w:spacing w:line="500" w:lineRule="exact"/>
        <w:jc w:val="left"/>
        <w:rPr>
          <w:color w:val="auto"/>
          <w:kern w:val="0"/>
          <w:sz w:val="24"/>
          <w:highlight w:val="none"/>
        </w:rPr>
      </w:pPr>
      <w:r>
        <w:rPr>
          <w:rFonts w:hAnsi="宋体"/>
          <w:color w:val="auto"/>
          <w:kern w:val="0"/>
          <w:sz w:val="24"/>
          <w:highlight w:val="none"/>
        </w:rPr>
        <w:t>甲方（单位盖章）：</w:t>
      </w:r>
      <w:r>
        <w:rPr>
          <w:color w:val="auto"/>
          <w:kern w:val="0"/>
          <w:sz w:val="20"/>
          <w:szCs w:val="20"/>
          <w:highlight w:val="none"/>
        </w:rPr>
        <w:tab/>
      </w:r>
      <w:r>
        <w:rPr>
          <w:rFonts w:hAnsi="宋体"/>
          <w:color w:val="auto"/>
          <w:kern w:val="0"/>
          <w:sz w:val="24"/>
          <w:highlight w:val="none"/>
        </w:rPr>
        <w:t>乙方（单位盖章）：</w:t>
      </w:r>
    </w:p>
    <w:p w14:paraId="2ED00369">
      <w:pPr>
        <w:widowControl/>
        <w:spacing w:line="500" w:lineRule="exact"/>
        <w:jc w:val="left"/>
        <w:rPr>
          <w:color w:val="auto"/>
          <w:kern w:val="0"/>
          <w:sz w:val="20"/>
          <w:szCs w:val="20"/>
          <w:highlight w:val="none"/>
        </w:rPr>
      </w:pPr>
    </w:p>
    <w:p w14:paraId="27E103F3">
      <w:pPr>
        <w:spacing w:line="500" w:lineRule="exact"/>
        <w:rPr>
          <w:color w:val="auto"/>
          <w:sz w:val="24"/>
          <w:highlight w:val="none"/>
        </w:rPr>
      </w:pPr>
      <w:r>
        <w:rPr>
          <w:rFonts w:hAnsi="宋体"/>
          <w:color w:val="auto"/>
          <w:sz w:val="24"/>
          <w:highlight w:val="none"/>
        </w:rPr>
        <w:t>甲方代表签字：</w:t>
      </w:r>
      <w:r>
        <w:rPr>
          <w:color w:val="auto"/>
          <w:sz w:val="24"/>
          <w:highlight w:val="none"/>
        </w:rPr>
        <w:t xml:space="preserve">                         </w:t>
      </w:r>
      <w:r>
        <w:rPr>
          <w:rFonts w:hAnsi="宋体"/>
          <w:color w:val="auto"/>
          <w:sz w:val="24"/>
          <w:highlight w:val="none"/>
        </w:rPr>
        <w:t>乙方代表签字：</w:t>
      </w:r>
    </w:p>
    <w:p w14:paraId="4AA5B6FB">
      <w:pPr>
        <w:widowControl/>
        <w:jc w:val="left"/>
        <w:rPr>
          <w:color w:val="auto"/>
          <w:sz w:val="24"/>
          <w:highlight w:val="none"/>
        </w:rPr>
      </w:pPr>
    </w:p>
    <w:p w14:paraId="0BB12140">
      <w:pPr>
        <w:autoSpaceDE w:val="0"/>
        <w:autoSpaceDN w:val="0"/>
        <w:adjustRightInd w:val="0"/>
        <w:spacing w:line="560" w:lineRule="exact"/>
        <w:jc w:val="left"/>
        <w:rPr>
          <w:color w:val="auto"/>
          <w:sz w:val="24"/>
          <w:highlight w:val="none"/>
        </w:rPr>
      </w:pPr>
    </w:p>
    <w:p w14:paraId="4FF89CC9">
      <w:pPr>
        <w:spacing w:line="500" w:lineRule="exact"/>
        <w:rPr>
          <w:color w:val="auto"/>
          <w:sz w:val="24"/>
          <w:highlight w:val="none"/>
        </w:rPr>
      </w:pPr>
    </w:p>
    <w:p w14:paraId="22ADBD10">
      <w:pPr>
        <w:spacing w:line="500" w:lineRule="exact"/>
        <w:ind w:firstLine="0"/>
        <w:rPr>
          <w:rFonts w:ascii="Times New Roman" w:hAnsi="Times New Roman" w:eastAsia="宋体" w:cs="Times New Roman"/>
          <w:color w:val="auto"/>
          <w:kern w:val="2"/>
          <w:sz w:val="24"/>
          <w:szCs w:val="21"/>
          <w:highlight w:val="none"/>
        </w:rPr>
      </w:pPr>
    </w:p>
    <w:p w14:paraId="430D49D0">
      <w:pPr>
        <w:spacing w:line="500" w:lineRule="exact"/>
        <w:ind w:firstLine="480" w:firstLineChars="200"/>
        <w:rPr>
          <w:rFonts w:ascii="Times New Roman" w:hAnsi="Times New Roman" w:eastAsia="宋体" w:cs="Times New Roman"/>
          <w:color w:val="auto"/>
          <w:kern w:val="2"/>
          <w:sz w:val="24"/>
          <w:szCs w:val="21"/>
          <w:highlight w:val="none"/>
        </w:rPr>
      </w:pPr>
      <w:r>
        <w:rPr>
          <w:rFonts w:hint="eastAsia" w:cs="Times New Roman"/>
          <w:color w:val="auto"/>
          <w:kern w:val="2"/>
          <w:sz w:val="24"/>
          <w:szCs w:val="21"/>
          <w:highlight w:val="none"/>
          <w:lang w:val="en-US" w:eastAsia="zh-CN"/>
        </w:rPr>
        <w:t>时间：                                     时间：</w:t>
      </w:r>
    </w:p>
    <w:p w14:paraId="09341E5A">
      <w:pPr>
        <w:rPr>
          <w:rFonts w:hint="eastAsia" w:ascii="宋体" w:hAnsi="宋体" w:cs="宋体"/>
          <w:b/>
          <w:color w:val="auto"/>
          <w:sz w:val="28"/>
          <w:szCs w:val="28"/>
          <w:highlight w:val="none"/>
        </w:rPr>
      </w:pPr>
    </w:p>
    <w:p w14:paraId="013844E7">
      <w:pPr>
        <w:rPr>
          <w:rFonts w:hint="eastAsia" w:ascii="宋体" w:hAnsi="宋体" w:cs="宋体"/>
          <w:b/>
          <w:bCs/>
          <w:color w:val="auto"/>
          <w:sz w:val="28"/>
          <w:szCs w:val="28"/>
          <w:highlight w:val="none"/>
        </w:rPr>
      </w:pPr>
      <w:r>
        <w:rPr>
          <w:rFonts w:hint="eastAsia" w:ascii="宋体" w:hAnsi="宋体" w:cs="宋体"/>
          <w:b/>
          <w:color w:val="auto"/>
          <w:sz w:val="28"/>
          <w:szCs w:val="28"/>
          <w:highlight w:val="none"/>
        </w:rPr>
        <w:t>发包人保留对合同修改和完善的权利。</w:t>
      </w:r>
    </w:p>
    <w:p w14:paraId="3FC30427">
      <w:pPr>
        <w:ind w:left="0" w:leftChars="0" w:firstLine="0" w:firstLineChars="0"/>
        <w:rPr>
          <w:rFonts w:hint="eastAsia" w:ascii="宋体" w:hAnsi="宋体" w:cs="宋体"/>
          <w:color w:val="auto"/>
          <w:sz w:val="36"/>
          <w:szCs w:val="36"/>
          <w:highlight w:val="none"/>
        </w:rPr>
      </w:pPr>
    </w:p>
    <w:p w14:paraId="57000E44">
      <w:pPr>
        <w:rPr>
          <w:rFonts w:hint="eastAsia" w:ascii="宋体" w:hAnsi="宋体" w:cs="宋体"/>
          <w:color w:val="auto"/>
          <w:sz w:val="52"/>
          <w:szCs w:val="52"/>
          <w:highlight w:val="none"/>
        </w:rPr>
      </w:pPr>
      <w:r>
        <w:rPr>
          <w:rFonts w:hint="eastAsia" w:ascii="宋体" w:hAnsi="宋体" w:cs="宋体"/>
          <w:color w:val="auto"/>
          <w:sz w:val="52"/>
          <w:szCs w:val="52"/>
          <w:highlight w:val="none"/>
        </w:rPr>
        <w:br w:type="page"/>
      </w:r>
    </w:p>
    <w:p w14:paraId="2851ACAA">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第四章 项目需求</w:t>
      </w:r>
      <w:bookmarkEnd w:id="171"/>
      <w:bookmarkEnd w:id="172"/>
      <w:bookmarkEnd w:id="173"/>
    </w:p>
    <w:p w14:paraId="4345D4E8">
      <w:pPr>
        <w:snapToGrid w:val="0"/>
        <w:spacing w:line="360" w:lineRule="auto"/>
        <w:ind w:firstLine="482" w:firstLineChars="200"/>
        <w:jc w:val="left"/>
        <w:rPr>
          <w:color w:val="auto"/>
          <w:sz w:val="24"/>
          <w:highlight w:val="none"/>
        </w:rPr>
      </w:pPr>
      <w:bookmarkStart w:id="176" w:name="_Toc120614281"/>
      <w:bookmarkStart w:id="177" w:name="_Toc26554093"/>
      <w:bookmarkStart w:id="178" w:name="_Toc49090575"/>
      <w:r>
        <w:rPr>
          <w:b/>
          <w:color w:val="auto"/>
          <w:sz w:val="24"/>
          <w:highlight w:val="none"/>
        </w:rPr>
        <w:t>请供应商在制作响应文件时仔细研究项目需求说明。</w:t>
      </w:r>
      <w:r>
        <w:rPr>
          <w:color w:val="auto"/>
          <w:sz w:val="24"/>
          <w:highlight w:val="none"/>
        </w:rPr>
        <w:t>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技术商务部分正负偏离”上明示，如不明示的视同完全响应。</w:t>
      </w:r>
    </w:p>
    <w:p w14:paraId="6F4110F4">
      <w:pPr>
        <w:snapToGrid w:val="0"/>
        <w:spacing w:line="360" w:lineRule="auto"/>
        <w:ind w:firstLine="480" w:firstLineChars="200"/>
        <w:jc w:val="left"/>
        <w:rPr>
          <w:color w:val="auto"/>
          <w:highlight w:val="none"/>
        </w:rPr>
      </w:pPr>
      <w:r>
        <w:rPr>
          <w:rFonts w:hAnsi="宋体"/>
          <w:color w:val="auto"/>
          <w:sz w:val="24"/>
          <w:szCs w:val="24"/>
          <w:highlight w:val="none"/>
        </w:rPr>
        <w:t>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14:paraId="1CC8C95C">
      <w:pPr>
        <w:pStyle w:val="288"/>
        <w:spacing w:line="360" w:lineRule="auto"/>
        <w:ind w:firstLine="480"/>
        <w:rPr>
          <w:color w:val="auto"/>
          <w:highlight w:val="none"/>
        </w:rPr>
      </w:pPr>
      <w:r>
        <w:rPr>
          <w:color w:val="auto"/>
          <w:highlight w:val="none"/>
        </w:rPr>
        <w:t>一、项目概况</w:t>
      </w:r>
    </w:p>
    <w:p w14:paraId="5B000F54">
      <w:pPr>
        <w:pStyle w:val="288"/>
        <w:spacing w:line="360" w:lineRule="auto"/>
        <w:ind w:firstLine="480"/>
        <w:rPr>
          <w:color w:val="auto"/>
          <w:highlight w:val="none"/>
        </w:rPr>
      </w:pPr>
      <w:r>
        <w:rPr>
          <w:rFonts w:hAnsi="宋体"/>
          <w:color w:val="auto"/>
          <w:highlight w:val="none"/>
        </w:rPr>
        <w:t>采购需求：</w:t>
      </w:r>
    </w:p>
    <w:p w14:paraId="262E5F6E">
      <w:pPr>
        <w:pStyle w:val="288"/>
        <w:spacing w:line="360" w:lineRule="auto"/>
        <w:ind w:firstLine="480"/>
        <w:rPr>
          <w:color w:val="auto"/>
          <w:highlight w:val="none"/>
        </w:rPr>
      </w:pPr>
      <w:r>
        <w:rPr>
          <w:rFonts w:hAnsi="宋体"/>
          <w:color w:val="auto"/>
          <w:highlight w:val="none"/>
        </w:rPr>
        <w:t>（一）南通市通州区</w:t>
      </w:r>
      <w:r>
        <w:rPr>
          <w:color w:val="auto"/>
          <w:highlight w:val="none"/>
        </w:rPr>
        <w:t>14</w:t>
      </w:r>
      <w:r>
        <w:rPr>
          <w:rFonts w:hAnsi="宋体"/>
          <w:color w:val="auto"/>
          <w:highlight w:val="none"/>
        </w:rPr>
        <w:t>个镇级空气自动监测站运维服务（详见下表）</w:t>
      </w:r>
    </w:p>
    <w:tbl>
      <w:tblPr>
        <w:tblStyle w:val="34"/>
        <w:tblW w:w="8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692"/>
        <w:gridCol w:w="850"/>
        <w:gridCol w:w="706"/>
        <w:gridCol w:w="1076"/>
        <w:gridCol w:w="1487"/>
      </w:tblGrid>
      <w:tr w14:paraId="5CC1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7BF92BE7">
            <w:pPr>
              <w:spacing w:line="360" w:lineRule="auto"/>
              <w:ind w:left="0" w:leftChars="0" w:firstLine="0" w:firstLineChars="0"/>
              <w:jc w:val="both"/>
              <w:rPr>
                <w:rFonts w:hAnsi="宋体"/>
                <w:b/>
                <w:color w:val="auto"/>
                <w:highlight w:val="none"/>
              </w:rPr>
            </w:pPr>
            <w:r>
              <w:rPr>
                <w:rFonts w:hAnsi="宋体"/>
                <w:b/>
                <w:color w:val="auto"/>
                <w:highlight w:val="none"/>
              </w:rPr>
              <w:t>序号</w:t>
            </w:r>
          </w:p>
        </w:tc>
        <w:tc>
          <w:tcPr>
            <w:tcW w:w="3692" w:type="dxa"/>
            <w:vAlign w:val="center"/>
          </w:tcPr>
          <w:p w14:paraId="52820223">
            <w:pPr>
              <w:spacing w:line="360" w:lineRule="auto"/>
              <w:ind w:left="0" w:leftChars="0" w:firstLine="0" w:firstLineChars="0"/>
              <w:jc w:val="both"/>
              <w:rPr>
                <w:rFonts w:hAnsi="宋体"/>
                <w:b/>
                <w:color w:val="auto"/>
                <w:highlight w:val="none"/>
              </w:rPr>
            </w:pPr>
            <w:r>
              <w:rPr>
                <w:rFonts w:hAnsi="宋体"/>
                <w:b/>
                <w:color w:val="auto"/>
                <w:highlight w:val="none"/>
              </w:rPr>
              <w:t>名称</w:t>
            </w:r>
          </w:p>
        </w:tc>
        <w:tc>
          <w:tcPr>
            <w:tcW w:w="850" w:type="dxa"/>
            <w:vAlign w:val="center"/>
          </w:tcPr>
          <w:p w14:paraId="31845289">
            <w:pPr>
              <w:spacing w:line="360" w:lineRule="auto"/>
              <w:ind w:left="0" w:leftChars="0" w:firstLine="0" w:firstLineChars="0"/>
              <w:jc w:val="both"/>
              <w:rPr>
                <w:rFonts w:hAnsi="宋体"/>
                <w:b/>
                <w:color w:val="auto"/>
                <w:highlight w:val="none"/>
              </w:rPr>
            </w:pPr>
            <w:r>
              <w:rPr>
                <w:rFonts w:hAnsi="宋体"/>
                <w:b/>
                <w:color w:val="auto"/>
                <w:highlight w:val="none"/>
              </w:rPr>
              <w:t>数量</w:t>
            </w:r>
          </w:p>
        </w:tc>
        <w:tc>
          <w:tcPr>
            <w:tcW w:w="706" w:type="dxa"/>
            <w:vAlign w:val="center"/>
          </w:tcPr>
          <w:p w14:paraId="628FA73D">
            <w:pPr>
              <w:spacing w:line="360" w:lineRule="auto"/>
              <w:ind w:left="0" w:leftChars="0" w:firstLine="0" w:firstLineChars="0"/>
              <w:jc w:val="both"/>
              <w:rPr>
                <w:rFonts w:hAnsi="宋体"/>
                <w:b/>
                <w:color w:val="auto"/>
                <w:highlight w:val="none"/>
              </w:rPr>
            </w:pPr>
            <w:r>
              <w:rPr>
                <w:rFonts w:hAnsi="宋体"/>
                <w:b/>
                <w:color w:val="auto"/>
                <w:highlight w:val="none"/>
              </w:rPr>
              <w:t>单位</w:t>
            </w:r>
          </w:p>
        </w:tc>
        <w:tc>
          <w:tcPr>
            <w:tcW w:w="1076" w:type="dxa"/>
            <w:vAlign w:val="center"/>
          </w:tcPr>
          <w:p w14:paraId="67322987">
            <w:pPr>
              <w:spacing w:line="360" w:lineRule="auto"/>
              <w:ind w:left="0" w:leftChars="0" w:firstLine="0" w:firstLineChars="0"/>
              <w:jc w:val="both"/>
              <w:rPr>
                <w:rFonts w:hAnsi="宋体"/>
                <w:b/>
                <w:color w:val="auto"/>
                <w:highlight w:val="none"/>
              </w:rPr>
            </w:pPr>
            <w:r>
              <w:rPr>
                <w:rFonts w:hAnsi="宋体"/>
                <w:b/>
                <w:color w:val="auto"/>
                <w:highlight w:val="none"/>
              </w:rPr>
              <w:t>型号</w:t>
            </w:r>
          </w:p>
        </w:tc>
        <w:tc>
          <w:tcPr>
            <w:tcW w:w="1487" w:type="dxa"/>
            <w:vAlign w:val="center"/>
          </w:tcPr>
          <w:p w14:paraId="69A09390">
            <w:pPr>
              <w:spacing w:line="360" w:lineRule="auto"/>
              <w:ind w:left="0" w:leftChars="0" w:firstLine="0" w:firstLineChars="0"/>
              <w:jc w:val="both"/>
              <w:rPr>
                <w:rFonts w:hAnsi="宋体"/>
                <w:b/>
                <w:color w:val="auto"/>
                <w:highlight w:val="none"/>
              </w:rPr>
            </w:pPr>
            <w:r>
              <w:rPr>
                <w:rFonts w:hAnsi="宋体"/>
                <w:b/>
                <w:color w:val="auto"/>
                <w:highlight w:val="none"/>
              </w:rPr>
              <w:t>品牌</w:t>
            </w:r>
          </w:p>
        </w:tc>
      </w:tr>
      <w:tr w14:paraId="3AEE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30FA1F4F">
            <w:pPr>
              <w:spacing w:line="360" w:lineRule="auto"/>
              <w:ind w:left="0" w:leftChars="0" w:firstLine="0" w:firstLineChars="0"/>
              <w:jc w:val="both"/>
              <w:rPr>
                <w:rFonts w:hAnsi="宋体"/>
                <w:b/>
                <w:color w:val="auto"/>
                <w:highlight w:val="none"/>
              </w:rPr>
            </w:pPr>
            <w:r>
              <w:rPr>
                <w:rFonts w:hAnsi="宋体"/>
                <w:b/>
                <w:color w:val="auto"/>
                <w:highlight w:val="none"/>
              </w:rPr>
              <w:t>1</w:t>
            </w:r>
          </w:p>
        </w:tc>
        <w:tc>
          <w:tcPr>
            <w:tcW w:w="3692" w:type="dxa"/>
            <w:vAlign w:val="center"/>
          </w:tcPr>
          <w:p w14:paraId="40522271">
            <w:pPr>
              <w:spacing w:line="360" w:lineRule="auto"/>
              <w:ind w:left="0" w:leftChars="0" w:firstLine="0" w:firstLineChars="0"/>
              <w:jc w:val="both"/>
              <w:rPr>
                <w:rFonts w:hAnsi="宋体"/>
                <w:b/>
                <w:color w:val="auto"/>
                <w:highlight w:val="none"/>
              </w:rPr>
            </w:pPr>
            <w:r>
              <w:rPr>
                <w:rFonts w:hAnsi="宋体"/>
                <w:b/>
                <w:color w:val="auto"/>
                <w:highlight w:val="none"/>
              </w:rPr>
              <w:t>SO2分析仪</w:t>
            </w:r>
          </w:p>
        </w:tc>
        <w:tc>
          <w:tcPr>
            <w:tcW w:w="850" w:type="dxa"/>
            <w:vAlign w:val="center"/>
          </w:tcPr>
          <w:p w14:paraId="1B5999FD">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3BA17AD2">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17F21026">
            <w:pPr>
              <w:spacing w:line="360" w:lineRule="auto"/>
              <w:ind w:left="0" w:leftChars="0" w:firstLine="0" w:firstLineChars="0"/>
              <w:jc w:val="both"/>
              <w:rPr>
                <w:rFonts w:hAnsi="宋体"/>
                <w:b/>
                <w:color w:val="auto"/>
                <w:highlight w:val="none"/>
              </w:rPr>
            </w:pPr>
            <w:r>
              <w:rPr>
                <w:rFonts w:hAnsi="宋体"/>
                <w:b/>
                <w:color w:val="auto"/>
                <w:highlight w:val="none"/>
              </w:rPr>
              <w:t>43i</w:t>
            </w:r>
          </w:p>
        </w:tc>
        <w:tc>
          <w:tcPr>
            <w:tcW w:w="1487" w:type="dxa"/>
            <w:vAlign w:val="center"/>
          </w:tcPr>
          <w:p w14:paraId="6A9C922B">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37A5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46F33BFC">
            <w:pPr>
              <w:spacing w:line="360" w:lineRule="auto"/>
              <w:ind w:left="0" w:leftChars="0" w:firstLine="0" w:firstLineChars="0"/>
              <w:jc w:val="both"/>
              <w:rPr>
                <w:rFonts w:hAnsi="宋体"/>
                <w:b/>
                <w:color w:val="auto"/>
                <w:highlight w:val="none"/>
              </w:rPr>
            </w:pPr>
            <w:r>
              <w:rPr>
                <w:rFonts w:hAnsi="宋体"/>
                <w:b/>
                <w:color w:val="auto"/>
                <w:highlight w:val="none"/>
              </w:rPr>
              <w:t>2</w:t>
            </w:r>
          </w:p>
        </w:tc>
        <w:tc>
          <w:tcPr>
            <w:tcW w:w="3692" w:type="dxa"/>
            <w:vAlign w:val="center"/>
          </w:tcPr>
          <w:p w14:paraId="66511737">
            <w:pPr>
              <w:spacing w:line="360" w:lineRule="auto"/>
              <w:ind w:left="0" w:leftChars="0" w:firstLine="0" w:firstLineChars="0"/>
              <w:jc w:val="both"/>
              <w:rPr>
                <w:rFonts w:hAnsi="宋体"/>
                <w:b/>
                <w:color w:val="auto"/>
                <w:highlight w:val="none"/>
              </w:rPr>
            </w:pPr>
            <w:r>
              <w:rPr>
                <w:rFonts w:hAnsi="宋体"/>
                <w:b/>
                <w:color w:val="auto"/>
                <w:highlight w:val="none"/>
              </w:rPr>
              <w:t>NOX分析仪</w:t>
            </w:r>
          </w:p>
        </w:tc>
        <w:tc>
          <w:tcPr>
            <w:tcW w:w="850" w:type="dxa"/>
            <w:vAlign w:val="center"/>
          </w:tcPr>
          <w:p w14:paraId="2963CC3A">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116B874D">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0440B83D">
            <w:pPr>
              <w:spacing w:line="360" w:lineRule="auto"/>
              <w:ind w:left="0" w:leftChars="0" w:firstLine="0" w:firstLineChars="0"/>
              <w:jc w:val="both"/>
              <w:rPr>
                <w:rFonts w:hAnsi="宋体"/>
                <w:b/>
                <w:color w:val="auto"/>
                <w:highlight w:val="none"/>
              </w:rPr>
            </w:pPr>
            <w:r>
              <w:rPr>
                <w:rFonts w:hAnsi="宋体"/>
                <w:b/>
                <w:color w:val="auto"/>
                <w:highlight w:val="none"/>
              </w:rPr>
              <w:t>42i</w:t>
            </w:r>
          </w:p>
        </w:tc>
        <w:tc>
          <w:tcPr>
            <w:tcW w:w="1487" w:type="dxa"/>
            <w:vAlign w:val="center"/>
          </w:tcPr>
          <w:p w14:paraId="435E8D0D">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62715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39DBD11A">
            <w:pPr>
              <w:spacing w:line="360" w:lineRule="auto"/>
              <w:ind w:left="0" w:leftChars="0" w:firstLine="0" w:firstLineChars="0"/>
              <w:jc w:val="both"/>
              <w:rPr>
                <w:rFonts w:hAnsi="宋体"/>
                <w:b/>
                <w:color w:val="auto"/>
                <w:highlight w:val="none"/>
              </w:rPr>
            </w:pPr>
            <w:r>
              <w:rPr>
                <w:rFonts w:hAnsi="宋体"/>
                <w:b/>
                <w:color w:val="auto"/>
                <w:highlight w:val="none"/>
              </w:rPr>
              <w:t>3</w:t>
            </w:r>
          </w:p>
        </w:tc>
        <w:tc>
          <w:tcPr>
            <w:tcW w:w="3692" w:type="dxa"/>
            <w:vAlign w:val="center"/>
          </w:tcPr>
          <w:p w14:paraId="2CC43835">
            <w:pPr>
              <w:spacing w:line="360" w:lineRule="auto"/>
              <w:ind w:left="0" w:leftChars="0" w:firstLine="0" w:firstLineChars="0"/>
              <w:jc w:val="both"/>
              <w:rPr>
                <w:rFonts w:hAnsi="宋体"/>
                <w:b/>
                <w:color w:val="auto"/>
                <w:highlight w:val="none"/>
              </w:rPr>
            </w:pPr>
            <w:r>
              <w:rPr>
                <w:rFonts w:hAnsi="宋体"/>
                <w:b/>
                <w:color w:val="auto"/>
                <w:highlight w:val="none"/>
              </w:rPr>
              <w:t>CO分析仪</w:t>
            </w:r>
          </w:p>
        </w:tc>
        <w:tc>
          <w:tcPr>
            <w:tcW w:w="850" w:type="dxa"/>
            <w:vAlign w:val="center"/>
          </w:tcPr>
          <w:p w14:paraId="0C1CC60A">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107405A5">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1FCF3286">
            <w:pPr>
              <w:spacing w:line="360" w:lineRule="auto"/>
              <w:ind w:left="0" w:leftChars="0" w:firstLine="0" w:firstLineChars="0"/>
              <w:jc w:val="both"/>
              <w:rPr>
                <w:rFonts w:hAnsi="宋体"/>
                <w:b/>
                <w:color w:val="auto"/>
                <w:highlight w:val="none"/>
              </w:rPr>
            </w:pPr>
            <w:r>
              <w:rPr>
                <w:rFonts w:hAnsi="宋体"/>
                <w:b/>
                <w:color w:val="auto"/>
                <w:highlight w:val="none"/>
              </w:rPr>
              <w:t>48i</w:t>
            </w:r>
          </w:p>
        </w:tc>
        <w:tc>
          <w:tcPr>
            <w:tcW w:w="1487" w:type="dxa"/>
            <w:vAlign w:val="center"/>
          </w:tcPr>
          <w:p w14:paraId="51DDD1A6">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6147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692837F8">
            <w:pPr>
              <w:spacing w:line="360" w:lineRule="auto"/>
              <w:ind w:left="0" w:leftChars="0" w:firstLine="0" w:firstLineChars="0"/>
              <w:jc w:val="both"/>
              <w:rPr>
                <w:rFonts w:hAnsi="宋体"/>
                <w:b/>
                <w:color w:val="auto"/>
                <w:highlight w:val="none"/>
              </w:rPr>
            </w:pPr>
            <w:r>
              <w:rPr>
                <w:rFonts w:hAnsi="宋体"/>
                <w:b/>
                <w:color w:val="auto"/>
                <w:highlight w:val="none"/>
              </w:rPr>
              <w:t>4</w:t>
            </w:r>
          </w:p>
        </w:tc>
        <w:tc>
          <w:tcPr>
            <w:tcW w:w="3692" w:type="dxa"/>
            <w:vAlign w:val="center"/>
          </w:tcPr>
          <w:p w14:paraId="744D7617">
            <w:pPr>
              <w:spacing w:line="360" w:lineRule="auto"/>
              <w:ind w:left="0" w:leftChars="0" w:firstLine="0" w:firstLineChars="0"/>
              <w:jc w:val="both"/>
              <w:rPr>
                <w:rFonts w:hAnsi="宋体"/>
                <w:b/>
                <w:color w:val="auto"/>
                <w:highlight w:val="none"/>
              </w:rPr>
            </w:pPr>
            <w:r>
              <w:rPr>
                <w:rFonts w:hAnsi="宋体"/>
                <w:b/>
                <w:color w:val="auto"/>
                <w:highlight w:val="none"/>
              </w:rPr>
              <w:t>O3分析仪</w:t>
            </w:r>
          </w:p>
        </w:tc>
        <w:tc>
          <w:tcPr>
            <w:tcW w:w="850" w:type="dxa"/>
            <w:vAlign w:val="center"/>
          </w:tcPr>
          <w:p w14:paraId="6D9FE27E">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5CAF7872">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3A92A3A5">
            <w:pPr>
              <w:spacing w:line="360" w:lineRule="auto"/>
              <w:ind w:left="0" w:leftChars="0" w:firstLine="0" w:firstLineChars="0"/>
              <w:jc w:val="both"/>
              <w:rPr>
                <w:rFonts w:hAnsi="宋体"/>
                <w:b/>
                <w:color w:val="auto"/>
                <w:highlight w:val="none"/>
              </w:rPr>
            </w:pPr>
            <w:r>
              <w:rPr>
                <w:rFonts w:hAnsi="宋体"/>
                <w:b/>
                <w:color w:val="auto"/>
                <w:highlight w:val="none"/>
              </w:rPr>
              <w:t>49i</w:t>
            </w:r>
          </w:p>
        </w:tc>
        <w:tc>
          <w:tcPr>
            <w:tcW w:w="1487" w:type="dxa"/>
            <w:vAlign w:val="center"/>
          </w:tcPr>
          <w:p w14:paraId="2B4789A4">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23ADF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4C2CD69B">
            <w:pPr>
              <w:spacing w:line="360" w:lineRule="auto"/>
              <w:ind w:left="0" w:leftChars="0" w:firstLine="0" w:firstLineChars="0"/>
              <w:jc w:val="both"/>
              <w:rPr>
                <w:rFonts w:hAnsi="宋体"/>
                <w:b/>
                <w:color w:val="auto"/>
                <w:highlight w:val="none"/>
              </w:rPr>
            </w:pPr>
            <w:r>
              <w:rPr>
                <w:rFonts w:hAnsi="宋体"/>
                <w:b/>
                <w:color w:val="auto"/>
                <w:highlight w:val="none"/>
              </w:rPr>
              <w:t>5</w:t>
            </w:r>
          </w:p>
        </w:tc>
        <w:tc>
          <w:tcPr>
            <w:tcW w:w="3692" w:type="dxa"/>
            <w:vAlign w:val="center"/>
          </w:tcPr>
          <w:p w14:paraId="0606D6C7">
            <w:pPr>
              <w:spacing w:line="360" w:lineRule="auto"/>
              <w:ind w:left="0" w:leftChars="0" w:firstLine="0" w:firstLineChars="0"/>
              <w:jc w:val="both"/>
              <w:rPr>
                <w:rFonts w:hAnsi="宋体"/>
                <w:b/>
                <w:color w:val="auto"/>
                <w:highlight w:val="none"/>
              </w:rPr>
            </w:pPr>
            <w:r>
              <w:rPr>
                <w:rFonts w:hAnsi="宋体"/>
                <w:b/>
                <w:color w:val="auto"/>
                <w:highlight w:val="none"/>
              </w:rPr>
              <w:t>PM2.5分析仪</w:t>
            </w:r>
          </w:p>
        </w:tc>
        <w:tc>
          <w:tcPr>
            <w:tcW w:w="850" w:type="dxa"/>
            <w:vAlign w:val="center"/>
          </w:tcPr>
          <w:p w14:paraId="35310D5E">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77A9F4B1">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25143635">
            <w:pPr>
              <w:spacing w:line="360" w:lineRule="auto"/>
              <w:ind w:left="0" w:leftChars="0" w:firstLine="0" w:firstLineChars="0"/>
              <w:jc w:val="both"/>
              <w:rPr>
                <w:rFonts w:hAnsi="宋体"/>
                <w:b/>
                <w:color w:val="auto"/>
                <w:highlight w:val="none"/>
              </w:rPr>
            </w:pPr>
            <w:r>
              <w:rPr>
                <w:rFonts w:hAnsi="宋体"/>
                <w:b/>
                <w:color w:val="auto"/>
                <w:highlight w:val="none"/>
              </w:rPr>
              <w:t>5014i</w:t>
            </w:r>
          </w:p>
        </w:tc>
        <w:tc>
          <w:tcPr>
            <w:tcW w:w="1487" w:type="dxa"/>
            <w:vAlign w:val="center"/>
          </w:tcPr>
          <w:p w14:paraId="7E15306F">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20BC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392B4D7D">
            <w:pPr>
              <w:spacing w:line="360" w:lineRule="auto"/>
              <w:ind w:left="0" w:leftChars="0" w:firstLine="0" w:firstLineChars="0"/>
              <w:jc w:val="both"/>
              <w:rPr>
                <w:rFonts w:hAnsi="宋体"/>
                <w:b/>
                <w:color w:val="auto"/>
                <w:highlight w:val="none"/>
              </w:rPr>
            </w:pPr>
            <w:r>
              <w:rPr>
                <w:rFonts w:hAnsi="宋体"/>
                <w:b/>
                <w:color w:val="auto"/>
                <w:highlight w:val="none"/>
              </w:rPr>
              <w:t>6</w:t>
            </w:r>
          </w:p>
        </w:tc>
        <w:tc>
          <w:tcPr>
            <w:tcW w:w="3692" w:type="dxa"/>
            <w:vAlign w:val="center"/>
          </w:tcPr>
          <w:p w14:paraId="1E923EC4">
            <w:pPr>
              <w:spacing w:line="360" w:lineRule="auto"/>
              <w:ind w:left="0" w:leftChars="0" w:firstLine="0" w:firstLineChars="0"/>
              <w:jc w:val="both"/>
              <w:rPr>
                <w:rFonts w:hAnsi="宋体"/>
                <w:b/>
                <w:color w:val="auto"/>
                <w:highlight w:val="none"/>
              </w:rPr>
            </w:pPr>
            <w:r>
              <w:rPr>
                <w:rFonts w:hAnsi="宋体"/>
                <w:b/>
                <w:color w:val="auto"/>
                <w:highlight w:val="none"/>
              </w:rPr>
              <w:t>PM10分析仪</w:t>
            </w:r>
          </w:p>
        </w:tc>
        <w:tc>
          <w:tcPr>
            <w:tcW w:w="850" w:type="dxa"/>
            <w:vAlign w:val="center"/>
          </w:tcPr>
          <w:p w14:paraId="2FC217F8">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646CEBB4">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6ED826C7">
            <w:pPr>
              <w:spacing w:line="360" w:lineRule="auto"/>
              <w:ind w:left="0" w:leftChars="0" w:firstLine="0" w:firstLineChars="0"/>
              <w:jc w:val="both"/>
              <w:rPr>
                <w:rFonts w:hAnsi="宋体"/>
                <w:b/>
                <w:color w:val="auto"/>
                <w:highlight w:val="none"/>
              </w:rPr>
            </w:pPr>
            <w:r>
              <w:rPr>
                <w:rFonts w:hAnsi="宋体"/>
                <w:b/>
                <w:color w:val="auto"/>
                <w:highlight w:val="none"/>
              </w:rPr>
              <w:t>5014i</w:t>
            </w:r>
          </w:p>
        </w:tc>
        <w:tc>
          <w:tcPr>
            <w:tcW w:w="1487" w:type="dxa"/>
            <w:vAlign w:val="center"/>
          </w:tcPr>
          <w:p w14:paraId="2C8A14EA">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519F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03EC6A26">
            <w:pPr>
              <w:spacing w:line="360" w:lineRule="auto"/>
              <w:ind w:left="0" w:leftChars="0" w:firstLine="0" w:firstLineChars="0"/>
              <w:jc w:val="both"/>
              <w:rPr>
                <w:rFonts w:hAnsi="宋体"/>
                <w:b/>
                <w:color w:val="auto"/>
                <w:highlight w:val="none"/>
              </w:rPr>
            </w:pPr>
            <w:r>
              <w:rPr>
                <w:rFonts w:hAnsi="宋体"/>
                <w:b/>
                <w:color w:val="auto"/>
                <w:highlight w:val="none"/>
              </w:rPr>
              <w:t>7</w:t>
            </w:r>
          </w:p>
        </w:tc>
        <w:tc>
          <w:tcPr>
            <w:tcW w:w="3692" w:type="dxa"/>
            <w:vAlign w:val="center"/>
          </w:tcPr>
          <w:p w14:paraId="17A43385">
            <w:pPr>
              <w:spacing w:line="360" w:lineRule="auto"/>
              <w:ind w:left="0" w:leftChars="0" w:firstLine="0" w:firstLineChars="0"/>
              <w:jc w:val="both"/>
              <w:rPr>
                <w:rFonts w:hAnsi="宋体"/>
                <w:b/>
                <w:color w:val="auto"/>
                <w:highlight w:val="none"/>
              </w:rPr>
            </w:pPr>
            <w:r>
              <w:rPr>
                <w:rFonts w:hAnsi="宋体"/>
                <w:b/>
                <w:color w:val="auto"/>
                <w:highlight w:val="none"/>
              </w:rPr>
              <w:t>五参数气象仪</w:t>
            </w:r>
          </w:p>
        </w:tc>
        <w:tc>
          <w:tcPr>
            <w:tcW w:w="850" w:type="dxa"/>
            <w:vAlign w:val="center"/>
          </w:tcPr>
          <w:p w14:paraId="575E023B">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7C5482E3">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7D0BDFF7">
            <w:pPr>
              <w:spacing w:line="360" w:lineRule="auto"/>
              <w:ind w:left="0" w:leftChars="0" w:firstLine="0" w:firstLineChars="0"/>
              <w:jc w:val="both"/>
              <w:rPr>
                <w:rFonts w:hAnsi="宋体"/>
                <w:b/>
                <w:color w:val="auto"/>
                <w:highlight w:val="none"/>
              </w:rPr>
            </w:pPr>
            <w:r>
              <w:rPr>
                <w:rFonts w:hAnsi="宋体"/>
                <w:b/>
                <w:color w:val="auto"/>
                <w:highlight w:val="none"/>
              </w:rPr>
              <w:t>110WX</w:t>
            </w:r>
          </w:p>
        </w:tc>
        <w:tc>
          <w:tcPr>
            <w:tcW w:w="1487" w:type="dxa"/>
            <w:vAlign w:val="center"/>
          </w:tcPr>
          <w:p w14:paraId="3DC69323">
            <w:pPr>
              <w:spacing w:line="360" w:lineRule="auto"/>
              <w:ind w:left="0" w:leftChars="0" w:firstLine="0" w:firstLineChars="0"/>
              <w:jc w:val="both"/>
              <w:rPr>
                <w:rFonts w:hAnsi="宋体"/>
                <w:b/>
                <w:color w:val="auto"/>
                <w:highlight w:val="none"/>
              </w:rPr>
            </w:pPr>
            <w:r>
              <w:rPr>
                <w:rFonts w:hAnsi="宋体"/>
                <w:b/>
                <w:color w:val="auto"/>
                <w:highlight w:val="none"/>
              </w:rPr>
              <w:t>Airmar</w:t>
            </w:r>
          </w:p>
        </w:tc>
      </w:tr>
      <w:tr w14:paraId="52E0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33550CCE">
            <w:pPr>
              <w:spacing w:line="360" w:lineRule="auto"/>
              <w:ind w:left="0" w:leftChars="0" w:firstLine="0" w:firstLineChars="0"/>
              <w:jc w:val="both"/>
              <w:rPr>
                <w:rFonts w:hAnsi="宋体"/>
                <w:b/>
                <w:color w:val="auto"/>
                <w:highlight w:val="none"/>
              </w:rPr>
            </w:pPr>
            <w:r>
              <w:rPr>
                <w:rFonts w:hAnsi="宋体"/>
                <w:b/>
                <w:color w:val="auto"/>
                <w:highlight w:val="none"/>
              </w:rPr>
              <w:t>8</w:t>
            </w:r>
          </w:p>
        </w:tc>
        <w:tc>
          <w:tcPr>
            <w:tcW w:w="3692" w:type="dxa"/>
            <w:vAlign w:val="center"/>
          </w:tcPr>
          <w:p w14:paraId="4A26C733">
            <w:pPr>
              <w:spacing w:line="360" w:lineRule="auto"/>
              <w:ind w:left="0" w:leftChars="0" w:firstLine="0" w:firstLineChars="0"/>
              <w:jc w:val="both"/>
              <w:rPr>
                <w:rFonts w:hAnsi="宋体"/>
                <w:b/>
                <w:color w:val="auto"/>
                <w:highlight w:val="none"/>
              </w:rPr>
            </w:pPr>
            <w:r>
              <w:rPr>
                <w:rFonts w:hAnsi="宋体"/>
                <w:b/>
                <w:color w:val="auto"/>
                <w:highlight w:val="none"/>
              </w:rPr>
              <w:t>零气发生器</w:t>
            </w:r>
          </w:p>
        </w:tc>
        <w:tc>
          <w:tcPr>
            <w:tcW w:w="850" w:type="dxa"/>
            <w:vAlign w:val="center"/>
          </w:tcPr>
          <w:p w14:paraId="2DEDA9A5">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713C78EC">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2DD70851">
            <w:pPr>
              <w:spacing w:line="360" w:lineRule="auto"/>
              <w:ind w:left="0" w:leftChars="0" w:firstLine="0" w:firstLineChars="0"/>
              <w:jc w:val="both"/>
              <w:rPr>
                <w:rFonts w:hAnsi="宋体"/>
                <w:b/>
                <w:color w:val="auto"/>
                <w:highlight w:val="none"/>
              </w:rPr>
            </w:pPr>
            <w:r>
              <w:rPr>
                <w:rFonts w:hAnsi="宋体"/>
                <w:b/>
                <w:color w:val="auto"/>
                <w:highlight w:val="none"/>
              </w:rPr>
              <w:t>111</w:t>
            </w:r>
          </w:p>
        </w:tc>
        <w:tc>
          <w:tcPr>
            <w:tcW w:w="1487" w:type="dxa"/>
            <w:vAlign w:val="center"/>
          </w:tcPr>
          <w:p w14:paraId="6BE7F412">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5F8E9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579BD446">
            <w:pPr>
              <w:spacing w:line="360" w:lineRule="auto"/>
              <w:ind w:left="0" w:leftChars="0" w:firstLine="0" w:firstLineChars="0"/>
              <w:jc w:val="both"/>
              <w:rPr>
                <w:rFonts w:hAnsi="宋体"/>
                <w:b/>
                <w:color w:val="auto"/>
                <w:highlight w:val="none"/>
              </w:rPr>
            </w:pPr>
            <w:r>
              <w:rPr>
                <w:rFonts w:hAnsi="宋体"/>
                <w:b/>
                <w:color w:val="auto"/>
                <w:highlight w:val="none"/>
              </w:rPr>
              <w:t>9</w:t>
            </w:r>
          </w:p>
        </w:tc>
        <w:tc>
          <w:tcPr>
            <w:tcW w:w="3692" w:type="dxa"/>
            <w:vAlign w:val="center"/>
          </w:tcPr>
          <w:p w14:paraId="293B3F6E">
            <w:pPr>
              <w:spacing w:line="360" w:lineRule="auto"/>
              <w:ind w:left="0" w:leftChars="0" w:firstLine="0" w:firstLineChars="0"/>
              <w:jc w:val="both"/>
              <w:rPr>
                <w:rFonts w:hAnsi="宋体"/>
                <w:b/>
                <w:color w:val="auto"/>
                <w:highlight w:val="none"/>
              </w:rPr>
            </w:pPr>
            <w:r>
              <w:rPr>
                <w:rFonts w:hAnsi="宋体"/>
                <w:b/>
                <w:color w:val="auto"/>
                <w:highlight w:val="none"/>
              </w:rPr>
              <w:t>动态校准仪</w:t>
            </w:r>
          </w:p>
        </w:tc>
        <w:tc>
          <w:tcPr>
            <w:tcW w:w="850" w:type="dxa"/>
            <w:vAlign w:val="center"/>
          </w:tcPr>
          <w:p w14:paraId="640740FF">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2CE8A701">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4251D29B">
            <w:pPr>
              <w:spacing w:line="360" w:lineRule="auto"/>
              <w:ind w:left="0" w:leftChars="0" w:firstLine="0" w:firstLineChars="0"/>
              <w:jc w:val="both"/>
              <w:rPr>
                <w:rFonts w:hAnsi="宋体"/>
                <w:b/>
                <w:color w:val="auto"/>
                <w:highlight w:val="none"/>
              </w:rPr>
            </w:pPr>
            <w:r>
              <w:rPr>
                <w:rFonts w:hAnsi="宋体"/>
                <w:b/>
                <w:color w:val="auto"/>
                <w:highlight w:val="none"/>
              </w:rPr>
              <w:t>146i</w:t>
            </w:r>
          </w:p>
        </w:tc>
        <w:tc>
          <w:tcPr>
            <w:tcW w:w="1487" w:type="dxa"/>
            <w:vAlign w:val="center"/>
          </w:tcPr>
          <w:p w14:paraId="3BD4D478">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099AD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015DA653">
            <w:pPr>
              <w:spacing w:line="360" w:lineRule="auto"/>
              <w:ind w:left="0" w:leftChars="0" w:firstLine="0" w:firstLineChars="0"/>
              <w:jc w:val="both"/>
              <w:rPr>
                <w:rFonts w:hAnsi="宋体"/>
                <w:b/>
                <w:color w:val="auto"/>
                <w:highlight w:val="none"/>
              </w:rPr>
            </w:pPr>
            <w:r>
              <w:rPr>
                <w:rFonts w:hAnsi="宋体"/>
                <w:b/>
                <w:color w:val="auto"/>
                <w:highlight w:val="none"/>
              </w:rPr>
              <w:t>10</w:t>
            </w:r>
          </w:p>
        </w:tc>
        <w:tc>
          <w:tcPr>
            <w:tcW w:w="3692" w:type="dxa"/>
            <w:vAlign w:val="center"/>
          </w:tcPr>
          <w:p w14:paraId="30F57539">
            <w:pPr>
              <w:spacing w:line="360" w:lineRule="auto"/>
              <w:ind w:left="0" w:leftChars="0" w:firstLine="0" w:firstLineChars="0"/>
              <w:jc w:val="both"/>
              <w:rPr>
                <w:rFonts w:hAnsi="宋体"/>
                <w:b/>
                <w:color w:val="auto"/>
                <w:highlight w:val="none"/>
              </w:rPr>
            </w:pPr>
            <w:r>
              <w:rPr>
                <w:rFonts w:hAnsi="宋体"/>
                <w:b/>
                <w:color w:val="auto"/>
                <w:highlight w:val="none"/>
              </w:rPr>
              <w:t>臭氧校准仪</w:t>
            </w:r>
          </w:p>
        </w:tc>
        <w:tc>
          <w:tcPr>
            <w:tcW w:w="850" w:type="dxa"/>
            <w:vAlign w:val="center"/>
          </w:tcPr>
          <w:p w14:paraId="0462293D">
            <w:pPr>
              <w:spacing w:line="360" w:lineRule="auto"/>
              <w:ind w:left="0" w:leftChars="0" w:firstLine="0" w:firstLineChars="0"/>
              <w:jc w:val="both"/>
              <w:rPr>
                <w:rFonts w:hAnsi="宋体"/>
                <w:b/>
                <w:color w:val="auto"/>
                <w:highlight w:val="none"/>
              </w:rPr>
            </w:pPr>
            <w:r>
              <w:rPr>
                <w:rFonts w:hAnsi="宋体"/>
                <w:b/>
                <w:color w:val="auto"/>
                <w:highlight w:val="none"/>
              </w:rPr>
              <w:t>1</w:t>
            </w:r>
          </w:p>
        </w:tc>
        <w:tc>
          <w:tcPr>
            <w:tcW w:w="706" w:type="dxa"/>
            <w:vAlign w:val="center"/>
          </w:tcPr>
          <w:p w14:paraId="6AFABBFF">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75DF2BE1">
            <w:pPr>
              <w:spacing w:line="360" w:lineRule="auto"/>
              <w:ind w:left="0" w:leftChars="0" w:firstLine="0" w:firstLineChars="0"/>
              <w:jc w:val="both"/>
              <w:rPr>
                <w:rFonts w:hAnsi="宋体"/>
                <w:b/>
                <w:color w:val="auto"/>
                <w:highlight w:val="none"/>
              </w:rPr>
            </w:pPr>
            <w:r>
              <w:rPr>
                <w:rFonts w:hAnsi="宋体"/>
                <w:b/>
                <w:color w:val="auto"/>
                <w:highlight w:val="none"/>
              </w:rPr>
              <w:t>49i-ps</w:t>
            </w:r>
          </w:p>
        </w:tc>
        <w:tc>
          <w:tcPr>
            <w:tcW w:w="1487" w:type="dxa"/>
            <w:vAlign w:val="center"/>
          </w:tcPr>
          <w:p w14:paraId="73267073">
            <w:pPr>
              <w:spacing w:line="360" w:lineRule="auto"/>
              <w:ind w:left="0" w:leftChars="0" w:firstLine="0" w:firstLineChars="0"/>
              <w:jc w:val="both"/>
              <w:rPr>
                <w:rFonts w:hAnsi="宋体"/>
                <w:b/>
                <w:color w:val="auto"/>
                <w:highlight w:val="none"/>
              </w:rPr>
            </w:pPr>
            <w:r>
              <w:rPr>
                <w:rFonts w:hAnsi="宋体"/>
                <w:b/>
                <w:color w:val="auto"/>
                <w:highlight w:val="none"/>
              </w:rPr>
              <w:t>赛默飞世尔</w:t>
            </w:r>
          </w:p>
        </w:tc>
      </w:tr>
      <w:tr w14:paraId="0678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7AEF978C">
            <w:pPr>
              <w:spacing w:line="360" w:lineRule="auto"/>
              <w:ind w:left="0" w:leftChars="0" w:firstLine="0" w:firstLineChars="0"/>
              <w:jc w:val="both"/>
              <w:rPr>
                <w:rFonts w:hAnsi="宋体"/>
                <w:b/>
                <w:color w:val="auto"/>
                <w:highlight w:val="none"/>
              </w:rPr>
            </w:pPr>
            <w:r>
              <w:rPr>
                <w:rFonts w:hAnsi="宋体"/>
                <w:b/>
                <w:color w:val="auto"/>
                <w:highlight w:val="none"/>
              </w:rPr>
              <w:t>11</w:t>
            </w:r>
          </w:p>
        </w:tc>
        <w:tc>
          <w:tcPr>
            <w:tcW w:w="3692" w:type="dxa"/>
            <w:vAlign w:val="center"/>
          </w:tcPr>
          <w:p w14:paraId="63A569B2">
            <w:pPr>
              <w:spacing w:line="360" w:lineRule="auto"/>
              <w:ind w:left="0" w:leftChars="0" w:firstLine="0" w:firstLineChars="0"/>
              <w:jc w:val="both"/>
              <w:rPr>
                <w:rFonts w:hAnsi="宋体"/>
                <w:b/>
                <w:color w:val="auto"/>
                <w:highlight w:val="none"/>
              </w:rPr>
            </w:pPr>
            <w:r>
              <w:rPr>
                <w:rFonts w:hAnsi="宋体"/>
                <w:b/>
                <w:color w:val="auto"/>
                <w:highlight w:val="none"/>
              </w:rPr>
              <w:t>数据采集和传输系统</w:t>
            </w:r>
          </w:p>
        </w:tc>
        <w:tc>
          <w:tcPr>
            <w:tcW w:w="850" w:type="dxa"/>
            <w:vAlign w:val="center"/>
          </w:tcPr>
          <w:p w14:paraId="554668F5">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136FFC81">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363F363D">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6CE475F1">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05CC3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1DB177EF">
            <w:pPr>
              <w:spacing w:line="360" w:lineRule="auto"/>
              <w:ind w:left="0" w:leftChars="0" w:firstLine="0" w:firstLineChars="0"/>
              <w:jc w:val="both"/>
              <w:rPr>
                <w:rFonts w:hAnsi="宋体"/>
                <w:b/>
                <w:color w:val="auto"/>
                <w:highlight w:val="none"/>
              </w:rPr>
            </w:pPr>
            <w:r>
              <w:rPr>
                <w:rFonts w:hAnsi="宋体"/>
                <w:b/>
                <w:color w:val="auto"/>
                <w:highlight w:val="none"/>
              </w:rPr>
              <w:t>12</w:t>
            </w:r>
          </w:p>
        </w:tc>
        <w:tc>
          <w:tcPr>
            <w:tcW w:w="3692" w:type="dxa"/>
            <w:vAlign w:val="center"/>
          </w:tcPr>
          <w:p w14:paraId="2201447C">
            <w:pPr>
              <w:spacing w:line="360" w:lineRule="auto"/>
              <w:ind w:left="0" w:leftChars="0" w:firstLine="0" w:firstLineChars="0"/>
              <w:jc w:val="both"/>
              <w:rPr>
                <w:rFonts w:hAnsi="宋体"/>
                <w:b/>
                <w:color w:val="auto"/>
                <w:highlight w:val="none"/>
              </w:rPr>
            </w:pPr>
            <w:r>
              <w:rPr>
                <w:rFonts w:hAnsi="宋体"/>
                <w:b/>
                <w:color w:val="auto"/>
                <w:highlight w:val="none"/>
              </w:rPr>
              <w:t>工控机</w:t>
            </w:r>
          </w:p>
        </w:tc>
        <w:tc>
          <w:tcPr>
            <w:tcW w:w="850" w:type="dxa"/>
            <w:vAlign w:val="center"/>
          </w:tcPr>
          <w:p w14:paraId="4D491DE5">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11199B53">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59A0CFD7">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3ADD84AC">
            <w:pPr>
              <w:spacing w:line="360" w:lineRule="auto"/>
              <w:ind w:left="0" w:leftChars="0" w:firstLine="0" w:firstLineChars="0"/>
              <w:jc w:val="both"/>
              <w:rPr>
                <w:rFonts w:hAnsi="宋体"/>
                <w:b/>
                <w:color w:val="auto"/>
                <w:highlight w:val="none"/>
              </w:rPr>
            </w:pPr>
            <w:r>
              <w:rPr>
                <w:rFonts w:hAnsi="宋体"/>
                <w:b/>
                <w:color w:val="auto"/>
                <w:highlight w:val="none"/>
              </w:rPr>
              <w:t>研华</w:t>
            </w:r>
          </w:p>
        </w:tc>
      </w:tr>
      <w:tr w14:paraId="6BF8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104514FD">
            <w:pPr>
              <w:spacing w:line="360" w:lineRule="auto"/>
              <w:ind w:left="0" w:leftChars="0" w:firstLine="0" w:firstLineChars="0"/>
              <w:jc w:val="both"/>
              <w:rPr>
                <w:rFonts w:hAnsi="宋体"/>
                <w:b/>
                <w:color w:val="auto"/>
                <w:highlight w:val="none"/>
              </w:rPr>
            </w:pPr>
            <w:r>
              <w:rPr>
                <w:rFonts w:hAnsi="宋体"/>
                <w:b/>
                <w:color w:val="auto"/>
                <w:highlight w:val="none"/>
              </w:rPr>
              <w:t>13</w:t>
            </w:r>
          </w:p>
        </w:tc>
        <w:tc>
          <w:tcPr>
            <w:tcW w:w="3692" w:type="dxa"/>
            <w:vAlign w:val="center"/>
          </w:tcPr>
          <w:p w14:paraId="26887EA2">
            <w:pPr>
              <w:spacing w:line="360" w:lineRule="auto"/>
              <w:ind w:left="0" w:leftChars="0" w:firstLine="0" w:firstLineChars="0"/>
              <w:jc w:val="both"/>
              <w:rPr>
                <w:rFonts w:hAnsi="宋体"/>
                <w:b/>
                <w:color w:val="auto"/>
                <w:highlight w:val="none"/>
              </w:rPr>
            </w:pPr>
            <w:r>
              <w:rPr>
                <w:rFonts w:hAnsi="宋体"/>
                <w:b/>
                <w:color w:val="auto"/>
                <w:highlight w:val="none"/>
              </w:rPr>
              <w:t>机柜</w:t>
            </w:r>
          </w:p>
        </w:tc>
        <w:tc>
          <w:tcPr>
            <w:tcW w:w="850" w:type="dxa"/>
            <w:vAlign w:val="center"/>
          </w:tcPr>
          <w:p w14:paraId="15E8B523">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422A7002">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56222007">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36ABB526">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0578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081E2F16">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3692" w:type="dxa"/>
            <w:vAlign w:val="center"/>
          </w:tcPr>
          <w:p w14:paraId="7F6BEE02">
            <w:pPr>
              <w:spacing w:line="360" w:lineRule="auto"/>
              <w:ind w:left="0" w:leftChars="0" w:firstLine="0" w:firstLineChars="0"/>
              <w:jc w:val="both"/>
              <w:rPr>
                <w:rFonts w:hAnsi="宋体"/>
                <w:b/>
                <w:color w:val="auto"/>
                <w:highlight w:val="none"/>
              </w:rPr>
            </w:pPr>
            <w:r>
              <w:rPr>
                <w:rFonts w:hAnsi="宋体"/>
                <w:b/>
                <w:color w:val="auto"/>
                <w:highlight w:val="none"/>
              </w:rPr>
              <w:t>采样总管</w:t>
            </w:r>
          </w:p>
        </w:tc>
        <w:tc>
          <w:tcPr>
            <w:tcW w:w="850" w:type="dxa"/>
            <w:vAlign w:val="center"/>
          </w:tcPr>
          <w:p w14:paraId="15D5B79F">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2FB276B9">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16795830">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1DEA9C84">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50FAA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04800587">
            <w:pPr>
              <w:spacing w:line="360" w:lineRule="auto"/>
              <w:ind w:left="0" w:leftChars="0" w:firstLine="0" w:firstLineChars="0"/>
              <w:jc w:val="both"/>
              <w:rPr>
                <w:rFonts w:hAnsi="宋体"/>
                <w:b/>
                <w:color w:val="auto"/>
                <w:highlight w:val="none"/>
              </w:rPr>
            </w:pPr>
            <w:r>
              <w:rPr>
                <w:rFonts w:hAnsi="宋体"/>
                <w:b/>
                <w:color w:val="auto"/>
                <w:highlight w:val="none"/>
              </w:rPr>
              <w:t>15</w:t>
            </w:r>
          </w:p>
        </w:tc>
        <w:tc>
          <w:tcPr>
            <w:tcW w:w="3692" w:type="dxa"/>
            <w:vAlign w:val="center"/>
          </w:tcPr>
          <w:p w14:paraId="472591B6">
            <w:pPr>
              <w:spacing w:line="360" w:lineRule="auto"/>
              <w:ind w:left="0" w:leftChars="0" w:firstLine="0" w:firstLineChars="0"/>
              <w:jc w:val="both"/>
              <w:rPr>
                <w:rFonts w:hAnsi="宋体"/>
                <w:b/>
                <w:color w:val="auto"/>
                <w:highlight w:val="none"/>
              </w:rPr>
            </w:pPr>
            <w:r>
              <w:rPr>
                <w:rFonts w:hAnsi="宋体"/>
                <w:b/>
                <w:color w:val="auto"/>
                <w:highlight w:val="none"/>
              </w:rPr>
              <w:t>视频监控</w:t>
            </w:r>
          </w:p>
        </w:tc>
        <w:tc>
          <w:tcPr>
            <w:tcW w:w="850" w:type="dxa"/>
            <w:vAlign w:val="center"/>
          </w:tcPr>
          <w:p w14:paraId="592E2596">
            <w:pPr>
              <w:spacing w:line="360" w:lineRule="auto"/>
              <w:ind w:left="0" w:leftChars="0" w:firstLine="0" w:firstLineChars="0"/>
              <w:jc w:val="both"/>
              <w:rPr>
                <w:rFonts w:hAnsi="宋体"/>
                <w:b/>
                <w:color w:val="auto"/>
                <w:highlight w:val="none"/>
              </w:rPr>
            </w:pPr>
            <w:r>
              <w:rPr>
                <w:rFonts w:hAnsi="宋体"/>
                <w:b/>
                <w:color w:val="auto"/>
                <w:highlight w:val="none"/>
              </w:rPr>
              <w:t>28</w:t>
            </w:r>
          </w:p>
        </w:tc>
        <w:tc>
          <w:tcPr>
            <w:tcW w:w="706" w:type="dxa"/>
            <w:vAlign w:val="center"/>
          </w:tcPr>
          <w:p w14:paraId="7B11C23E">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14871DAD">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584ABFC1">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5FDE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4672D2C8">
            <w:pPr>
              <w:spacing w:line="360" w:lineRule="auto"/>
              <w:ind w:left="0" w:leftChars="0" w:firstLine="0" w:firstLineChars="0"/>
              <w:jc w:val="both"/>
              <w:rPr>
                <w:rFonts w:hAnsi="宋体"/>
                <w:b/>
                <w:color w:val="auto"/>
                <w:highlight w:val="none"/>
              </w:rPr>
            </w:pPr>
            <w:r>
              <w:rPr>
                <w:rFonts w:hAnsi="宋体"/>
                <w:b/>
                <w:color w:val="auto"/>
                <w:highlight w:val="none"/>
              </w:rPr>
              <w:t>16</w:t>
            </w:r>
          </w:p>
        </w:tc>
        <w:tc>
          <w:tcPr>
            <w:tcW w:w="3692" w:type="dxa"/>
            <w:vAlign w:val="center"/>
          </w:tcPr>
          <w:p w14:paraId="716DE1D2">
            <w:pPr>
              <w:spacing w:line="360" w:lineRule="auto"/>
              <w:ind w:left="0" w:leftChars="0" w:firstLine="0" w:firstLineChars="0"/>
              <w:jc w:val="both"/>
              <w:rPr>
                <w:rFonts w:hAnsi="宋体"/>
                <w:b/>
                <w:color w:val="auto"/>
                <w:highlight w:val="none"/>
              </w:rPr>
            </w:pPr>
            <w:r>
              <w:rPr>
                <w:rFonts w:hAnsi="宋体"/>
                <w:b/>
                <w:color w:val="auto"/>
                <w:highlight w:val="none"/>
              </w:rPr>
              <w:t>空调</w:t>
            </w:r>
          </w:p>
        </w:tc>
        <w:tc>
          <w:tcPr>
            <w:tcW w:w="850" w:type="dxa"/>
            <w:vAlign w:val="center"/>
          </w:tcPr>
          <w:p w14:paraId="4D54BEA2">
            <w:pPr>
              <w:spacing w:line="360" w:lineRule="auto"/>
              <w:ind w:left="0" w:leftChars="0" w:firstLine="0" w:firstLineChars="0"/>
              <w:jc w:val="both"/>
              <w:rPr>
                <w:rFonts w:hAnsi="宋体"/>
                <w:b/>
                <w:color w:val="auto"/>
                <w:highlight w:val="none"/>
              </w:rPr>
            </w:pPr>
            <w:r>
              <w:rPr>
                <w:rFonts w:hAnsi="宋体"/>
                <w:b/>
                <w:color w:val="auto"/>
                <w:highlight w:val="none"/>
              </w:rPr>
              <w:t>28</w:t>
            </w:r>
          </w:p>
        </w:tc>
        <w:tc>
          <w:tcPr>
            <w:tcW w:w="706" w:type="dxa"/>
            <w:vAlign w:val="center"/>
          </w:tcPr>
          <w:p w14:paraId="535FD04A">
            <w:pPr>
              <w:spacing w:line="360" w:lineRule="auto"/>
              <w:ind w:left="0" w:leftChars="0" w:firstLine="0" w:firstLineChars="0"/>
              <w:jc w:val="both"/>
              <w:rPr>
                <w:rFonts w:hAnsi="宋体"/>
                <w:b/>
                <w:color w:val="auto"/>
                <w:highlight w:val="none"/>
              </w:rPr>
            </w:pPr>
            <w:r>
              <w:rPr>
                <w:rFonts w:hAnsi="宋体"/>
                <w:b/>
                <w:color w:val="auto"/>
                <w:highlight w:val="none"/>
              </w:rPr>
              <w:t>台</w:t>
            </w:r>
          </w:p>
        </w:tc>
        <w:tc>
          <w:tcPr>
            <w:tcW w:w="1076" w:type="dxa"/>
            <w:vAlign w:val="center"/>
          </w:tcPr>
          <w:p w14:paraId="5A54178D">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3D87FCFC">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46B7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3D94DC99">
            <w:pPr>
              <w:spacing w:line="360" w:lineRule="auto"/>
              <w:ind w:left="0" w:leftChars="0" w:firstLine="0" w:firstLineChars="0"/>
              <w:jc w:val="both"/>
              <w:rPr>
                <w:rFonts w:hAnsi="宋体"/>
                <w:b/>
                <w:color w:val="auto"/>
                <w:highlight w:val="none"/>
              </w:rPr>
            </w:pPr>
            <w:r>
              <w:rPr>
                <w:rFonts w:hAnsi="宋体"/>
                <w:b/>
                <w:color w:val="auto"/>
                <w:highlight w:val="none"/>
              </w:rPr>
              <w:t>17</w:t>
            </w:r>
          </w:p>
        </w:tc>
        <w:tc>
          <w:tcPr>
            <w:tcW w:w="3692" w:type="dxa"/>
            <w:vAlign w:val="center"/>
          </w:tcPr>
          <w:p w14:paraId="37C6F0C5">
            <w:pPr>
              <w:spacing w:line="360" w:lineRule="auto"/>
              <w:ind w:left="0" w:leftChars="0" w:firstLine="0" w:firstLineChars="0"/>
              <w:jc w:val="both"/>
              <w:rPr>
                <w:rFonts w:hAnsi="宋体"/>
                <w:b/>
                <w:color w:val="auto"/>
                <w:highlight w:val="none"/>
              </w:rPr>
            </w:pPr>
            <w:r>
              <w:rPr>
                <w:rFonts w:hAnsi="宋体"/>
                <w:b/>
                <w:color w:val="auto"/>
                <w:highlight w:val="none"/>
              </w:rPr>
              <w:t>站房</w:t>
            </w:r>
          </w:p>
        </w:tc>
        <w:tc>
          <w:tcPr>
            <w:tcW w:w="850" w:type="dxa"/>
            <w:vAlign w:val="center"/>
          </w:tcPr>
          <w:p w14:paraId="1F8A87D8">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5428B5F2">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1CAD4134">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37B858F7">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r w14:paraId="0F4E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dxa"/>
            <w:vAlign w:val="center"/>
          </w:tcPr>
          <w:p w14:paraId="7088E8A7">
            <w:pPr>
              <w:spacing w:line="360" w:lineRule="auto"/>
              <w:ind w:left="0" w:leftChars="0" w:firstLine="0" w:firstLineChars="0"/>
              <w:jc w:val="both"/>
              <w:rPr>
                <w:rFonts w:hAnsi="宋体"/>
                <w:b/>
                <w:color w:val="auto"/>
                <w:highlight w:val="none"/>
              </w:rPr>
            </w:pPr>
            <w:r>
              <w:rPr>
                <w:rFonts w:hAnsi="宋体"/>
                <w:b/>
                <w:color w:val="auto"/>
                <w:highlight w:val="none"/>
              </w:rPr>
              <w:t>18</w:t>
            </w:r>
          </w:p>
        </w:tc>
        <w:tc>
          <w:tcPr>
            <w:tcW w:w="3692" w:type="dxa"/>
            <w:vAlign w:val="center"/>
          </w:tcPr>
          <w:p w14:paraId="7B14BF99">
            <w:pPr>
              <w:spacing w:line="360" w:lineRule="auto"/>
              <w:ind w:left="0" w:leftChars="0" w:firstLine="0" w:firstLineChars="0"/>
              <w:jc w:val="both"/>
              <w:rPr>
                <w:rFonts w:hAnsi="宋体"/>
                <w:b/>
                <w:color w:val="auto"/>
                <w:highlight w:val="none"/>
              </w:rPr>
            </w:pPr>
            <w:r>
              <w:rPr>
                <w:rFonts w:hAnsi="宋体"/>
                <w:b/>
                <w:color w:val="auto"/>
                <w:highlight w:val="none"/>
              </w:rPr>
              <w:t>防雷</w:t>
            </w:r>
          </w:p>
        </w:tc>
        <w:tc>
          <w:tcPr>
            <w:tcW w:w="850" w:type="dxa"/>
            <w:vAlign w:val="center"/>
          </w:tcPr>
          <w:p w14:paraId="7EEC8D7F">
            <w:pPr>
              <w:spacing w:line="360" w:lineRule="auto"/>
              <w:ind w:left="0" w:leftChars="0" w:firstLine="0" w:firstLineChars="0"/>
              <w:jc w:val="both"/>
              <w:rPr>
                <w:rFonts w:hAnsi="宋体"/>
                <w:b/>
                <w:color w:val="auto"/>
                <w:highlight w:val="none"/>
              </w:rPr>
            </w:pPr>
            <w:r>
              <w:rPr>
                <w:rFonts w:hAnsi="宋体"/>
                <w:b/>
                <w:color w:val="auto"/>
                <w:highlight w:val="none"/>
              </w:rPr>
              <w:t>14</w:t>
            </w:r>
          </w:p>
        </w:tc>
        <w:tc>
          <w:tcPr>
            <w:tcW w:w="706" w:type="dxa"/>
            <w:vAlign w:val="center"/>
          </w:tcPr>
          <w:p w14:paraId="3E0EB0D7">
            <w:pPr>
              <w:spacing w:line="360" w:lineRule="auto"/>
              <w:ind w:left="0" w:leftChars="0" w:firstLine="0" w:firstLineChars="0"/>
              <w:jc w:val="both"/>
              <w:rPr>
                <w:rFonts w:hAnsi="宋体"/>
                <w:b/>
                <w:color w:val="auto"/>
                <w:highlight w:val="none"/>
              </w:rPr>
            </w:pPr>
            <w:r>
              <w:rPr>
                <w:rFonts w:hAnsi="宋体"/>
                <w:b/>
                <w:color w:val="auto"/>
                <w:highlight w:val="none"/>
              </w:rPr>
              <w:t>套</w:t>
            </w:r>
          </w:p>
        </w:tc>
        <w:tc>
          <w:tcPr>
            <w:tcW w:w="1076" w:type="dxa"/>
            <w:vAlign w:val="center"/>
          </w:tcPr>
          <w:p w14:paraId="482E4144">
            <w:pPr>
              <w:spacing w:line="360" w:lineRule="auto"/>
              <w:ind w:left="0" w:leftChars="0" w:firstLine="0" w:firstLineChars="0"/>
              <w:jc w:val="both"/>
              <w:rPr>
                <w:rFonts w:hAnsi="宋体"/>
                <w:b/>
                <w:color w:val="auto"/>
                <w:highlight w:val="none"/>
              </w:rPr>
            </w:pPr>
            <w:r>
              <w:rPr>
                <w:rFonts w:hAnsi="宋体"/>
                <w:b/>
                <w:color w:val="auto"/>
                <w:highlight w:val="none"/>
              </w:rPr>
              <w:t>/</w:t>
            </w:r>
          </w:p>
        </w:tc>
        <w:tc>
          <w:tcPr>
            <w:tcW w:w="1487" w:type="dxa"/>
            <w:vAlign w:val="center"/>
          </w:tcPr>
          <w:p w14:paraId="66E7539D">
            <w:pPr>
              <w:spacing w:line="360" w:lineRule="auto"/>
              <w:ind w:left="0" w:leftChars="0" w:firstLine="0" w:firstLineChars="0"/>
              <w:jc w:val="both"/>
              <w:rPr>
                <w:rFonts w:hAnsi="宋体"/>
                <w:b/>
                <w:color w:val="auto"/>
                <w:highlight w:val="none"/>
              </w:rPr>
            </w:pPr>
            <w:r>
              <w:rPr>
                <w:rFonts w:hAnsi="宋体"/>
                <w:b/>
                <w:color w:val="auto"/>
                <w:highlight w:val="none"/>
              </w:rPr>
              <w:t>宇星科技定制</w:t>
            </w:r>
          </w:p>
        </w:tc>
      </w:tr>
    </w:tbl>
    <w:p w14:paraId="672A3036">
      <w:pPr>
        <w:widowControl/>
        <w:adjustRightInd w:val="0"/>
        <w:snapToGrid w:val="0"/>
        <w:spacing w:line="360" w:lineRule="auto"/>
        <w:jc w:val="left"/>
        <w:rPr>
          <w:rFonts w:hAnsi="宋体"/>
          <w:color w:val="auto"/>
          <w:kern w:val="0"/>
          <w:sz w:val="24"/>
          <w:szCs w:val="20"/>
          <w:highlight w:val="none"/>
        </w:rPr>
      </w:pPr>
      <w:r>
        <w:rPr>
          <w:rFonts w:hint="eastAsia" w:hAnsi="宋体"/>
          <w:color w:val="auto"/>
          <w:kern w:val="0"/>
          <w:sz w:val="24"/>
          <w:szCs w:val="20"/>
          <w:highlight w:val="none"/>
        </w:rPr>
        <w:t>备注：（1）</w:t>
      </w:r>
      <w:r>
        <w:rPr>
          <w:rFonts w:hAnsi="宋体"/>
          <w:color w:val="auto"/>
          <w:kern w:val="0"/>
          <w:sz w:val="24"/>
          <w:szCs w:val="20"/>
          <w:highlight w:val="none"/>
        </w:rPr>
        <w:t>必须提供气站日常运行维护所必须的各类设备；</w:t>
      </w:r>
      <w:r>
        <w:rPr>
          <w:rFonts w:hint="eastAsia" w:hAnsi="宋体"/>
          <w:color w:val="auto"/>
          <w:kern w:val="0"/>
          <w:sz w:val="24"/>
          <w:szCs w:val="20"/>
          <w:highlight w:val="none"/>
        </w:rPr>
        <w:t>（2）</w:t>
      </w:r>
      <w:r>
        <w:rPr>
          <w:rFonts w:hAnsi="宋体"/>
          <w:color w:val="auto"/>
          <w:kern w:val="0"/>
          <w:sz w:val="24"/>
          <w:szCs w:val="20"/>
          <w:highlight w:val="none"/>
        </w:rPr>
        <w:t>SO2、NOx、CO气体分析仪含在有效期内的标气；</w:t>
      </w:r>
      <w:r>
        <w:rPr>
          <w:rFonts w:hint="eastAsia" w:hAnsi="宋体"/>
          <w:color w:val="auto"/>
          <w:kern w:val="0"/>
          <w:sz w:val="24"/>
          <w:szCs w:val="20"/>
          <w:highlight w:val="none"/>
        </w:rPr>
        <w:t>（3）</w:t>
      </w:r>
      <w:r>
        <w:rPr>
          <w:rFonts w:hAnsi="宋体"/>
          <w:color w:val="auto"/>
          <w:kern w:val="0"/>
          <w:sz w:val="24"/>
          <w:szCs w:val="20"/>
          <w:highlight w:val="none"/>
        </w:rPr>
        <w:t>臭氧校准仪：需按相关技术规范要求由有资质单位进行量值溯源，并取得相关证书；</w:t>
      </w:r>
      <w:r>
        <w:rPr>
          <w:rFonts w:hint="eastAsia" w:hAnsi="宋体"/>
          <w:color w:val="auto"/>
          <w:kern w:val="0"/>
          <w:sz w:val="24"/>
          <w:szCs w:val="20"/>
          <w:highlight w:val="none"/>
        </w:rPr>
        <w:t>（4）</w:t>
      </w:r>
      <w:r>
        <w:rPr>
          <w:rFonts w:hAnsi="宋体"/>
          <w:color w:val="auto"/>
          <w:kern w:val="0"/>
          <w:sz w:val="24"/>
          <w:szCs w:val="20"/>
          <w:highlight w:val="none"/>
        </w:rPr>
        <w:t>14个站房的防雷设施每年必须由有资质单位进行检测并取得证书；</w:t>
      </w:r>
      <w:r>
        <w:rPr>
          <w:rFonts w:hint="eastAsia" w:hAnsi="宋体"/>
          <w:color w:val="auto"/>
          <w:kern w:val="0"/>
          <w:sz w:val="24"/>
          <w:szCs w:val="20"/>
          <w:highlight w:val="none"/>
        </w:rPr>
        <w:t>（5）</w:t>
      </w:r>
      <w:r>
        <w:rPr>
          <w:rFonts w:hAnsi="宋体"/>
          <w:color w:val="auto"/>
          <w:kern w:val="0"/>
          <w:sz w:val="24"/>
          <w:szCs w:val="20"/>
          <w:highlight w:val="none"/>
        </w:rPr>
        <w:t>日常用于校准的流量计须定期进行检定。</w:t>
      </w:r>
    </w:p>
    <w:p w14:paraId="2949E495">
      <w:pPr>
        <w:pStyle w:val="288"/>
        <w:spacing w:line="360" w:lineRule="auto"/>
        <w:ind w:firstLine="480"/>
        <w:rPr>
          <w:rFonts w:hAnsi="宋体"/>
          <w:color w:val="auto"/>
          <w:highlight w:val="none"/>
        </w:rPr>
      </w:pPr>
      <w:r>
        <w:rPr>
          <w:rFonts w:hint="eastAsia" w:hAnsi="宋体"/>
          <w:color w:val="auto"/>
          <w:highlight w:val="none"/>
        </w:rPr>
        <w:t>1.</w:t>
      </w:r>
      <w:r>
        <w:rPr>
          <w:rFonts w:hint="eastAsia" w:ascii="宋体" w:hAnsi="宋体" w:cs="宋体"/>
          <w:sz w:val="24"/>
          <w:szCs w:val="24"/>
          <w:highlight w:val="none"/>
          <w:lang w:bidi="ar"/>
        </w:rPr>
        <w:t>投标人须严格执行</w:t>
      </w:r>
      <w:r>
        <w:rPr>
          <w:rFonts w:hint="eastAsia" w:ascii="宋体" w:hAnsi="宋体" w:cs="宋体"/>
          <w:sz w:val="24"/>
          <w:szCs w:val="24"/>
          <w:highlight w:val="none"/>
        </w:rPr>
        <w:t>《环境空气气态污染物（SO</w:t>
      </w:r>
      <w:r>
        <w:rPr>
          <w:rFonts w:hint="eastAsia" w:ascii="宋体" w:hAnsi="宋体" w:cs="宋体"/>
          <w:sz w:val="24"/>
          <w:szCs w:val="24"/>
          <w:highlight w:val="none"/>
          <w:vertAlign w:val="subscript"/>
        </w:rPr>
        <w:t>2</w:t>
      </w:r>
      <w:r>
        <w:rPr>
          <w:rFonts w:hint="eastAsia" w:ascii="宋体" w:hAnsi="宋体" w:cs="宋体"/>
          <w:sz w:val="24"/>
          <w:szCs w:val="24"/>
          <w:highlight w:val="none"/>
        </w:rPr>
        <w:t>、NO</w:t>
      </w:r>
      <w:r>
        <w:rPr>
          <w:rFonts w:hint="eastAsia" w:ascii="宋体" w:hAnsi="宋体" w:cs="宋体"/>
          <w:sz w:val="24"/>
          <w:szCs w:val="24"/>
          <w:highlight w:val="none"/>
          <w:vertAlign w:val="subscript"/>
        </w:rPr>
        <w:t>2</w:t>
      </w:r>
      <w:r>
        <w:rPr>
          <w:rFonts w:hint="eastAsia" w:ascii="宋体" w:hAnsi="宋体" w:cs="宋体"/>
          <w:sz w:val="24"/>
          <w:szCs w:val="24"/>
          <w:highlight w:val="none"/>
        </w:rPr>
        <w:t>、O</w:t>
      </w:r>
      <w:r>
        <w:rPr>
          <w:rFonts w:hint="eastAsia" w:ascii="宋体" w:hAnsi="宋体" w:cs="宋体"/>
          <w:sz w:val="24"/>
          <w:szCs w:val="24"/>
          <w:highlight w:val="none"/>
          <w:vertAlign w:val="subscript"/>
        </w:rPr>
        <w:t>3</w:t>
      </w:r>
      <w:r>
        <w:rPr>
          <w:rFonts w:hint="eastAsia" w:ascii="宋体" w:hAnsi="宋体" w:cs="宋体"/>
          <w:sz w:val="24"/>
          <w:szCs w:val="24"/>
          <w:highlight w:val="none"/>
        </w:rPr>
        <w:t>、CO）连续自动监测系统运行与质控技术规范》（HJ818-2018）、《环境空气颗粒物（PM</w:t>
      </w:r>
      <w:r>
        <w:rPr>
          <w:rFonts w:hint="eastAsia" w:ascii="宋体" w:hAnsi="宋体" w:cs="宋体"/>
          <w:sz w:val="24"/>
          <w:szCs w:val="24"/>
          <w:highlight w:val="none"/>
          <w:vertAlign w:val="subscript"/>
        </w:rPr>
        <w:t>10</w:t>
      </w:r>
      <w:r>
        <w:rPr>
          <w:rFonts w:hint="eastAsia" w:ascii="宋体" w:hAnsi="宋体" w:cs="宋体"/>
          <w:sz w:val="24"/>
          <w:szCs w:val="24"/>
          <w:highlight w:val="none"/>
        </w:rPr>
        <w:t>和PM</w:t>
      </w:r>
      <w:r>
        <w:rPr>
          <w:rFonts w:hint="eastAsia" w:ascii="宋体" w:hAnsi="宋体" w:cs="宋体"/>
          <w:sz w:val="24"/>
          <w:szCs w:val="24"/>
          <w:highlight w:val="none"/>
          <w:vertAlign w:val="subscript"/>
        </w:rPr>
        <w:t>2.5</w:t>
      </w:r>
      <w:r>
        <w:rPr>
          <w:rFonts w:hint="eastAsia" w:ascii="宋体" w:hAnsi="宋体" w:cs="宋体"/>
          <w:sz w:val="24"/>
          <w:szCs w:val="24"/>
          <w:highlight w:val="none"/>
        </w:rPr>
        <w:t>）连续自动监测系统运行和质控技术规范》（HJ817-2018）、《环境空气挥发性有机物气相色谱连续监测系统技术要求及检测方法》(HJ 1010 -2018)、</w:t>
      </w:r>
      <w:r>
        <w:rPr>
          <w:rFonts w:hint="eastAsia" w:ascii="宋体" w:hAnsi="宋体" w:cs="宋体"/>
          <w:spacing w:val="-6"/>
          <w:sz w:val="24"/>
          <w:szCs w:val="24"/>
          <w:highlight w:val="none"/>
        </w:rPr>
        <w:t>《国家大气光化学监测网自动监测数据审核技术指南（2021版）（试行）》、</w:t>
      </w:r>
      <w:r>
        <w:rPr>
          <w:rFonts w:hint="eastAsia" w:ascii="宋体" w:hAnsi="宋体" w:cs="宋体"/>
          <w:sz w:val="24"/>
          <w:szCs w:val="24"/>
          <w:highlight w:val="none"/>
        </w:rPr>
        <w:t>《江苏省省控环境空气质量自动监测站运行管理实施细则（试行）》、</w:t>
      </w:r>
      <w:r>
        <w:rPr>
          <w:rFonts w:hint="eastAsia" w:ascii="宋体" w:hAnsi="宋体" w:cs="宋体"/>
          <w:sz w:val="24"/>
          <w:szCs w:val="24"/>
          <w:highlight w:val="none"/>
          <w:lang w:bidi="ar"/>
        </w:rPr>
        <w:t>《南通市环境质量自动监测站运行管理办法（试行）》等</w:t>
      </w:r>
      <w:r>
        <w:rPr>
          <w:sz w:val="24"/>
          <w:highlight w:val="none"/>
        </w:rPr>
        <w:t>现行有效的国家技术规范开展本项目工作</w:t>
      </w:r>
      <w:r>
        <w:rPr>
          <w:rFonts w:hint="eastAsia" w:ascii="宋体" w:hAnsi="宋体" w:cs="宋体"/>
          <w:sz w:val="24"/>
          <w:szCs w:val="24"/>
          <w:highlight w:val="none"/>
          <w:lang w:bidi="ar"/>
        </w:rPr>
        <w:t>。当国家或省有关规定和技术文件要求出台新的气站运维要求时，以新要求为准。如文件中有矛盾之处，以最新发布的文件为准，采购人保留对相关要求的解释权。</w:t>
      </w:r>
      <w:r>
        <w:rPr>
          <w:rFonts w:hint="eastAsia" w:hAnsi="宋体"/>
          <w:color w:val="auto"/>
          <w:highlight w:val="none"/>
        </w:rPr>
        <w:t>建立日常运行管理制度，实施空气自动站的运行和维护，对空气自动站的正常、稳定、安全运行负责。</w:t>
      </w:r>
    </w:p>
    <w:p w14:paraId="705ABF7A">
      <w:pPr>
        <w:pStyle w:val="288"/>
        <w:spacing w:line="360" w:lineRule="auto"/>
        <w:ind w:firstLine="480"/>
        <w:rPr>
          <w:rFonts w:hAnsi="宋体"/>
          <w:color w:val="auto"/>
          <w:highlight w:val="none"/>
        </w:rPr>
      </w:pPr>
      <w:r>
        <w:rPr>
          <w:rFonts w:hint="eastAsia" w:hAnsi="宋体"/>
          <w:color w:val="auto"/>
          <w:highlight w:val="none"/>
        </w:rPr>
        <w:t>2.按照质量管理要求，建立内部质量管理体系，实施自动监测数据的质量控制，明确细化运维内容、程序、责任，确保数据质量和正常稳定上传。</w:t>
      </w:r>
    </w:p>
    <w:p w14:paraId="0C27C9DE">
      <w:pPr>
        <w:pStyle w:val="288"/>
        <w:spacing w:line="360" w:lineRule="auto"/>
        <w:ind w:firstLine="480"/>
        <w:rPr>
          <w:rFonts w:hAnsi="宋体"/>
          <w:color w:val="auto"/>
          <w:highlight w:val="none"/>
        </w:rPr>
      </w:pPr>
      <w:r>
        <w:rPr>
          <w:rFonts w:hint="eastAsia" w:hAnsi="宋体"/>
          <w:color w:val="auto"/>
          <w:highlight w:val="none"/>
        </w:rPr>
        <w:t>3.保障空气自动站监测数据的采集与传输工作，负责运维自动站的数据初核工作，对未通过审核数据及时进行核实与排查。</w:t>
      </w:r>
    </w:p>
    <w:p w14:paraId="2A70AA30">
      <w:pPr>
        <w:pStyle w:val="288"/>
        <w:spacing w:line="360" w:lineRule="auto"/>
        <w:ind w:firstLine="480"/>
        <w:rPr>
          <w:rFonts w:hAnsi="宋体"/>
          <w:color w:val="auto"/>
          <w:highlight w:val="none"/>
        </w:rPr>
      </w:pPr>
      <w:r>
        <w:rPr>
          <w:rFonts w:hint="eastAsia" w:hAnsi="宋体"/>
          <w:color w:val="auto"/>
          <w:highlight w:val="none"/>
        </w:rPr>
        <w:t>4.建立数据异常快速响应机制，发现数据中断、异常等情况时，及时查找分析原因，排除异常情况，采取有效预防措施。</w:t>
      </w:r>
    </w:p>
    <w:p w14:paraId="0F5E7240">
      <w:pPr>
        <w:pStyle w:val="288"/>
        <w:spacing w:line="360" w:lineRule="auto"/>
        <w:ind w:firstLine="480"/>
        <w:rPr>
          <w:color w:val="auto"/>
          <w:highlight w:val="none"/>
        </w:rPr>
      </w:pPr>
      <w:r>
        <w:rPr>
          <w:rFonts w:hAnsi="宋体"/>
          <w:color w:val="auto"/>
          <w:highlight w:val="none"/>
        </w:rPr>
        <w:t>（二）数据服务工作。根据数据审核要求，安排人员每日对14个镇级空气自动监测站点的数据进行审核，形成每日数据汇总分析报告。按照采购人需求，在重点时段配合开展审核、分析等数据服务工作。</w:t>
      </w:r>
    </w:p>
    <w:p w14:paraId="0DE0DCC7">
      <w:pPr>
        <w:pStyle w:val="288"/>
        <w:spacing w:line="360" w:lineRule="auto"/>
        <w:ind w:firstLine="480"/>
        <w:rPr>
          <w:rFonts w:hAnsi="宋体"/>
          <w:color w:val="auto"/>
          <w:highlight w:val="none"/>
        </w:rPr>
      </w:pPr>
      <w:r>
        <w:rPr>
          <w:rFonts w:hAnsi="宋体"/>
          <w:color w:val="auto"/>
          <w:highlight w:val="none"/>
        </w:rPr>
        <w:t>（三）</w:t>
      </w:r>
      <w:r>
        <w:rPr>
          <w:rFonts w:hint="eastAsia" w:hAnsi="宋体"/>
          <w:color w:val="auto"/>
          <w:highlight w:val="none"/>
          <w:lang w:val="en-US" w:eastAsia="zh-CN"/>
        </w:rPr>
        <w:t>大气污染防治</w:t>
      </w:r>
      <w:r>
        <w:rPr>
          <w:rFonts w:hAnsi="宋体"/>
          <w:color w:val="auto"/>
          <w:highlight w:val="none"/>
        </w:rPr>
        <w:t>工作。按照采购人需求，在重点区域配合开展大气</w:t>
      </w:r>
      <w:r>
        <w:rPr>
          <w:rFonts w:hint="eastAsia" w:hAnsi="宋体"/>
          <w:color w:val="auto"/>
          <w:highlight w:val="none"/>
          <w:lang w:val="en-US" w:eastAsia="zh-CN"/>
        </w:rPr>
        <w:t>污染防治</w:t>
      </w:r>
      <w:r>
        <w:rPr>
          <w:rFonts w:hAnsi="宋体"/>
          <w:color w:val="auto"/>
          <w:highlight w:val="none"/>
        </w:rPr>
        <w:t>工作</w:t>
      </w:r>
      <w:r>
        <w:rPr>
          <w:rFonts w:hint="eastAsia" w:hAnsi="宋体"/>
          <w:color w:val="auto"/>
          <w:highlight w:val="none"/>
          <w:lang w:val="en-US" w:eastAsia="zh-CN"/>
        </w:rPr>
        <w:t>并开展防人为干扰巡查检查</w:t>
      </w:r>
      <w:r>
        <w:rPr>
          <w:rFonts w:hAnsi="宋体"/>
          <w:color w:val="auto"/>
          <w:highlight w:val="none"/>
        </w:rPr>
        <w:t>。</w:t>
      </w:r>
    </w:p>
    <w:p w14:paraId="146FDDEB">
      <w:pPr>
        <w:pStyle w:val="288"/>
        <w:spacing w:line="360" w:lineRule="auto"/>
        <w:ind w:firstLine="480"/>
        <w:rPr>
          <w:color w:val="auto"/>
          <w:highlight w:val="none"/>
        </w:rPr>
      </w:pPr>
      <w:r>
        <w:rPr>
          <w:rFonts w:hAnsi="宋体"/>
          <w:color w:val="auto"/>
          <w:highlight w:val="none"/>
        </w:rPr>
        <w:t>二、总体要求</w:t>
      </w:r>
    </w:p>
    <w:p w14:paraId="215F2F7E">
      <w:pPr>
        <w:snapToGrid w:val="0"/>
        <w:spacing w:line="360" w:lineRule="auto"/>
        <w:ind w:firstLine="480" w:firstLineChars="200"/>
        <w:jc w:val="left"/>
        <w:rPr>
          <w:color w:val="auto"/>
          <w:sz w:val="24"/>
          <w:highlight w:val="none"/>
        </w:rPr>
      </w:pPr>
      <w:r>
        <w:rPr>
          <w:color w:val="auto"/>
          <w:sz w:val="24"/>
          <w:highlight w:val="none"/>
        </w:rPr>
        <w:t>运维服务期间，成交供应商必须遵守国家的有关法律、法规及环保行业规定，本着为采购人负责的精神，依照规范，科学管理，使各空气站系统及仪表运行达到国家及行业颁布的技术标准和考核指标要求；既要及时维修空气站系统和仪表的故障，更要防范和减少故障，使各空气站真正发挥其效能和作用，确保监测数据及时、科学和准确。</w:t>
      </w:r>
    </w:p>
    <w:p w14:paraId="60E1F05F">
      <w:pPr>
        <w:snapToGrid w:val="0"/>
        <w:spacing w:line="360" w:lineRule="auto"/>
        <w:ind w:firstLine="480" w:firstLineChars="200"/>
        <w:jc w:val="left"/>
        <w:rPr>
          <w:color w:val="auto"/>
          <w:sz w:val="24"/>
          <w:highlight w:val="none"/>
        </w:rPr>
      </w:pPr>
      <w:r>
        <w:rPr>
          <w:color w:val="auto"/>
          <w:sz w:val="24"/>
          <w:highlight w:val="none"/>
        </w:rPr>
        <w:t>1、电、通讯及财产保护：运行管理期间所需的电、通讯、场地租赁费用由成交供应商负责，委托运行管理及维修的全部资产（包括全部产权和建筑物、软件、配套设施、空气自动站和配套监控系统产生的各类数据信息及相关文档资料）属采购人所有。未经采购人同意，成交供应商不得以任何方式对各类财产进行出售、抵押、出借或转移；同时，在委托运行管理及维修期间，协助采购人做好空气自动站固定资产的管理、备品配件的登记等工作，空气自动站必须配备看护人员，驻地看护。成交供应商有责任保证上述全部资产的完整、安全并处于良好状态。</w:t>
      </w:r>
    </w:p>
    <w:p w14:paraId="646B0A11">
      <w:pPr>
        <w:snapToGrid w:val="0"/>
        <w:spacing w:line="360" w:lineRule="auto"/>
        <w:ind w:firstLine="480" w:firstLineChars="200"/>
        <w:jc w:val="left"/>
        <w:rPr>
          <w:color w:val="auto"/>
          <w:sz w:val="24"/>
          <w:highlight w:val="none"/>
        </w:rPr>
      </w:pPr>
      <w:r>
        <w:rPr>
          <w:color w:val="auto"/>
          <w:sz w:val="24"/>
          <w:highlight w:val="none"/>
        </w:rPr>
        <w:t>2、积极参加国家、省、市主办的技术培训班，加强业务学习，不断提高业务能力和水平；定期接受采购人及上级部门的工作考核及质量考核。</w:t>
      </w:r>
    </w:p>
    <w:p w14:paraId="00412896">
      <w:pPr>
        <w:snapToGrid w:val="0"/>
        <w:spacing w:line="360" w:lineRule="auto"/>
        <w:ind w:firstLine="480" w:firstLineChars="200"/>
        <w:jc w:val="left"/>
        <w:rPr>
          <w:color w:val="auto"/>
          <w:sz w:val="24"/>
          <w:highlight w:val="none"/>
        </w:rPr>
      </w:pPr>
      <w:r>
        <w:rPr>
          <w:color w:val="auto"/>
          <w:sz w:val="24"/>
          <w:highlight w:val="none"/>
        </w:rPr>
        <w:t>3、按照《国家环境监测网环境空气自动监测质量管理办法》、《国家环境空气质量监测城市自动监测站运行管理暂行规定》、《江苏省省控环境空气质量自动监测站运行管理实施细则（试行）》、《江苏省环境空气自动监测管理暂行规定》以及其他国家、省、市有关规范要求对委托空气自动站进行管理。</w:t>
      </w:r>
    </w:p>
    <w:p w14:paraId="1B586190">
      <w:pPr>
        <w:snapToGrid w:val="0"/>
        <w:spacing w:line="360" w:lineRule="auto"/>
        <w:ind w:firstLine="480" w:firstLineChars="200"/>
        <w:jc w:val="left"/>
        <w:rPr>
          <w:color w:val="auto"/>
          <w:sz w:val="24"/>
          <w:highlight w:val="none"/>
        </w:rPr>
      </w:pPr>
      <w:r>
        <w:rPr>
          <w:color w:val="auto"/>
          <w:sz w:val="24"/>
          <w:highlight w:val="none"/>
        </w:rPr>
        <w:t>4、成交供应商需保证不得少于3名合格技术人员（获得中国环境监测总站颁发的有效期内空气自动站运维上岗证）常驻</w:t>
      </w:r>
      <w:r>
        <w:rPr>
          <w:rFonts w:hint="eastAsia"/>
          <w:color w:val="auto"/>
          <w:sz w:val="24"/>
          <w:highlight w:val="none"/>
          <w:lang w:val="en-US" w:eastAsia="zh-CN"/>
        </w:rPr>
        <w:t>南通市</w:t>
      </w:r>
      <w:r>
        <w:rPr>
          <w:color w:val="auto"/>
          <w:sz w:val="24"/>
          <w:highlight w:val="none"/>
        </w:rPr>
        <w:t>通州区，全日制从事空气自动监测站的日常运行和维护，1名专职工作人员负责每日各站点监测数据审核、汇总、上报等站点管理相关工作</w:t>
      </w:r>
      <w:r>
        <w:rPr>
          <w:rFonts w:hint="eastAsia"/>
          <w:color w:val="auto"/>
          <w:sz w:val="24"/>
          <w:highlight w:val="none"/>
        </w:rPr>
        <w:t>。运维人员须在南通市生态环境监测站备案，运维人员上岗证（培训合格证明）复印件须在其运维点位站房内张贴公示。</w:t>
      </w:r>
      <w:r>
        <w:rPr>
          <w:color w:val="auto"/>
          <w:sz w:val="24"/>
          <w:highlight w:val="none"/>
        </w:rPr>
        <w:t>法定节假日期间若设备出现故障也能到现场进行检修，保证系统的正常运行，同时确保安排至少3辆专车用于日常巡检（成交供应商签订合同前需提供承诺书原件，否则采购人可根据排名依次确定其他供应商为成交人）。</w:t>
      </w:r>
    </w:p>
    <w:p w14:paraId="25A6596D">
      <w:pPr>
        <w:snapToGrid w:val="0"/>
        <w:spacing w:line="360" w:lineRule="auto"/>
        <w:ind w:firstLine="480" w:firstLineChars="200"/>
        <w:jc w:val="left"/>
        <w:rPr>
          <w:color w:val="auto"/>
          <w:sz w:val="24"/>
          <w:highlight w:val="none"/>
        </w:rPr>
      </w:pPr>
      <w:r>
        <w:rPr>
          <w:color w:val="auto"/>
          <w:sz w:val="24"/>
          <w:highlight w:val="none"/>
        </w:rPr>
        <w:t>5、不论何时，成交供应商都应承担监测数据的保密责任；成交供应商按照采购人的要求，进行报告和传输有关的监测数据，均不得以任何方式和渠道向外界传递任何监测数据。相关监测数据必须按相关要求成功接入区、市级数据平台并可正常使用，实现一点多发，多址传送。</w:t>
      </w:r>
    </w:p>
    <w:p w14:paraId="0340F19E">
      <w:pPr>
        <w:snapToGrid w:val="0"/>
        <w:spacing w:line="360" w:lineRule="auto"/>
        <w:ind w:firstLine="480" w:firstLineChars="200"/>
        <w:jc w:val="left"/>
        <w:rPr>
          <w:color w:val="auto"/>
          <w:sz w:val="24"/>
          <w:highlight w:val="none"/>
        </w:rPr>
      </w:pPr>
      <w:r>
        <w:rPr>
          <w:color w:val="auto"/>
          <w:sz w:val="24"/>
          <w:highlight w:val="none"/>
        </w:rPr>
        <w:t>6、成交供应商成交后也不得转包。供应商的投标响应须满足或满足且优于本采购文件中的要求，不得有负偏离，若有负偏离视为无效投标。</w:t>
      </w:r>
    </w:p>
    <w:p w14:paraId="242FB45A">
      <w:pPr>
        <w:pStyle w:val="288"/>
        <w:spacing w:line="360" w:lineRule="auto"/>
        <w:ind w:firstLine="480"/>
        <w:rPr>
          <w:color w:val="auto"/>
          <w:highlight w:val="none"/>
        </w:rPr>
      </w:pPr>
      <w:r>
        <w:rPr>
          <w:color w:val="auto"/>
          <w:highlight w:val="none"/>
        </w:rPr>
        <w:t>7、如果需要现场查看，在开标前和采购方联系，否则可能产生的后果由成交供应商自负。</w:t>
      </w:r>
    </w:p>
    <w:p w14:paraId="0142DAD1">
      <w:pPr>
        <w:pStyle w:val="288"/>
        <w:spacing w:line="360" w:lineRule="auto"/>
        <w:ind w:firstLine="480"/>
        <w:rPr>
          <w:color w:val="auto"/>
          <w:highlight w:val="none"/>
        </w:rPr>
      </w:pPr>
      <w:r>
        <w:rPr>
          <w:rFonts w:hint="eastAsia"/>
          <w:color w:val="auto"/>
          <w:highlight w:val="none"/>
        </w:rPr>
        <w:t>8、因故障或报废需使用备机或移动监测设备时，成交供应商应在48小时内向采购人提出申请，经同意后实施。备机监测原理应与原仪器一致，按要求开展调试、试运行及验收，性能满足监测要求，备机使用原则上不超过1个月。</w:t>
      </w:r>
    </w:p>
    <w:p w14:paraId="3BB19208">
      <w:pPr>
        <w:pStyle w:val="288"/>
        <w:spacing w:line="360" w:lineRule="auto"/>
        <w:ind w:firstLine="480"/>
        <w:rPr>
          <w:color w:val="auto"/>
          <w:highlight w:val="none"/>
        </w:rPr>
      </w:pPr>
      <w:r>
        <w:rPr>
          <w:rFonts w:hint="eastAsia"/>
          <w:color w:val="auto"/>
          <w:highlight w:val="none"/>
        </w:rPr>
        <w:t>9、成交供应商应保证数据采集硬件和软件等正常运行，在出现非网络因素的传输故障时，应在24小时内恢复数据传输。数据传输模式、格式以及其他技术要求均应严格按技术规范要求执行，不得擅自修改、删除原始记录。</w:t>
      </w:r>
    </w:p>
    <w:p w14:paraId="27FB85E6">
      <w:pPr>
        <w:pStyle w:val="288"/>
        <w:spacing w:line="360" w:lineRule="auto"/>
        <w:ind w:firstLine="480"/>
        <w:rPr>
          <w:color w:val="auto"/>
          <w:highlight w:val="none"/>
        </w:rPr>
      </w:pPr>
      <w:r>
        <w:rPr>
          <w:rFonts w:hint="eastAsia"/>
          <w:color w:val="auto"/>
          <w:highlight w:val="none"/>
        </w:rPr>
        <w:t>三、运维内容</w:t>
      </w:r>
    </w:p>
    <w:p w14:paraId="42C6CB77">
      <w:pPr>
        <w:pStyle w:val="288"/>
        <w:spacing w:line="360" w:lineRule="auto"/>
        <w:ind w:firstLine="480"/>
        <w:rPr>
          <w:b/>
          <w:color w:val="auto"/>
          <w:highlight w:val="none"/>
        </w:rPr>
      </w:pPr>
      <w:r>
        <w:rPr>
          <w:rFonts w:hAnsi="宋体"/>
          <w:color w:val="auto"/>
          <w:highlight w:val="none"/>
        </w:rPr>
        <w:t>根据服务内容，供应商在报价中应包含下表所列各部分工作的费用</w:t>
      </w:r>
      <w:bookmarkStart w:id="179" w:name="_Hlk83202420"/>
      <w:r>
        <w:rPr>
          <w:rFonts w:hAnsi="宋体"/>
          <w:color w:val="auto"/>
          <w:highlight w:val="none"/>
        </w:rPr>
        <w:t>。因管理不当造成设备或辅助设施丢失和损坏由成交供应商承担。</w:t>
      </w:r>
      <w:r>
        <w:rPr>
          <w:color w:val="auto"/>
          <w:highlight w:val="none"/>
        </w:rPr>
        <w:t xml:space="preserve"> </w:t>
      </w:r>
    </w:p>
    <w:bookmarkEnd w:id="179"/>
    <w:tbl>
      <w:tblPr>
        <w:tblStyle w:val="34"/>
        <w:tblW w:w="8385" w:type="dxa"/>
        <w:jc w:val="center"/>
        <w:tblLayout w:type="fixed"/>
        <w:tblCellMar>
          <w:top w:w="0" w:type="dxa"/>
          <w:left w:w="0" w:type="dxa"/>
          <w:bottom w:w="0" w:type="dxa"/>
          <w:right w:w="0" w:type="dxa"/>
        </w:tblCellMar>
      </w:tblPr>
      <w:tblGrid>
        <w:gridCol w:w="719"/>
        <w:gridCol w:w="2501"/>
        <w:gridCol w:w="5165"/>
      </w:tblGrid>
      <w:tr w14:paraId="166B255B">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EEE171">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序号</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27A42B2">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服务项目</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71AC46">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备注</w:t>
            </w:r>
          </w:p>
        </w:tc>
      </w:tr>
      <w:tr w14:paraId="420A3413">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5FCD45">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1</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5B7DEE8">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原厂备品备件、易耗品</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23F310">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设备、配件、消耗品</w:t>
            </w:r>
          </w:p>
        </w:tc>
      </w:tr>
      <w:tr w14:paraId="0B109950">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05E626">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2</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54F734">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社会化运行维护费</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4A1EE3">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人工费、差旅费、交通费、电费、网络通讯费、场地租赁费等</w:t>
            </w:r>
          </w:p>
        </w:tc>
      </w:tr>
      <w:tr w14:paraId="0E7A66BD">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5DFD1C">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3</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8F40F2">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设备维修保养费</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13317B">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根据维护经验，计算设备日常维修费用</w:t>
            </w:r>
          </w:p>
        </w:tc>
      </w:tr>
      <w:tr w14:paraId="14C995F3">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39F5AF">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4</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37FC62">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质量控制费</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F36957">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标准气体等质量控制工作产生的费用以及运维终端设备</w:t>
            </w:r>
          </w:p>
        </w:tc>
      </w:tr>
      <w:tr w14:paraId="797C613E">
        <w:tblPrEx>
          <w:tblCellMar>
            <w:top w:w="0" w:type="dxa"/>
            <w:left w:w="0" w:type="dxa"/>
            <w:bottom w:w="0" w:type="dxa"/>
            <w:right w:w="0" w:type="dxa"/>
          </w:tblCellMar>
        </w:tblPrEx>
        <w:trPr>
          <w:trHeight w:val="438" w:hRule="atLeast"/>
          <w:jc w:val="center"/>
        </w:trPr>
        <w:tc>
          <w:tcPr>
            <w:tcW w:w="71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F22686">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5</w:t>
            </w:r>
          </w:p>
        </w:tc>
        <w:tc>
          <w:tcPr>
            <w:tcW w:w="250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4209BD">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年度维修等</w:t>
            </w:r>
          </w:p>
        </w:tc>
        <w:tc>
          <w:tcPr>
            <w:tcW w:w="516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18442D">
            <w:pPr>
              <w:spacing w:line="360" w:lineRule="auto"/>
              <w:ind w:left="0" w:leftChars="0" w:firstLine="0" w:firstLineChars="0"/>
              <w:jc w:val="center"/>
              <w:rPr>
                <w:rFonts w:hAnsi="宋体"/>
                <w:b w:val="0"/>
                <w:bCs w:val="0"/>
                <w:color w:val="auto"/>
                <w:highlight w:val="none"/>
              </w:rPr>
            </w:pPr>
            <w:r>
              <w:rPr>
                <w:rFonts w:hAnsi="宋体"/>
                <w:b w:val="0"/>
                <w:bCs w:val="0"/>
                <w:color w:val="auto"/>
                <w:highlight w:val="none"/>
              </w:rPr>
              <w:t>按照要求进行年度维护的服务内容。</w:t>
            </w:r>
          </w:p>
        </w:tc>
      </w:tr>
    </w:tbl>
    <w:p w14:paraId="22B53C51">
      <w:pPr>
        <w:spacing w:line="360" w:lineRule="auto"/>
        <w:ind w:firstLine="480" w:firstLineChars="200"/>
        <w:jc w:val="left"/>
        <w:rPr>
          <w:color w:val="auto"/>
          <w:sz w:val="24"/>
          <w:highlight w:val="none"/>
        </w:rPr>
      </w:pPr>
      <w:r>
        <w:rPr>
          <w:color w:val="auto"/>
          <w:sz w:val="24"/>
          <w:highlight w:val="none"/>
        </w:rPr>
        <w:t>1</w:t>
      </w:r>
      <w:r>
        <w:rPr>
          <w:rFonts w:hAnsi="宋体"/>
          <w:color w:val="auto"/>
          <w:sz w:val="24"/>
          <w:highlight w:val="none"/>
        </w:rPr>
        <w:t>、标准气体需从正规标气</w:t>
      </w:r>
      <w:r>
        <w:rPr>
          <w:rFonts w:hint="eastAsia" w:hAnsi="宋体"/>
          <w:color w:val="auto"/>
          <w:sz w:val="24"/>
          <w:highlight w:val="none"/>
        </w:rPr>
        <w:t>生产</w:t>
      </w:r>
      <w:r>
        <w:rPr>
          <w:rFonts w:hAnsi="宋体"/>
          <w:color w:val="auto"/>
          <w:sz w:val="24"/>
          <w:highlight w:val="none"/>
        </w:rPr>
        <w:t>厂家采购，具备相关证书，并在有效期内使用；根据仪器运行状况和类型，提供并定期更换空气自动站监测仪器和仪表所需备品备件；配件、备品、耗材需</w:t>
      </w:r>
      <w:bookmarkStart w:id="180" w:name="_Hlk82770841"/>
      <w:r>
        <w:rPr>
          <w:rFonts w:hAnsi="宋体"/>
          <w:color w:val="auto"/>
          <w:sz w:val="24"/>
          <w:highlight w:val="none"/>
        </w:rPr>
        <w:t>各站点仪器设备匹配，并对服务器硬件免费维修和软件免费升级；</w:t>
      </w:r>
    </w:p>
    <w:bookmarkEnd w:id="180"/>
    <w:p w14:paraId="3A4CC048">
      <w:pPr>
        <w:spacing w:line="360" w:lineRule="auto"/>
        <w:ind w:firstLine="480" w:firstLineChars="200"/>
        <w:jc w:val="left"/>
        <w:rPr>
          <w:color w:val="auto"/>
          <w:sz w:val="24"/>
          <w:highlight w:val="none"/>
        </w:rPr>
      </w:pPr>
      <w:r>
        <w:rPr>
          <w:color w:val="auto"/>
          <w:sz w:val="24"/>
          <w:highlight w:val="none"/>
        </w:rPr>
        <w:t>2</w:t>
      </w:r>
      <w:r>
        <w:rPr>
          <w:rFonts w:hAnsi="宋体"/>
          <w:color w:val="auto"/>
          <w:sz w:val="24"/>
          <w:highlight w:val="none"/>
        </w:rPr>
        <w:t>、制定气站监测仪器和仪表每年保养检修计划并按期进行。保养检修须包括系统的全面清洗和检修、仪器管路清洗、主要备件的更换、仪器的性能测试检查等内容；</w:t>
      </w:r>
    </w:p>
    <w:p w14:paraId="7CC0A55A">
      <w:pPr>
        <w:spacing w:line="360" w:lineRule="auto"/>
        <w:ind w:firstLine="480" w:firstLineChars="200"/>
        <w:jc w:val="left"/>
        <w:rPr>
          <w:color w:val="auto"/>
          <w:sz w:val="24"/>
          <w:highlight w:val="none"/>
        </w:rPr>
      </w:pPr>
      <w:r>
        <w:rPr>
          <w:color w:val="auto"/>
          <w:sz w:val="24"/>
          <w:highlight w:val="none"/>
        </w:rPr>
        <w:t>3</w:t>
      </w:r>
      <w:r>
        <w:rPr>
          <w:rFonts w:hAnsi="宋体"/>
          <w:color w:val="auto"/>
          <w:sz w:val="24"/>
          <w:highlight w:val="none"/>
        </w:rPr>
        <w:t>、及时排除空气自动站监测仪器和仪表出现的故障（由于地震、洪水和雷击等不可预防和不可抗拒因素造成的自动站系统及仪器损坏除外）；</w:t>
      </w:r>
    </w:p>
    <w:p w14:paraId="4CBA37BE">
      <w:pPr>
        <w:pStyle w:val="33"/>
        <w:ind w:firstLine="480"/>
        <w:jc w:val="left"/>
        <w:rPr>
          <w:rFonts w:ascii="Times New Roman" w:hAnsi="Times New Roman"/>
          <w:color w:val="auto"/>
          <w:sz w:val="24"/>
          <w:highlight w:val="none"/>
        </w:rPr>
      </w:pPr>
      <w:r>
        <w:rPr>
          <w:rFonts w:ascii="Times New Roman" w:hAnsi="Times New Roman"/>
          <w:color w:val="auto"/>
          <w:sz w:val="24"/>
          <w:highlight w:val="none"/>
        </w:rPr>
        <w:t>4</w:t>
      </w:r>
      <w:r>
        <w:rPr>
          <w:rFonts w:ascii="Times New Roman"/>
          <w:color w:val="auto"/>
          <w:sz w:val="24"/>
          <w:highlight w:val="none"/>
        </w:rPr>
        <w:t>、对空气自动站仪表进行定期校准、核查、性能测试；</w:t>
      </w:r>
    </w:p>
    <w:p w14:paraId="72B09F6C">
      <w:pPr>
        <w:spacing w:line="360" w:lineRule="auto"/>
        <w:ind w:firstLine="480" w:firstLineChars="200"/>
        <w:jc w:val="left"/>
        <w:rPr>
          <w:color w:val="auto"/>
          <w:sz w:val="24"/>
          <w:highlight w:val="none"/>
        </w:rPr>
      </w:pPr>
      <w:r>
        <w:rPr>
          <w:color w:val="auto"/>
          <w:sz w:val="24"/>
          <w:highlight w:val="none"/>
        </w:rPr>
        <w:t>5</w:t>
      </w:r>
      <w:r>
        <w:rPr>
          <w:rFonts w:hAnsi="宋体"/>
          <w:color w:val="auto"/>
          <w:sz w:val="24"/>
          <w:highlight w:val="none"/>
        </w:rPr>
        <w:t>、负责站房及相关附属设施的维修、维护工作。保证站房清洁、整齐，每周清扫站房，不得堆放杂物，不得在站房内抽烟、饮食，每月清理站房外围杂物，每年对站房整修并更换损坏标识牌；需通过具有资质的专业机构对防雷设施进行检测、维护或更换，并出具报告；定期对站房门禁、防火设施、文化建设等附属设施进行维护或更换，保障站房安全。</w:t>
      </w:r>
    </w:p>
    <w:p w14:paraId="477D877F">
      <w:pPr>
        <w:widowControl/>
        <w:spacing w:line="360" w:lineRule="auto"/>
        <w:ind w:firstLine="480" w:firstLineChars="200"/>
        <w:jc w:val="left"/>
        <w:rPr>
          <w:color w:val="auto"/>
          <w:kern w:val="0"/>
          <w:sz w:val="24"/>
          <w:highlight w:val="none"/>
        </w:rPr>
      </w:pPr>
      <w:r>
        <w:rPr>
          <w:color w:val="auto"/>
          <w:kern w:val="0"/>
          <w:sz w:val="24"/>
          <w:highlight w:val="none"/>
        </w:rPr>
        <w:t>6</w:t>
      </w:r>
      <w:r>
        <w:rPr>
          <w:rFonts w:hAnsi="宋体"/>
          <w:color w:val="auto"/>
          <w:kern w:val="0"/>
          <w:sz w:val="24"/>
          <w:highlight w:val="none"/>
        </w:rPr>
        <w:t>、负责确保站房内的环境温度、湿度满足仪器运行的要求，确保空调、温湿度计等环境控制设施处于正常状态，如有损坏由成交供应商负责更换。</w:t>
      </w:r>
    </w:p>
    <w:p w14:paraId="74BB6F16">
      <w:pPr>
        <w:widowControl/>
        <w:spacing w:line="360" w:lineRule="auto"/>
        <w:ind w:firstLine="480" w:firstLineChars="200"/>
        <w:jc w:val="left"/>
        <w:rPr>
          <w:color w:val="auto"/>
          <w:kern w:val="0"/>
          <w:sz w:val="24"/>
          <w:highlight w:val="none"/>
        </w:rPr>
      </w:pPr>
      <w:r>
        <w:rPr>
          <w:color w:val="auto"/>
          <w:kern w:val="0"/>
          <w:sz w:val="24"/>
          <w:highlight w:val="none"/>
        </w:rPr>
        <w:t>7</w:t>
      </w:r>
      <w:r>
        <w:rPr>
          <w:rFonts w:hAnsi="宋体"/>
          <w:color w:val="auto"/>
          <w:kern w:val="0"/>
          <w:sz w:val="24"/>
          <w:highlight w:val="none"/>
        </w:rPr>
        <w:t>、建立子站维护档案，认真、及时做好维护记录，并进行归档管理</w:t>
      </w:r>
      <w:r>
        <w:rPr>
          <w:rFonts w:hAnsi="宋体"/>
          <w:b/>
          <w:bCs/>
          <w:color w:val="auto"/>
          <w:kern w:val="0"/>
          <w:sz w:val="24"/>
          <w:highlight w:val="none"/>
        </w:rPr>
        <w:t>，每月以书面形式报采购人，书面报告作为运行维护考核依据之一，</w:t>
      </w:r>
      <w:r>
        <w:rPr>
          <w:rFonts w:hAnsi="宋体"/>
          <w:color w:val="auto"/>
          <w:kern w:val="0"/>
          <w:sz w:val="24"/>
          <w:highlight w:val="none"/>
        </w:rPr>
        <w:t>具体包括但不限于：</w:t>
      </w:r>
    </w:p>
    <w:p w14:paraId="420121F7">
      <w:pPr>
        <w:pStyle w:val="33"/>
        <w:ind w:firstLine="480"/>
        <w:jc w:val="left"/>
        <w:rPr>
          <w:rFonts w:ascii="Times New Roman" w:hAnsi="Times New Roman"/>
          <w:bCs/>
          <w:color w:val="auto"/>
          <w:sz w:val="24"/>
          <w:highlight w:val="none"/>
        </w:rPr>
      </w:pPr>
      <w:r>
        <w:rPr>
          <w:rFonts w:ascii="Times New Roman"/>
          <w:bCs/>
          <w:color w:val="auto"/>
          <w:sz w:val="24"/>
          <w:highlight w:val="none"/>
        </w:rPr>
        <w:t>⑴子站运行维护记录表；</w:t>
      </w:r>
    </w:p>
    <w:p w14:paraId="1C5D70A7">
      <w:pPr>
        <w:pStyle w:val="33"/>
        <w:ind w:firstLine="480"/>
        <w:jc w:val="left"/>
        <w:rPr>
          <w:rFonts w:ascii="Times New Roman" w:hAnsi="Times New Roman"/>
          <w:bCs/>
          <w:color w:val="auto"/>
          <w:sz w:val="24"/>
          <w:highlight w:val="none"/>
        </w:rPr>
      </w:pPr>
      <w:r>
        <w:rPr>
          <w:rFonts w:ascii="Times New Roman"/>
          <w:bCs/>
          <w:color w:val="auto"/>
          <w:sz w:val="24"/>
          <w:highlight w:val="none"/>
        </w:rPr>
        <w:t>⑵颗粒监测仪校准记录；</w:t>
      </w:r>
    </w:p>
    <w:p w14:paraId="582CE0BF">
      <w:pPr>
        <w:pStyle w:val="33"/>
        <w:ind w:firstLine="480"/>
        <w:jc w:val="left"/>
        <w:rPr>
          <w:rFonts w:ascii="Times New Roman" w:hAnsi="Times New Roman"/>
          <w:bCs/>
          <w:color w:val="auto"/>
          <w:sz w:val="24"/>
          <w:highlight w:val="none"/>
        </w:rPr>
      </w:pPr>
      <w:r>
        <w:rPr>
          <w:rFonts w:ascii="Times New Roman"/>
          <w:bCs/>
          <w:color w:val="auto"/>
          <w:sz w:val="24"/>
          <w:highlight w:val="none"/>
        </w:rPr>
        <w:t>⑶气态污染物监测仪校准记录；</w:t>
      </w:r>
    </w:p>
    <w:p w14:paraId="1CF0605F">
      <w:pPr>
        <w:pStyle w:val="33"/>
        <w:ind w:firstLine="480"/>
        <w:jc w:val="left"/>
        <w:rPr>
          <w:rFonts w:ascii="Times New Roman" w:hAnsi="Times New Roman"/>
          <w:bCs/>
          <w:color w:val="auto"/>
          <w:sz w:val="24"/>
          <w:highlight w:val="none"/>
        </w:rPr>
      </w:pPr>
      <w:r>
        <w:rPr>
          <w:rFonts w:ascii="Times New Roman"/>
          <w:bCs/>
          <w:color w:val="auto"/>
          <w:sz w:val="24"/>
          <w:highlight w:val="none"/>
        </w:rPr>
        <w:t>⑷子站仪器设备维修记录表；</w:t>
      </w:r>
    </w:p>
    <w:p w14:paraId="55BEC36D">
      <w:pPr>
        <w:pStyle w:val="33"/>
        <w:ind w:firstLine="480"/>
        <w:jc w:val="left"/>
        <w:rPr>
          <w:rFonts w:ascii="Times New Roman" w:hAnsi="Times New Roman"/>
          <w:bCs/>
          <w:color w:val="auto"/>
          <w:sz w:val="24"/>
          <w:highlight w:val="none"/>
        </w:rPr>
      </w:pPr>
      <w:r>
        <w:rPr>
          <w:rFonts w:ascii="Times New Roman"/>
          <w:bCs/>
          <w:color w:val="auto"/>
          <w:sz w:val="24"/>
          <w:highlight w:val="none"/>
        </w:rPr>
        <w:t>⑸子站备品备件管理记录表；</w:t>
      </w:r>
    </w:p>
    <w:p w14:paraId="0A74F2FD">
      <w:pPr>
        <w:pStyle w:val="33"/>
        <w:ind w:firstLine="480"/>
        <w:jc w:val="left"/>
        <w:rPr>
          <w:rFonts w:ascii="Times New Roman" w:hAnsi="Times New Roman"/>
          <w:bCs/>
          <w:color w:val="auto"/>
          <w:sz w:val="24"/>
          <w:highlight w:val="none"/>
        </w:rPr>
      </w:pPr>
      <w:r>
        <w:rPr>
          <w:rFonts w:ascii="Times New Roman"/>
          <w:bCs/>
          <w:color w:val="auto"/>
          <w:sz w:val="24"/>
          <w:highlight w:val="none"/>
        </w:rPr>
        <w:t>⑹子站主要耗材使用登记表；</w:t>
      </w:r>
    </w:p>
    <w:p w14:paraId="1D080A4B">
      <w:pPr>
        <w:pStyle w:val="33"/>
        <w:ind w:firstLine="480"/>
        <w:jc w:val="left"/>
        <w:rPr>
          <w:rFonts w:ascii="Times New Roman" w:hAnsi="Times New Roman"/>
          <w:bCs/>
          <w:color w:val="auto"/>
          <w:sz w:val="24"/>
          <w:highlight w:val="none"/>
        </w:rPr>
      </w:pPr>
      <w:r>
        <w:rPr>
          <w:rFonts w:ascii="Times New Roman"/>
          <w:bCs/>
          <w:color w:val="auto"/>
          <w:sz w:val="24"/>
          <w:highlight w:val="none"/>
        </w:rPr>
        <w:t>⑺多点线性校准表格；</w:t>
      </w:r>
    </w:p>
    <w:p w14:paraId="439AE7BF">
      <w:pPr>
        <w:pStyle w:val="33"/>
        <w:ind w:firstLine="480"/>
        <w:jc w:val="left"/>
        <w:rPr>
          <w:rFonts w:ascii="Times New Roman" w:hAnsi="Times New Roman"/>
          <w:bCs/>
          <w:color w:val="auto"/>
          <w:sz w:val="24"/>
          <w:highlight w:val="none"/>
        </w:rPr>
      </w:pPr>
      <w:r>
        <w:rPr>
          <w:rFonts w:ascii="Times New Roman"/>
          <w:bCs/>
          <w:color w:val="auto"/>
          <w:sz w:val="24"/>
          <w:highlight w:val="none"/>
        </w:rPr>
        <w:t>⑻子站室内外环境记录；</w:t>
      </w:r>
    </w:p>
    <w:p w14:paraId="3E913ECB">
      <w:pPr>
        <w:pStyle w:val="33"/>
        <w:ind w:firstLine="480"/>
        <w:jc w:val="left"/>
        <w:rPr>
          <w:rFonts w:ascii="Times New Roman" w:hAnsi="Times New Roman"/>
          <w:bCs/>
          <w:color w:val="auto"/>
          <w:sz w:val="24"/>
          <w:highlight w:val="none"/>
        </w:rPr>
      </w:pPr>
      <w:r>
        <w:rPr>
          <w:rFonts w:ascii="Times New Roman"/>
          <w:bCs/>
          <w:color w:val="auto"/>
          <w:sz w:val="24"/>
          <w:highlight w:val="none"/>
        </w:rPr>
        <w:t>⑼标准物质使用记录。</w:t>
      </w:r>
    </w:p>
    <w:p w14:paraId="62702066">
      <w:pPr>
        <w:widowControl/>
        <w:spacing w:line="360" w:lineRule="auto"/>
        <w:ind w:firstLine="482" w:firstLineChars="200"/>
        <w:jc w:val="left"/>
        <w:rPr>
          <w:b/>
          <w:bCs/>
          <w:color w:val="auto"/>
          <w:kern w:val="0"/>
          <w:sz w:val="24"/>
          <w:highlight w:val="none"/>
        </w:rPr>
      </w:pPr>
      <w:r>
        <w:rPr>
          <w:rFonts w:hAnsi="宋体"/>
          <w:b/>
          <w:bCs/>
          <w:color w:val="auto"/>
          <w:kern w:val="0"/>
          <w:sz w:val="24"/>
          <w:highlight w:val="none"/>
        </w:rPr>
        <w:t>填写记录时要求字迹工整，不乱涂乱改。写错的地方宜采用杠改，并在旁边签上名字和日期。</w:t>
      </w:r>
    </w:p>
    <w:p w14:paraId="5115C7E6">
      <w:pPr>
        <w:widowControl/>
        <w:spacing w:line="360" w:lineRule="auto"/>
        <w:ind w:firstLine="480" w:firstLineChars="200"/>
        <w:jc w:val="left"/>
        <w:rPr>
          <w:color w:val="auto"/>
          <w:kern w:val="0"/>
          <w:sz w:val="24"/>
          <w:highlight w:val="none"/>
        </w:rPr>
      </w:pPr>
      <w:r>
        <w:rPr>
          <w:rFonts w:hint="eastAsia" w:hAnsi="宋体"/>
          <w:color w:val="auto"/>
          <w:kern w:val="0"/>
          <w:sz w:val="24"/>
          <w:highlight w:val="none"/>
        </w:rPr>
        <w:t>四</w:t>
      </w:r>
      <w:r>
        <w:rPr>
          <w:rFonts w:hAnsi="宋体"/>
          <w:color w:val="auto"/>
          <w:kern w:val="0"/>
          <w:sz w:val="24"/>
          <w:highlight w:val="none"/>
        </w:rPr>
        <w:t>、运行维护要求</w:t>
      </w:r>
    </w:p>
    <w:p w14:paraId="603F05A7">
      <w:pPr>
        <w:widowControl/>
        <w:spacing w:line="360" w:lineRule="auto"/>
        <w:ind w:firstLine="480" w:firstLineChars="200"/>
        <w:jc w:val="left"/>
        <w:rPr>
          <w:color w:val="auto"/>
          <w:kern w:val="0"/>
          <w:sz w:val="24"/>
          <w:highlight w:val="none"/>
        </w:rPr>
      </w:pPr>
      <w:r>
        <w:rPr>
          <w:color w:val="auto"/>
          <w:kern w:val="0"/>
          <w:sz w:val="24"/>
          <w:highlight w:val="none"/>
        </w:rPr>
        <w:t>1</w:t>
      </w:r>
      <w:r>
        <w:rPr>
          <w:rFonts w:hAnsi="宋体"/>
          <w:color w:val="auto"/>
          <w:kern w:val="0"/>
          <w:sz w:val="24"/>
          <w:highlight w:val="none"/>
        </w:rPr>
        <w:t>、实施方案。成交供应商应根据相关管理规定针对各站点结合仪器设备品牌制定并提供完整的运行维护管理</w:t>
      </w:r>
      <w:r>
        <w:rPr>
          <w:rFonts w:hAnsi="宋体"/>
          <w:b/>
          <w:bCs/>
          <w:color w:val="auto"/>
          <w:kern w:val="0"/>
          <w:sz w:val="24"/>
          <w:highlight w:val="none"/>
        </w:rPr>
        <w:t>实施方案及作业指导书</w:t>
      </w:r>
      <w:r>
        <w:rPr>
          <w:rFonts w:hAnsi="宋体"/>
          <w:color w:val="auto"/>
          <w:kern w:val="0"/>
          <w:sz w:val="24"/>
          <w:highlight w:val="none"/>
        </w:rPr>
        <w:t>，明确气站的采样系统、分析系统、控制系统、数据记录和传输系统（包括工控机、路由器、</w:t>
      </w:r>
      <w:r>
        <w:rPr>
          <w:color w:val="auto"/>
          <w:kern w:val="0"/>
          <w:sz w:val="24"/>
          <w:highlight w:val="none"/>
        </w:rPr>
        <w:t>UPS</w:t>
      </w:r>
      <w:r>
        <w:rPr>
          <w:rFonts w:hAnsi="宋体"/>
          <w:color w:val="auto"/>
          <w:kern w:val="0"/>
          <w:sz w:val="24"/>
          <w:highlight w:val="none"/>
        </w:rPr>
        <w:t>）、气象仪器、校准仪器等仪器仪表及其它辅助设备（空调、稳压电源等）和联网软件系统的维护方法、周期、内容及技术保障等。气站现场配备必要的操作手册、管理规章和应急预案等。每次维护后做好系统运行维护记录。</w:t>
      </w:r>
    </w:p>
    <w:p w14:paraId="5BA1AA0C">
      <w:pPr>
        <w:widowControl/>
        <w:ind w:firstLine="482" w:firstLineChars="200"/>
        <w:jc w:val="left"/>
        <w:rPr>
          <w:bCs/>
          <w:color w:val="auto"/>
          <w:kern w:val="0"/>
          <w:sz w:val="24"/>
          <w:highlight w:val="none"/>
        </w:rPr>
      </w:pPr>
      <w:r>
        <w:rPr>
          <w:b/>
          <w:bCs/>
          <w:color w:val="auto"/>
          <w:kern w:val="0"/>
          <w:sz w:val="24"/>
          <w:highlight w:val="none"/>
        </w:rPr>
        <w:t>2</w:t>
      </w:r>
      <w:r>
        <w:rPr>
          <w:rFonts w:hAnsi="宋体"/>
          <w:b/>
          <w:bCs/>
          <w:color w:val="auto"/>
          <w:kern w:val="0"/>
          <w:sz w:val="24"/>
          <w:highlight w:val="none"/>
        </w:rPr>
        <w:t>、运维保障。</w:t>
      </w:r>
      <w:r>
        <w:rPr>
          <w:rFonts w:hAnsi="宋体"/>
          <w:bCs/>
          <w:color w:val="auto"/>
          <w:kern w:val="0"/>
          <w:sz w:val="24"/>
          <w:highlight w:val="none"/>
        </w:rPr>
        <w:t>供应商应具备完善的仪表配件供应渠道，</w:t>
      </w:r>
      <w:r>
        <w:rPr>
          <w:bCs/>
          <w:color w:val="auto"/>
          <w:kern w:val="0"/>
          <w:sz w:val="24"/>
          <w:highlight w:val="none"/>
        </w:rPr>
        <w:t>在南通地区设有服务及办事机构，</w:t>
      </w:r>
      <w:r>
        <w:rPr>
          <w:rFonts w:hAnsi="宋体"/>
          <w:bCs/>
          <w:color w:val="auto"/>
          <w:kern w:val="0"/>
          <w:sz w:val="24"/>
          <w:highlight w:val="none"/>
        </w:rPr>
        <w:t>运维人员应具备</w:t>
      </w:r>
      <w:r>
        <w:rPr>
          <w:bCs/>
          <w:color w:val="auto"/>
          <w:kern w:val="0"/>
          <w:sz w:val="24"/>
          <w:highlight w:val="none"/>
        </w:rPr>
        <w:t>1</w:t>
      </w:r>
      <w:r>
        <w:rPr>
          <w:rFonts w:hAnsi="宋体"/>
          <w:bCs/>
          <w:color w:val="auto"/>
          <w:kern w:val="0"/>
          <w:sz w:val="24"/>
          <w:highlight w:val="none"/>
        </w:rPr>
        <w:t>年以上的空气自动站项目运维经验，且在运维期间内不能兼职从事其它环保相关工作。</w:t>
      </w:r>
    </w:p>
    <w:p w14:paraId="46476A99">
      <w:pPr>
        <w:tabs>
          <w:tab w:val="left" w:pos="2550"/>
        </w:tabs>
        <w:spacing w:line="360" w:lineRule="auto"/>
        <w:ind w:firstLine="482" w:firstLineChars="200"/>
        <w:jc w:val="left"/>
        <w:rPr>
          <w:b/>
          <w:color w:val="auto"/>
          <w:sz w:val="24"/>
          <w:highlight w:val="none"/>
        </w:rPr>
      </w:pPr>
      <w:r>
        <w:rPr>
          <w:b/>
          <w:color w:val="auto"/>
          <w:sz w:val="24"/>
          <w:highlight w:val="none"/>
        </w:rPr>
        <w:t>3</w:t>
      </w:r>
      <w:r>
        <w:rPr>
          <w:rFonts w:hAnsi="宋体"/>
          <w:b/>
          <w:color w:val="auto"/>
          <w:sz w:val="24"/>
          <w:highlight w:val="none"/>
        </w:rPr>
        <w:t>、工作目标</w:t>
      </w:r>
    </w:p>
    <w:p w14:paraId="047913DB">
      <w:pPr>
        <w:spacing w:line="360" w:lineRule="auto"/>
        <w:ind w:firstLine="480" w:firstLineChars="200"/>
        <w:jc w:val="left"/>
        <w:rPr>
          <w:color w:val="auto"/>
          <w:sz w:val="24"/>
          <w:highlight w:val="none"/>
        </w:rPr>
      </w:pPr>
      <w:r>
        <w:rPr>
          <w:rFonts w:hAnsi="宋体"/>
          <w:color w:val="auto"/>
          <w:sz w:val="24"/>
          <w:highlight w:val="none"/>
        </w:rPr>
        <w:t>运维单位必须建立完善的的运行维护工作规范与质量管理体系，确保提供及时、准确、有效的监测数据，子站的运行质量应达到以下指标：</w:t>
      </w:r>
    </w:p>
    <w:p w14:paraId="41733B91">
      <w:pPr>
        <w:spacing w:line="360" w:lineRule="auto"/>
        <w:ind w:firstLine="480" w:firstLineChars="200"/>
        <w:jc w:val="left"/>
        <w:rPr>
          <w:color w:val="auto"/>
          <w:sz w:val="24"/>
          <w:highlight w:val="none"/>
        </w:rPr>
      </w:pPr>
      <w:r>
        <w:rPr>
          <w:rFonts w:hAnsi="宋体"/>
          <w:color w:val="auto"/>
          <w:sz w:val="24"/>
          <w:highlight w:val="none"/>
        </w:rPr>
        <w:t>⑴所获取的有效监测数据必须满足国家《环境空气质量标准》（</w:t>
      </w:r>
      <w:r>
        <w:rPr>
          <w:color w:val="auto"/>
          <w:sz w:val="24"/>
          <w:highlight w:val="none"/>
        </w:rPr>
        <w:t>GB 3095-2012</w:t>
      </w:r>
      <w:r>
        <w:rPr>
          <w:rFonts w:hAnsi="宋体"/>
          <w:color w:val="auto"/>
          <w:sz w:val="24"/>
          <w:highlight w:val="none"/>
        </w:rPr>
        <w:t>）中规定的污染物浓度数据有效性最低要求；</w:t>
      </w:r>
    </w:p>
    <w:p w14:paraId="17DF1FF7">
      <w:pPr>
        <w:spacing w:line="360" w:lineRule="auto"/>
        <w:ind w:firstLine="480" w:firstLineChars="200"/>
        <w:jc w:val="left"/>
        <w:rPr>
          <w:color w:val="auto"/>
          <w:sz w:val="24"/>
          <w:highlight w:val="none"/>
        </w:rPr>
      </w:pPr>
      <w:r>
        <w:rPr>
          <w:rFonts w:hAnsi="宋体"/>
          <w:color w:val="auto"/>
          <w:sz w:val="24"/>
          <w:highlight w:val="none"/>
        </w:rPr>
        <w:t>⑵单站设备运行率必须高于</w:t>
      </w:r>
      <w:r>
        <w:rPr>
          <w:color w:val="auto"/>
          <w:sz w:val="24"/>
          <w:highlight w:val="none"/>
        </w:rPr>
        <w:t>90%(</w:t>
      </w:r>
      <w:r>
        <w:rPr>
          <w:rFonts w:hAnsi="宋体"/>
          <w:color w:val="auto"/>
          <w:sz w:val="24"/>
          <w:highlight w:val="none"/>
        </w:rPr>
        <w:t>含</w:t>
      </w:r>
      <w:r>
        <w:rPr>
          <w:color w:val="auto"/>
          <w:sz w:val="24"/>
          <w:highlight w:val="none"/>
        </w:rPr>
        <w:t>)</w:t>
      </w:r>
      <w:r>
        <w:rPr>
          <w:rFonts w:hAnsi="宋体"/>
          <w:color w:val="auto"/>
          <w:sz w:val="24"/>
          <w:highlight w:val="none"/>
        </w:rPr>
        <w:t>，有效率必须高于</w:t>
      </w:r>
      <w:r>
        <w:rPr>
          <w:color w:val="auto"/>
          <w:sz w:val="24"/>
          <w:highlight w:val="none"/>
        </w:rPr>
        <w:t>80%(</w:t>
      </w:r>
      <w:r>
        <w:rPr>
          <w:rFonts w:hAnsi="宋体"/>
          <w:color w:val="auto"/>
          <w:sz w:val="24"/>
          <w:highlight w:val="none"/>
        </w:rPr>
        <w:t>含</w:t>
      </w:r>
      <w:r>
        <w:rPr>
          <w:color w:val="auto"/>
          <w:sz w:val="24"/>
          <w:highlight w:val="none"/>
        </w:rPr>
        <w:t>)</w:t>
      </w:r>
      <w:r>
        <w:rPr>
          <w:rFonts w:hAnsi="宋体"/>
          <w:color w:val="auto"/>
          <w:sz w:val="24"/>
          <w:highlight w:val="none"/>
        </w:rPr>
        <w:t>；</w:t>
      </w:r>
    </w:p>
    <w:p w14:paraId="002CB2EA">
      <w:pPr>
        <w:spacing w:line="360" w:lineRule="auto"/>
        <w:ind w:firstLine="480" w:firstLineChars="200"/>
        <w:jc w:val="left"/>
        <w:rPr>
          <w:color w:val="auto"/>
          <w:sz w:val="24"/>
          <w:highlight w:val="none"/>
        </w:rPr>
      </w:pPr>
      <w:r>
        <w:rPr>
          <w:rFonts w:hAnsi="宋体"/>
          <w:color w:val="auto"/>
          <w:sz w:val="24"/>
          <w:highlight w:val="none"/>
        </w:rPr>
        <w:t>⑶</w:t>
      </w:r>
      <w:r>
        <w:rPr>
          <w:color w:val="auto"/>
          <w:sz w:val="24"/>
          <w:highlight w:val="none"/>
        </w:rPr>
        <w:t>异常情况处理率100%。</w:t>
      </w:r>
    </w:p>
    <w:p w14:paraId="30512FE5">
      <w:pPr>
        <w:tabs>
          <w:tab w:val="left" w:pos="2550"/>
        </w:tabs>
        <w:spacing w:line="360" w:lineRule="auto"/>
        <w:ind w:firstLine="482" w:firstLineChars="200"/>
        <w:jc w:val="left"/>
        <w:rPr>
          <w:b/>
          <w:color w:val="auto"/>
          <w:sz w:val="24"/>
          <w:highlight w:val="none"/>
        </w:rPr>
      </w:pPr>
      <w:r>
        <w:rPr>
          <w:b/>
          <w:color w:val="auto"/>
          <w:sz w:val="24"/>
          <w:highlight w:val="none"/>
        </w:rPr>
        <w:t>4</w:t>
      </w:r>
      <w:r>
        <w:rPr>
          <w:rFonts w:hAnsi="宋体"/>
          <w:b/>
          <w:color w:val="auto"/>
          <w:sz w:val="24"/>
          <w:highlight w:val="none"/>
        </w:rPr>
        <w:t>、维护内容</w:t>
      </w:r>
    </w:p>
    <w:p w14:paraId="09C5A437">
      <w:pPr>
        <w:spacing w:line="360" w:lineRule="auto"/>
        <w:ind w:firstLine="480" w:firstLineChars="200"/>
        <w:jc w:val="left"/>
        <w:rPr>
          <w:color w:val="auto"/>
          <w:sz w:val="24"/>
          <w:highlight w:val="none"/>
        </w:rPr>
      </w:pPr>
      <w:r>
        <w:rPr>
          <w:rFonts w:hAnsi="宋体"/>
          <w:color w:val="auto"/>
          <w:sz w:val="24"/>
          <w:highlight w:val="none"/>
        </w:rPr>
        <w:t>成交供应商应遵守生态环境部、中国环境监测总站、江苏省生态环境厅、南通市通州生态环境局关于空气自动站运行管理的各项规定，如运维期间出台了新的空气自动站运行管理规定，则运维工作要求随之执行最新规定。</w:t>
      </w:r>
    </w:p>
    <w:p w14:paraId="01F2B78F">
      <w:pPr>
        <w:spacing w:line="360" w:lineRule="auto"/>
        <w:ind w:firstLine="480" w:firstLineChars="200"/>
        <w:jc w:val="left"/>
        <w:rPr>
          <w:color w:val="auto"/>
          <w:sz w:val="24"/>
          <w:highlight w:val="none"/>
        </w:rPr>
      </w:pPr>
      <w:bookmarkStart w:id="181" w:name="_Hlk82781683"/>
      <w:r>
        <w:rPr>
          <w:rFonts w:hAnsi="宋体"/>
          <w:color w:val="auto"/>
          <w:sz w:val="24"/>
          <w:highlight w:val="none"/>
        </w:rPr>
        <w:t>成交供应商应每天至少两次（包括早晨、夜晚）检查各子站数据是否存在异常，以及仪器设备参数是否在范围内，</w:t>
      </w:r>
      <w:bookmarkEnd w:id="181"/>
      <w:r>
        <w:rPr>
          <w:rFonts w:hAnsi="宋体"/>
          <w:color w:val="auto"/>
          <w:sz w:val="24"/>
          <w:highlight w:val="none"/>
        </w:rPr>
        <w:t>每周至少一次巡检各个子站，对整个空气自动监测子站进行检查，对各个子站站房外部环境、内部环境、仪器设备系统、通讯系统、防雷系统、各气路系统、外部采样系统等的运行情况进行检查，检查各仪器单元的工作状态，必须关注关键的技术参数如：仪器的光强，仪器数据的有效性，空调的工作情况，稳压电源的工作情况，室内温度湿度，采样管，</w:t>
      </w:r>
      <w:r>
        <w:rPr>
          <w:color w:val="auto"/>
          <w:sz w:val="24"/>
          <w:highlight w:val="none"/>
        </w:rPr>
        <w:t>PM</w:t>
      </w:r>
      <w:r>
        <w:rPr>
          <w:color w:val="auto"/>
          <w:sz w:val="24"/>
          <w:highlight w:val="none"/>
          <w:vertAlign w:val="subscript"/>
        </w:rPr>
        <w:t>10</w:t>
      </w:r>
      <w:r>
        <w:rPr>
          <w:rFonts w:hAnsi="宋体"/>
          <w:color w:val="auto"/>
          <w:sz w:val="24"/>
          <w:highlight w:val="none"/>
        </w:rPr>
        <w:t>、</w:t>
      </w:r>
      <w:r>
        <w:rPr>
          <w:color w:val="auto"/>
          <w:sz w:val="24"/>
          <w:highlight w:val="none"/>
        </w:rPr>
        <w:t>PM</w:t>
      </w:r>
      <w:r>
        <w:rPr>
          <w:color w:val="auto"/>
          <w:sz w:val="24"/>
          <w:highlight w:val="none"/>
          <w:vertAlign w:val="subscript"/>
        </w:rPr>
        <w:t>2.5</w:t>
      </w:r>
      <w:r>
        <w:rPr>
          <w:rFonts w:hAnsi="宋体"/>
          <w:color w:val="auto"/>
          <w:sz w:val="24"/>
          <w:highlight w:val="none"/>
        </w:rPr>
        <w:t>加热温度，室内密封情况，室外采样头，避雷，接地等情况，数据采集器的数据是否与仪器一致，子站通讯是否正常，数据采集工控机及数据采集软件运行情况，易损耗件使用情况等。要按照行业标准要求及时更换易耗品及进行检查。遇到可能影响空气站运行的特殊天气情况如台风、雷电、暴雨等时，成交供应商应及时到达现场，并对站房及所有仪器进行常规检查，确保正常运行。对于巡视中发现的问题，成交供应商应立即解决，并做好相应巡检和处理记录等；不能立即解决的问题，向采购人汇报，并以书面形式说明故障原因及确定最佳的解决方案。</w:t>
      </w:r>
    </w:p>
    <w:p w14:paraId="47AB43F0">
      <w:pPr>
        <w:spacing w:line="360" w:lineRule="auto"/>
        <w:ind w:firstLine="480" w:firstLineChars="200"/>
        <w:jc w:val="left"/>
        <w:rPr>
          <w:color w:val="auto"/>
          <w:sz w:val="24"/>
          <w:highlight w:val="none"/>
        </w:rPr>
      </w:pPr>
      <w:r>
        <w:rPr>
          <w:rFonts w:hAnsi="宋体"/>
          <w:color w:val="auto"/>
          <w:sz w:val="24"/>
          <w:highlight w:val="none"/>
        </w:rPr>
        <w:t>⑴远程监视</w:t>
      </w:r>
    </w:p>
    <w:p w14:paraId="35DEE2CB">
      <w:pPr>
        <w:spacing w:line="360" w:lineRule="auto"/>
        <w:ind w:firstLine="480" w:firstLineChars="200"/>
        <w:jc w:val="left"/>
        <w:rPr>
          <w:color w:val="auto"/>
          <w:sz w:val="24"/>
          <w:highlight w:val="none"/>
        </w:rPr>
      </w:pPr>
      <w:r>
        <w:rPr>
          <w:rFonts w:hAnsi="宋体"/>
          <w:color w:val="auto"/>
          <w:sz w:val="24"/>
          <w:highlight w:val="none"/>
        </w:rPr>
        <w:t>气站运维技术人员每天上午和下午至少两次远程检查各子站数据是否存在异常，以及仪器设备参数是否在范围内，分析监测数据，对站点运行情况进行远程诊断和运行管理，内容包括：</w:t>
      </w:r>
    </w:p>
    <w:p w14:paraId="6F15022E">
      <w:pPr>
        <w:spacing w:line="360" w:lineRule="auto"/>
        <w:ind w:firstLine="480" w:firstLineChars="200"/>
        <w:jc w:val="left"/>
        <w:rPr>
          <w:color w:val="auto"/>
          <w:sz w:val="24"/>
          <w:highlight w:val="none"/>
        </w:rPr>
      </w:pPr>
      <w:r>
        <w:rPr>
          <w:rFonts w:hAnsi="宋体"/>
          <w:color w:val="auto"/>
          <w:sz w:val="24"/>
          <w:highlight w:val="none"/>
        </w:rPr>
        <w:t>判断系统数据采集与传输情况；</w:t>
      </w:r>
    </w:p>
    <w:p w14:paraId="6C6414CF">
      <w:pPr>
        <w:spacing w:line="360" w:lineRule="auto"/>
        <w:ind w:firstLine="480" w:firstLineChars="200"/>
        <w:jc w:val="left"/>
        <w:rPr>
          <w:color w:val="auto"/>
          <w:sz w:val="24"/>
          <w:highlight w:val="none"/>
        </w:rPr>
      </w:pPr>
      <w:r>
        <w:rPr>
          <w:rFonts w:hAnsi="宋体"/>
          <w:color w:val="auto"/>
          <w:sz w:val="24"/>
          <w:highlight w:val="none"/>
        </w:rPr>
        <w:t>根据电源电压、站房温度、湿度数据判断站房内部情况；</w:t>
      </w:r>
    </w:p>
    <w:p w14:paraId="65E55B88">
      <w:pPr>
        <w:spacing w:line="360" w:lineRule="auto"/>
        <w:ind w:firstLine="480" w:firstLineChars="200"/>
        <w:jc w:val="left"/>
        <w:rPr>
          <w:color w:val="auto"/>
          <w:sz w:val="24"/>
          <w:highlight w:val="none"/>
        </w:rPr>
      </w:pPr>
      <w:r>
        <w:rPr>
          <w:rFonts w:hAnsi="宋体"/>
          <w:color w:val="auto"/>
          <w:sz w:val="24"/>
          <w:highlight w:val="none"/>
        </w:rPr>
        <w:t>根据仪器分析数据判断仪器运行情况；</w:t>
      </w:r>
    </w:p>
    <w:p w14:paraId="35BD9065">
      <w:pPr>
        <w:spacing w:line="360" w:lineRule="auto"/>
        <w:ind w:firstLine="480" w:firstLineChars="200"/>
        <w:jc w:val="left"/>
        <w:rPr>
          <w:color w:val="auto"/>
          <w:sz w:val="24"/>
          <w:highlight w:val="none"/>
        </w:rPr>
      </w:pPr>
      <w:r>
        <w:rPr>
          <w:rFonts w:hAnsi="宋体"/>
          <w:color w:val="auto"/>
          <w:sz w:val="24"/>
          <w:highlight w:val="none"/>
        </w:rPr>
        <w:t>根据故障报警信号判断现场状况；</w:t>
      </w:r>
    </w:p>
    <w:p w14:paraId="36F827BD">
      <w:pPr>
        <w:spacing w:line="360" w:lineRule="auto"/>
        <w:ind w:firstLine="480" w:firstLineChars="200"/>
        <w:jc w:val="left"/>
        <w:rPr>
          <w:color w:val="auto"/>
          <w:sz w:val="24"/>
          <w:highlight w:val="none"/>
        </w:rPr>
      </w:pPr>
      <w:r>
        <w:rPr>
          <w:rFonts w:hAnsi="宋体"/>
          <w:color w:val="auto"/>
          <w:sz w:val="24"/>
          <w:highlight w:val="none"/>
        </w:rPr>
        <w:t>每日检查数据是否及时按照采购方要求上传；</w:t>
      </w:r>
    </w:p>
    <w:p w14:paraId="5F0260DB">
      <w:pPr>
        <w:spacing w:line="360" w:lineRule="auto"/>
        <w:ind w:firstLine="480" w:firstLineChars="200"/>
        <w:jc w:val="left"/>
        <w:rPr>
          <w:color w:val="auto"/>
          <w:sz w:val="24"/>
          <w:highlight w:val="none"/>
        </w:rPr>
      </w:pPr>
      <w:r>
        <w:rPr>
          <w:rFonts w:hAnsi="宋体"/>
          <w:color w:val="auto"/>
          <w:sz w:val="24"/>
          <w:highlight w:val="none"/>
        </w:rPr>
        <w:t>每日对数据情况进行初审，完成数据标记位标识，对异常数据进行标注。发现数据有持续异常值出现时，应立即前往现场进行检查和处理。</w:t>
      </w:r>
    </w:p>
    <w:p w14:paraId="7D45D5F7">
      <w:pPr>
        <w:spacing w:line="360" w:lineRule="auto"/>
        <w:ind w:firstLine="480" w:firstLineChars="200"/>
        <w:jc w:val="left"/>
        <w:rPr>
          <w:color w:val="auto"/>
          <w:sz w:val="24"/>
          <w:highlight w:val="none"/>
        </w:rPr>
      </w:pPr>
      <w:r>
        <w:rPr>
          <w:rFonts w:hAnsi="宋体"/>
          <w:bCs/>
          <w:color w:val="auto"/>
          <w:sz w:val="24"/>
          <w:highlight w:val="none"/>
        </w:rPr>
        <w:t>⑵</w:t>
      </w:r>
      <w:r>
        <w:rPr>
          <w:rFonts w:hAnsi="宋体"/>
          <w:color w:val="auto"/>
          <w:sz w:val="24"/>
          <w:highlight w:val="none"/>
        </w:rPr>
        <w:t>例行巡检</w:t>
      </w:r>
    </w:p>
    <w:p w14:paraId="781D9E48">
      <w:pPr>
        <w:spacing w:line="360" w:lineRule="auto"/>
        <w:ind w:firstLine="480" w:firstLineChars="200"/>
        <w:jc w:val="left"/>
        <w:rPr>
          <w:color w:val="auto"/>
          <w:sz w:val="24"/>
          <w:highlight w:val="none"/>
        </w:rPr>
      </w:pPr>
      <w:r>
        <w:rPr>
          <w:rFonts w:hAnsi="宋体"/>
          <w:color w:val="auto"/>
          <w:sz w:val="24"/>
          <w:highlight w:val="none"/>
        </w:rPr>
        <w:t>成交供应商每周至少巡视空气自动监测站</w:t>
      </w:r>
      <w:r>
        <w:rPr>
          <w:color w:val="auto"/>
          <w:sz w:val="24"/>
          <w:highlight w:val="none"/>
        </w:rPr>
        <w:t>1</w:t>
      </w:r>
      <w:r>
        <w:rPr>
          <w:rFonts w:hAnsi="宋体"/>
          <w:color w:val="auto"/>
          <w:sz w:val="24"/>
          <w:highlight w:val="none"/>
        </w:rPr>
        <w:t>次，并做好巡查记录，巡检时需要完成的工作包括：</w:t>
      </w:r>
    </w:p>
    <w:p w14:paraId="58B62D7D">
      <w:pPr>
        <w:spacing w:line="360" w:lineRule="auto"/>
        <w:ind w:firstLine="482" w:firstLineChars="200"/>
        <w:jc w:val="left"/>
        <w:rPr>
          <w:b/>
          <w:bCs/>
          <w:color w:val="auto"/>
          <w:sz w:val="24"/>
          <w:highlight w:val="none"/>
        </w:rPr>
      </w:pPr>
      <w:r>
        <w:rPr>
          <w:b/>
          <w:bCs/>
          <w:color w:val="auto"/>
          <w:sz w:val="24"/>
          <w:highlight w:val="none"/>
        </w:rPr>
        <w:t>A</w:t>
      </w:r>
      <w:r>
        <w:rPr>
          <w:rFonts w:hAnsi="宋体"/>
          <w:b/>
          <w:bCs/>
          <w:color w:val="auto"/>
          <w:sz w:val="24"/>
          <w:highlight w:val="none"/>
        </w:rPr>
        <w:t>站房</w:t>
      </w:r>
    </w:p>
    <w:p w14:paraId="1B68676E">
      <w:pPr>
        <w:spacing w:line="360" w:lineRule="auto"/>
        <w:ind w:firstLine="480" w:firstLineChars="200"/>
        <w:jc w:val="left"/>
        <w:rPr>
          <w:color w:val="auto"/>
          <w:sz w:val="24"/>
          <w:highlight w:val="none"/>
        </w:rPr>
      </w:pPr>
      <w:r>
        <w:rPr>
          <w:rFonts w:hAnsi="宋体"/>
          <w:color w:val="auto"/>
          <w:sz w:val="24"/>
          <w:highlight w:val="none"/>
        </w:rPr>
        <w:t>检查站房门窗、门禁系统是否正常，外围设施有无破损；</w:t>
      </w:r>
    </w:p>
    <w:p w14:paraId="01FD3F1F">
      <w:pPr>
        <w:pStyle w:val="33"/>
        <w:ind w:firstLine="480"/>
        <w:jc w:val="left"/>
        <w:rPr>
          <w:rFonts w:ascii="Times New Roman" w:hAnsi="Times New Roman"/>
          <w:color w:val="auto"/>
          <w:sz w:val="24"/>
          <w:highlight w:val="none"/>
        </w:rPr>
      </w:pPr>
      <w:r>
        <w:rPr>
          <w:rFonts w:ascii="Times New Roman"/>
          <w:color w:val="auto"/>
          <w:sz w:val="24"/>
          <w:highlight w:val="none"/>
        </w:rPr>
        <w:t>对子站房周围的杂草和积水应及时清除，当周围树木生长对采样或监测光束有影响的树枝应及时进行剪除；站房外围的其它设施是否有损坏或被水淹，如遇到以上问题应及时处理，保证系统能安全运行；</w:t>
      </w:r>
    </w:p>
    <w:p w14:paraId="7359BEBA">
      <w:pPr>
        <w:spacing w:line="360" w:lineRule="auto"/>
        <w:ind w:firstLine="480" w:firstLineChars="200"/>
        <w:jc w:val="left"/>
        <w:rPr>
          <w:color w:val="auto"/>
          <w:sz w:val="24"/>
          <w:highlight w:val="none"/>
        </w:rPr>
      </w:pPr>
      <w:r>
        <w:rPr>
          <w:rFonts w:hAnsi="宋体"/>
          <w:color w:val="auto"/>
          <w:sz w:val="24"/>
          <w:highlight w:val="none"/>
        </w:rPr>
        <w:t>检查站房是否漏水，烟感、温感探测器是否正常，避雷设施是否可靠；</w:t>
      </w:r>
    </w:p>
    <w:p w14:paraId="0842B374">
      <w:pPr>
        <w:spacing w:line="360" w:lineRule="auto"/>
        <w:ind w:firstLine="480" w:firstLineChars="200"/>
        <w:jc w:val="left"/>
        <w:rPr>
          <w:color w:val="auto"/>
          <w:sz w:val="24"/>
          <w:highlight w:val="none"/>
        </w:rPr>
      </w:pPr>
      <w:r>
        <w:rPr>
          <w:rFonts w:hAnsi="宋体"/>
          <w:color w:val="auto"/>
          <w:sz w:val="24"/>
          <w:highlight w:val="none"/>
        </w:rPr>
        <w:t>检查子站的接地线路是否可靠，排风装置工作是否正常；</w:t>
      </w:r>
    </w:p>
    <w:p w14:paraId="0ED9F284">
      <w:pPr>
        <w:spacing w:line="360" w:lineRule="auto"/>
        <w:ind w:firstLine="480" w:firstLineChars="200"/>
        <w:jc w:val="left"/>
        <w:rPr>
          <w:color w:val="auto"/>
          <w:sz w:val="24"/>
          <w:highlight w:val="none"/>
        </w:rPr>
      </w:pPr>
      <w:r>
        <w:rPr>
          <w:rFonts w:hAnsi="宋体"/>
          <w:color w:val="auto"/>
          <w:sz w:val="24"/>
          <w:highlight w:val="none"/>
        </w:rPr>
        <w:t>根据需要开启空调，站房温度</w:t>
      </w:r>
      <w:r>
        <w:rPr>
          <w:color w:val="auto"/>
          <w:sz w:val="24"/>
          <w:highlight w:val="none"/>
        </w:rPr>
        <w:t>25±5</w:t>
      </w:r>
      <w:r>
        <w:rPr>
          <w:rFonts w:hAnsi="宋体"/>
          <w:color w:val="auto"/>
          <w:sz w:val="24"/>
          <w:highlight w:val="none"/>
        </w:rPr>
        <w:t>℃，（最佳：夏季</w:t>
      </w:r>
      <w:r>
        <w:rPr>
          <w:color w:val="auto"/>
          <w:sz w:val="24"/>
          <w:highlight w:val="none"/>
        </w:rPr>
        <w:t>28</w:t>
      </w:r>
      <w:r>
        <w:rPr>
          <w:rFonts w:hAnsi="宋体"/>
          <w:color w:val="auto"/>
          <w:sz w:val="24"/>
          <w:highlight w:val="none"/>
        </w:rPr>
        <w:t>℃或更高、冬季</w:t>
      </w:r>
      <w:r>
        <w:rPr>
          <w:color w:val="auto"/>
          <w:sz w:val="24"/>
          <w:highlight w:val="none"/>
        </w:rPr>
        <w:t>20</w:t>
      </w:r>
      <w:r>
        <w:rPr>
          <w:rFonts w:hAnsi="宋体"/>
          <w:color w:val="auto"/>
          <w:sz w:val="24"/>
          <w:highlight w:val="none"/>
        </w:rPr>
        <w:t>℃左右，</w:t>
      </w:r>
      <w:r>
        <w:rPr>
          <w:rFonts w:hAnsi="宋体"/>
          <w:b/>
          <w:bCs/>
          <w:color w:val="auto"/>
          <w:sz w:val="24"/>
          <w:highlight w:val="none"/>
        </w:rPr>
        <w:t>注意站房内外温差，防止采样装置出现冷凝水现象</w:t>
      </w:r>
      <w:r>
        <w:rPr>
          <w:rFonts w:hAnsi="宋体"/>
          <w:color w:val="auto"/>
          <w:sz w:val="24"/>
          <w:highlight w:val="none"/>
        </w:rPr>
        <w:t>），相对湿度小于</w:t>
      </w:r>
      <w:r>
        <w:rPr>
          <w:color w:val="auto"/>
          <w:sz w:val="24"/>
          <w:highlight w:val="none"/>
        </w:rPr>
        <w:t>80%</w:t>
      </w:r>
      <w:r>
        <w:rPr>
          <w:rFonts w:hAnsi="宋体"/>
          <w:color w:val="auto"/>
          <w:sz w:val="24"/>
          <w:highlight w:val="none"/>
        </w:rPr>
        <w:t>；</w:t>
      </w:r>
    </w:p>
    <w:p w14:paraId="1D4AE8BA">
      <w:pPr>
        <w:spacing w:line="360" w:lineRule="auto"/>
        <w:ind w:firstLine="480" w:firstLineChars="200"/>
        <w:jc w:val="left"/>
        <w:rPr>
          <w:color w:val="auto"/>
          <w:sz w:val="24"/>
          <w:highlight w:val="none"/>
        </w:rPr>
      </w:pPr>
      <w:r>
        <w:rPr>
          <w:rFonts w:hAnsi="宋体"/>
          <w:color w:val="auto"/>
          <w:sz w:val="24"/>
          <w:highlight w:val="none"/>
        </w:rPr>
        <w:t>检查灭火器（仪器设备专用灭火器）是否处于有效期，将灭火器放置在站房门口附近显眼位置（如遇过期灭火器，需及时更换符合要求灭火设施）；</w:t>
      </w:r>
    </w:p>
    <w:p w14:paraId="74E4889E">
      <w:pPr>
        <w:spacing w:line="360" w:lineRule="auto"/>
        <w:ind w:firstLine="480" w:firstLineChars="200"/>
        <w:jc w:val="left"/>
        <w:rPr>
          <w:color w:val="auto"/>
          <w:sz w:val="24"/>
          <w:highlight w:val="none"/>
        </w:rPr>
      </w:pPr>
      <w:r>
        <w:rPr>
          <w:rFonts w:hAnsi="宋体"/>
          <w:color w:val="auto"/>
          <w:sz w:val="24"/>
          <w:highlight w:val="none"/>
        </w:rPr>
        <w:t>检查站房内物件摆放是否整齐，清理杂物，各仪器设备干净清洁，设备标识清楚。</w:t>
      </w:r>
    </w:p>
    <w:p w14:paraId="2BD08AA8">
      <w:pPr>
        <w:spacing w:line="360" w:lineRule="auto"/>
        <w:ind w:firstLine="482" w:firstLineChars="200"/>
        <w:jc w:val="left"/>
        <w:rPr>
          <w:b/>
          <w:bCs/>
          <w:color w:val="auto"/>
          <w:sz w:val="24"/>
          <w:highlight w:val="none"/>
        </w:rPr>
      </w:pPr>
      <w:r>
        <w:rPr>
          <w:b/>
          <w:bCs/>
          <w:color w:val="auto"/>
          <w:sz w:val="24"/>
          <w:highlight w:val="none"/>
        </w:rPr>
        <w:t>B</w:t>
      </w:r>
      <w:r>
        <w:rPr>
          <w:rFonts w:hAnsi="宋体"/>
          <w:b/>
          <w:bCs/>
          <w:color w:val="auto"/>
          <w:sz w:val="24"/>
          <w:highlight w:val="none"/>
        </w:rPr>
        <w:t>设备</w:t>
      </w:r>
    </w:p>
    <w:p w14:paraId="5BEF7444">
      <w:pPr>
        <w:spacing w:line="360" w:lineRule="auto"/>
        <w:ind w:firstLine="482" w:firstLineChars="200"/>
        <w:jc w:val="left"/>
        <w:rPr>
          <w:b/>
          <w:bCs/>
          <w:color w:val="auto"/>
          <w:sz w:val="24"/>
          <w:highlight w:val="none"/>
        </w:rPr>
      </w:pPr>
      <w:r>
        <w:rPr>
          <w:rFonts w:hAnsi="宋体"/>
          <w:b/>
          <w:bCs/>
          <w:color w:val="auto"/>
          <w:sz w:val="24"/>
          <w:highlight w:val="none"/>
        </w:rPr>
        <w:t>每周：</w:t>
      </w:r>
    </w:p>
    <w:p w14:paraId="247C09F3">
      <w:pPr>
        <w:spacing w:line="360" w:lineRule="auto"/>
        <w:ind w:firstLine="480" w:firstLineChars="200"/>
        <w:jc w:val="left"/>
        <w:rPr>
          <w:color w:val="auto"/>
          <w:sz w:val="24"/>
          <w:highlight w:val="none"/>
        </w:rPr>
      </w:pPr>
      <w:r>
        <w:rPr>
          <w:rFonts w:hAnsi="宋体"/>
          <w:color w:val="auto"/>
          <w:sz w:val="24"/>
          <w:highlight w:val="none"/>
        </w:rPr>
        <w:t>检查子站气象杆和天线是否被刮坏，对气象仪器的运行情况进行检查；</w:t>
      </w:r>
    </w:p>
    <w:p w14:paraId="67C9BF11">
      <w:pPr>
        <w:spacing w:line="360" w:lineRule="auto"/>
        <w:ind w:firstLine="480" w:firstLineChars="200"/>
        <w:jc w:val="left"/>
        <w:rPr>
          <w:color w:val="auto"/>
          <w:sz w:val="24"/>
          <w:highlight w:val="none"/>
        </w:rPr>
      </w:pPr>
      <w:r>
        <w:rPr>
          <w:rFonts w:hAnsi="宋体"/>
          <w:color w:val="auto"/>
          <w:sz w:val="24"/>
          <w:highlight w:val="none"/>
        </w:rPr>
        <w:t>查看子站设备是否齐备，无丢失和损坏；标准气钢瓶阀门是否漏气，标准气的消耗情况；</w:t>
      </w:r>
    </w:p>
    <w:p w14:paraId="36AF3824">
      <w:pPr>
        <w:spacing w:line="360" w:lineRule="auto"/>
        <w:ind w:firstLine="480" w:firstLineChars="200"/>
        <w:jc w:val="left"/>
        <w:rPr>
          <w:color w:val="auto"/>
          <w:sz w:val="24"/>
          <w:highlight w:val="none"/>
        </w:rPr>
      </w:pPr>
      <w:r>
        <w:rPr>
          <w:rFonts w:hAnsi="宋体"/>
          <w:color w:val="auto"/>
          <w:sz w:val="24"/>
          <w:highlight w:val="none"/>
        </w:rPr>
        <w:t>检查采样和排气管路是否有漏气或堵塞现象，各分析仪器采样流量是否正常；检查各仪器的运行状况，保证系统运行顺畅；</w:t>
      </w:r>
    </w:p>
    <w:p w14:paraId="78124DAE">
      <w:pPr>
        <w:spacing w:line="360" w:lineRule="auto"/>
        <w:ind w:firstLine="480" w:firstLineChars="200"/>
        <w:jc w:val="left"/>
        <w:rPr>
          <w:color w:val="auto"/>
          <w:sz w:val="24"/>
          <w:highlight w:val="none"/>
        </w:rPr>
      </w:pPr>
      <w:r>
        <w:rPr>
          <w:rFonts w:hAnsi="宋体"/>
          <w:color w:val="auto"/>
          <w:sz w:val="24"/>
          <w:highlight w:val="none"/>
        </w:rPr>
        <w:t>检查外部环境是否正常，有没有对测定结果或运行环境存在明显影响的污染源；</w:t>
      </w:r>
    </w:p>
    <w:p w14:paraId="143C6443">
      <w:pPr>
        <w:spacing w:line="360" w:lineRule="auto"/>
        <w:ind w:firstLine="480" w:firstLineChars="200"/>
        <w:jc w:val="left"/>
        <w:rPr>
          <w:color w:val="auto"/>
          <w:sz w:val="24"/>
          <w:highlight w:val="none"/>
        </w:rPr>
      </w:pPr>
      <w:r>
        <w:rPr>
          <w:rFonts w:hAnsi="宋体"/>
          <w:color w:val="auto"/>
          <w:sz w:val="24"/>
          <w:highlight w:val="none"/>
        </w:rPr>
        <w:t>检查电路系统和通讯系统，保证系统供电正常，电压稳定；</w:t>
      </w:r>
    </w:p>
    <w:p w14:paraId="681E8229">
      <w:pPr>
        <w:spacing w:line="360" w:lineRule="auto"/>
        <w:ind w:firstLine="480" w:firstLineChars="200"/>
        <w:jc w:val="left"/>
        <w:rPr>
          <w:color w:val="auto"/>
          <w:sz w:val="24"/>
          <w:highlight w:val="none"/>
        </w:rPr>
      </w:pPr>
      <w:r>
        <w:rPr>
          <w:rFonts w:hAnsi="宋体"/>
          <w:color w:val="auto"/>
          <w:sz w:val="24"/>
          <w:highlight w:val="none"/>
        </w:rPr>
        <w:t>检查空气自动站的通讯系统，保证空气自动站与远程监控中心的连接正常，数据传输正常；</w:t>
      </w:r>
    </w:p>
    <w:p w14:paraId="3ABECC93">
      <w:pPr>
        <w:spacing w:line="360" w:lineRule="auto"/>
        <w:ind w:firstLine="480" w:firstLineChars="200"/>
        <w:jc w:val="left"/>
        <w:rPr>
          <w:color w:val="auto"/>
          <w:sz w:val="24"/>
          <w:highlight w:val="none"/>
        </w:rPr>
      </w:pPr>
      <w:r>
        <w:rPr>
          <w:rFonts w:hAnsi="宋体"/>
          <w:color w:val="auto"/>
          <w:sz w:val="24"/>
          <w:highlight w:val="none"/>
        </w:rPr>
        <w:t>检查硅胶是否变色，</w:t>
      </w:r>
      <w:r>
        <w:rPr>
          <w:color w:val="auto"/>
          <w:sz w:val="24"/>
          <w:highlight w:val="none"/>
        </w:rPr>
        <w:t>3/5</w:t>
      </w:r>
      <w:r>
        <w:rPr>
          <w:rFonts w:hAnsi="宋体"/>
          <w:color w:val="auto"/>
          <w:sz w:val="24"/>
          <w:highlight w:val="none"/>
        </w:rPr>
        <w:t>变红时及时更换；</w:t>
      </w:r>
    </w:p>
    <w:p w14:paraId="30D7EE38">
      <w:pPr>
        <w:spacing w:line="360" w:lineRule="auto"/>
        <w:ind w:firstLine="480" w:firstLineChars="200"/>
        <w:jc w:val="left"/>
        <w:rPr>
          <w:color w:val="auto"/>
          <w:sz w:val="24"/>
          <w:highlight w:val="none"/>
        </w:rPr>
      </w:pPr>
      <w:r>
        <w:rPr>
          <w:rFonts w:hAnsi="宋体"/>
          <w:color w:val="auto"/>
          <w:sz w:val="24"/>
          <w:highlight w:val="none"/>
        </w:rPr>
        <w:t>检查监测仪器的采样入口与采样支路管线结合部之间安装的过滤膜的污染情况，每周更换滤膜；</w:t>
      </w:r>
    </w:p>
    <w:p w14:paraId="218490EE">
      <w:pPr>
        <w:pStyle w:val="33"/>
        <w:ind w:firstLine="480"/>
        <w:jc w:val="left"/>
        <w:rPr>
          <w:rFonts w:ascii="Times New Roman" w:hAnsi="Times New Roman"/>
          <w:color w:val="auto"/>
          <w:sz w:val="24"/>
          <w:highlight w:val="none"/>
        </w:rPr>
      </w:pPr>
      <w:r>
        <w:rPr>
          <w:rFonts w:ascii="Times New Roman"/>
          <w:color w:val="auto"/>
          <w:sz w:val="24"/>
          <w:highlight w:val="none"/>
        </w:rPr>
        <w:t>检查纸带位置、长度是否正常（采样斑点需圆滑、均匀、完整）；</w:t>
      </w:r>
    </w:p>
    <w:p w14:paraId="1DA4A2BD">
      <w:pPr>
        <w:spacing w:line="360" w:lineRule="auto"/>
        <w:ind w:firstLine="482" w:firstLineChars="200"/>
        <w:jc w:val="left"/>
        <w:rPr>
          <w:color w:val="auto"/>
          <w:sz w:val="24"/>
          <w:highlight w:val="none"/>
        </w:rPr>
      </w:pPr>
      <w:r>
        <w:rPr>
          <w:rFonts w:hAnsi="宋体"/>
          <w:b/>
          <w:bCs/>
          <w:color w:val="auto"/>
          <w:sz w:val="24"/>
          <w:highlight w:val="none"/>
        </w:rPr>
        <w:t>每月</w:t>
      </w:r>
      <w:r>
        <w:rPr>
          <w:rFonts w:hAnsi="宋体"/>
          <w:color w:val="auto"/>
          <w:sz w:val="24"/>
          <w:highlight w:val="none"/>
        </w:rPr>
        <w:t>：</w:t>
      </w:r>
    </w:p>
    <w:p w14:paraId="0A700C40">
      <w:pPr>
        <w:spacing w:line="360" w:lineRule="auto"/>
        <w:ind w:firstLine="480" w:firstLineChars="200"/>
        <w:jc w:val="left"/>
        <w:rPr>
          <w:color w:val="auto"/>
          <w:sz w:val="24"/>
          <w:highlight w:val="none"/>
        </w:rPr>
      </w:pPr>
      <w:r>
        <w:rPr>
          <w:rFonts w:hAnsi="宋体"/>
          <w:color w:val="auto"/>
          <w:sz w:val="24"/>
          <w:highlight w:val="none"/>
        </w:rPr>
        <w:t>更换</w:t>
      </w:r>
      <w:r>
        <w:rPr>
          <w:color w:val="auto"/>
          <w:sz w:val="24"/>
          <w:highlight w:val="none"/>
        </w:rPr>
        <w:t>PM</w:t>
      </w:r>
      <w:r>
        <w:rPr>
          <w:color w:val="auto"/>
          <w:sz w:val="24"/>
          <w:highlight w:val="none"/>
          <w:vertAlign w:val="subscript"/>
        </w:rPr>
        <w:t>10</w:t>
      </w:r>
      <w:r>
        <w:rPr>
          <w:rFonts w:hAnsi="宋体"/>
          <w:color w:val="auto"/>
          <w:sz w:val="24"/>
          <w:highlight w:val="none"/>
        </w:rPr>
        <w:t>及</w:t>
      </w:r>
      <w:r>
        <w:rPr>
          <w:color w:val="auto"/>
          <w:sz w:val="24"/>
          <w:highlight w:val="none"/>
        </w:rPr>
        <w:t>PM</w:t>
      </w:r>
      <w:r>
        <w:rPr>
          <w:color w:val="auto"/>
          <w:sz w:val="24"/>
          <w:highlight w:val="none"/>
          <w:vertAlign w:val="subscript"/>
        </w:rPr>
        <w:t>2.5</w:t>
      </w:r>
      <w:r>
        <w:rPr>
          <w:rFonts w:hAnsi="宋体"/>
          <w:color w:val="auto"/>
          <w:sz w:val="24"/>
          <w:highlight w:val="none"/>
        </w:rPr>
        <w:t>分析仪纸带，进行系统自检；</w:t>
      </w:r>
    </w:p>
    <w:p w14:paraId="6BC45754">
      <w:pPr>
        <w:spacing w:line="360" w:lineRule="auto"/>
        <w:ind w:firstLine="480" w:firstLineChars="200"/>
        <w:jc w:val="left"/>
        <w:rPr>
          <w:color w:val="auto"/>
          <w:sz w:val="24"/>
          <w:highlight w:val="none"/>
        </w:rPr>
      </w:pPr>
      <w:r>
        <w:rPr>
          <w:rFonts w:hAnsi="宋体"/>
          <w:color w:val="auto"/>
          <w:sz w:val="24"/>
          <w:highlight w:val="none"/>
        </w:rPr>
        <w:t>清洗</w:t>
      </w:r>
      <w:r>
        <w:rPr>
          <w:color w:val="auto"/>
          <w:sz w:val="24"/>
          <w:highlight w:val="none"/>
        </w:rPr>
        <w:t>PM</w:t>
      </w:r>
      <w:r>
        <w:rPr>
          <w:color w:val="auto"/>
          <w:sz w:val="24"/>
          <w:highlight w:val="none"/>
          <w:vertAlign w:val="subscript"/>
        </w:rPr>
        <w:t>10</w:t>
      </w:r>
      <w:r>
        <w:rPr>
          <w:rFonts w:hAnsi="宋体"/>
          <w:color w:val="auto"/>
          <w:sz w:val="24"/>
          <w:highlight w:val="none"/>
        </w:rPr>
        <w:t>及</w:t>
      </w:r>
      <w:r>
        <w:rPr>
          <w:color w:val="auto"/>
          <w:sz w:val="24"/>
          <w:highlight w:val="none"/>
        </w:rPr>
        <w:t>PM</w:t>
      </w:r>
      <w:r>
        <w:rPr>
          <w:color w:val="auto"/>
          <w:sz w:val="24"/>
          <w:highlight w:val="none"/>
          <w:vertAlign w:val="subscript"/>
        </w:rPr>
        <w:t>2.5</w:t>
      </w:r>
      <w:r>
        <w:rPr>
          <w:rFonts w:hAnsi="宋体"/>
          <w:color w:val="auto"/>
          <w:sz w:val="24"/>
          <w:highlight w:val="none"/>
        </w:rPr>
        <w:t>切割头，检查仪器喷嘴、压环等部件；</w:t>
      </w:r>
    </w:p>
    <w:p w14:paraId="510AEB71">
      <w:pPr>
        <w:spacing w:line="360" w:lineRule="auto"/>
        <w:ind w:firstLine="480" w:firstLineChars="200"/>
        <w:jc w:val="left"/>
        <w:rPr>
          <w:color w:val="auto"/>
          <w:sz w:val="24"/>
          <w:highlight w:val="none"/>
        </w:rPr>
      </w:pPr>
      <w:r>
        <w:rPr>
          <w:rFonts w:hAnsi="宋体"/>
          <w:color w:val="auto"/>
          <w:sz w:val="24"/>
          <w:highlight w:val="none"/>
        </w:rPr>
        <w:t>检查</w:t>
      </w:r>
      <w:r>
        <w:rPr>
          <w:color w:val="auto"/>
          <w:sz w:val="24"/>
          <w:highlight w:val="none"/>
        </w:rPr>
        <w:t>PM</w:t>
      </w:r>
      <w:r>
        <w:rPr>
          <w:color w:val="auto"/>
          <w:sz w:val="24"/>
          <w:highlight w:val="none"/>
          <w:vertAlign w:val="subscript"/>
        </w:rPr>
        <w:t>10</w:t>
      </w:r>
      <w:r>
        <w:rPr>
          <w:rFonts w:hAnsi="宋体"/>
          <w:color w:val="auto"/>
          <w:sz w:val="24"/>
          <w:highlight w:val="none"/>
        </w:rPr>
        <w:t>及</w:t>
      </w:r>
      <w:r>
        <w:rPr>
          <w:color w:val="auto"/>
          <w:sz w:val="24"/>
          <w:highlight w:val="none"/>
        </w:rPr>
        <w:t>PM</w:t>
      </w:r>
      <w:r>
        <w:rPr>
          <w:color w:val="auto"/>
          <w:sz w:val="24"/>
          <w:highlight w:val="none"/>
          <w:vertAlign w:val="subscript"/>
        </w:rPr>
        <w:t>2.5</w:t>
      </w:r>
      <w:r>
        <w:rPr>
          <w:rFonts w:hAnsi="宋体"/>
          <w:color w:val="auto"/>
          <w:sz w:val="24"/>
          <w:highlight w:val="none"/>
        </w:rPr>
        <w:t>、气态分析仪、动态校准仪流量，必要时校准；检查仪器是否泄漏；</w:t>
      </w:r>
    </w:p>
    <w:p w14:paraId="40AAAAC5">
      <w:pPr>
        <w:pStyle w:val="33"/>
        <w:ind w:firstLine="480"/>
        <w:jc w:val="left"/>
        <w:rPr>
          <w:rFonts w:ascii="Times New Roman" w:hAnsi="Times New Roman"/>
          <w:color w:val="auto"/>
          <w:sz w:val="24"/>
          <w:highlight w:val="none"/>
        </w:rPr>
      </w:pPr>
      <w:r>
        <w:rPr>
          <w:rFonts w:ascii="Times New Roman"/>
          <w:color w:val="auto"/>
          <w:sz w:val="24"/>
          <w:highlight w:val="none"/>
        </w:rPr>
        <w:t>检查加热装置是否正常，加热温度是否正常；</w:t>
      </w:r>
    </w:p>
    <w:p w14:paraId="6C0691DF">
      <w:pPr>
        <w:spacing w:line="360" w:lineRule="auto"/>
        <w:ind w:firstLine="480" w:firstLineChars="200"/>
        <w:jc w:val="left"/>
        <w:rPr>
          <w:color w:val="auto"/>
          <w:sz w:val="24"/>
          <w:highlight w:val="none"/>
        </w:rPr>
      </w:pPr>
      <w:r>
        <w:rPr>
          <w:rFonts w:hAnsi="宋体"/>
          <w:color w:val="auto"/>
          <w:sz w:val="24"/>
          <w:highlight w:val="none"/>
        </w:rPr>
        <w:t>对仪器显示数据和数据采集仪之间的一致性进行检查；对数据进行备份；</w:t>
      </w:r>
    </w:p>
    <w:p w14:paraId="768C9E32">
      <w:pPr>
        <w:pStyle w:val="33"/>
        <w:ind w:firstLine="480"/>
        <w:jc w:val="left"/>
        <w:rPr>
          <w:rFonts w:ascii="Times New Roman" w:hAnsi="Times New Roman"/>
          <w:color w:val="auto"/>
          <w:sz w:val="24"/>
          <w:highlight w:val="none"/>
        </w:rPr>
      </w:pPr>
      <w:r>
        <w:rPr>
          <w:rFonts w:ascii="Times New Roman"/>
          <w:color w:val="auto"/>
          <w:sz w:val="24"/>
          <w:highlight w:val="none"/>
        </w:rPr>
        <w:t>清洗各仪器散热防尘网和站房空调的过滤网，防止尘土。</w:t>
      </w:r>
    </w:p>
    <w:p w14:paraId="51F9E85D">
      <w:pPr>
        <w:spacing w:line="360" w:lineRule="auto"/>
        <w:ind w:firstLine="482" w:firstLineChars="200"/>
        <w:jc w:val="left"/>
        <w:rPr>
          <w:b/>
          <w:bCs/>
          <w:color w:val="auto"/>
          <w:sz w:val="24"/>
          <w:highlight w:val="none"/>
        </w:rPr>
      </w:pPr>
      <w:r>
        <w:rPr>
          <w:rFonts w:hAnsi="宋体"/>
          <w:b/>
          <w:bCs/>
          <w:color w:val="auto"/>
          <w:sz w:val="24"/>
          <w:highlight w:val="none"/>
        </w:rPr>
        <w:t>每季度：</w:t>
      </w:r>
    </w:p>
    <w:p w14:paraId="4A8CD107">
      <w:pPr>
        <w:spacing w:line="360" w:lineRule="auto"/>
        <w:ind w:firstLine="480" w:firstLineChars="200"/>
        <w:jc w:val="left"/>
        <w:rPr>
          <w:color w:val="auto"/>
          <w:sz w:val="24"/>
          <w:highlight w:val="none"/>
        </w:rPr>
      </w:pPr>
      <w:r>
        <w:rPr>
          <w:rFonts w:hAnsi="宋体"/>
          <w:color w:val="auto"/>
          <w:sz w:val="24"/>
          <w:highlight w:val="none"/>
        </w:rPr>
        <w:t>校准和检查</w:t>
      </w:r>
      <w:r>
        <w:rPr>
          <w:color w:val="auto"/>
          <w:sz w:val="24"/>
          <w:highlight w:val="none"/>
        </w:rPr>
        <w:t>PM</w:t>
      </w:r>
      <w:r>
        <w:rPr>
          <w:color w:val="auto"/>
          <w:sz w:val="24"/>
          <w:highlight w:val="none"/>
          <w:vertAlign w:val="subscript"/>
        </w:rPr>
        <w:t>10</w:t>
      </w:r>
      <w:r>
        <w:rPr>
          <w:rFonts w:hAnsi="宋体"/>
          <w:color w:val="auto"/>
          <w:sz w:val="24"/>
          <w:highlight w:val="none"/>
        </w:rPr>
        <w:t>及</w:t>
      </w:r>
      <w:r>
        <w:rPr>
          <w:color w:val="auto"/>
          <w:sz w:val="24"/>
          <w:highlight w:val="none"/>
        </w:rPr>
        <w:t>PM</w:t>
      </w:r>
      <w:r>
        <w:rPr>
          <w:color w:val="auto"/>
          <w:sz w:val="24"/>
          <w:highlight w:val="none"/>
          <w:vertAlign w:val="subscript"/>
        </w:rPr>
        <w:t>2.5</w:t>
      </w:r>
      <w:r>
        <w:rPr>
          <w:rFonts w:hAnsi="宋体"/>
          <w:color w:val="auto"/>
          <w:sz w:val="24"/>
          <w:highlight w:val="none"/>
        </w:rPr>
        <w:t>温度、气压、时钟；</w:t>
      </w:r>
    </w:p>
    <w:p w14:paraId="5B01A007">
      <w:pPr>
        <w:spacing w:line="360" w:lineRule="auto"/>
        <w:ind w:firstLine="480" w:firstLineChars="200"/>
        <w:jc w:val="left"/>
        <w:rPr>
          <w:color w:val="auto"/>
          <w:sz w:val="24"/>
          <w:highlight w:val="none"/>
        </w:rPr>
      </w:pPr>
      <w:r>
        <w:rPr>
          <w:rFonts w:hAnsi="宋体"/>
          <w:color w:val="auto"/>
          <w:sz w:val="24"/>
          <w:highlight w:val="none"/>
        </w:rPr>
        <w:t>用标准气压计、温度计、手持式风速风向仪校准气象五参数；</w:t>
      </w:r>
    </w:p>
    <w:p w14:paraId="737CB60A">
      <w:pPr>
        <w:spacing w:line="360" w:lineRule="auto"/>
        <w:ind w:firstLine="480" w:firstLineChars="200"/>
        <w:jc w:val="left"/>
        <w:rPr>
          <w:color w:val="auto"/>
          <w:sz w:val="24"/>
          <w:highlight w:val="none"/>
        </w:rPr>
      </w:pPr>
      <w:r>
        <w:rPr>
          <w:rFonts w:hAnsi="宋体"/>
          <w:color w:val="auto"/>
          <w:sz w:val="24"/>
          <w:highlight w:val="none"/>
        </w:rPr>
        <w:t>采样总管及采样风机每季度至少清洗一次；</w:t>
      </w:r>
    </w:p>
    <w:p w14:paraId="5EFD03E9">
      <w:pPr>
        <w:spacing w:line="360" w:lineRule="auto"/>
        <w:ind w:firstLine="480" w:firstLineChars="200"/>
        <w:jc w:val="left"/>
        <w:rPr>
          <w:color w:val="auto"/>
          <w:sz w:val="24"/>
          <w:highlight w:val="none"/>
        </w:rPr>
      </w:pPr>
      <w:r>
        <w:rPr>
          <w:rFonts w:hAnsi="宋体"/>
          <w:color w:val="auto"/>
          <w:sz w:val="24"/>
          <w:highlight w:val="none"/>
        </w:rPr>
        <w:t>对气态分析仪进行多点线性检查；</w:t>
      </w:r>
    </w:p>
    <w:p w14:paraId="764F341A">
      <w:pPr>
        <w:spacing w:line="360" w:lineRule="auto"/>
        <w:ind w:firstLine="482" w:firstLineChars="200"/>
        <w:jc w:val="left"/>
        <w:rPr>
          <w:color w:val="auto"/>
          <w:sz w:val="24"/>
          <w:highlight w:val="none"/>
        </w:rPr>
      </w:pPr>
      <w:r>
        <w:rPr>
          <w:rFonts w:hAnsi="宋体"/>
          <w:b/>
          <w:bCs/>
          <w:color w:val="auto"/>
          <w:sz w:val="24"/>
          <w:highlight w:val="none"/>
        </w:rPr>
        <w:t>每半年</w:t>
      </w:r>
      <w:r>
        <w:rPr>
          <w:rFonts w:hAnsi="宋体"/>
          <w:color w:val="auto"/>
          <w:sz w:val="24"/>
          <w:highlight w:val="none"/>
        </w:rPr>
        <w:t>：</w:t>
      </w:r>
    </w:p>
    <w:p w14:paraId="65872426">
      <w:pPr>
        <w:spacing w:line="360" w:lineRule="auto"/>
        <w:ind w:firstLine="480" w:firstLineChars="200"/>
        <w:jc w:val="left"/>
        <w:rPr>
          <w:color w:val="auto"/>
          <w:sz w:val="24"/>
          <w:highlight w:val="none"/>
        </w:rPr>
      </w:pPr>
      <w:r>
        <w:rPr>
          <w:rFonts w:hAnsi="宋体"/>
          <w:color w:val="auto"/>
          <w:sz w:val="24"/>
          <w:highlight w:val="none"/>
        </w:rPr>
        <w:t>检查</w:t>
      </w:r>
      <w:r>
        <w:rPr>
          <w:color w:val="auto"/>
          <w:sz w:val="24"/>
          <w:highlight w:val="none"/>
        </w:rPr>
        <w:t>PM</w:t>
      </w:r>
      <w:r>
        <w:rPr>
          <w:color w:val="auto"/>
          <w:sz w:val="24"/>
          <w:highlight w:val="none"/>
          <w:vertAlign w:val="subscript"/>
        </w:rPr>
        <w:t>2.5</w:t>
      </w:r>
      <w:r>
        <w:rPr>
          <w:rFonts w:hAnsi="宋体"/>
          <w:color w:val="auto"/>
          <w:sz w:val="24"/>
          <w:highlight w:val="none"/>
        </w:rPr>
        <w:t>、</w:t>
      </w:r>
      <w:r>
        <w:rPr>
          <w:color w:val="auto"/>
          <w:sz w:val="24"/>
          <w:highlight w:val="none"/>
        </w:rPr>
        <w:t>PM</w:t>
      </w:r>
      <w:r>
        <w:rPr>
          <w:color w:val="auto"/>
          <w:sz w:val="24"/>
          <w:highlight w:val="none"/>
          <w:vertAlign w:val="subscript"/>
        </w:rPr>
        <w:t>10</w:t>
      </w:r>
      <w:r>
        <w:rPr>
          <w:rFonts w:hAnsi="宋体"/>
          <w:color w:val="auto"/>
          <w:sz w:val="24"/>
          <w:highlight w:val="none"/>
        </w:rPr>
        <w:t>分析仪气体湿度传感器，仪器读数与标准湿度计读数应在</w:t>
      </w:r>
      <w:r>
        <w:rPr>
          <w:color w:val="auto"/>
          <w:sz w:val="24"/>
          <w:highlight w:val="none"/>
        </w:rPr>
        <w:t>±4%</w:t>
      </w:r>
      <w:r>
        <w:rPr>
          <w:rFonts w:hAnsi="宋体"/>
          <w:color w:val="auto"/>
          <w:sz w:val="24"/>
          <w:highlight w:val="none"/>
        </w:rPr>
        <w:t>范围内，超出时应校准。</w:t>
      </w:r>
    </w:p>
    <w:p w14:paraId="522AC3BF">
      <w:pPr>
        <w:spacing w:line="360" w:lineRule="auto"/>
        <w:ind w:firstLine="480" w:firstLineChars="200"/>
        <w:jc w:val="left"/>
        <w:rPr>
          <w:color w:val="auto"/>
          <w:sz w:val="24"/>
          <w:highlight w:val="none"/>
        </w:rPr>
      </w:pPr>
      <w:r>
        <w:rPr>
          <w:rFonts w:hAnsi="宋体"/>
          <w:color w:val="auto"/>
          <w:sz w:val="24"/>
          <w:highlight w:val="none"/>
        </w:rPr>
        <w:t>检查氮氧化物分析仪钼炉转化率，转换效率</w:t>
      </w:r>
      <w:r>
        <w:rPr>
          <w:color w:val="auto"/>
          <w:sz w:val="24"/>
          <w:highlight w:val="none"/>
        </w:rPr>
        <w:t>≥96%</w:t>
      </w:r>
      <w:r>
        <w:rPr>
          <w:rFonts w:hAnsi="宋体"/>
          <w:color w:val="auto"/>
          <w:sz w:val="24"/>
          <w:highlight w:val="none"/>
        </w:rPr>
        <w:t>；</w:t>
      </w:r>
    </w:p>
    <w:p w14:paraId="47F200B1">
      <w:pPr>
        <w:spacing w:line="360" w:lineRule="auto"/>
        <w:ind w:firstLine="480" w:firstLineChars="200"/>
        <w:jc w:val="left"/>
        <w:rPr>
          <w:color w:val="auto"/>
          <w:sz w:val="24"/>
          <w:highlight w:val="none"/>
        </w:rPr>
      </w:pPr>
      <w:r>
        <w:rPr>
          <w:rFonts w:hAnsi="宋体"/>
          <w:color w:val="auto"/>
          <w:sz w:val="24"/>
          <w:highlight w:val="none"/>
        </w:rPr>
        <w:t>更换零气发生器中的氧化剂、活性碳等，对零气性能进行检查；</w:t>
      </w:r>
      <w:r>
        <w:rPr>
          <w:color w:val="auto"/>
          <w:sz w:val="24"/>
          <w:highlight w:val="none"/>
        </w:rPr>
        <w:t xml:space="preserve"> </w:t>
      </w:r>
    </w:p>
    <w:p w14:paraId="7AEC9C6A">
      <w:pPr>
        <w:spacing w:line="360" w:lineRule="auto"/>
        <w:ind w:firstLine="482" w:firstLineChars="200"/>
        <w:jc w:val="left"/>
        <w:rPr>
          <w:color w:val="auto"/>
          <w:sz w:val="24"/>
          <w:highlight w:val="none"/>
        </w:rPr>
      </w:pPr>
      <w:r>
        <w:rPr>
          <w:rFonts w:hAnsi="宋体"/>
          <w:b/>
          <w:bCs/>
          <w:color w:val="auto"/>
          <w:sz w:val="24"/>
          <w:highlight w:val="none"/>
        </w:rPr>
        <w:t>每年</w:t>
      </w:r>
      <w:r>
        <w:rPr>
          <w:rFonts w:hAnsi="宋体"/>
          <w:color w:val="auto"/>
          <w:sz w:val="24"/>
          <w:highlight w:val="none"/>
        </w:rPr>
        <w:t>（合同期内）</w:t>
      </w:r>
    </w:p>
    <w:p w14:paraId="18CF85BB">
      <w:pPr>
        <w:spacing w:line="360" w:lineRule="auto"/>
        <w:ind w:firstLine="482" w:firstLineChars="200"/>
        <w:jc w:val="left"/>
        <w:rPr>
          <w:color w:val="auto"/>
          <w:sz w:val="24"/>
          <w:highlight w:val="none"/>
        </w:rPr>
      </w:pPr>
      <w:r>
        <w:rPr>
          <w:rFonts w:hAnsi="宋体"/>
          <w:b/>
          <w:bCs/>
          <w:color w:val="auto"/>
          <w:sz w:val="24"/>
          <w:highlight w:val="none"/>
        </w:rPr>
        <w:t>对所有的仪器进行预防性维护，按说明书的要求更换备件。</w:t>
      </w:r>
    </w:p>
    <w:p w14:paraId="3B2F8F4F">
      <w:pPr>
        <w:pStyle w:val="33"/>
        <w:ind w:firstLine="480"/>
        <w:jc w:val="left"/>
        <w:rPr>
          <w:rFonts w:ascii="Times New Roman" w:hAnsi="Times New Roman"/>
          <w:color w:val="auto"/>
          <w:sz w:val="24"/>
          <w:highlight w:val="none"/>
        </w:rPr>
      </w:pPr>
      <w:r>
        <w:rPr>
          <w:rFonts w:ascii="Times New Roman"/>
          <w:color w:val="auto"/>
          <w:sz w:val="24"/>
          <w:highlight w:val="none"/>
        </w:rPr>
        <w:t>对采样管路至少进行一次清洗，清洗后须进行气密性检查，并进行采样流量校准；</w:t>
      </w:r>
    </w:p>
    <w:p w14:paraId="24AE3F5C">
      <w:pPr>
        <w:spacing w:line="360" w:lineRule="auto"/>
        <w:ind w:firstLine="480" w:firstLineChars="200"/>
        <w:jc w:val="left"/>
        <w:rPr>
          <w:color w:val="auto"/>
          <w:sz w:val="24"/>
          <w:highlight w:val="none"/>
        </w:rPr>
      </w:pPr>
      <w:r>
        <w:rPr>
          <w:rFonts w:hAnsi="宋体"/>
          <w:color w:val="auto"/>
          <w:sz w:val="24"/>
          <w:highlight w:val="none"/>
        </w:rPr>
        <w:t>更换所有泵组件（易损件）。</w:t>
      </w:r>
    </w:p>
    <w:p w14:paraId="553DBC56">
      <w:pPr>
        <w:spacing w:line="360" w:lineRule="auto"/>
        <w:ind w:firstLine="482" w:firstLineChars="200"/>
        <w:jc w:val="left"/>
        <w:rPr>
          <w:b/>
          <w:bCs/>
          <w:color w:val="auto"/>
          <w:sz w:val="24"/>
          <w:highlight w:val="none"/>
        </w:rPr>
      </w:pPr>
      <w:r>
        <w:rPr>
          <w:b/>
          <w:bCs/>
          <w:color w:val="auto"/>
          <w:sz w:val="24"/>
          <w:highlight w:val="none"/>
        </w:rPr>
        <w:t>5</w:t>
      </w:r>
      <w:r>
        <w:rPr>
          <w:rFonts w:hAnsi="宋体"/>
          <w:b/>
          <w:bCs/>
          <w:color w:val="auto"/>
          <w:sz w:val="24"/>
          <w:highlight w:val="none"/>
        </w:rPr>
        <w:t>、质量控制与质量保证</w:t>
      </w:r>
    </w:p>
    <w:p w14:paraId="1AEB60A2">
      <w:pPr>
        <w:spacing w:line="360" w:lineRule="auto"/>
        <w:ind w:firstLine="480" w:firstLineChars="200"/>
        <w:jc w:val="left"/>
        <w:rPr>
          <w:color w:val="auto"/>
          <w:sz w:val="24"/>
          <w:highlight w:val="none"/>
        </w:rPr>
      </w:pPr>
      <w:r>
        <w:rPr>
          <w:rFonts w:hAnsi="宋体"/>
          <w:color w:val="auto"/>
          <w:sz w:val="24"/>
          <w:highlight w:val="none"/>
        </w:rPr>
        <w:t>各种技术与质量文件均保持现行有效，需根据管理需要进行调整或修订，各项质量保证与质量控制记录均须按要求填写，每年整理归档。</w:t>
      </w:r>
    </w:p>
    <w:p w14:paraId="3AB77ADB">
      <w:pPr>
        <w:spacing w:line="360" w:lineRule="auto"/>
        <w:ind w:firstLine="480" w:firstLineChars="200"/>
        <w:jc w:val="left"/>
        <w:rPr>
          <w:color w:val="auto"/>
          <w:sz w:val="24"/>
          <w:highlight w:val="none"/>
        </w:rPr>
      </w:pPr>
      <w:r>
        <w:rPr>
          <w:rFonts w:hAnsi="宋体"/>
          <w:color w:val="auto"/>
          <w:sz w:val="24"/>
          <w:highlight w:val="none"/>
        </w:rPr>
        <w:t>（</w:t>
      </w:r>
      <w:r>
        <w:rPr>
          <w:color w:val="auto"/>
          <w:sz w:val="24"/>
          <w:highlight w:val="none"/>
        </w:rPr>
        <w:t>1</w:t>
      </w:r>
      <w:r>
        <w:rPr>
          <w:rFonts w:hAnsi="宋体"/>
          <w:color w:val="auto"/>
          <w:sz w:val="24"/>
          <w:highlight w:val="none"/>
        </w:rPr>
        <w:t>）量值溯源要求</w:t>
      </w:r>
    </w:p>
    <w:p w14:paraId="26D11C42">
      <w:pPr>
        <w:spacing w:line="360" w:lineRule="auto"/>
        <w:ind w:firstLine="480" w:firstLineChars="200"/>
        <w:jc w:val="left"/>
        <w:rPr>
          <w:color w:val="auto"/>
          <w:sz w:val="24"/>
          <w:highlight w:val="none"/>
        </w:rPr>
      </w:pPr>
      <w:r>
        <w:rPr>
          <w:rFonts w:hAnsi="宋体"/>
          <w:color w:val="auto"/>
          <w:sz w:val="24"/>
          <w:highlight w:val="none"/>
        </w:rPr>
        <w:t>供应商在每个站点需配备标准气体，所使用的标准气体须为有证标准物质。另外，当钢瓶压力低于</w:t>
      </w:r>
      <w:r>
        <w:rPr>
          <w:color w:val="auto"/>
          <w:sz w:val="24"/>
          <w:highlight w:val="none"/>
        </w:rPr>
        <w:t>1.5MPa</w:t>
      </w:r>
      <w:r>
        <w:rPr>
          <w:rFonts w:hAnsi="宋体"/>
          <w:color w:val="auto"/>
          <w:sz w:val="24"/>
          <w:highlight w:val="none"/>
        </w:rPr>
        <w:t>（含）时，标准停止使用。标准气体必须在有效期内使用。</w:t>
      </w:r>
    </w:p>
    <w:p w14:paraId="4886427B">
      <w:pPr>
        <w:spacing w:line="360" w:lineRule="auto"/>
        <w:ind w:firstLine="480" w:firstLineChars="200"/>
        <w:jc w:val="left"/>
        <w:rPr>
          <w:color w:val="auto"/>
          <w:sz w:val="24"/>
          <w:highlight w:val="none"/>
        </w:rPr>
      </w:pPr>
      <w:r>
        <w:rPr>
          <w:rFonts w:hAnsi="宋体"/>
          <w:color w:val="auto"/>
          <w:sz w:val="24"/>
          <w:highlight w:val="none"/>
        </w:rPr>
        <w:t>供应商应每半年对站点所用的校准设备进行核查，性能指标应符合要求。供应商所用的量值传递设备，例如流量、温度、气压检查设备，臭氧校准仪等每年应通过技术监督部门的检定或校准。</w:t>
      </w:r>
    </w:p>
    <w:p w14:paraId="2821728F">
      <w:pPr>
        <w:spacing w:line="360" w:lineRule="auto"/>
        <w:ind w:firstLine="480" w:firstLineChars="200"/>
        <w:jc w:val="left"/>
        <w:rPr>
          <w:color w:val="auto"/>
          <w:sz w:val="24"/>
          <w:highlight w:val="none"/>
        </w:rPr>
      </w:pPr>
      <w:r>
        <w:rPr>
          <w:rFonts w:hAnsi="宋体"/>
          <w:color w:val="auto"/>
          <w:sz w:val="24"/>
          <w:highlight w:val="none"/>
        </w:rPr>
        <w:t>（</w:t>
      </w:r>
      <w:r>
        <w:rPr>
          <w:color w:val="auto"/>
          <w:sz w:val="24"/>
          <w:highlight w:val="none"/>
        </w:rPr>
        <w:t>2</w:t>
      </w:r>
      <w:r>
        <w:rPr>
          <w:rFonts w:hAnsi="宋体"/>
          <w:color w:val="auto"/>
          <w:sz w:val="24"/>
          <w:highlight w:val="none"/>
        </w:rPr>
        <w:t>）日常校准要求</w:t>
      </w:r>
    </w:p>
    <w:p w14:paraId="37294883">
      <w:pPr>
        <w:spacing w:line="360" w:lineRule="auto"/>
        <w:ind w:firstLine="480" w:firstLineChars="200"/>
        <w:jc w:val="left"/>
        <w:rPr>
          <w:color w:val="auto"/>
          <w:sz w:val="24"/>
          <w:highlight w:val="none"/>
        </w:rPr>
      </w:pPr>
      <w:r>
        <w:rPr>
          <w:rFonts w:hAnsi="宋体"/>
          <w:color w:val="auto"/>
          <w:sz w:val="24"/>
          <w:highlight w:val="none"/>
        </w:rPr>
        <w:t>每周对气态分析仪进行零点及跨度检查，漂移超过国家规范要求，需对仪器的状态进行校准；</w:t>
      </w:r>
    </w:p>
    <w:p w14:paraId="591B56A4">
      <w:pPr>
        <w:spacing w:line="360" w:lineRule="auto"/>
        <w:ind w:firstLine="480" w:firstLineChars="200"/>
        <w:jc w:val="left"/>
        <w:rPr>
          <w:color w:val="auto"/>
          <w:sz w:val="24"/>
          <w:highlight w:val="none"/>
        </w:rPr>
      </w:pPr>
      <w:r>
        <w:rPr>
          <w:color w:val="auto"/>
          <w:sz w:val="24"/>
          <w:highlight w:val="none"/>
        </w:rPr>
        <w:t>PM</w:t>
      </w:r>
      <w:r>
        <w:rPr>
          <w:color w:val="auto"/>
          <w:sz w:val="24"/>
          <w:highlight w:val="none"/>
          <w:vertAlign w:val="subscript"/>
        </w:rPr>
        <w:t>10</w:t>
      </w:r>
      <w:r>
        <w:rPr>
          <w:rFonts w:hAnsi="宋体"/>
          <w:color w:val="auto"/>
          <w:sz w:val="24"/>
          <w:highlight w:val="none"/>
        </w:rPr>
        <w:t>、</w:t>
      </w:r>
      <w:r>
        <w:rPr>
          <w:color w:val="auto"/>
          <w:sz w:val="24"/>
          <w:highlight w:val="none"/>
        </w:rPr>
        <w:t>PM</w:t>
      </w:r>
      <w:r>
        <w:rPr>
          <w:color w:val="auto"/>
          <w:sz w:val="24"/>
          <w:highlight w:val="none"/>
          <w:vertAlign w:val="subscript"/>
        </w:rPr>
        <w:t>2.5</w:t>
      </w:r>
      <w:r>
        <w:rPr>
          <w:rFonts w:hAnsi="宋体"/>
          <w:color w:val="auto"/>
          <w:sz w:val="24"/>
          <w:highlight w:val="none"/>
        </w:rPr>
        <w:t>设备每月进行一次流量校准，必要时进行标准膜片校准，每次更换纸带后，应检查仪器的采样流量；</w:t>
      </w:r>
    </w:p>
    <w:p w14:paraId="1A2D6D11">
      <w:pPr>
        <w:spacing w:line="360" w:lineRule="auto"/>
        <w:ind w:firstLine="200"/>
        <w:jc w:val="left"/>
        <w:rPr>
          <w:color w:val="auto"/>
          <w:sz w:val="24"/>
          <w:highlight w:val="none"/>
        </w:rPr>
      </w:pPr>
      <w:r>
        <w:rPr>
          <w:rFonts w:hAnsi="宋体"/>
          <w:color w:val="auto"/>
          <w:sz w:val="24"/>
          <w:highlight w:val="none"/>
        </w:rPr>
        <w:t>每季度动态校准仪流量单点检查（</w:t>
      </w:r>
      <w:r>
        <w:rPr>
          <w:color w:val="auto"/>
          <w:sz w:val="24"/>
          <w:highlight w:val="none"/>
        </w:rPr>
        <w:t>±1%</w:t>
      </w:r>
      <w:r>
        <w:rPr>
          <w:rFonts w:hAnsi="宋体"/>
          <w:color w:val="auto"/>
          <w:sz w:val="24"/>
          <w:highlight w:val="none"/>
        </w:rPr>
        <w:t>），各监测仪器精密度监测（相对标准偏差</w:t>
      </w:r>
      <w:r>
        <w:rPr>
          <w:color w:val="auto"/>
          <w:sz w:val="24"/>
          <w:highlight w:val="none"/>
        </w:rPr>
        <w:t>≤5%</w:t>
      </w:r>
      <w:r>
        <w:rPr>
          <w:rFonts w:hAnsi="宋体"/>
          <w:color w:val="auto"/>
          <w:sz w:val="24"/>
          <w:highlight w:val="none"/>
        </w:rPr>
        <w:t>）；</w:t>
      </w:r>
    </w:p>
    <w:p w14:paraId="17B83498">
      <w:pPr>
        <w:spacing w:line="360" w:lineRule="auto"/>
        <w:ind w:firstLine="480" w:firstLineChars="200"/>
        <w:jc w:val="left"/>
        <w:rPr>
          <w:color w:val="auto"/>
          <w:sz w:val="24"/>
          <w:highlight w:val="none"/>
        </w:rPr>
      </w:pPr>
      <w:r>
        <w:rPr>
          <w:rFonts w:hAnsi="宋体"/>
          <w:color w:val="auto"/>
          <w:sz w:val="24"/>
          <w:highlight w:val="none"/>
        </w:rPr>
        <w:t>每季度对仪器设备进行</w:t>
      </w:r>
      <w:r>
        <w:rPr>
          <w:color w:val="auto"/>
          <w:sz w:val="24"/>
          <w:highlight w:val="none"/>
        </w:rPr>
        <w:t>1</w:t>
      </w:r>
      <w:r>
        <w:rPr>
          <w:rFonts w:hAnsi="宋体"/>
          <w:color w:val="auto"/>
          <w:sz w:val="24"/>
          <w:highlight w:val="none"/>
        </w:rPr>
        <w:t>次多点线性校准，</w:t>
      </w:r>
      <w:r>
        <w:rPr>
          <w:color w:val="auto"/>
          <w:sz w:val="24"/>
          <w:highlight w:val="none"/>
        </w:rPr>
        <w:t>0.95≤</w:t>
      </w:r>
      <w:r>
        <w:rPr>
          <w:rFonts w:hAnsi="宋体"/>
          <w:color w:val="auto"/>
          <w:sz w:val="24"/>
          <w:highlight w:val="none"/>
        </w:rPr>
        <w:t>斜率</w:t>
      </w:r>
      <w:r>
        <w:rPr>
          <w:color w:val="auto"/>
          <w:sz w:val="24"/>
          <w:highlight w:val="none"/>
        </w:rPr>
        <w:t>≤1.05</w:t>
      </w:r>
      <w:r>
        <w:rPr>
          <w:rFonts w:hAnsi="宋体"/>
          <w:color w:val="auto"/>
          <w:sz w:val="24"/>
          <w:highlight w:val="none"/>
        </w:rPr>
        <w:t>，相关系数</w:t>
      </w:r>
      <w:r>
        <w:rPr>
          <w:color w:val="auto"/>
          <w:sz w:val="24"/>
          <w:highlight w:val="none"/>
        </w:rPr>
        <w:t>&gt;0.999</w:t>
      </w:r>
      <w:r>
        <w:rPr>
          <w:rFonts w:hAnsi="宋体"/>
          <w:color w:val="auto"/>
          <w:sz w:val="24"/>
          <w:highlight w:val="none"/>
        </w:rPr>
        <w:t>，截距</w:t>
      </w:r>
      <w:r>
        <w:rPr>
          <w:color w:val="auto"/>
          <w:sz w:val="24"/>
          <w:highlight w:val="none"/>
        </w:rPr>
        <w:t>≤±1%</w:t>
      </w:r>
      <w:r>
        <w:rPr>
          <w:rFonts w:hAnsi="宋体"/>
          <w:color w:val="auto"/>
          <w:sz w:val="24"/>
          <w:highlight w:val="none"/>
        </w:rPr>
        <w:t>满量程；仪器进行维修或更换关键零部件后，对仪器进行</w:t>
      </w:r>
      <w:r>
        <w:rPr>
          <w:color w:val="auto"/>
          <w:sz w:val="24"/>
          <w:highlight w:val="none"/>
        </w:rPr>
        <w:t>1</w:t>
      </w:r>
      <w:r>
        <w:rPr>
          <w:rFonts w:hAnsi="宋体"/>
          <w:color w:val="auto"/>
          <w:sz w:val="24"/>
          <w:highlight w:val="none"/>
        </w:rPr>
        <w:t>次多点校准；</w:t>
      </w:r>
    </w:p>
    <w:p w14:paraId="4EA61E14">
      <w:pPr>
        <w:spacing w:line="360" w:lineRule="auto"/>
        <w:ind w:firstLine="480" w:firstLineChars="200"/>
        <w:jc w:val="left"/>
        <w:rPr>
          <w:color w:val="auto"/>
          <w:sz w:val="24"/>
          <w:highlight w:val="none"/>
        </w:rPr>
      </w:pPr>
      <w:r>
        <w:rPr>
          <w:rFonts w:hAnsi="宋体"/>
          <w:color w:val="auto"/>
          <w:sz w:val="24"/>
          <w:highlight w:val="none"/>
        </w:rPr>
        <w:t>每年进行一次流量、气温、气压、湿度审核；至少一次对每台仪器进行准确度审核；</w:t>
      </w:r>
    </w:p>
    <w:p w14:paraId="511D763D">
      <w:pPr>
        <w:pStyle w:val="33"/>
        <w:ind w:firstLine="480"/>
        <w:jc w:val="left"/>
        <w:rPr>
          <w:rFonts w:ascii="Times New Roman" w:hAnsi="Times New Roman"/>
          <w:color w:val="auto"/>
          <w:sz w:val="24"/>
          <w:highlight w:val="none"/>
        </w:rPr>
      </w:pPr>
      <w:r>
        <w:rPr>
          <w:rFonts w:ascii="Times New Roman"/>
          <w:color w:val="auto"/>
          <w:sz w:val="24"/>
          <w:highlight w:val="none"/>
        </w:rPr>
        <w:t>仪器大修或更换关键部件后，应按漂移（零点、跨度）、重复性、多点线性检查，并提交相应报告。</w:t>
      </w:r>
    </w:p>
    <w:p w14:paraId="3C8B9627">
      <w:pPr>
        <w:spacing w:line="360" w:lineRule="auto"/>
        <w:ind w:firstLine="480" w:firstLineChars="200"/>
        <w:jc w:val="left"/>
        <w:rPr>
          <w:color w:val="auto"/>
          <w:sz w:val="24"/>
          <w:highlight w:val="none"/>
        </w:rPr>
      </w:pPr>
      <w:r>
        <w:rPr>
          <w:rFonts w:hAnsi="宋体"/>
          <w:color w:val="auto"/>
          <w:sz w:val="24"/>
          <w:highlight w:val="none"/>
        </w:rPr>
        <w:t>（</w:t>
      </w:r>
      <w:r>
        <w:rPr>
          <w:color w:val="auto"/>
          <w:sz w:val="24"/>
          <w:highlight w:val="none"/>
        </w:rPr>
        <w:t>3</w:t>
      </w:r>
      <w:r>
        <w:rPr>
          <w:rFonts w:hAnsi="宋体"/>
          <w:color w:val="auto"/>
          <w:sz w:val="24"/>
          <w:highlight w:val="none"/>
        </w:rPr>
        <w:t>）日常质量控制要求</w:t>
      </w:r>
    </w:p>
    <w:p w14:paraId="529BA78C">
      <w:pPr>
        <w:pStyle w:val="33"/>
        <w:ind w:firstLine="480"/>
        <w:jc w:val="left"/>
        <w:rPr>
          <w:rFonts w:ascii="Times New Roman" w:hAnsi="Times New Roman"/>
          <w:color w:val="auto"/>
          <w:sz w:val="24"/>
          <w:highlight w:val="none"/>
        </w:rPr>
      </w:pPr>
      <w:r>
        <w:rPr>
          <w:rFonts w:ascii="Times New Roman"/>
          <w:color w:val="auto"/>
          <w:sz w:val="24"/>
          <w:highlight w:val="none"/>
        </w:rPr>
        <w:t>分析仪器在以下情况下需进行校准和再校准①安装时②移动位置时③进行可能影响校准结果的维修或维护后④分析仪暂停工作一段时间后⑤有迹象表明分析仪工作不正常或校准结果出现变化⑥达到国家规范或招标文件要求的校准周期或校准要求的。</w:t>
      </w:r>
    </w:p>
    <w:p w14:paraId="7DFB1DDA">
      <w:pPr>
        <w:spacing w:line="360" w:lineRule="auto"/>
        <w:ind w:firstLine="480" w:firstLineChars="200"/>
        <w:jc w:val="left"/>
        <w:rPr>
          <w:bCs/>
          <w:color w:val="auto"/>
          <w:sz w:val="24"/>
          <w:highlight w:val="none"/>
        </w:rPr>
      </w:pPr>
      <w:r>
        <w:rPr>
          <w:rFonts w:hint="eastAsia"/>
          <w:bCs/>
          <w:color w:val="auto"/>
          <w:sz w:val="24"/>
          <w:highlight w:val="none"/>
        </w:rPr>
        <w:t>（4）根据《南通市环境质量自动监测站质控检查工作计划》、《南通市环境质量自动监测设施运维管理办法》等文件要求，对所运维14个气站的质控检查工作年度开展情况进行梳理和汇总，形成年度质控检查工作报告。</w:t>
      </w:r>
    </w:p>
    <w:p w14:paraId="6D55F45D">
      <w:pPr>
        <w:spacing w:line="360" w:lineRule="auto"/>
        <w:ind w:firstLine="482" w:firstLineChars="200"/>
        <w:jc w:val="left"/>
        <w:rPr>
          <w:b/>
          <w:bCs/>
          <w:color w:val="auto"/>
          <w:sz w:val="24"/>
          <w:highlight w:val="none"/>
        </w:rPr>
      </w:pPr>
      <w:r>
        <w:rPr>
          <w:b/>
          <w:bCs/>
          <w:color w:val="auto"/>
          <w:sz w:val="24"/>
          <w:highlight w:val="none"/>
        </w:rPr>
        <w:t>6</w:t>
      </w:r>
      <w:r>
        <w:rPr>
          <w:rFonts w:hAnsi="宋体"/>
          <w:b/>
          <w:bCs/>
          <w:color w:val="auto"/>
          <w:sz w:val="24"/>
          <w:highlight w:val="none"/>
        </w:rPr>
        <w:t>、应急维护要求</w:t>
      </w:r>
    </w:p>
    <w:p w14:paraId="5F9168C0">
      <w:pPr>
        <w:widowControl/>
        <w:spacing w:line="360" w:lineRule="auto"/>
        <w:ind w:firstLine="480" w:firstLineChars="200"/>
        <w:jc w:val="left"/>
        <w:rPr>
          <w:color w:val="auto"/>
          <w:kern w:val="0"/>
          <w:sz w:val="24"/>
          <w:highlight w:val="none"/>
        </w:rPr>
      </w:pPr>
      <w:r>
        <w:rPr>
          <w:rFonts w:hAnsi="宋体"/>
          <w:color w:val="auto"/>
          <w:kern w:val="0"/>
          <w:sz w:val="24"/>
          <w:highlight w:val="none"/>
        </w:rPr>
        <w:t>仪器故障处置：当系统仪器出现故障时，保证在</w:t>
      </w:r>
      <w:r>
        <w:rPr>
          <w:color w:val="auto"/>
          <w:kern w:val="0"/>
          <w:sz w:val="24"/>
          <w:highlight w:val="none"/>
        </w:rPr>
        <w:t>2</w:t>
      </w:r>
      <w:r>
        <w:rPr>
          <w:rFonts w:hAnsi="宋体"/>
          <w:color w:val="auto"/>
          <w:kern w:val="0"/>
          <w:sz w:val="24"/>
          <w:highlight w:val="none"/>
        </w:rPr>
        <w:t>小时内到达现场检修，</w:t>
      </w:r>
      <w:r>
        <w:rPr>
          <w:color w:val="auto"/>
          <w:sz w:val="24"/>
          <w:highlight w:val="none"/>
        </w:rPr>
        <w:t>4</w:t>
      </w:r>
      <w:r>
        <w:rPr>
          <w:rFonts w:hAnsi="宋体"/>
          <w:color w:val="auto"/>
          <w:sz w:val="24"/>
          <w:highlight w:val="none"/>
        </w:rPr>
        <w:t>小时内解决故障。</w:t>
      </w:r>
      <w:r>
        <w:rPr>
          <w:rFonts w:hAnsi="宋体"/>
          <w:color w:val="auto"/>
          <w:kern w:val="0"/>
          <w:sz w:val="24"/>
          <w:highlight w:val="none"/>
        </w:rPr>
        <w:t>如</w:t>
      </w:r>
      <w:r>
        <w:rPr>
          <w:color w:val="auto"/>
          <w:kern w:val="0"/>
          <w:sz w:val="24"/>
          <w:highlight w:val="none"/>
        </w:rPr>
        <w:t>48</w:t>
      </w:r>
      <w:r>
        <w:rPr>
          <w:rFonts w:hAnsi="宋体"/>
          <w:color w:val="auto"/>
          <w:kern w:val="0"/>
          <w:sz w:val="24"/>
          <w:highlight w:val="none"/>
        </w:rPr>
        <w:t>小时内无法排除故障，直接使用本项目大气自动监测系统主要分析仪表的备用机替代工作，并及时用电话与书面形式报告采购人，协商处理方案。当系统出现数据未上传或出错等问题时，确保</w:t>
      </w:r>
      <w:r>
        <w:rPr>
          <w:color w:val="auto"/>
          <w:kern w:val="0"/>
          <w:sz w:val="24"/>
          <w:highlight w:val="none"/>
        </w:rPr>
        <w:t>12</w:t>
      </w:r>
      <w:r>
        <w:rPr>
          <w:rFonts w:hAnsi="宋体"/>
          <w:color w:val="auto"/>
          <w:kern w:val="0"/>
          <w:sz w:val="24"/>
          <w:highlight w:val="none"/>
        </w:rPr>
        <w:t>小时内完成诊断，确认传输问题或仪器设备故障；如为传输问题，应确保现场数据并在一周内将现场数据重新备份至系统。</w:t>
      </w:r>
    </w:p>
    <w:p w14:paraId="0417082F">
      <w:pPr>
        <w:spacing w:line="360" w:lineRule="auto"/>
        <w:ind w:firstLine="480" w:firstLineChars="200"/>
        <w:jc w:val="left"/>
        <w:rPr>
          <w:color w:val="auto"/>
          <w:sz w:val="24"/>
          <w:highlight w:val="none"/>
        </w:rPr>
      </w:pPr>
      <w:r>
        <w:rPr>
          <w:rFonts w:hint="eastAsia" w:hAnsi="宋体"/>
          <w:color w:val="auto"/>
          <w:sz w:val="24"/>
          <w:highlight w:val="none"/>
        </w:rPr>
        <w:t>数据异常</w:t>
      </w:r>
      <w:r>
        <w:rPr>
          <w:rFonts w:hAnsi="宋体"/>
          <w:color w:val="auto"/>
          <w:sz w:val="24"/>
          <w:highlight w:val="none"/>
        </w:rPr>
        <w:t>处置：</w:t>
      </w:r>
      <w:r>
        <w:rPr>
          <w:rFonts w:hint="eastAsia" w:hAnsi="宋体"/>
          <w:color w:val="auto"/>
          <w:sz w:val="24"/>
          <w:highlight w:val="none"/>
        </w:rPr>
        <w:t>空气自动站出现监测数据异常时</w:t>
      </w:r>
      <w:r>
        <w:rPr>
          <w:rFonts w:hAnsi="宋体"/>
          <w:color w:val="auto"/>
          <w:sz w:val="24"/>
          <w:highlight w:val="none"/>
        </w:rPr>
        <w:t>，</w:t>
      </w:r>
      <w:r>
        <w:rPr>
          <w:rFonts w:hint="eastAsia" w:hAnsi="宋体"/>
          <w:color w:val="auto"/>
          <w:kern w:val="0"/>
          <w:sz w:val="24"/>
          <w:highlight w:val="none"/>
        </w:rPr>
        <w:t>成交供应商应在1小时内响应并</w:t>
      </w:r>
      <w:r>
        <w:rPr>
          <w:rFonts w:hAnsi="宋体"/>
          <w:color w:val="auto"/>
          <w:sz w:val="24"/>
          <w:highlight w:val="none"/>
        </w:rPr>
        <w:t>通知采购人，</w:t>
      </w:r>
      <w:r>
        <w:rPr>
          <w:rFonts w:hint="eastAsia" w:hAnsi="宋体"/>
          <w:color w:val="auto"/>
          <w:kern w:val="0"/>
          <w:sz w:val="24"/>
          <w:highlight w:val="none"/>
        </w:rPr>
        <w:t>4小时内到达完成故障排查并解决问题（</w:t>
      </w:r>
      <w:r>
        <w:rPr>
          <w:rFonts w:hint="eastAsia" w:hAnsi="宋体"/>
          <w:color w:val="auto"/>
          <w:sz w:val="24"/>
          <w:highlight w:val="none"/>
        </w:rPr>
        <w:t>特殊情况如</w:t>
      </w:r>
      <w:r>
        <w:rPr>
          <w:rFonts w:hAnsi="宋体"/>
          <w:color w:val="auto"/>
          <w:sz w:val="24"/>
          <w:highlight w:val="none"/>
        </w:rPr>
        <w:t>通信线路、电力线路故障除外，但应及时与相关部门联系）</w:t>
      </w:r>
      <w:r>
        <w:rPr>
          <w:rFonts w:hint="eastAsia" w:hAnsi="宋体"/>
          <w:color w:val="auto"/>
          <w:kern w:val="0"/>
          <w:sz w:val="24"/>
          <w:highlight w:val="none"/>
        </w:rPr>
        <w:t>，12小时内提交数据异常报告</w:t>
      </w:r>
      <w:r>
        <w:rPr>
          <w:rFonts w:hAnsi="宋体"/>
          <w:color w:val="auto"/>
          <w:sz w:val="24"/>
          <w:highlight w:val="none"/>
        </w:rPr>
        <w:t>。如确定为空气质量异常或气站所在区域发生污染事故时，需要立即向采购人汇报，在保证系统仪器正常运行，监测数据准确，传输畅通的同时，协助采购人进行手工监测。</w:t>
      </w:r>
    </w:p>
    <w:p w14:paraId="01D968C6">
      <w:pPr>
        <w:spacing w:line="360" w:lineRule="auto"/>
        <w:ind w:firstLine="480" w:firstLineChars="200"/>
        <w:jc w:val="left"/>
        <w:rPr>
          <w:rFonts w:hAnsi="宋体"/>
          <w:color w:val="auto"/>
          <w:sz w:val="24"/>
          <w:highlight w:val="none"/>
        </w:rPr>
      </w:pPr>
      <w:r>
        <w:rPr>
          <w:rFonts w:hint="eastAsia" w:hAnsi="宋体"/>
          <w:color w:val="auto"/>
          <w:sz w:val="24"/>
          <w:highlight w:val="none"/>
        </w:rPr>
        <w:t>突发情况处置：针对突发情况，空气自动站实行应急运维管理，成交供应商应制定应急运维预案。在发生突发环境事件时，成交供应商应当主动配合做好加密监测工作。在汛期、强降雨、重污染天气等期间应当加大维护巡查力度。</w:t>
      </w:r>
    </w:p>
    <w:p w14:paraId="45949609">
      <w:pPr>
        <w:spacing w:line="360" w:lineRule="auto"/>
        <w:ind w:firstLine="480" w:firstLineChars="200"/>
        <w:jc w:val="left"/>
        <w:rPr>
          <w:color w:val="auto"/>
          <w:sz w:val="24"/>
          <w:highlight w:val="none"/>
        </w:rPr>
      </w:pPr>
      <w:r>
        <w:rPr>
          <w:rFonts w:hAnsi="宋体"/>
          <w:color w:val="auto"/>
          <w:sz w:val="24"/>
          <w:highlight w:val="none"/>
        </w:rPr>
        <w:t>停复站管理：因特殊情况，如子站改造、子站搬迁、自然灾害、停电等情况导致气站无法正常运行时，运维单位应及时向采购人出具停运（站）报告；气站恢复正常运行后，要及时申请复站。</w:t>
      </w:r>
    </w:p>
    <w:p w14:paraId="65B38810">
      <w:pPr>
        <w:spacing w:line="360" w:lineRule="auto"/>
        <w:ind w:firstLine="482" w:firstLineChars="200"/>
        <w:jc w:val="left"/>
        <w:rPr>
          <w:b/>
          <w:color w:val="auto"/>
          <w:sz w:val="24"/>
          <w:highlight w:val="none"/>
        </w:rPr>
      </w:pPr>
      <w:r>
        <w:rPr>
          <w:b/>
          <w:color w:val="auto"/>
          <w:sz w:val="24"/>
          <w:highlight w:val="none"/>
        </w:rPr>
        <w:t>7</w:t>
      </w:r>
      <w:r>
        <w:rPr>
          <w:rFonts w:hAnsi="宋体"/>
          <w:b/>
          <w:color w:val="auto"/>
          <w:sz w:val="24"/>
          <w:highlight w:val="none"/>
        </w:rPr>
        <w:t>、</w:t>
      </w:r>
      <w:r>
        <w:rPr>
          <w:rFonts w:hAnsi="宋体"/>
          <w:b/>
          <w:bCs/>
          <w:color w:val="auto"/>
          <w:sz w:val="24"/>
          <w:highlight w:val="none"/>
        </w:rPr>
        <w:t>耗材与备件更换</w:t>
      </w:r>
    </w:p>
    <w:p w14:paraId="3F5896A8">
      <w:pPr>
        <w:spacing w:line="360" w:lineRule="auto"/>
        <w:ind w:firstLine="480" w:firstLineChars="200"/>
        <w:jc w:val="left"/>
        <w:rPr>
          <w:color w:val="auto"/>
          <w:sz w:val="24"/>
          <w:highlight w:val="none"/>
        </w:rPr>
      </w:pPr>
      <w:r>
        <w:rPr>
          <w:rFonts w:hAnsi="宋体"/>
          <w:color w:val="auto"/>
          <w:sz w:val="24"/>
          <w:highlight w:val="none"/>
        </w:rPr>
        <w:t>若发现仪器故障，检修时需要仪器设备停用、拆除或更换的，应事先报经采购人同意；</w:t>
      </w:r>
    </w:p>
    <w:p w14:paraId="5D7646A7">
      <w:pPr>
        <w:spacing w:line="360" w:lineRule="auto"/>
        <w:ind w:firstLine="480" w:firstLineChars="200"/>
        <w:jc w:val="left"/>
        <w:rPr>
          <w:color w:val="auto"/>
          <w:sz w:val="24"/>
          <w:highlight w:val="none"/>
        </w:rPr>
      </w:pPr>
      <w:r>
        <w:rPr>
          <w:rFonts w:hAnsi="宋体"/>
          <w:color w:val="auto"/>
          <w:sz w:val="24"/>
          <w:highlight w:val="none"/>
        </w:rPr>
        <w:t>仪器故障发生后对不易诊断和维修的仪器故障，若</w:t>
      </w:r>
      <w:r>
        <w:rPr>
          <w:color w:val="auto"/>
          <w:sz w:val="24"/>
          <w:highlight w:val="none"/>
        </w:rPr>
        <w:t>48</w:t>
      </w:r>
      <w:r>
        <w:rPr>
          <w:rFonts w:hAnsi="宋体"/>
          <w:color w:val="auto"/>
          <w:sz w:val="24"/>
          <w:highlight w:val="none"/>
        </w:rPr>
        <w:t>小时内无法排除，应安装备用仪器；</w:t>
      </w:r>
    </w:p>
    <w:p w14:paraId="5A5A1352">
      <w:pPr>
        <w:spacing w:line="360" w:lineRule="auto"/>
        <w:ind w:firstLine="480" w:firstLineChars="200"/>
        <w:jc w:val="left"/>
        <w:rPr>
          <w:color w:val="auto"/>
          <w:sz w:val="24"/>
          <w:highlight w:val="none"/>
        </w:rPr>
      </w:pPr>
      <w:r>
        <w:rPr>
          <w:rFonts w:hAnsi="宋体"/>
          <w:color w:val="auto"/>
          <w:sz w:val="24"/>
          <w:highlight w:val="none"/>
        </w:rPr>
        <w:t>若数据存储</w:t>
      </w:r>
      <w:r>
        <w:rPr>
          <w:color w:val="auto"/>
          <w:sz w:val="24"/>
          <w:highlight w:val="none"/>
        </w:rPr>
        <w:t>/</w:t>
      </w:r>
      <w:r>
        <w:rPr>
          <w:rFonts w:hAnsi="宋体"/>
          <w:color w:val="auto"/>
          <w:sz w:val="24"/>
          <w:highlight w:val="none"/>
        </w:rPr>
        <w:t>控制仪发生故障，在</w:t>
      </w:r>
      <w:r>
        <w:rPr>
          <w:color w:val="auto"/>
          <w:sz w:val="24"/>
          <w:highlight w:val="none"/>
        </w:rPr>
        <w:t>24</w:t>
      </w:r>
      <w:r>
        <w:rPr>
          <w:rFonts w:hAnsi="宋体"/>
          <w:color w:val="auto"/>
          <w:sz w:val="24"/>
          <w:highlight w:val="none"/>
        </w:rPr>
        <w:t>小时内修复或更换，并保证已采集的数据不丢失；</w:t>
      </w:r>
    </w:p>
    <w:p w14:paraId="452E4A55">
      <w:pPr>
        <w:spacing w:line="360" w:lineRule="auto"/>
        <w:ind w:firstLine="480" w:firstLineChars="200"/>
        <w:jc w:val="left"/>
        <w:rPr>
          <w:rFonts w:hint="eastAsia" w:hAnsi="宋体"/>
          <w:color w:val="auto"/>
          <w:sz w:val="24"/>
          <w:highlight w:val="none"/>
        </w:rPr>
      </w:pPr>
      <w:r>
        <w:rPr>
          <w:rFonts w:hint="eastAsia" w:hAnsi="宋体"/>
          <w:color w:val="auto"/>
          <w:sz w:val="24"/>
          <w:highlight w:val="none"/>
        </w:rPr>
        <w:t>投标人应承诺中标后1个月，按表2、表3的要求配备质量控制设备（设备产权归投标单位所有），以及足额配齐1年期的基础备品备件及耗材，存放于备品备件库，备品备件库须在本项目2小时车程内。建立清单实施出入库管理，每季度向采购人备案。运行服务过程中可能使用到的其他未列物资，投标人须根据需要自行进行配置。</w:t>
      </w:r>
    </w:p>
    <w:p w14:paraId="56BD2366">
      <w:pPr>
        <w:spacing w:line="360" w:lineRule="auto"/>
        <w:ind w:firstLine="480" w:firstLineChars="200"/>
        <w:jc w:val="left"/>
        <w:rPr>
          <w:rFonts w:hint="eastAsia" w:hAnsi="宋体"/>
          <w:color w:val="auto"/>
          <w:sz w:val="24"/>
          <w:highlight w:val="none"/>
        </w:rPr>
      </w:pPr>
      <w:r>
        <w:rPr>
          <w:rFonts w:hint="eastAsia" w:hAnsi="宋体"/>
          <w:color w:val="auto"/>
          <w:sz w:val="24"/>
          <w:highlight w:val="none"/>
        </w:rPr>
        <w:t>投标人至少配备与本项目常规站型号相同的备机</w:t>
      </w:r>
      <w:r>
        <w:rPr>
          <w:rFonts w:hint="eastAsia" w:hAnsi="宋体"/>
          <w:color w:val="auto"/>
          <w:sz w:val="24"/>
          <w:highlight w:val="none"/>
          <w:lang w:eastAsia="zh-CN"/>
        </w:rPr>
        <w:t>（</w:t>
      </w:r>
      <w:r>
        <w:rPr>
          <w:rFonts w:hint="eastAsia" w:hAnsi="宋体"/>
          <w:color w:val="auto"/>
          <w:sz w:val="24"/>
          <w:highlight w:val="none"/>
          <w:lang w:val="en-US" w:eastAsia="zh-CN"/>
        </w:rPr>
        <w:t>常规六因子、动态校准仪、零气发生器</w:t>
      </w:r>
      <w:r>
        <w:rPr>
          <w:rFonts w:hint="eastAsia" w:hAnsi="宋体"/>
          <w:color w:val="auto"/>
          <w:sz w:val="24"/>
          <w:highlight w:val="none"/>
          <w:lang w:eastAsia="zh-CN"/>
        </w:rPr>
        <w:t>）</w:t>
      </w:r>
      <w:r>
        <w:rPr>
          <w:rFonts w:hint="eastAsia" w:hAnsi="宋体"/>
          <w:color w:val="auto"/>
          <w:sz w:val="24"/>
          <w:highlight w:val="none"/>
          <w:lang w:val="en-US" w:eastAsia="zh-CN"/>
        </w:rPr>
        <w:t>各2套</w:t>
      </w:r>
      <w:r>
        <w:rPr>
          <w:rFonts w:hint="eastAsia" w:hAnsi="宋体"/>
          <w:color w:val="auto"/>
          <w:sz w:val="24"/>
          <w:highlight w:val="none"/>
        </w:rPr>
        <w:t>（须提供购置发票或采购合同复印件，备机产权归投标单位所有）。</w:t>
      </w:r>
    </w:p>
    <w:p w14:paraId="4D198E7D">
      <w:pPr>
        <w:spacing w:line="360" w:lineRule="auto"/>
        <w:ind w:firstLine="480" w:firstLineChars="200"/>
        <w:jc w:val="left"/>
        <w:rPr>
          <w:rFonts w:hint="eastAsia" w:hAnsi="宋体"/>
          <w:color w:val="auto"/>
          <w:sz w:val="24"/>
          <w:highlight w:val="none"/>
        </w:rPr>
      </w:pPr>
      <w:r>
        <w:rPr>
          <w:rFonts w:hint="eastAsia" w:hAnsi="宋体"/>
          <w:color w:val="auto"/>
          <w:sz w:val="24"/>
          <w:highlight w:val="none"/>
        </w:rPr>
        <w:t>所使用的质量控制设备必须通过法定授权计量部门检定/校准，并在有效期内，投标人须提供相应计量部门检定/校准证书。</w:t>
      </w:r>
    </w:p>
    <w:p w14:paraId="00DE31AC">
      <w:pPr>
        <w:tabs>
          <w:tab w:val="left" w:pos="709"/>
        </w:tabs>
        <w:spacing w:line="540" w:lineRule="exact"/>
        <w:ind w:firstLine="420"/>
        <w:jc w:val="center"/>
        <w:rPr>
          <w:rFonts w:ascii="黑体" w:hAnsi="黑体" w:eastAsia="黑体" w:cs="黑体"/>
          <w:color w:val="000000"/>
          <w:szCs w:val="21"/>
          <w:highlight w:val="none"/>
          <w:lang w:bidi="ar"/>
        </w:rPr>
      </w:pPr>
      <w:r>
        <w:rPr>
          <w:rFonts w:hint="eastAsia" w:ascii="黑体" w:hAnsi="黑体" w:eastAsia="黑体" w:cs="黑体"/>
          <w:color w:val="000000"/>
          <w:szCs w:val="21"/>
          <w:highlight w:val="none"/>
          <w:lang w:bidi="ar"/>
        </w:rPr>
        <w:t>表</w:t>
      </w:r>
      <w:r>
        <w:rPr>
          <w:rFonts w:ascii="黑体" w:hAnsi="黑体" w:eastAsia="黑体" w:cs="黑体"/>
          <w:color w:val="000000"/>
          <w:szCs w:val="21"/>
          <w:highlight w:val="none"/>
          <w:lang w:bidi="ar"/>
        </w:rPr>
        <w:t xml:space="preserve">2 </w:t>
      </w:r>
      <w:r>
        <w:rPr>
          <w:rFonts w:hint="eastAsia" w:ascii="黑体" w:hAnsi="黑体" w:eastAsia="黑体" w:cs="黑体"/>
          <w:color w:val="000000"/>
          <w:szCs w:val="21"/>
          <w:highlight w:val="none"/>
          <w:lang w:bidi="ar"/>
        </w:rPr>
        <w:t xml:space="preserve"> 环境空气质量自动监测站质量控制设备清单</w:t>
      </w:r>
    </w:p>
    <w:tbl>
      <w:tblPr>
        <w:tblStyle w:val="34"/>
        <w:tblpPr w:leftFromText="180" w:rightFromText="180" w:vertAnchor="text" w:horzAnchor="page" w:tblpX="1506" w:tblpY="178"/>
        <w:tblW w:w="86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3"/>
        <w:gridCol w:w="5423"/>
        <w:gridCol w:w="1812"/>
      </w:tblGrid>
      <w:tr w14:paraId="1B440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tcPr>
          <w:p w14:paraId="789DE7B3">
            <w:pPr>
              <w:spacing w:line="300" w:lineRule="exact"/>
              <w:jc w:val="center"/>
              <w:rPr>
                <w:rFonts w:ascii="宋体" w:hAnsi="宋体" w:cs="宋体"/>
                <w:b/>
                <w:bCs/>
                <w:color w:val="000000"/>
                <w:highlight w:val="none"/>
              </w:rPr>
            </w:pPr>
            <w:r>
              <w:rPr>
                <w:rFonts w:hint="eastAsia" w:ascii="宋体" w:hAnsi="宋体" w:cs="宋体"/>
                <w:b/>
                <w:bCs/>
                <w:color w:val="000000"/>
                <w:highlight w:val="none"/>
                <w:lang w:bidi="ar"/>
              </w:rPr>
              <w:t>序 号</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tcPr>
          <w:p w14:paraId="29187CEA">
            <w:pPr>
              <w:spacing w:line="300" w:lineRule="exact"/>
              <w:ind w:firstLine="422"/>
              <w:jc w:val="center"/>
              <w:rPr>
                <w:rFonts w:ascii="宋体" w:hAnsi="宋体" w:cs="宋体"/>
                <w:b/>
                <w:bCs/>
                <w:color w:val="000000"/>
                <w:highlight w:val="none"/>
              </w:rPr>
            </w:pPr>
            <w:r>
              <w:rPr>
                <w:rFonts w:hint="eastAsia" w:ascii="宋体" w:hAnsi="宋体" w:cs="宋体"/>
                <w:b/>
                <w:bCs/>
                <w:color w:val="000000"/>
                <w:highlight w:val="none"/>
                <w:lang w:bidi="ar"/>
              </w:rPr>
              <w:t>质控设备名称</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tcPr>
          <w:p w14:paraId="7C29A60F">
            <w:pPr>
              <w:spacing w:line="300" w:lineRule="exact"/>
              <w:jc w:val="center"/>
              <w:rPr>
                <w:rFonts w:ascii="宋体" w:hAnsi="宋体" w:cs="宋体"/>
                <w:b/>
                <w:bCs/>
                <w:color w:val="000000"/>
                <w:highlight w:val="none"/>
              </w:rPr>
            </w:pPr>
            <w:r>
              <w:rPr>
                <w:rFonts w:hint="eastAsia" w:ascii="宋体" w:hAnsi="宋体" w:cs="宋体"/>
                <w:b/>
                <w:bCs/>
                <w:color w:val="000000"/>
                <w:highlight w:val="none"/>
                <w:lang w:bidi="ar"/>
              </w:rPr>
              <w:t>数  量</w:t>
            </w:r>
          </w:p>
        </w:tc>
      </w:tr>
      <w:tr w14:paraId="104B0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7"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58C12">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245A7">
            <w:pPr>
              <w:spacing w:line="300" w:lineRule="exact"/>
              <w:jc w:val="center"/>
              <w:rPr>
                <w:rFonts w:ascii="宋体" w:hAnsi="宋体" w:cs="宋体"/>
                <w:color w:val="000000"/>
                <w:highlight w:val="none"/>
              </w:rPr>
            </w:pPr>
            <w:r>
              <w:rPr>
                <w:rFonts w:hint="eastAsia"/>
                <w:highlight w:val="none"/>
              </w:rPr>
              <w:t>大量程流量计</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8BAC347">
            <w:pPr>
              <w:spacing w:line="300" w:lineRule="exact"/>
              <w:ind w:firstLine="630"/>
              <w:rPr>
                <w:szCs w:val="21"/>
                <w:highlight w:val="none"/>
                <w:lang w:bidi="ar"/>
              </w:rPr>
            </w:pPr>
            <w:r>
              <w:rPr>
                <w:rFonts w:hint="eastAsia"/>
                <w:szCs w:val="21"/>
                <w:highlight w:val="none"/>
                <w:lang w:bidi="ar"/>
              </w:rPr>
              <w:t>2套</w:t>
            </w:r>
          </w:p>
        </w:tc>
      </w:tr>
      <w:tr w14:paraId="784EE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1"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49E4">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2</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351D">
            <w:pPr>
              <w:spacing w:line="300" w:lineRule="exact"/>
              <w:jc w:val="center"/>
              <w:rPr>
                <w:highlight w:val="none"/>
              </w:rPr>
            </w:pPr>
            <w:r>
              <w:rPr>
                <w:rFonts w:hint="eastAsia"/>
                <w:highlight w:val="none"/>
              </w:rPr>
              <w:t>小量程流量计</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85D9335">
            <w:pPr>
              <w:spacing w:line="300" w:lineRule="exact"/>
              <w:ind w:firstLine="630"/>
              <w:rPr>
                <w:szCs w:val="21"/>
                <w:highlight w:val="none"/>
                <w:lang w:bidi="ar"/>
              </w:rPr>
            </w:pPr>
            <w:r>
              <w:rPr>
                <w:rFonts w:hint="eastAsia"/>
                <w:szCs w:val="21"/>
                <w:highlight w:val="none"/>
                <w:lang w:val="en-US" w:eastAsia="zh-CN" w:bidi="ar"/>
              </w:rPr>
              <w:t>2</w:t>
            </w:r>
            <w:r>
              <w:rPr>
                <w:rFonts w:hint="eastAsia"/>
                <w:szCs w:val="21"/>
                <w:highlight w:val="none"/>
                <w:lang w:bidi="ar"/>
              </w:rPr>
              <w:t>套</w:t>
            </w:r>
          </w:p>
        </w:tc>
      </w:tr>
      <w:tr w14:paraId="48617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7BA0F">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3</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FBE9">
            <w:pPr>
              <w:spacing w:line="300" w:lineRule="exact"/>
              <w:jc w:val="center"/>
              <w:rPr>
                <w:rFonts w:ascii="宋体" w:hAnsi="宋体" w:cs="宋体"/>
                <w:color w:val="000000"/>
                <w:highlight w:val="none"/>
                <w:lang w:bidi="ar"/>
              </w:rPr>
            </w:pPr>
            <w:r>
              <w:rPr>
                <w:rFonts w:hint="eastAsia"/>
                <w:highlight w:val="none"/>
              </w:rPr>
              <w:t>标准气压计</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E74D529">
            <w:pPr>
              <w:spacing w:line="300" w:lineRule="exact"/>
              <w:ind w:firstLine="630"/>
              <w:rPr>
                <w:szCs w:val="21"/>
                <w:highlight w:val="none"/>
                <w:lang w:bidi="ar"/>
              </w:rPr>
            </w:pPr>
            <w:r>
              <w:rPr>
                <w:rFonts w:hint="eastAsia"/>
                <w:szCs w:val="21"/>
                <w:highlight w:val="none"/>
                <w:lang w:bidi="ar"/>
              </w:rPr>
              <w:t>2个</w:t>
            </w:r>
          </w:p>
        </w:tc>
      </w:tr>
      <w:tr w14:paraId="14A4F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66D5">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4</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19334">
            <w:pPr>
              <w:spacing w:line="300" w:lineRule="exact"/>
              <w:jc w:val="center"/>
              <w:rPr>
                <w:rFonts w:ascii="宋体" w:hAnsi="宋体" w:cs="宋体"/>
                <w:color w:val="000000"/>
                <w:highlight w:val="none"/>
                <w:lang w:bidi="ar"/>
              </w:rPr>
            </w:pPr>
            <w:r>
              <w:rPr>
                <w:rFonts w:hint="eastAsia"/>
                <w:highlight w:val="none"/>
              </w:rPr>
              <w:t>电子温湿度计</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DF91DCA">
            <w:pPr>
              <w:spacing w:line="300" w:lineRule="exact"/>
              <w:ind w:firstLine="630"/>
              <w:rPr>
                <w:szCs w:val="21"/>
                <w:highlight w:val="none"/>
                <w:lang w:bidi="ar"/>
              </w:rPr>
            </w:pPr>
            <w:r>
              <w:rPr>
                <w:rFonts w:hint="eastAsia"/>
                <w:szCs w:val="21"/>
                <w:highlight w:val="none"/>
                <w:lang w:bidi="ar"/>
              </w:rPr>
              <w:t>2个</w:t>
            </w:r>
          </w:p>
        </w:tc>
      </w:tr>
      <w:tr w14:paraId="188FF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F7602">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5</w:t>
            </w:r>
          </w:p>
        </w:tc>
        <w:tc>
          <w:tcPr>
            <w:tcW w:w="54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D2E45">
            <w:pPr>
              <w:spacing w:line="300" w:lineRule="exact"/>
              <w:ind w:firstLine="420"/>
              <w:jc w:val="center"/>
              <w:rPr>
                <w:rFonts w:ascii="宋体" w:hAnsi="宋体" w:cs="宋体"/>
                <w:color w:val="000000"/>
                <w:highlight w:val="none"/>
                <w:lang w:bidi="ar"/>
              </w:rPr>
            </w:pPr>
            <w:r>
              <w:rPr>
                <w:rFonts w:hint="eastAsia" w:ascii="宋体" w:hAnsi="宋体" w:cs="宋体"/>
                <w:color w:val="000000"/>
                <w:highlight w:val="none"/>
                <w:lang w:bidi="ar"/>
              </w:rPr>
              <w:t>动态校准仪（臭氧校准仪）</w:t>
            </w:r>
          </w:p>
        </w:tc>
        <w:tc>
          <w:tcPr>
            <w:tcW w:w="1812"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41D0A3E">
            <w:pPr>
              <w:spacing w:line="300" w:lineRule="exact"/>
              <w:ind w:firstLine="630"/>
              <w:rPr>
                <w:szCs w:val="21"/>
                <w:highlight w:val="none"/>
                <w:lang w:bidi="ar"/>
              </w:rPr>
            </w:pPr>
            <w:r>
              <w:rPr>
                <w:rFonts w:hint="eastAsia"/>
                <w:szCs w:val="21"/>
                <w:highlight w:val="none"/>
                <w:lang w:val="en-US" w:eastAsia="zh-CN" w:bidi="ar"/>
              </w:rPr>
              <w:t>1</w:t>
            </w:r>
            <w:r>
              <w:rPr>
                <w:rFonts w:hint="eastAsia"/>
                <w:szCs w:val="21"/>
                <w:highlight w:val="none"/>
                <w:lang w:bidi="ar"/>
              </w:rPr>
              <w:t>套</w:t>
            </w:r>
          </w:p>
        </w:tc>
      </w:tr>
      <w:tr w14:paraId="7D8D5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0" w:hRule="atLeast"/>
        </w:trPr>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EB30">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备注</w:t>
            </w:r>
          </w:p>
        </w:tc>
        <w:tc>
          <w:tcPr>
            <w:tcW w:w="72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F33F">
            <w:pPr>
              <w:spacing w:line="300" w:lineRule="exact"/>
              <w:rPr>
                <w:szCs w:val="21"/>
                <w:highlight w:val="none"/>
                <w:lang w:bidi="ar"/>
              </w:rPr>
            </w:pPr>
            <w:bookmarkStart w:id="182" w:name="OLE_LINK22"/>
            <w:bookmarkStart w:id="183" w:name="OLE_LINK23"/>
            <w:r>
              <w:rPr>
                <w:rFonts w:hint="eastAsia"/>
                <w:szCs w:val="21"/>
                <w:highlight w:val="none"/>
                <w:lang w:bidi="ar"/>
              </w:rPr>
              <w:t>质控设备必须包含但不限于上述设备，投标人可结合项目实际，增加相应的质控设备。</w:t>
            </w:r>
            <w:bookmarkEnd w:id="182"/>
            <w:bookmarkEnd w:id="183"/>
          </w:p>
        </w:tc>
      </w:tr>
    </w:tbl>
    <w:p w14:paraId="45F95F08">
      <w:pPr>
        <w:tabs>
          <w:tab w:val="left" w:pos="709"/>
        </w:tabs>
        <w:spacing w:line="540" w:lineRule="exact"/>
        <w:ind w:firstLine="420"/>
        <w:jc w:val="center"/>
        <w:rPr>
          <w:rFonts w:ascii="黑体" w:hAnsi="黑体" w:eastAsia="黑体" w:cs="黑体"/>
          <w:color w:val="000000"/>
          <w:szCs w:val="21"/>
          <w:highlight w:val="none"/>
          <w:lang w:bidi="ar"/>
        </w:rPr>
      </w:pPr>
      <w:r>
        <w:rPr>
          <w:rFonts w:hint="eastAsia" w:ascii="黑体" w:hAnsi="黑体" w:eastAsia="黑体" w:cs="黑体"/>
          <w:color w:val="000000"/>
          <w:szCs w:val="21"/>
          <w:highlight w:val="none"/>
          <w:lang w:bidi="ar"/>
        </w:rPr>
        <w:t>表</w:t>
      </w:r>
      <w:r>
        <w:rPr>
          <w:rFonts w:ascii="黑体" w:hAnsi="黑体" w:eastAsia="黑体" w:cs="黑体"/>
          <w:color w:val="000000"/>
          <w:szCs w:val="21"/>
          <w:highlight w:val="none"/>
          <w:lang w:bidi="ar"/>
        </w:rPr>
        <w:t xml:space="preserve">3 </w:t>
      </w:r>
      <w:r>
        <w:rPr>
          <w:rFonts w:hint="eastAsia" w:ascii="黑体" w:hAnsi="黑体" w:eastAsia="黑体" w:cs="黑体"/>
          <w:color w:val="000000"/>
          <w:szCs w:val="21"/>
          <w:highlight w:val="none"/>
          <w:lang w:bidi="ar"/>
        </w:rPr>
        <w:t>环境空气质量自动监测仪器设备耗材一览表</w:t>
      </w:r>
    </w:p>
    <w:tbl>
      <w:tblPr>
        <w:tblStyle w:val="3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5537"/>
        <w:gridCol w:w="2117"/>
      </w:tblGrid>
      <w:tr w14:paraId="1A314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9AAB">
            <w:pPr>
              <w:spacing w:line="300" w:lineRule="exact"/>
              <w:jc w:val="center"/>
              <w:rPr>
                <w:rFonts w:ascii="宋体" w:hAnsi="宋体" w:cs="宋体"/>
                <w:b/>
                <w:bCs/>
                <w:color w:val="000000"/>
                <w:highlight w:val="none"/>
              </w:rPr>
            </w:pPr>
            <w:r>
              <w:rPr>
                <w:rFonts w:hint="eastAsia" w:ascii="宋体" w:hAnsi="宋体" w:cs="宋体"/>
                <w:b/>
                <w:bCs/>
                <w:color w:val="000000"/>
                <w:highlight w:val="none"/>
                <w:lang w:bidi="ar"/>
              </w:rPr>
              <w:t>序 号</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04D4B">
            <w:pPr>
              <w:spacing w:line="300" w:lineRule="exact"/>
              <w:ind w:firstLine="1890"/>
              <w:jc w:val="center"/>
              <w:rPr>
                <w:rFonts w:ascii="宋体" w:hAnsi="宋体" w:cs="宋体"/>
                <w:b/>
                <w:bCs/>
                <w:color w:val="000000"/>
                <w:highlight w:val="none"/>
              </w:rPr>
            </w:pPr>
            <w:r>
              <w:rPr>
                <w:rFonts w:hint="eastAsia" w:ascii="宋体" w:hAnsi="宋体" w:cs="宋体"/>
                <w:b/>
                <w:bCs/>
                <w:color w:val="000000"/>
                <w:highlight w:val="none"/>
                <w:lang w:bidi="ar"/>
              </w:rPr>
              <w:t>耗材名称</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382D4A48">
            <w:pPr>
              <w:spacing w:line="300" w:lineRule="exact"/>
              <w:jc w:val="center"/>
              <w:rPr>
                <w:rFonts w:ascii="宋体" w:hAnsi="宋体" w:cs="宋体"/>
                <w:b/>
                <w:bCs/>
                <w:color w:val="000000"/>
                <w:highlight w:val="none"/>
              </w:rPr>
            </w:pPr>
            <w:r>
              <w:rPr>
                <w:rFonts w:hint="eastAsia" w:ascii="宋体" w:hAnsi="宋体" w:cs="宋体"/>
                <w:b/>
                <w:bCs/>
                <w:color w:val="000000"/>
                <w:highlight w:val="none"/>
                <w:lang w:bidi="ar"/>
              </w:rPr>
              <w:t>数  量</w:t>
            </w:r>
          </w:p>
        </w:tc>
      </w:tr>
      <w:tr w14:paraId="67C09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50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16BA8">
            <w:pPr>
              <w:spacing w:line="300" w:lineRule="exact"/>
              <w:ind w:firstLine="2520"/>
              <w:rPr>
                <w:rFonts w:ascii="宋体" w:hAnsi="宋体" w:cs="宋体"/>
                <w:b/>
                <w:bCs/>
                <w:color w:val="000000"/>
                <w:highlight w:val="none"/>
                <w:lang w:bidi="ar"/>
              </w:rPr>
            </w:pPr>
            <w:r>
              <w:rPr>
                <w:rFonts w:hint="eastAsia" w:ascii="黑体" w:hAnsi="黑体" w:eastAsia="黑体" w:cs="黑体"/>
                <w:color w:val="000000"/>
                <w:highlight w:val="none"/>
                <w:lang w:bidi="ar"/>
              </w:rPr>
              <w:t>环境空气自动监测设备</w:t>
            </w:r>
          </w:p>
        </w:tc>
      </w:tr>
      <w:tr w14:paraId="7D108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A2CE">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8654C">
            <w:pPr>
              <w:jc w:val="center"/>
              <w:rPr>
                <w:highlight w:val="none"/>
              </w:rPr>
            </w:pPr>
            <w:r>
              <w:rPr>
                <w:rFonts w:hint="eastAsia"/>
                <w:highlight w:val="none"/>
              </w:rPr>
              <w:t>滤膜</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DF497A2">
            <w:pPr>
              <w:spacing w:line="300" w:lineRule="exact"/>
              <w:ind w:firstLine="630"/>
              <w:rPr>
                <w:szCs w:val="21"/>
                <w:highlight w:val="none"/>
                <w:lang w:bidi="ar"/>
              </w:rPr>
            </w:pPr>
            <w:r>
              <w:rPr>
                <w:rFonts w:hint="eastAsia"/>
                <w:szCs w:val="21"/>
                <w:highlight w:val="none"/>
                <w:lang w:bidi="ar"/>
              </w:rPr>
              <w:t>60盒</w:t>
            </w:r>
          </w:p>
        </w:tc>
      </w:tr>
      <w:tr w14:paraId="0A86A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66F2B">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2</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2B0C">
            <w:pPr>
              <w:jc w:val="center"/>
              <w:rPr>
                <w:highlight w:val="none"/>
              </w:rPr>
            </w:pPr>
            <w:r>
              <w:rPr>
                <w:rFonts w:hint="eastAsia"/>
                <w:highlight w:val="none"/>
              </w:rPr>
              <w:t>变色硅胶</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4B6293D">
            <w:pPr>
              <w:spacing w:line="300" w:lineRule="exact"/>
              <w:ind w:firstLine="630"/>
              <w:rPr>
                <w:szCs w:val="21"/>
                <w:highlight w:val="none"/>
                <w:lang w:bidi="ar"/>
              </w:rPr>
            </w:pPr>
            <w:r>
              <w:rPr>
                <w:rFonts w:hint="eastAsia"/>
                <w:szCs w:val="21"/>
                <w:highlight w:val="none"/>
                <w:lang w:bidi="ar"/>
              </w:rPr>
              <w:t>120瓶</w:t>
            </w:r>
          </w:p>
        </w:tc>
      </w:tr>
      <w:tr w14:paraId="158C3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B185">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3</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2112C">
            <w:pPr>
              <w:jc w:val="center"/>
              <w:rPr>
                <w:highlight w:val="none"/>
              </w:rPr>
            </w:pPr>
            <w:r>
              <w:rPr>
                <w:rFonts w:hint="eastAsia"/>
                <w:highlight w:val="none"/>
              </w:rPr>
              <w:t>活性炭</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7E94A88">
            <w:pPr>
              <w:spacing w:line="300" w:lineRule="exact"/>
              <w:ind w:firstLine="630"/>
              <w:rPr>
                <w:szCs w:val="21"/>
                <w:highlight w:val="none"/>
                <w:lang w:bidi="ar"/>
              </w:rPr>
            </w:pPr>
            <w:r>
              <w:rPr>
                <w:rFonts w:hint="eastAsia"/>
                <w:szCs w:val="21"/>
                <w:highlight w:val="none"/>
                <w:lang w:bidi="ar"/>
              </w:rPr>
              <w:t>20瓶</w:t>
            </w:r>
          </w:p>
        </w:tc>
      </w:tr>
      <w:tr w14:paraId="2E5D2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87E7E">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4</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49D85">
            <w:pPr>
              <w:jc w:val="center"/>
              <w:rPr>
                <w:highlight w:val="none"/>
              </w:rPr>
            </w:pPr>
            <w:r>
              <w:rPr>
                <w:rFonts w:hint="eastAsia"/>
                <w:highlight w:val="none"/>
              </w:rPr>
              <w:t>氧化剂</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6F5876E">
            <w:pPr>
              <w:spacing w:line="300" w:lineRule="exact"/>
              <w:ind w:firstLine="630"/>
              <w:rPr>
                <w:szCs w:val="21"/>
                <w:highlight w:val="none"/>
                <w:lang w:bidi="ar"/>
              </w:rPr>
            </w:pPr>
            <w:r>
              <w:rPr>
                <w:rFonts w:hint="eastAsia"/>
                <w:szCs w:val="21"/>
                <w:highlight w:val="none"/>
                <w:lang w:bidi="ar"/>
              </w:rPr>
              <w:t>20瓶</w:t>
            </w:r>
          </w:p>
        </w:tc>
      </w:tr>
      <w:tr w14:paraId="2731A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E6363">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5</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45F2">
            <w:pPr>
              <w:jc w:val="center"/>
              <w:rPr>
                <w:highlight w:val="none"/>
              </w:rPr>
            </w:pPr>
            <w:r>
              <w:rPr>
                <w:rFonts w:hint="eastAsia"/>
                <w:highlight w:val="none"/>
              </w:rPr>
              <w:t>SO2标准气体</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B4A3E0A">
            <w:pPr>
              <w:spacing w:line="300" w:lineRule="exact"/>
              <w:ind w:firstLine="630"/>
              <w:rPr>
                <w:szCs w:val="21"/>
                <w:highlight w:val="none"/>
                <w:lang w:bidi="ar"/>
              </w:rPr>
            </w:pPr>
            <w:r>
              <w:rPr>
                <w:rFonts w:hint="eastAsia"/>
                <w:szCs w:val="21"/>
                <w:highlight w:val="none"/>
                <w:lang w:bidi="ar"/>
              </w:rPr>
              <w:t>5瓶</w:t>
            </w:r>
          </w:p>
        </w:tc>
      </w:tr>
      <w:tr w14:paraId="1DA33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02D3">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6</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3046">
            <w:pPr>
              <w:jc w:val="center"/>
              <w:rPr>
                <w:highlight w:val="none"/>
              </w:rPr>
            </w:pPr>
            <w:r>
              <w:rPr>
                <w:rFonts w:hint="eastAsia"/>
                <w:highlight w:val="none"/>
              </w:rPr>
              <w:t>NO标准气体</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60472A04">
            <w:pPr>
              <w:spacing w:line="300" w:lineRule="exact"/>
              <w:ind w:firstLine="630"/>
              <w:rPr>
                <w:szCs w:val="21"/>
                <w:highlight w:val="none"/>
                <w:lang w:bidi="ar"/>
              </w:rPr>
            </w:pPr>
            <w:r>
              <w:rPr>
                <w:rFonts w:hint="eastAsia"/>
                <w:szCs w:val="21"/>
                <w:highlight w:val="none"/>
                <w:lang w:bidi="ar"/>
              </w:rPr>
              <w:t>5瓶</w:t>
            </w:r>
          </w:p>
        </w:tc>
      </w:tr>
      <w:tr w14:paraId="77CA34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B3BC9">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7</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1D3E4">
            <w:pPr>
              <w:jc w:val="center"/>
              <w:rPr>
                <w:highlight w:val="none"/>
              </w:rPr>
            </w:pPr>
            <w:r>
              <w:rPr>
                <w:rFonts w:hint="eastAsia"/>
                <w:highlight w:val="none"/>
              </w:rPr>
              <w:t>CO标准气体</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72BA7B7">
            <w:pPr>
              <w:spacing w:line="300" w:lineRule="exact"/>
              <w:ind w:firstLine="630"/>
              <w:rPr>
                <w:szCs w:val="21"/>
                <w:highlight w:val="none"/>
                <w:lang w:bidi="ar"/>
              </w:rPr>
            </w:pPr>
            <w:r>
              <w:rPr>
                <w:rFonts w:hint="eastAsia"/>
                <w:szCs w:val="21"/>
                <w:highlight w:val="none"/>
                <w:lang w:bidi="ar"/>
              </w:rPr>
              <w:t>5瓶</w:t>
            </w:r>
          </w:p>
        </w:tc>
      </w:tr>
      <w:tr w14:paraId="4A2C4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5081">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8</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5A05">
            <w:pPr>
              <w:jc w:val="center"/>
              <w:rPr>
                <w:highlight w:val="none"/>
              </w:rPr>
            </w:pPr>
            <w:r>
              <w:rPr>
                <w:rFonts w:hint="eastAsia"/>
                <w:highlight w:val="none"/>
              </w:rPr>
              <w:t>纸带</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B63DBFC">
            <w:pPr>
              <w:spacing w:line="300" w:lineRule="exact"/>
              <w:ind w:firstLine="630"/>
              <w:rPr>
                <w:szCs w:val="21"/>
                <w:highlight w:val="none"/>
                <w:lang w:bidi="ar"/>
              </w:rPr>
            </w:pPr>
            <w:r>
              <w:rPr>
                <w:rFonts w:hint="eastAsia"/>
                <w:szCs w:val="21"/>
                <w:highlight w:val="none"/>
                <w:lang w:bidi="ar"/>
              </w:rPr>
              <w:t>60盒</w:t>
            </w:r>
          </w:p>
        </w:tc>
      </w:tr>
      <w:tr w14:paraId="52665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7"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29B9">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9</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65B51">
            <w:pPr>
              <w:jc w:val="center"/>
              <w:rPr>
                <w:highlight w:val="none"/>
              </w:rPr>
            </w:pPr>
            <w:r>
              <w:rPr>
                <w:rFonts w:hint="eastAsia"/>
                <w:highlight w:val="none"/>
              </w:rPr>
              <w:t>泵膜</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A66416E">
            <w:pPr>
              <w:spacing w:line="300" w:lineRule="exact"/>
              <w:ind w:firstLine="210"/>
              <w:rPr>
                <w:szCs w:val="21"/>
                <w:highlight w:val="none"/>
                <w:lang w:bidi="ar"/>
              </w:rPr>
            </w:pPr>
            <w:r>
              <w:rPr>
                <w:rFonts w:hint="eastAsia"/>
                <w:szCs w:val="21"/>
                <w:highlight w:val="none"/>
                <w:lang w:bidi="ar"/>
              </w:rPr>
              <w:t>10个（8小2大）</w:t>
            </w:r>
          </w:p>
        </w:tc>
      </w:tr>
      <w:tr w14:paraId="06256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0499">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10</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E28A">
            <w:pPr>
              <w:jc w:val="center"/>
              <w:rPr>
                <w:highlight w:val="none"/>
              </w:rPr>
            </w:pPr>
            <w:r>
              <w:rPr>
                <w:rFonts w:hint="eastAsia"/>
                <w:highlight w:val="none"/>
              </w:rPr>
              <w:t>红外光源</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28A495ED">
            <w:pPr>
              <w:spacing w:line="300" w:lineRule="exact"/>
              <w:ind w:firstLine="630"/>
              <w:rPr>
                <w:szCs w:val="21"/>
                <w:highlight w:val="none"/>
                <w:lang w:bidi="ar"/>
              </w:rPr>
            </w:pPr>
            <w:r>
              <w:rPr>
                <w:rFonts w:hint="eastAsia"/>
                <w:szCs w:val="21"/>
                <w:highlight w:val="none"/>
                <w:lang w:bidi="ar"/>
              </w:rPr>
              <w:t>5个</w:t>
            </w:r>
          </w:p>
        </w:tc>
      </w:tr>
      <w:tr w14:paraId="3CA02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0875">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11</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B89D">
            <w:pPr>
              <w:jc w:val="center"/>
              <w:rPr>
                <w:highlight w:val="none"/>
              </w:rPr>
            </w:pPr>
            <w:r>
              <w:rPr>
                <w:rFonts w:hint="eastAsia"/>
                <w:highlight w:val="none"/>
              </w:rPr>
              <w:t>红外检测器</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0245F9FA">
            <w:pPr>
              <w:spacing w:line="300" w:lineRule="exact"/>
              <w:ind w:firstLine="630"/>
              <w:rPr>
                <w:szCs w:val="21"/>
                <w:highlight w:val="none"/>
                <w:lang w:bidi="ar"/>
              </w:rPr>
            </w:pPr>
            <w:r>
              <w:rPr>
                <w:rFonts w:hint="eastAsia"/>
                <w:szCs w:val="21"/>
                <w:highlight w:val="none"/>
                <w:lang w:bidi="ar"/>
              </w:rPr>
              <w:t>2个</w:t>
            </w:r>
          </w:p>
        </w:tc>
      </w:tr>
      <w:tr w14:paraId="63FC4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37047">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12</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D20D">
            <w:pPr>
              <w:jc w:val="center"/>
              <w:rPr>
                <w:highlight w:val="none"/>
              </w:rPr>
            </w:pPr>
            <w:r>
              <w:rPr>
                <w:rFonts w:hint="eastAsia"/>
                <w:highlight w:val="none"/>
              </w:rPr>
              <w:t>泵维修包</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56FE8DA3">
            <w:pPr>
              <w:spacing w:line="300" w:lineRule="exact"/>
              <w:ind w:firstLine="630"/>
              <w:rPr>
                <w:szCs w:val="21"/>
                <w:highlight w:val="none"/>
                <w:lang w:bidi="ar"/>
              </w:rPr>
            </w:pPr>
            <w:r>
              <w:rPr>
                <w:rFonts w:hint="eastAsia"/>
                <w:szCs w:val="21"/>
                <w:highlight w:val="none"/>
                <w:lang w:bidi="ar"/>
              </w:rPr>
              <w:t>6个</w:t>
            </w:r>
          </w:p>
        </w:tc>
      </w:tr>
      <w:tr w14:paraId="45DE2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AD54">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13</w:t>
            </w:r>
          </w:p>
        </w:tc>
        <w:tc>
          <w:tcPr>
            <w:tcW w:w="55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77BA1">
            <w:pPr>
              <w:jc w:val="center"/>
              <w:rPr>
                <w:highlight w:val="none"/>
              </w:rPr>
            </w:pPr>
            <w:r>
              <w:rPr>
                <w:rFonts w:hint="eastAsia"/>
                <w:highlight w:val="none"/>
              </w:rPr>
              <w:t>24V电源</w:t>
            </w:r>
          </w:p>
        </w:tc>
        <w:tc>
          <w:tcPr>
            <w:tcW w:w="2117"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1E05E743">
            <w:pPr>
              <w:spacing w:line="300" w:lineRule="exact"/>
              <w:ind w:firstLine="630"/>
              <w:rPr>
                <w:szCs w:val="21"/>
                <w:highlight w:val="none"/>
                <w:lang w:bidi="ar"/>
              </w:rPr>
            </w:pPr>
            <w:r>
              <w:rPr>
                <w:rFonts w:hint="eastAsia"/>
                <w:szCs w:val="21"/>
                <w:highlight w:val="none"/>
                <w:lang w:bidi="ar"/>
              </w:rPr>
              <w:t>4个</w:t>
            </w:r>
          </w:p>
        </w:tc>
      </w:tr>
      <w:tr w14:paraId="05F6D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8" w:hRule="exact"/>
          <w:jc w:val="center"/>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053C6">
            <w:pPr>
              <w:spacing w:line="300" w:lineRule="exact"/>
              <w:jc w:val="center"/>
              <w:rPr>
                <w:rFonts w:ascii="宋体" w:hAnsi="宋体" w:cs="宋体"/>
                <w:color w:val="000000"/>
                <w:highlight w:val="none"/>
                <w:lang w:bidi="ar"/>
              </w:rPr>
            </w:pPr>
            <w:r>
              <w:rPr>
                <w:rFonts w:hint="eastAsia" w:ascii="宋体" w:hAnsi="宋体" w:cs="宋体"/>
                <w:color w:val="000000"/>
                <w:highlight w:val="none"/>
                <w:lang w:bidi="ar"/>
              </w:rPr>
              <w:t>备注</w:t>
            </w:r>
          </w:p>
        </w:tc>
        <w:tc>
          <w:tcPr>
            <w:tcW w:w="76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6F24">
            <w:pPr>
              <w:spacing w:line="300" w:lineRule="exact"/>
              <w:rPr>
                <w:szCs w:val="21"/>
                <w:highlight w:val="none"/>
                <w:lang w:bidi="ar"/>
              </w:rPr>
            </w:pPr>
            <w:bookmarkStart w:id="184" w:name="OLE_LINK26"/>
            <w:bookmarkStart w:id="185" w:name="OLE_LINK25"/>
            <w:r>
              <w:rPr>
                <w:rFonts w:hint="eastAsia"/>
                <w:szCs w:val="21"/>
                <w:highlight w:val="none"/>
                <w:lang w:bidi="ar"/>
              </w:rPr>
              <w:t>1</w:t>
            </w:r>
            <w:r>
              <w:rPr>
                <w:szCs w:val="21"/>
                <w:highlight w:val="none"/>
                <w:lang w:bidi="ar"/>
              </w:rPr>
              <w:t xml:space="preserve">. </w:t>
            </w:r>
            <w:r>
              <w:rPr>
                <w:rFonts w:hint="eastAsia"/>
                <w:szCs w:val="21"/>
                <w:highlight w:val="none"/>
                <w:lang w:bidi="ar"/>
              </w:rPr>
              <w:t>相关的耗材必须包含但不限于上述内容，投标人可结合项目实际，增加相应的耗材等；</w:t>
            </w:r>
          </w:p>
          <w:p w14:paraId="3C6494CD">
            <w:pPr>
              <w:spacing w:line="300" w:lineRule="exact"/>
              <w:rPr>
                <w:szCs w:val="21"/>
                <w:highlight w:val="none"/>
                <w:lang w:bidi="ar"/>
              </w:rPr>
            </w:pPr>
            <w:r>
              <w:rPr>
                <w:rFonts w:hint="eastAsia"/>
                <w:szCs w:val="21"/>
                <w:highlight w:val="none"/>
                <w:lang w:bidi="ar"/>
              </w:rPr>
              <w:t>2</w:t>
            </w:r>
            <w:r>
              <w:rPr>
                <w:szCs w:val="21"/>
                <w:highlight w:val="none"/>
                <w:lang w:bidi="ar"/>
              </w:rPr>
              <w:t xml:space="preserve">. </w:t>
            </w:r>
            <w:r>
              <w:rPr>
                <w:rFonts w:hint="eastAsia"/>
                <w:szCs w:val="21"/>
                <w:highlight w:val="none"/>
                <w:lang w:bidi="ar"/>
              </w:rPr>
              <w:t>相关备品及耗材须满足项目</w:t>
            </w:r>
            <w:r>
              <w:rPr>
                <w:szCs w:val="21"/>
                <w:highlight w:val="none"/>
                <w:lang w:bidi="ar"/>
              </w:rPr>
              <w:t>1</w:t>
            </w:r>
            <w:r>
              <w:rPr>
                <w:rFonts w:hint="eastAsia"/>
                <w:szCs w:val="21"/>
                <w:highlight w:val="none"/>
                <w:lang w:bidi="ar"/>
              </w:rPr>
              <w:t>年期的使用要求；</w:t>
            </w:r>
          </w:p>
          <w:p w14:paraId="2042A68D">
            <w:pPr>
              <w:spacing w:line="300" w:lineRule="exact"/>
              <w:rPr>
                <w:szCs w:val="21"/>
                <w:highlight w:val="none"/>
                <w:lang w:bidi="ar"/>
              </w:rPr>
            </w:pPr>
            <w:r>
              <w:rPr>
                <w:szCs w:val="21"/>
                <w:highlight w:val="none"/>
                <w:lang w:bidi="ar"/>
              </w:rPr>
              <w:t xml:space="preserve">3. </w:t>
            </w:r>
            <w:r>
              <w:rPr>
                <w:rFonts w:hint="eastAsia"/>
                <w:szCs w:val="21"/>
                <w:highlight w:val="none"/>
                <w:lang w:bidi="ar"/>
              </w:rPr>
              <w:t>备品备件</w:t>
            </w:r>
            <w:r>
              <w:rPr>
                <w:rFonts w:hint="eastAsia" w:ascii="宋体" w:hAnsi="宋体" w:cs="宋体"/>
                <w:szCs w:val="21"/>
                <w:highlight w:val="none"/>
                <w:lang w:bidi="ar"/>
              </w:rPr>
              <w:t>存放于备品备件库</w:t>
            </w:r>
            <w:r>
              <w:rPr>
                <w:rFonts w:hint="eastAsia"/>
                <w:szCs w:val="21"/>
                <w:highlight w:val="none"/>
                <w:lang w:bidi="ar"/>
              </w:rPr>
              <w:t>。</w:t>
            </w:r>
            <w:bookmarkEnd w:id="184"/>
            <w:bookmarkEnd w:id="185"/>
          </w:p>
        </w:tc>
      </w:tr>
    </w:tbl>
    <w:p w14:paraId="0B9D9F26">
      <w:pPr>
        <w:spacing w:line="360" w:lineRule="auto"/>
        <w:ind w:firstLine="480" w:firstLineChars="200"/>
        <w:jc w:val="left"/>
        <w:rPr>
          <w:rFonts w:hAnsi="宋体"/>
          <w:color w:val="auto"/>
          <w:sz w:val="24"/>
          <w:highlight w:val="none"/>
        </w:rPr>
      </w:pPr>
      <w:r>
        <w:rPr>
          <w:rFonts w:hAnsi="宋体"/>
          <w:color w:val="auto"/>
          <w:sz w:val="24"/>
          <w:highlight w:val="none"/>
        </w:rPr>
        <w:t>运维人员进行维修时，应及时做好维修记录。维修记录应包含该故障发生的时间、故障现象、维修措施和内容、维修结果、校准检查等记录。</w:t>
      </w:r>
    </w:p>
    <w:p w14:paraId="154D9496">
      <w:pPr>
        <w:widowControl/>
        <w:spacing w:line="360" w:lineRule="auto"/>
        <w:ind w:firstLine="482" w:firstLineChars="200"/>
        <w:jc w:val="left"/>
        <w:rPr>
          <w:b/>
          <w:color w:val="auto"/>
          <w:kern w:val="0"/>
          <w:sz w:val="24"/>
          <w:highlight w:val="none"/>
        </w:rPr>
      </w:pPr>
      <w:r>
        <w:rPr>
          <w:b/>
          <w:color w:val="auto"/>
          <w:kern w:val="0"/>
          <w:sz w:val="24"/>
          <w:highlight w:val="none"/>
        </w:rPr>
        <w:t>8</w:t>
      </w:r>
      <w:r>
        <w:rPr>
          <w:rFonts w:hAnsi="宋体"/>
          <w:b/>
          <w:color w:val="auto"/>
          <w:kern w:val="0"/>
          <w:sz w:val="24"/>
          <w:highlight w:val="none"/>
        </w:rPr>
        <w:t>、交接方式</w:t>
      </w:r>
    </w:p>
    <w:p w14:paraId="6603E9EA">
      <w:pPr>
        <w:pStyle w:val="33"/>
        <w:ind w:firstLine="480"/>
        <w:jc w:val="left"/>
        <w:rPr>
          <w:rFonts w:ascii="Times New Roman" w:hAnsi="Times New Roman"/>
          <w:color w:val="auto"/>
          <w:sz w:val="24"/>
          <w:highlight w:val="none"/>
        </w:rPr>
      </w:pPr>
      <w:bookmarkStart w:id="186" w:name="_Hlk83214421"/>
      <w:r>
        <w:rPr>
          <w:rFonts w:ascii="Times New Roman"/>
          <w:color w:val="auto"/>
          <w:sz w:val="24"/>
          <w:highlight w:val="none"/>
        </w:rPr>
        <w:t>在合同生效前，成交供应商应与采购人、前一运维方共同对气站进行现场清点和评估，做好记录，签字备案。内容包括系统设备的完好度、系统运行情况、数据采集情况、技术资料、运维记录、站房及辅助设施，以及存在的问题等。</w:t>
      </w:r>
    </w:p>
    <w:bookmarkEnd w:id="186"/>
    <w:p w14:paraId="28212421">
      <w:pPr>
        <w:widowControl/>
        <w:spacing w:line="360" w:lineRule="auto"/>
        <w:ind w:firstLine="482" w:firstLineChars="200"/>
        <w:jc w:val="left"/>
        <w:rPr>
          <w:b/>
          <w:color w:val="auto"/>
          <w:kern w:val="0"/>
          <w:sz w:val="24"/>
          <w:highlight w:val="none"/>
        </w:rPr>
      </w:pPr>
      <w:r>
        <w:rPr>
          <w:b/>
          <w:color w:val="auto"/>
          <w:kern w:val="0"/>
          <w:sz w:val="24"/>
          <w:highlight w:val="none"/>
        </w:rPr>
        <w:t>9</w:t>
      </w:r>
      <w:r>
        <w:rPr>
          <w:rFonts w:hAnsi="宋体"/>
          <w:b/>
          <w:color w:val="auto"/>
          <w:kern w:val="0"/>
          <w:sz w:val="24"/>
          <w:highlight w:val="none"/>
        </w:rPr>
        <w:t>、执行技术规范和标准（不限于以下标准、技术规范等）</w:t>
      </w:r>
    </w:p>
    <w:p w14:paraId="00A61978">
      <w:pPr>
        <w:pStyle w:val="33"/>
        <w:ind w:firstLine="480"/>
        <w:jc w:val="left"/>
        <w:rPr>
          <w:rFonts w:ascii="Times New Roman" w:hAnsi="Times New Roman"/>
          <w:color w:val="auto"/>
          <w:sz w:val="24"/>
          <w:highlight w:val="none"/>
        </w:rPr>
      </w:pPr>
      <w:r>
        <w:rPr>
          <w:rFonts w:ascii="Times New Roman"/>
          <w:color w:val="auto"/>
          <w:sz w:val="24"/>
          <w:highlight w:val="none"/>
        </w:rPr>
        <w:t>《环境空气质量标准》（</w:t>
      </w:r>
      <w:r>
        <w:rPr>
          <w:rFonts w:ascii="Times New Roman" w:hAnsi="Times New Roman"/>
          <w:color w:val="auto"/>
          <w:sz w:val="24"/>
          <w:highlight w:val="none"/>
        </w:rPr>
        <w:t>GB3095-2012</w:t>
      </w:r>
      <w:r>
        <w:rPr>
          <w:rFonts w:ascii="Times New Roman"/>
          <w:color w:val="auto"/>
          <w:sz w:val="24"/>
          <w:highlight w:val="none"/>
        </w:rPr>
        <w:t>）</w:t>
      </w:r>
    </w:p>
    <w:p w14:paraId="2314C880">
      <w:pPr>
        <w:pStyle w:val="33"/>
        <w:ind w:firstLine="480"/>
        <w:jc w:val="left"/>
        <w:rPr>
          <w:rFonts w:ascii="Times New Roman" w:hAnsi="Times New Roman"/>
          <w:color w:val="auto"/>
          <w:sz w:val="24"/>
          <w:highlight w:val="none"/>
        </w:rPr>
      </w:pPr>
      <w:r>
        <w:rPr>
          <w:rFonts w:ascii="Times New Roman"/>
          <w:color w:val="auto"/>
          <w:sz w:val="24"/>
          <w:highlight w:val="none"/>
        </w:rPr>
        <w:t>《环境质量监测点位管理办法》（环办</w:t>
      </w:r>
      <w:r>
        <w:rPr>
          <w:rFonts w:ascii="Times New Roman" w:hAnsi="Times New Roman"/>
          <w:color w:val="auto"/>
          <w:sz w:val="24"/>
          <w:highlight w:val="none"/>
        </w:rPr>
        <w:t>[2011]107</w:t>
      </w:r>
      <w:r>
        <w:rPr>
          <w:rFonts w:ascii="Times New Roman"/>
          <w:color w:val="auto"/>
          <w:sz w:val="24"/>
          <w:highlight w:val="none"/>
        </w:rPr>
        <w:t>号）</w:t>
      </w:r>
    </w:p>
    <w:p w14:paraId="10084DC5">
      <w:pPr>
        <w:pStyle w:val="33"/>
        <w:ind w:firstLine="480"/>
        <w:jc w:val="left"/>
        <w:rPr>
          <w:rFonts w:ascii="Times New Roman" w:hAnsi="Times New Roman"/>
          <w:color w:val="auto"/>
          <w:sz w:val="24"/>
          <w:highlight w:val="none"/>
        </w:rPr>
      </w:pPr>
      <w:r>
        <w:rPr>
          <w:rFonts w:ascii="Times New Roman"/>
          <w:color w:val="auto"/>
          <w:sz w:val="24"/>
          <w:highlight w:val="none"/>
        </w:rPr>
        <w:t>《环境空气质量监测点位布设技术规范（试行）》（</w:t>
      </w:r>
      <w:r>
        <w:rPr>
          <w:rFonts w:ascii="Times New Roman" w:hAnsi="Times New Roman"/>
          <w:color w:val="auto"/>
          <w:sz w:val="24"/>
          <w:highlight w:val="none"/>
        </w:rPr>
        <w:t>HJ 664-2013</w:t>
      </w:r>
      <w:r>
        <w:rPr>
          <w:rFonts w:ascii="Times New Roman"/>
          <w:color w:val="auto"/>
          <w:sz w:val="24"/>
          <w:highlight w:val="none"/>
        </w:rPr>
        <w:t>）</w:t>
      </w:r>
    </w:p>
    <w:p w14:paraId="446D3882">
      <w:pPr>
        <w:pStyle w:val="33"/>
        <w:ind w:firstLine="480"/>
        <w:jc w:val="left"/>
        <w:rPr>
          <w:rFonts w:ascii="Times New Roman" w:hAnsi="Times New Roman"/>
          <w:color w:val="auto"/>
          <w:sz w:val="24"/>
          <w:highlight w:val="none"/>
        </w:rPr>
      </w:pPr>
      <w:r>
        <w:rPr>
          <w:rFonts w:ascii="Times New Roman"/>
          <w:color w:val="auto"/>
          <w:sz w:val="24"/>
          <w:highlight w:val="none"/>
        </w:rPr>
        <w:t>《关于设置国家环境空气质量监测城市站房及采样区警示牌的通知》（总站气字</w:t>
      </w:r>
      <w:r>
        <w:rPr>
          <w:rFonts w:ascii="Times New Roman" w:hAnsi="Times New Roman"/>
          <w:color w:val="auto"/>
          <w:sz w:val="24"/>
          <w:highlight w:val="none"/>
        </w:rPr>
        <w:t>[2016]260</w:t>
      </w:r>
      <w:r>
        <w:rPr>
          <w:rFonts w:ascii="Times New Roman"/>
          <w:color w:val="auto"/>
          <w:sz w:val="24"/>
          <w:highlight w:val="none"/>
        </w:rPr>
        <w:t>号）</w:t>
      </w:r>
    </w:p>
    <w:p w14:paraId="043D11C1">
      <w:pPr>
        <w:pStyle w:val="33"/>
        <w:ind w:firstLine="480"/>
        <w:jc w:val="left"/>
        <w:rPr>
          <w:rFonts w:ascii="Times New Roman" w:hAnsi="Times New Roman"/>
          <w:color w:val="auto"/>
          <w:sz w:val="24"/>
          <w:highlight w:val="none"/>
        </w:rPr>
      </w:pPr>
      <w:r>
        <w:rPr>
          <w:rFonts w:ascii="Times New Roman"/>
          <w:color w:val="auto"/>
          <w:sz w:val="24"/>
          <w:highlight w:val="none"/>
        </w:rPr>
        <w:t>《关于国家环境空气质量监测网城市站点位调整相关事项的通知》（总站气字</w:t>
      </w:r>
      <w:r>
        <w:rPr>
          <w:rFonts w:ascii="Times New Roman" w:hAnsi="Times New Roman"/>
          <w:color w:val="auto"/>
          <w:sz w:val="24"/>
          <w:highlight w:val="none"/>
        </w:rPr>
        <w:t>[2017]403</w:t>
      </w:r>
      <w:r>
        <w:rPr>
          <w:rFonts w:ascii="Times New Roman"/>
          <w:color w:val="auto"/>
          <w:sz w:val="24"/>
          <w:highlight w:val="none"/>
        </w:rPr>
        <w:t>号）</w:t>
      </w:r>
    </w:p>
    <w:p w14:paraId="4BC900D9">
      <w:pPr>
        <w:pStyle w:val="33"/>
        <w:ind w:firstLine="480"/>
        <w:jc w:val="left"/>
        <w:rPr>
          <w:rFonts w:ascii="Times New Roman" w:hAnsi="Times New Roman"/>
          <w:color w:val="auto"/>
          <w:sz w:val="24"/>
          <w:highlight w:val="none"/>
        </w:rPr>
      </w:pPr>
      <w:r>
        <w:rPr>
          <w:rFonts w:ascii="Times New Roman"/>
          <w:color w:val="auto"/>
          <w:sz w:val="24"/>
          <w:highlight w:val="none"/>
        </w:rPr>
        <w:t>《环境空气气态污染物（</w:t>
      </w:r>
      <w:r>
        <w:rPr>
          <w:rFonts w:ascii="Times New Roman" w:hAnsi="Times New Roman"/>
          <w:color w:val="auto"/>
          <w:sz w:val="24"/>
          <w:highlight w:val="none"/>
        </w:rPr>
        <w:t>SO2</w:t>
      </w:r>
      <w:r>
        <w:rPr>
          <w:rFonts w:ascii="Times New Roman"/>
          <w:color w:val="auto"/>
          <w:sz w:val="24"/>
          <w:highlight w:val="none"/>
        </w:rPr>
        <w:t>、</w:t>
      </w:r>
      <w:r>
        <w:rPr>
          <w:rFonts w:ascii="Times New Roman" w:hAnsi="Times New Roman"/>
          <w:color w:val="auto"/>
          <w:sz w:val="24"/>
          <w:highlight w:val="none"/>
        </w:rPr>
        <w:t>NO2</w:t>
      </w:r>
      <w:r>
        <w:rPr>
          <w:rFonts w:ascii="Times New Roman"/>
          <w:color w:val="auto"/>
          <w:sz w:val="24"/>
          <w:highlight w:val="none"/>
        </w:rPr>
        <w:t>、</w:t>
      </w:r>
      <w:r>
        <w:rPr>
          <w:rFonts w:ascii="Times New Roman" w:hAnsi="Times New Roman"/>
          <w:color w:val="auto"/>
          <w:sz w:val="24"/>
          <w:highlight w:val="none"/>
        </w:rPr>
        <w:t>O3</w:t>
      </w:r>
      <w:r>
        <w:rPr>
          <w:rFonts w:ascii="Times New Roman"/>
          <w:color w:val="auto"/>
          <w:sz w:val="24"/>
          <w:highlight w:val="none"/>
        </w:rPr>
        <w:t>、</w:t>
      </w:r>
      <w:r>
        <w:rPr>
          <w:rFonts w:ascii="Times New Roman" w:hAnsi="Times New Roman"/>
          <w:color w:val="auto"/>
          <w:sz w:val="24"/>
          <w:highlight w:val="none"/>
        </w:rPr>
        <w:t>CO</w:t>
      </w:r>
      <w:r>
        <w:rPr>
          <w:rFonts w:ascii="Times New Roman"/>
          <w:color w:val="auto"/>
          <w:sz w:val="24"/>
          <w:highlight w:val="none"/>
        </w:rPr>
        <w:t>）连续自动监测系统技术要求及检测方法》（</w:t>
      </w:r>
      <w:r>
        <w:rPr>
          <w:rFonts w:ascii="Times New Roman" w:hAnsi="Times New Roman"/>
          <w:color w:val="auto"/>
          <w:sz w:val="24"/>
          <w:highlight w:val="none"/>
        </w:rPr>
        <w:t>HJ 654-2013</w:t>
      </w:r>
      <w:r>
        <w:rPr>
          <w:rFonts w:ascii="Times New Roman"/>
          <w:color w:val="auto"/>
          <w:sz w:val="24"/>
          <w:highlight w:val="none"/>
        </w:rPr>
        <w:t>）</w:t>
      </w:r>
    </w:p>
    <w:p w14:paraId="6AA29DB4">
      <w:pPr>
        <w:pStyle w:val="33"/>
        <w:ind w:firstLine="480"/>
        <w:jc w:val="left"/>
        <w:rPr>
          <w:rFonts w:ascii="Times New Roman" w:hAnsi="Times New Roman"/>
          <w:color w:val="auto"/>
          <w:sz w:val="24"/>
          <w:highlight w:val="none"/>
        </w:rPr>
      </w:pPr>
      <w:r>
        <w:rPr>
          <w:rFonts w:ascii="Times New Roman"/>
          <w:color w:val="auto"/>
          <w:sz w:val="24"/>
          <w:highlight w:val="none"/>
        </w:rPr>
        <w:t>《环境空气气态污染物（</w:t>
      </w:r>
      <w:r>
        <w:rPr>
          <w:rFonts w:ascii="Times New Roman" w:hAnsi="Times New Roman"/>
          <w:color w:val="auto"/>
          <w:sz w:val="24"/>
          <w:highlight w:val="none"/>
        </w:rPr>
        <w:t>SO2</w:t>
      </w:r>
      <w:r>
        <w:rPr>
          <w:rFonts w:ascii="Times New Roman"/>
          <w:color w:val="auto"/>
          <w:sz w:val="24"/>
          <w:highlight w:val="none"/>
        </w:rPr>
        <w:t>、</w:t>
      </w:r>
      <w:r>
        <w:rPr>
          <w:rFonts w:ascii="Times New Roman" w:hAnsi="Times New Roman"/>
          <w:color w:val="auto"/>
          <w:sz w:val="24"/>
          <w:highlight w:val="none"/>
        </w:rPr>
        <w:t>NO2</w:t>
      </w:r>
      <w:r>
        <w:rPr>
          <w:rFonts w:ascii="Times New Roman"/>
          <w:color w:val="auto"/>
          <w:sz w:val="24"/>
          <w:highlight w:val="none"/>
        </w:rPr>
        <w:t>、</w:t>
      </w:r>
      <w:r>
        <w:rPr>
          <w:rFonts w:ascii="Times New Roman" w:hAnsi="Times New Roman"/>
          <w:color w:val="auto"/>
          <w:sz w:val="24"/>
          <w:highlight w:val="none"/>
        </w:rPr>
        <w:t>O3</w:t>
      </w:r>
      <w:r>
        <w:rPr>
          <w:rFonts w:ascii="Times New Roman"/>
          <w:color w:val="auto"/>
          <w:sz w:val="24"/>
          <w:highlight w:val="none"/>
        </w:rPr>
        <w:t>、</w:t>
      </w:r>
      <w:r>
        <w:rPr>
          <w:rFonts w:ascii="Times New Roman" w:hAnsi="Times New Roman"/>
          <w:color w:val="auto"/>
          <w:sz w:val="24"/>
          <w:highlight w:val="none"/>
        </w:rPr>
        <w:t>CO</w:t>
      </w:r>
      <w:r>
        <w:rPr>
          <w:rFonts w:ascii="Times New Roman"/>
          <w:color w:val="auto"/>
          <w:sz w:val="24"/>
          <w:highlight w:val="none"/>
        </w:rPr>
        <w:t>）连续自动监测系统安装验收技术规范》（</w:t>
      </w:r>
      <w:r>
        <w:rPr>
          <w:rFonts w:ascii="Times New Roman" w:hAnsi="Times New Roman"/>
          <w:color w:val="auto"/>
          <w:sz w:val="24"/>
          <w:highlight w:val="none"/>
        </w:rPr>
        <w:t>HJ 193-2013</w:t>
      </w:r>
      <w:r>
        <w:rPr>
          <w:rFonts w:ascii="Times New Roman"/>
          <w:color w:val="auto"/>
          <w:sz w:val="24"/>
          <w:highlight w:val="none"/>
        </w:rPr>
        <w:t>）</w:t>
      </w:r>
    </w:p>
    <w:p w14:paraId="54857161">
      <w:pPr>
        <w:pStyle w:val="33"/>
        <w:ind w:firstLine="480"/>
        <w:jc w:val="left"/>
        <w:rPr>
          <w:rFonts w:ascii="Times New Roman" w:hAnsi="Times New Roman"/>
          <w:color w:val="auto"/>
          <w:sz w:val="24"/>
          <w:highlight w:val="none"/>
        </w:rPr>
      </w:pPr>
      <w:r>
        <w:rPr>
          <w:rFonts w:ascii="Times New Roman"/>
          <w:color w:val="auto"/>
          <w:sz w:val="24"/>
          <w:highlight w:val="none"/>
        </w:rPr>
        <w:t>《环境空气颗粒物（</w:t>
      </w:r>
      <w:r>
        <w:rPr>
          <w:rFonts w:ascii="Times New Roman" w:hAnsi="Times New Roman"/>
          <w:color w:val="auto"/>
          <w:sz w:val="24"/>
          <w:highlight w:val="none"/>
        </w:rPr>
        <w:t>PM10</w:t>
      </w:r>
      <w:r>
        <w:rPr>
          <w:rFonts w:ascii="Times New Roman"/>
          <w:color w:val="auto"/>
          <w:sz w:val="24"/>
          <w:highlight w:val="none"/>
        </w:rPr>
        <w:t>和</w:t>
      </w:r>
      <w:r>
        <w:rPr>
          <w:rFonts w:ascii="Times New Roman" w:hAnsi="Times New Roman"/>
          <w:color w:val="auto"/>
          <w:sz w:val="24"/>
          <w:highlight w:val="none"/>
        </w:rPr>
        <w:t>PM2.5</w:t>
      </w:r>
      <w:r>
        <w:rPr>
          <w:rFonts w:ascii="Times New Roman"/>
          <w:color w:val="auto"/>
          <w:sz w:val="24"/>
          <w:highlight w:val="none"/>
        </w:rPr>
        <w:t>）连续自动监测系统技术要求及检测方法》（</w:t>
      </w:r>
      <w:r>
        <w:rPr>
          <w:rFonts w:ascii="Times New Roman" w:hAnsi="Times New Roman"/>
          <w:color w:val="auto"/>
          <w:sz w:val="24"/>
          <w:highlight w:val="none"/>
        </w:rPr>
        <w:t>HJ 653-2013</w:t>
      </w:r>
      <w:r>
        <w:rPr>
          <w:rFonts w:ascii="Times New Roman"/>
          <w:color w:val="auto"/>
          <w:sz w:val="24"/>
          <w:highlight w:val="none"/>
        </w:rPr>
        <w:t>）</w:t>
      </w:r>
    </w:p>
    <w:p w14:paraId="48B2692C">
      <w:pPr>
        <w:pStyle w:val="33"/>
        <w:ind w:firstLine="480"/>
        <w:jc w:val="left"/>
        <w:rPr>
          <w:rFonts w:ascii="Times New Roman" w:hAnsi="Times New Roman"/>
          <w:color w:val="auto"/>
          <w:sz w:val="24"/>
          <w:highlight w:val="none"/>
        </w:rPr>
      </w:pPr>
      <w:r>
        <w:rPr>
          <w:rFonts w:ascii="Times New Roman"/>
          <w:color w:val="auto"/>
          <w:sz w:val="24"/>
          <w:highlight w:val="none"/>
        </w:rPr>
        <w:t>《环境空气颗粒物（</w:t>
      </w:r>
      <w:r>
        <w:rPr>
          <w:rFonts w:ascii="Times New Roman" w:hAnsi="Times New Roman"/>
          <w:color w:val="auto"/>
          <w:sz w:val="24"/>
          <w:highlight w:val="none"/>
        </w:rPr>
        <w:t>PM10</w:t>
      </w:r>
      <w:r>
        <w:rPr>
          <w:rFonts w:ascii="Times New Roman"/>
          <w:color w:val="auto"/>
          <w:sz w:val="24"/>
          <w:highlight w:val="none"/>
        </w:rPr>
        <w:t>和</w:t>
      </w:r>
      <w:r>
        <w:rPr>
          <w:rFonts w:ascii="Times New Roman" w:hAnsi="Times New Roman"/>
          <w:color w:val="auto"/>
          <w:sz w:val="24"/>
          <w:highlight w:val="none"/>
        </w:rPr>
        <w:t>PM2.5</w:t>
      </w:r>
      <w:r>
        <w:rPr>
          <w:rFonts w:ascii="Times New Roman"/>
          <w:color w:val="auto"/>
          <w:sz w:val="24"/>
          <w:highlight w:val="none"/>
        </w:rPr>
        <w:t>）连续自动监测系统安装和验收技术规范》（</w:t>
      </w:r>
      <w:r>
        <w:rPr>
          <w:rFonts w:ascii="Times New Roman" w:hAnsi="Times New Roman"/>
          <w:color w:val="auto"/>
          <w:sz w:val="24"/>
          <w:highlight w:val="none"/>
        </w:rPr>
        <w:t>HJ 655-2013</w:t>
      </w:r>
      <w:r>
        <w:rPr>
          <w:rFonts w:ascii="Times New Roman"/>
          <w:color w:val="auto"/>
          <w:sz w:val="24"/>
          <w:highlight w:val="none"/>
        </w:rPr>
        <w:t>）</w:t>
      </w:r>
    </w:p>
    <w:p w14:paraId="7915FBC4">
      <w:pPr>
        <w:pStyle w:val="33"/>
        <w:ind w:firstLine="480"/>
        <w:jc w:val="left"/>
        <w:rPr>
          <w:rFonts w:ascii="Times New Roman" w:hAnsi="Times New Roman"/>
          <w:color w:val="auto"/>
          <w:sz w:val="24"/>
          <w:highlight w:val="none"/>
        </w:rPr>
      </w:pPr>
      <w:r>
        <w:rPr>
          <w:rFonts w:ascii="Times New Roman"/>
          <w:color w:val="auto"/>
          <w:sz w:val="24"/>
          <w:highlight w:val="none"/>
        </w:rPr>
        <w:t>《国家环境空气质量监测网城市站自动监测仪器关键技术参数管理规定（试行）》</w:t>
      </w:r>
    </w:p>
    <w:p w14:paraId="0B6EEA26">
      <w:pPr>
        <w:pStyle w:val="33"/>
        <w:ind w:firstLine="480"/>
        <w:jc w:val="left"/>
        <w:rPr>
          <w:rFonts w:ascii="Times New Roman" w:hAnsi="Times New Roman"/>
          <w:color w:val="auto"/>
          <w:sz w:val="24"/>
          <w:highlight w:val="none"/>
        </w:rPr>
      </w:pPr>
      <w:r>
        <w:rPr>
          <w:rFonts w:ascii="Times New Roman"/>
          <w:color w:val="auto"/>
          <w:sz w:val="24"/>
          <w:highlight w:val="none"/>
        </w:rPr>
        <w:t>《环境空气自动监测标准传递管理规定（试行）》</w:t>
      </w:r>
    </w:p>
    <w:p w14:paraId="476A3F22">
      <w:pPr>
        <w:pStyle w:val="33"/>
        <w:ind w:firstLine="480"/>
        <w:jc w:val="left"/>
        <w:rPr>
          <w:rFonts w:ascii="Times New Roman" w:hAnsi="Times New Roman"/>
          <w:color w:val="auto"/>
          <w:sz w:val="24"/>
          <w:highlight w:val="none"/>
        </w:rPr>
      </w:pPr>
      <w:r>
        <w:rPr>
          <w:rFonts w:ascii="Times New Roman"/>
          <w:color w:val="auto"/>
          <w:sz w:val="24"/>
          <w:highlight w:val="none"/>
        </w:rPr>
        <w:t>《国家环境监测网环境空气自动监测质量管理办法（试行）》的通知（总站质管字</w:t>
      </w:r>
      <w:r>
        <w:rPr>
          <w:rFonts w:ascii="Times New Roman" w:hAnsi="Times New Roman"/>
          <w:color w:val="auto"/>
          <w:sz w:val="24"/>
          <w:highlight w:val="none"/>
        </w:rPr>
        <w:t>[2014]227</w:t>
      </w:r>
      <w:r>
        <w:rPr>
          <w:rFonts w:ascii="Times New Roman"/>
          <w:color w:val="auto"/>
          <w:sz w:val="24"/>
          <w:highlight w:val="none"/>
        </w:rPr>
        <w:t>号）</w:t>
      </w:r>
    </w:p>
    <w:p w14:paraId="78AD9679">
      <w:pPr>
        <w:pStyle w:val="33"/>
        <w:ind w:firstLine="480"/>
        <w:jc w:val="left"/>
        <w:rPr>
          <w:rFonts w:ascii="Times New Roman" w:hAnsi="Times New Roman"/>
          <w:color w:val="auto"/>
          <w:sz w:val="24"/>
          <w:highlight w:val="none"/>
        </w:rPr>
      </w:pPr>
      <w:r>
        <w:rPr>
          <w:rFonts w:ascii="Times New Roman"/>
          <w:color w:val="auto"/>
          <w:sz w:val="24"/>
          <w:highlight w:val="none"/>
        </w:rPr>
        <w:t>《环境空气质量手工监测技术规范》</w:t>
      </w:r>
      <w:r>
        <w:rPr>
          <w:rFonts w:ascii="Times New Roman" w:hAnsi="Times New Roman"/>
          <w:color w:val="auto"/>
          <w:sz w:val="24"/>
          <w:highlight w:val="none"/>
        </w:rPr>
        <w:t>(HJ194-2005)</w:t>
      </w:r>
    </w:p>
    <w:p w14:paraId="0AE75A17">
      <w:pPr>
        <w:pStyle w:val="33"/>
        <w:ind w:firstLine="480"/>
        <w:jc w:val="left"/>
        <w:rPr>
          <w:rFonts w:ascii="Times New Roman" w:hAnsi="Times New Roman"/>
          <w:color w:val="auto"/>
          <w:sz w:val="24"/>
          <w:highlight w:val="none"/>
        </w:rPr>
      </w:pPr>
      <w:r>
        <w:rPr>
          <w:rFonts w:ascii="Times New Roman"/>
          <w:color w:val="auto"/>
          <w:sz w:val="24"/>
          <w:highlight w:val="none"/>
        </w:rPr>
        <w:t>《环境空气质量自动监测技术规范》（</w:t>
      </w:r>
      <w:r>
        <w:rPr>
          <w:rFonts w:ascii="Times New Roman" w:hAnsi="Times New Roman"/>
          <w:color w:val="auto"/>
          <w:sz w:val="24"/>
          <w:highlight w:val="none"/>
        </w:rPr>
        <w:t>HJ/T 193-2005</w:t>
      </w:r>
      <w:r>
        <w:rPr>
          <w:rFonts w:ascii="Times New Roman"/>
          <w:color w:val="auto"/>
          <w:sz w:val="24"/>
          <w:highlight w:val="none"/>
        </w:rPr>
        <w:t>）</w:t>
      </w:r>
      <w:r>
        <w:rPr>
          <w:rFonts w:ascii="Times New Roman" w:hAnsi="Times New Roman"/>
          <w:color w:val="auto"/>
          <w:sz w:val="24"/>
          <w:highlight w:val="none"/>
        </w:rPr>
        <w:t xml:space="preserve"> </w:t>
      </w:r>
    </w:p>
    <w:p w14:paraId="154D0663">
      <w:pPr>
        <w:pStyle w:val="33"/>
        <w:ind w:firstLine="480"/>
        <w:jc w:val="left"/>
        <w:rPr>
          <w:rFonts w:ascii="Times New Roman" w:hAnsi="Times New Roman"/>
          <w:color w:val="auto"/>
          <w:sz w:val="24"/>
          <w:highlight w:val="none"/>
        </w:rPr>
      </w:pPr>
      <w:r>
        <w:rPr>
          <w:rFonts w:ascii="Times New Roman"/>
          <w:color w:val="auto"/>
          <w:sz w:val="24"/>
          <w:highlight w:val="none"/>
        </w:rPr>
        <w:t>《国家环境监测网环境环境空气颗粒物（</w:t>
      </w:r>
      <w:r>
        <w:rPr>
          <w:rFonts w:ascii="Times New Roman" w:hAnsi="Times New Roman"/>
          <w:color w:val="auto"/>
          <w:sz w:val="24"/>
          <w:highlight w:val="none"/>
        </w:rPr>
        <w:t>PM10</w:t>
      </w:r>
      <w:r>
        <w:rPr>
          <w:rFonts w:ascii="Times New Roman"/>
          <w:color w:val="auto"/>
          <w:sz w:val="24"/>
          <w:highlight w:val="none"/>
        </w:rPr>
        <w:t>、</w:t>
      </w:r>
      <w:r>
        <w:rPr>
          <w:rFonts w:ascii="Times New Roman" w:hAnsi="Times New Roman"/>
          <w:color w:val="auto"/>
          <w:sz w:val="24"/>
          <w:highlight w:val="none"/>
        </w:rPr>
        <w:t>PM2.5</w:t>
      </w:r>
      <w:r>
        <w:rPr>
          <w:rFonts w:ascii="Times New Roman"/>
          <w:color w:val="auto"/>
          <w:sz w:val="24"/>
          <w:highlight w:val="none"/>
        </w:rPr>
        <w:t>）自动监测手工比对核查技术规定（试行）》</w:t>
      </w:r>
    </w:p>
    <w:p w14:paraId="38792062">
      <w:pPr>
        <w:pStyle w:val="33"/>
        <w:ind w:firstLine="480"/>
        <w:jc w:val="left"/>
        <w:rPr>
          <w:rFonts w:ascii="Times New Roman" w:hAnsi="Times New Roman"/>
          <w:color w:val="auto"/>
          <w:sz w:val="24"/>
          <w:highlight w:val="none"/>
        </w:rPr>
      </w:pPr>
      <w:r>
        <w:rPr>
          <w:rFonts w:ascii="Times New Roman"/>
          <w:color w:val="auto"/>
          <w:sz w:val="24"/>
          <w:highlight w:val="none"/>
        </w:rPr>
        <w:t>《环境空气气态污染物（</w:t>
      </w:r>
      <w:r>
        <w:rPr>
          <w:rFonts w:ascii="Times New Roman" w:hAnsi="Times New Roman"/>
          <w:color w:val="auto"/>
          <w:sz w:val="24"/>
          <w:highlight w:val="none"/>
        </w:rPr>
        <w:t>SO2</w:t>
      </w:r>
      <w:r>
        <w:rPr>
          <w:rFonts w:ascii="Times New Roman"/>
          <w:color w:val="auto"/>
          <w:sz w:val="24"/>
          <w:highlight w:val="none"/>
        </w:rPr>
        <w:t>、</w:t>
      </w:r>
      <w:r>
        <w:rPr>
          <w:rFonts w:ascii="Times New Roman" w:hAnsi="Times New Roman"/>
          <w:color w:val="auto"/>
          <w:sz w:val="24"/>
          <w:highlight w:val="none"/>
        </w:rPr>
        <w:t>NO2</w:t>
      </w:r>
      <w:r>
        <w:rPr>
          <w:rFonts w:ascii="Times New Roman"/>
          <w:color w:val="auto"/>
          <w:sz w:val="24"/>
          <w:highlight w:val="none"/>
        </w:rPr>
        <w:t>、</w:t>
      </w:r>
      <w:r>
        <w:rPr>
          <w:rFonts w:ascii="Times New Roman" w:hAnsi="Times New Roman"/>
          <w:color w:val="auto"/>
          <w:sz w:val="24"/>
          <w:highlight w:val="none"/>
        </w:rPr>
        <w:t>O3</w:t>
      </w:r>
      <w:r>
        <w:rPr>
          <w:rFonts w:ascii="Times New Roman"/>
          <w:color w:val="auto"/>
          <w:sz w:val="24"/>
          <w:highlight w:val="none"/>
        </w:rPr>
        <w:t>、</w:t>
      </w:r>
      <w:r>
        <w:rPr>
          <w:rFonts w:ascii="Times New Roman" w:hAnsi="Times New Roman"/>
          <w:color w:val="auto"/>
          <w:sz w:val="24"/>
          <w:highlight w:val="none"/>
        </w:rPr>
        <w:t>CO</w:t>
      </w:r>
      <w:r>
        <w:rPr>
          <w:rFonts w:ascii="Times New Roman"/>
          <w:color w:val="auto"/>
          <w:sz w:val="24"/>
          <w:highlight w:val="none"/>
        </w:rPr>
        <w:t>）连续自动监测系统运行与质控技术规范》（</w:t>
      </w:r>
      <w:r>
        <w:rPr>
          <w:rFonts w:ascii="Times New Roman" w:hAnsi="Times New Roman"/>
          <w:color w:val="auto"/>
          <w:sz w:val="24"/>
          <w:highlight w:val="none"/>
        </w:rPr>
        <w:t>HJ 818-2018</w:t>
      </w:r>
      <w:r>
        <w:rPr>
          <w:rFonts w:ascii="Times New Roman"/>
          <w:color w:val="auto"/>
          <w:sz w:val="24"/>
          <w:highlight w:val="none"/>
        </w:rPr>
        <w:t>）</w:t>
      </w:r>
    </w:p>
    <w:p w14:paraId="2A7AE166">
      <w:pPr>
        <w:pStyle w:val="33"/>
        <w:ind w:firstLine="480"/>
        <w:jc w:val="left"/>
        <w:rPr>
          <w:rFonts w:ascii="Times New Roman" w:hAnsi="Times New Roman"/>
          <w:color w:val="auto"/>
          <w:sz w:val="24"/>
          <w:highlight w:val="none"/>
        </w:rPr>
      </w:pPr>
      <w:r>
        <w:rPr>
          <w:rFonts w:ascii="Times New Roman"/>
          <w:color w:val="auto"/>
          <w:sz w:val="24"/>
          <w:highlight w:val="none"/>
        </w:rPr>
        <w:t>《环境空气颗粒物（</w:t>
      </w:r>
      <w:r>
        <w:rPr>
          <w:rFonts w:ascii="Times New Roman" w:hAnsi="Times New Roman"/>
          <w:color w:val="auto"/>
          <w:sz w:val="24"/>
          <w:highlight w:val="none"/>
        </w:rPr>
        <w:t>PM10</w:t>
      </w:r>
      <w:r>
        <w:rPr>
          <w:rFonts w:ascii="Times New Roman"/>
          <w:color w:val="auto"/>
          <w:sz w:val="24"/>
          <w:highlight w:val="none"/>
        </w:rPr>
        <w:t>和</w:t>
      </w:r>
      <w:r>
        <w:rPr>
          <w:rFonts w:ascii="Times New Roman" w:hAnsi="Times New Roman"/>
          <w:color w:val="auto"/>
          <w:sz w:val="24"/>
          <w:highlight w:val="none"/>
        </w:rPr>
        <w:t>PM2.5</w:t>
      </w:r>
      <w:r>
        <w:rPr>
          <w:rFonts w:ascii="Times New Roman"/>
          <w:color w:val="auto"/>
          <w:sz w:val="24"/>
          <w:highlight w:val="none"/>
        </w:rPr>
        <w:t>）连续自动监测系统运行和质控技术规范》（</w:t>
      </w:r>
      <w:r>
        <w:rPr>
          <w:rFonts w:ascii="Times New Roman" w:hAnsi="Times New Roman"/>
          <w:color w:val="auto"/>
          <w:sz w:val="24"/>
          <w:highlight w:val="none"/>
        </w:rPr>
        <w:t>HJ 817-2018</w:t>
      </w:r>
      <w:r>
        <w:rPr>
          <w:rFonts w:ascii="Times New Roman"/>
          <w:color w:val="auto"/>
          <w:sz w:val="24"/>
          <w:highlight w:val="none"/>
        </w:rPr>
        <w:t>）</w:t>
      </w:r>
    </w:p>
    <w:p w14:paraId="3BC1BA36">
      <w:pPr>
        <w:pStyle w:val="33"/>
        <w:ind w:firstLine="482"/>
        <w:jc w:val="left"/>
        <w:rPr>
          <w:rFonts w:ascii="Times New Roman" w:hAnsi="Times New Roman"/>
          <w:b/>
          <w:color w:val="auto"/>
          <w:sz w:val="24"/>
          <w:highlight w:val="none"/>
        </w:rPr>
      </w:pPr>
      <w:r>
        <w:rPr>
          <w:rFonts w:ascii="Times New Roman" w:hAnsi="Times New Roman"/>
          <w:b/>
          <w:color w:val="auto"/>
          <w:sz w:val="24"/>
          <w:highlight w:val="none"/>
        </w:rPr>
        <w:t>10</w:t>
      </w:r>
      <w:r>
        <w:rPr>
          <w:rFonts w:ascii="Times New Roman"/>
          <w:b/>
          <w:color w:val="auto"/>
          <w:sz w:val="24"/>
          <w:highlight w:val="none"/>
        </w:rPr>
        <w:t>、视频监控设备维护与平台联网</w:t>
      </w:r>
    </w:p>
    <w:p w14:paraId="700429A3">
      <w:pPr>
        <w:pStyle w:val="33"/>
        <w:ind w:firstLine="480"/>
        <w:jc w:val="left"/>
        <w:rPr>
          <w:rFonts w:ascii="Times New Roman" w:hAnsi="Times New Roman"/>
          <w:color w:val="auto"/>
          <w:sz w:val="24"/>
          <w:highlight w:val="none"/>
        </w:rPr>
      </w:pPr>
      <w:r>
        <w:rPr>
          <w:rFonts w:ascii="Times New Roman"/>
          <w:color w:val="auto"/>
          <w:sz w:val="24"/>
          <w:highlight w:val="none"/>
        </w:rPr>
        <w:t>成交供应商须做好站点视频监控设备的维护保养，主动配合视频监控信息联网上传，确保真实有效的监控视频信息在环境质量自动监控平台上实时反馈。</w:t>
      </w:r>
    </w:p>
    <w:p w14:paraId="740AABEE">
      <w:pPr>
        <w:tabs>
          <w:tab w:val="left" w:pos="2550"/>
        </w:tabs>
        <w:spacing w:line="360" w:lineRule="auto"/>
        <w:ind w:firstLine="482" w:firstLineChars="200"/>
        <w:jc w:val="left"/>
        <w:rPr>
          <w:b/>
          <w:color w:val="auto"/>
          <w:sz w:val="24"/>
          <w:highlight w:val="none"/>
        </w:rPr>
      </w:pPr>
      <w:r>
        <w:rPr>
          <w:rFonts w:hint="eastAsia"/>
          <w:b/>
          <w:color w:val="auto"/>
          <w:sz w:val="24"/>
          <w:highlight w:val="none"/>
        </w:rPr>
        <w:t>五</w:t>
      </w:r>
      <w:r>
        <w:rPr>
          <w:rFonts w:hAnsi="宋体"/>
          <w:b/>
          <w:color w:val="auto"/>
          <w:sz w:val="24"/>
          <w:highlight w:val="none"/>
        </w:rPr>
        <w:t>、监督管理与考核办法</w:t>
      </w:r>
    </w:p>
    <w:p w14:paraId="31F51C39">
      <w:pPr>
        <w:widowControl/>
        <w:spacing w:line="360" w:lineRule="auto"/>
        <w:ind w:firstLine="480" w:firstLineChars="200"/>
        <w:jc w:val="left"/>
        <w:rPr>
          <w:color w:val="auto"/>
          <w:kern w:val="0"/>
          <w:sz w:val="24"/>
          <w:highlight w:val="none"/>
        </w:rPr>
      </w:pPr>
      <w:r>
        <w:rPr>
          <w:color w:val="auto"/>
          <w:kern w:val="0"/>
          <w:sz w:val="24"/>
          <w:highlight w:val="none"/>
        </w:rPr>
        <w:t>1</w:t>
      </w:r>
      <w:r>
        <w:rPr>
          <w:rFonts w:hAnsi="宋体"/>
          <w:color w:val="auto"/>
          <w:kern w:val="0"/>
          <w:sz w:val="24"/>
          <w:highlight w:val="none"/>
        </w:rPr>
        <w:t>、监督管理</w:t>
      </w:r>
    </w:p>
    <w:p w14:paraId="3BCB0A4A">
      <w:pPr>
        <w:widowControl/>
        <w:spacing w:line="360" w:lineRule="auto"/>
        <w:ind w:firstLine="480" w:firstLineChars="200"/>
        <w:jc w:val="left"/>
        <w:rPr>
          <w:color w:val="auto"/>
          <w:kern w:val="0"/>
          <w:sz w:val="24"/>
          <w:highlight w:val="none"/>
        </w:rPr>
      </w:pPr>
      <w:r>
        <w:rPr>
          <w:rFonts w:hint="eastAsia" w:hAnsi="宋体"/>
          <w:color w:val="auto"/>
          <w:kern w:val="0"/>
          <w:sz w:val="24"/>
          <w:highlight w:val="none"/>
        </w:rPr>
        <w:t>（1）</w:t>
      </w:r>
      <w:r>
        <w:rPr>
          <w:rFonts w:hAnsi="宋体"/>
          <w:color w:val="auto"/>
          <w:kern w:val="0"/>
          <w:sz w:val="24"/>
          <w:highlight w:val="none"/>
        </w:rPr>
        <w:t>数据必须真实有效，响应供应商须确保在项目实施过程中没有弄虚作假行为。否则，采购人有权终止合同。</w:t>
      </w:r>
    </w:p>
    <w:p w14:paraId="31094E4E">
      <w:pPr>
        <w:widowControl/>
        <w:spacing w:line="360" w:lineRule="auto"/>
        <w:ind w:firstLine="480" w:firstLineChars="200"/>
        <w:jc w:val="left"/>
        <w:rPr>
          <w:color w:val="auto"/>
          <w:kern w:val="0"/>
          <w:sz w:val="24"/>
          <w:highlight w:val="none"/>
        </w:rPr>
      </w:pPr>
      <w:r>
        <w:rPr>
          <w:rFonts w:hint="eastAsia" w:hAnsi="宋体"/>
          <w:color w:val="auto"/>
          <w:kern w:val="0"/>
          <w:sz w:val="24"/>
          <w:highlight w:val="none"/>
        </w:rPr>
        <w:t>（2）</w:t>
      </w:r>
      <w:r>
        <w:rPr>
          <w:rFonts w:hAnsi="宋体"/>
          <w:color w:val="auto"/>
          <w:kern w:val="0"/>
          <w:sz w:val="24"/>
          <w:highlight w:val="none"/>
        </w:rPr>
        <w:t>响应供应商应承担监测数据的保密责任，不得利用本项目的数据、档案或有关资料对外开展技术交流、业务联系、数据交换等。否则，采购人有权终止合同。</w:t>
      </w:r>
    </w:p>
    <w:p w14:paraId="2A85ACD8">
      <w:pPr>
        <w:widowControl/>
        <w:spacing w:line="360" w:lineRule="auto"/>
        <w:ind w:firstLine="480" w:firstLineChars="200"/>
        <w:jc w:val="left"/>
        <w:rPr>
          <w:color w:val="auto"/>
          <w:kern w:val="0"/>
          <w:sz w:val="24"/>
          <w:highlight w:val="none"/>
        </w:rPr>
      </w:pPr>
      <w:r>
        <w:rPr>
          <w:rFonts w:hint="eastAsia" w:hAnsi="宋体"/>
          <w:color w:val="auto"/>
          <w:kern w:val="0"/>
          <w:sz w:val="24"/>
          <w:highlight w:val="none"/>
        </w:rPr>
        <w:t>（3）</w:t>
      </w:r>
      <w:r>
        <w:rPr>
          <w:rFonts w:hAnsi="宋体"/>
          <w:color w:val="auto"/>
          <w:kern w:val="0"/>
          <w:sz w:val="24"/>
          <w:highlight w:val="none"/>
        </w:rPr>
        <w:t>运维期间出现调整数据、修改参数、改动设备、质控结果与平台采集结果不一致、弄虚作假等违规行为的，一经查实采购人有权终止合同并按已支付费用的双倍进行经济处罚。</w:t>
      </w:r>
    </w:p>
    <w:p w14:paraId="7D4BC212">
      <w:pPr>
        <w:widowControl/>
        <w:spacing w:line="360" w:lineRule="auto"/>
        <w:ind w:firstLine="480" w:firstLineChars="200"/>
        <w:jc w:val="left"/>
        <w:rPr>
          <w:rFonts w:hAnsi="宋体"/>
          <w:color w:val="auto"/>
          <w:kern w:val="0"/>
          <w:sz w:val="24"/>
          <w:highlight w:val="none"/>
        </w:rPr>
      </w:pPr>
      <w:r>
        <w:rPr>
          <w:rFonts w:hint="eastAsia" w:hAnsi="宋体"/>
          <w:color w:val="auto"/>
          <w:kern w:val="0"/>
          <w:sz w:val="24"/>
          <w:highlight w:val="none"/>
        </w:rPr>
        <w:t>（4）</w:t>
      </w:r>
      <w:r>
        <w:rPr>
          <w:rFonts w:hAnsi="宋体"/>
          <w:color w:val="auto"/>
          <w:kern w:val="0"/>
          <w:sz w:val="24"/>
          <w:highlight w:val="none"/>
        </w:rPr>
        <w:t>如果中标方运维人员或队伍发生重大变更，无法按质开展运维工作，或者发生重大责任事故的，采购人有权提前终止合同。</w:t>
      </w:r>
    </w:p>
    <w:p w14:paraId="53CB3A4C">
      <w:pPr>
        <w:widowControl/>
        <w:spacing w:line="360" w:lineRule="auto"/>
        <w:ind w:firstLine="480" w:firstLineChars="200"/>
        <w:jc w:val="left"/>
        <w:rPr>
          <w:color w:val="auto"/>
          <w:kern w:val="0"/>
          <w:sz w:val="24"/>
          <w:highlight w:val="none"/>
        </w:rPr>
      </w:pPr>
      <w:r>
        <w:rPr>
          <w:rFonts w:hint="eastAsia"/>
          <w:color w:val="auto"/>
          <w:kern w:val="0"/>
          <w:sz w:val="24"/>
          <w:highlight w:val="none"/>
        </w:rPr>
        <w:t>（5）违反国家及省级运行维护管理办法的，一经查实采购人有权终止运维合同。</w:t>
      </w:r>
    </w:p>
    <w:p w14:paraId="4B5229FD">
      <w:pPr>
        <w:widowControl/>
        <w:spacing w:line="360" w:lineRule="auto"/>
        <w:ind w:firstLine="480" w:firstLineChars="200"/>
        <w:jc w:val="left"/>
        <w:rPr>
          <w:color w:val="auto"/>
          <w:kern w:val="0"/>
          <w:sz w:val="24"/>
          <w:highlight w:val="none"/>
        </w:rPr>
      </w:pPr>
      <w:r>
        <w:rPr>
          <w:rFonts w:hint="eastAsia"/>
          <w:color w:val="auto"/>
          <w:kern w:val="0"/>
          <w:sz w:val="24"/>
          <w:highlight w:val="none"/>
        </w:rPr>
        <w:t>（6）合同解除后对空气自动站进行资产后评估，若达不到要求，新的托管方在修复并达到考核要求时，所需费用由原成交供应商承担。</w:t>
      </w:r>
    </w:p>
    <w:p w14:paraId="46EB3FE0">
      <w:pPr>
        <w:widowControl/>
        <w:spacing w:line="360" w:lineRule="auto"/>
        <w:ind w:firstLine="480" w:firstLineChars="200"/>
        <w:jc w:val="left"/>
        <w:rPr>
          <w:color w:val="auto"/>
          <w:kern w:val="0"/>
          <w:sz w:val="24"/>
          <w:highlight w:val="none"/>
        </w:rPr>
      </w:pPr>
      <w:r>
        <w:rPr>
          <w:color w:val="auto"/>
          <w:kern w:val="0"/>
          <w:sz w:val="24"/>
          <w:highlight w:val="none"/>
        </w:rPr>
        <w:t>2</w:t>
      </w:r>
      <w:r>
        <w:rPr>
          <w:rFonts w:hAnsi="宋体"/>
          <w:color w:val="auto"/>
          <w:kern w:val="0"/>
          <w:sz w:val="24"/>
          <w:highlight w:val="none"/>
        </w:rPr>
        <w:t>、考核办法</w:t>
      </w:r>
    </w:p>
    <w:p w14:paraId="4CF6FCAF">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考核采取百分制、单站考核的方式进行，主要包括设备运行率、数据有效率(以下简称两率)、自动站运行维护，其中两率考核占50%，运行维护考核占50%。考核总分=两率得分×50%+运行维护得分×50%。</w:t>
      </w:r>
    </w:p>
    <w:p w14:paraId="17DBAE02">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当所有设备运行率高于（含）90%时，才能按照以下条款对数据有效率进行考核，否则两率部分直接0分。</w:t>
      </w:r>
    </w:p>
    <w:p w14:paraId="797591C4">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A两率部分（50%）</w:t>
      </w:r>
    </w:p>
    <w:p w14:paraId="7DF231E7">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①当单站点考核周期内月监测数据有效率高于95%(含)的，两率得分=100；</w:t>
      </w:r>
    </w:p>
    <w:p w14:paraId="4733FC14">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②当单站点考核周期内月监测数据有效率在90%(含)-95%的，两率得分=实际有效率×100；</w:t>
      </w:r>
    </w:p>
    <w:p w14:paraId="1A8D1CC0">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③当单站点考核周期内月监测数据有效率在80%(含)-90%的，两率得分=实际有效率×90%×100。</w:t>
      </w:r>
    </w:p>
    <w:p w14:paraId="42B5F1F8">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设备运行率是指考核时段内各监测项目实际获取的小时值监测数据量总和除以应获得小时值数据量总和。</w:t>
      </w:r>
    </w:p>
    <w:p w14:paraId="4705E6F3">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数据有效率是指考核时段内各监测项目实际获取的质控合格的小时值监测数据量总和除以应获得小时值数据量总和。</w:t>
      </w:r>
    </w:p>
    <w:p w14:paraId="33751CE9">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每日各项目应获得小时值数据量均按24个计，考核时段天数按考核时段内日历天数计。 计算应获得小时值数据量时，应扣除因不可抗力造成的停止监测的小时数。</w:t>
      </w:r>
    </w:p>
    <w:p w14:paraId="21E8A9BE">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B运行维护部分(50%)</w:t>
      </w:r>
    </w:p>
    <w:p w14:paraId="5E4BC6B5">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运行维护部分由采购人组织对运维单位运维情况进行考核，考核内容包括日常运维操作、质量保证与控制、现场测试、档案和管理等4部分，满分100分，采用扣分制。</w:t>
      </w:r>
    </w:p>
    <w:p w14:paraId="3D141602">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经采购人认定，投标人存在下列情形的，将根据相应规定进行扣款：</w:t>
      </w:r>
    </w:p>
    <w:p w14:paraId="6AA09F70">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（1）每月存在以下情形，单个站点累计满4次的，一经查实，扣除该站点运维费5000元。</w:t>
      </w:r>
    </w:p>
    <w:p w14:paraId="64C1C97E">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a. 投标人未按时审核数据或数据错审的；</w:t>
      </w:r>
    </w:p>
    <w:p w14:paraId="7112D4C6">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b. 投标人未按要求进行例行维护、未定期完成耗材更换、仪器校准、核查等现场维护工作的；</w:t>
      </w:r>
    </w:p>
    <w:p w14:paraId="1B92690C">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c. 投标人未及时响应数据或仪器监测结果出现异常情况并未采取有效措施的；</w:t>
      </w:r>
    </w:p>
    <w:p w14:paraId="6104BECE">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d.站点现场未按要求形成运维记录的；</w:t>
      </w:r>
    </w:p>
    <w:p w14:paraId="5FA713A4">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lang w:val="en-US" w:eastAsia="zh-CN"/>
        </w:rPr>
        <w:t>e</w:t>
      </w:r>
      <w:r>
        <w:rPr>
          <w:rFonts w:hint="eastAsia" w:hAnsi="宋体"/>
          <w:color w:val="auto"/>
          <w:kern w:val="0"/>
          <w:sz w:val="24"/>
          <w:highlight w:val="none"/>
        </w:rPr>
        <w:t>.投标人存在其他不符合相关管理技术规范等要求的情形。</w:t>
      </w:r>
    </w:p>
    <w:p w14:paraId="6223658B">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（2）投标人在1个月内未将备机、备件、耗材按要求配置完整，扣除年度总运维费用的1%；</w:t>
      </w:r>
    </w:p>
    <w:p w14:paraId="757CABB3">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（3）投标人未及时发现应当发现的人为干扰情形、或故意隐瞒不报人为干扰情形等的，扣除该站点当月20%的运行服务费；</w:t>
      </w:r>
    </w:p>
    <w:p w14:paraId="712DA035">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（4）仪器设备故障，未在48h内修复或启用备机替换的，每出现1次超期未解决情况扣除当月运维费的10%，扣完为止；</w:t>
      </w:r>
    </w:p>
    <w:p w14:paraId="3F710C48">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w:t>
      </w:r>
      <w:r>
        <w:rPr>
          <w:rFonts w:hint="eastAsia" w:hAnsi="宋体"/>
          <w:color w:val="auto"/>
          <w:kern w:val="0"/>
          <w:sz w:val="24"/>
          <w:highlight w:val="none"/>
          <w:lang w:val="en-US" w:eastAsia="zh-CN"/>
        </w:rPr>
        <w:t>5</w:t>
      </w:r>
      <w:r>
        <w:rPr>
          <w:rFonts w:hint="eastAsia" w:hAnsi="宋体"/>
          <w:color w:val="auto"/>
          <w:kern w:val="0"/>
          <w:sz w:val="24"/>
          <w:highlight w:val="none"/>
        </w:rPr>
        <w:t>）未及时提交月度运维报告，或提交报告内容不符合要求，每次扣款500元。</w:t>
      </w:r>
    </w:p>
    <w:p w14:paraId="749B8D1F">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w:t>
      </w:r>
      <w:r>
        <w:rPr>
          <w:rFonts w:hint="eastAsia" w:hAnsi="宋体"/>
          <w:color w:val="auto"/>
          <w:kern w:val="0"/>
          <w:sz w:val="24"/>
          <w:highlight w:val="none"/>
          <w:lang w:val="en-US" w:eastAsia="zh-CN"/>
        </w:rPr>
        <w:t>6</w:t>
      </w:r>
      <w:r>
        <w:rPr>
          <w:rFonts w:hint="eastAsia" w:hAnsi="宋体"/>
          <w:color w:val="auto"/>
          <w:kern w:val="0"/>
          <w:sz w:val="24"/>
          <w:highlight w:val="none"/>
        </w:rPr>
        <w:t>）运维期间出现调整数据、修改参数、改动设备、质控结果与平台采集结果不一致、弄虚作假等违规行为的，一经查实采购人有权终止合同并按已支付费用的双倍进行经济处罚。</w:t>
      </w:r>
    </w:p>
    <w:p w14:paraId="133CF446">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w:t>
      </w:r>
      <w:r>
        <w:rPr>
          <w:rFonts w:hint="eastAsia" w:hAnsi="宋体"/>
          <w:color w:val="auto"/>
          <w:kern w:val="0"/>
          <w:sz w:val="24"/>
          <w:highlight w:val="none"/>
          <w:lang w:val="en-US" w:eastAsia="zh-CN"/>
        </w:rPr>
        <w:t>7</w:t>
      </w:r>
      <w:r>
        <w:rPr>
          <w:rFonts w:hint="eastAsia" w:hAnsi="宋体"/>
          <w:color w:val="auto"/>
          <w:kern w:val="0"/>
          <w:sz w:val="24"/>
          <w:highlight w:val="none"/>
        </w:rPr>
        <w:t>）存在其他严重违反合同约定或相关规范要求的情形，采购人根据实际情况酌情扣款。</w:t>
      </w:r>
    </w:p>
    <w:p w14:paraId="164237B6">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C考核情况</w:t>
      </w:r>
    </w:p>
    <w:p w14:paraId="52CB785A">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考核总分90（含）分以上的，支付全额运维费；考核总分在80（含）-90分的，运维费=实际考核得分/100*全额运维费；</w:t>
      </w:r>
    </w:p>
    <w:p w14:paraId="7DB44AE0">
      <w:pPr>
        <w:tabs>
          <w:tab w:val="left" w:pos="2280"/>
        </w:tabs>
        <w:spacing w:line="360" w:lineRule="auto"/>
        <w:ind w:right="45" w:firstLine="480" w:firstLineChars="200"/>
        <w:contextualSpacing/>
        <w:rPr>
          <w:rFonts w:hint="eastAsia" w:hAnsi="宋体"/>
          <w:color w:val="auto"/>
          <w:kern w:val="0"/>
          <w:sz w:val="24"/>
          <w:highlight w:val="none"/>
        </w:rPr>
      </w:pPr>
      <w:r>
        <w:rPr>
          <w:rFonts w:hint="eastAsia" w:hAnsi="宋体"/>
          <w:color w:val="auto"/>
          <w:kern w:val="0"/>
          <w:sz w:val="24"/>
          <w:highlight w:val="none"/>
        </w:rPr>
        <w:t>参加省级及以上环境空气自动监测设备质控检查，相关盲样考核不合格或检查出现重大失误，扣除该站点该项目当月运维费。</w:t>
      </w:r>
    </w:p>
    <w:p w14:paraId="4C5DC39C">
      <w:pPr>
        <w:tabs>
          <w:tab w:val="left" w:pos="2280"/>
        </w:tabs>
        <w:spacing w:line="360" w:lineRule="auto"/>
        <w:ind w:right="45" w:firstLine="480" w:firstLineChars="200"/>
        <w:contextualSpacing/>
        <w:rPr>
          <w:color w:val="auto"/>
          <w:sz w:val="24"/>
          <w:highlight w:val="none"/>
        </w:rPr>
      </w:pPr>
      <w:r>
        <w:rPr>
          <w:rFonts w:hint="eastAsia" w:hAnsi="宋体"/>
          <w:color w:val="auto"/>
          <w:sz w:val="24"/>
          <w:highlight w:val="none"/>
          <w:lang w:val="en-US" w:eastAsia="zh-CN"/>
        </w:rPr>
        <w:t>3</w:t>
      </w:r>
      <w:r>
        <w:rPr>
          <w:rFonts w:hAnsi="宋体"/>
          <w:color w:val="auto"/>
          <w:sz w:val="24"/>
          <w:highlight w:val="none"/>
        </w:rPr>
        <w:t>、</w:t>
      </w:r>
      <w:r>
        <w:rPr>
          <w:rFonts w:hint="eastAsia" w:hAnsi="宋体"/>
          <w:color w:val="auto"/>
          <w:sz w:val="24"/>
          <w:highlight w:val="none"/>
        </w:rPr>
        <w:t>付款办法</w:t>
      </w:r>
    </w:p>
    <w:p w14:paraId="0D9D44E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hAnsi="宋体"/>
          <w:color w:val="auto"/>
          <w:sz w:val="24"/>
          <w:highlight w:val="none"/>
        </w:rPr>
      </w:pPr>
      <w:r>
        <w:rPr>
          <w:rFonts w:hint="eastAsia" w:hAnsi="宋体"/>
          <w:color w:val="auto"/>
          <w:sz w:val="24"/>
          <w:highlight w:val="none"/>
        </w:rPr>
        <w:t>付款条件和方式：合同签订后两周内，采购人一次性支付合同额的30%作为项目首付款， 运维半年后根据日常考核情况15个工作日内支付合同额的40%，运维期满后根据日常考核情况15个工作日内支付合同额的30%余款。</w:t>
      </w:r>
    </w:p>
    <w:p w14:paraId="13A5C0A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hAnsi="宋体"/>
          <w:color w:val="auto"/>
          <w:sz w:val="24"/>
          <w:highlight w:val="none"/>
        </w:rPr>
      </w:pPr>
      <w:r>
        <w:rPr>
          <w:rFonts w:hint="eastAsia" w:hAnsi="宋体"/>
          <w:color w:val="auto"/>
          <w:sz w:val="24"/>
          <w:highlight w:val="none"/>
        </w:rPr>
        <w:t>设备运行维护过程中产生的水电、场地租赁、通讯、交通、耗材备件、设备的年检和年度校准、设备的维修和更换（包括空调、风机等附属设备）等一切费用均由中标方承担，采购方不再支付与该项目有关的各类费用；由于运维技术人员操作不当、违反规程等造成的维修费用及外部原因意外丢失和损坏设备的维修或更换费用由中标方承担。</w:t>
      </w:r>
    </w:p>
    <w:p w14:paraId="5C5D261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hAnsi="宋体"/>
          <w:color w:val="auto"/>
          <w:sz w:val="24"/>
          <w:highlight w:val="none"/>
        </w:rPr>
      </w:pPr>
      <w:r>
        <w:rPr>
          <w:rFonts w:hint="eastAsia" w:hAnsi="宋体"/>
          <w:color w:val="auto"/>
          <w:sz w:val="24"/>
          <w:highlight w:val="none"/>
        </w:rPr>
        <w:t>运行维护服务期限：运维服务期为202</w:t>
      </w:r>
      <w:r>
        <w:rPr>
          <w:rFonts w:hint="eastAsia" w:hAnsi="宋体"/>
          <w:color w:val="auto"/>
          <w:sz w:val="24"/>
          <w:highlight w:val="none"/>
          <w:lang w:val="en-US" w:eastAsia="zh-CN"/>
        </w:rPr>
        <w:t>6</w:t>
      </w:r>
      <w:r>
        <w:rPr>
          <w:rFonts w:hint="eastAsia" w:hAnsi="宋体"/>
          <w:color w:val="auto"/>
          <w:sz w:val="24"/>
          <w:highlight w:val="none"/>
        </w:rPr>
        <w:t>年</w:t>
      </w:r>
      <w:r>
        <w:rPr>
          <w:rFonts w:hint="eastAsia" w:hAnsi="宋体"/>
          <w:color w:val="auto"/>
          <w:sz w:val="24"/>
          <w:highlight w:val="none"/>
          <w:lang w:val="en-US" w:eastAsia="zh-CN"/>
        </w:rPr>
        <w:t>5</w:t>
      </w:r>
      <w:r>
        <w:rPr>
          <w:rFonts w:hint="eastAsia" w:hAnsi="宋体"/>
          <w:color w:val="auto"/>
          <w:sz w:val="24"/>
          <w:highlight w:val="none"/>
        </w:rPr>
        <w:t>月至202</w:t>
      </w:r>
      <w:r>
        <w:rPr>
          <w:rFonts w:hint="eastAsia" w:hAnsi="宋体"/>
          <w:color w:val="auto"/>
          <w:sz w:val="24"/>
          <w:highlight w:val="none"/>
          <w:lang w:val="en-US" w:eastAsia="zh-CN"/>
        </w:rPr>
        <w:t>7</w:t>
      </w:r>
      <w:r>
        <w:rPr>
          <w:rFonts w:hint="eastAsia" w:hAnsi="宋体"/>
          <w:color w:val="auto"/>
          <w:sz w:val="24"/>
          <w:highlight w:val="none"/>
        </w:rPr>
        <w:t>年</w:t>
      </w:r>
      <w:r>
        <w:rPr>
          <w:rFonts w:hint="default" w:hAnsi="宋体"/>
          <w:color w:val="auto"/>
          <w:sz w:val="24"/>
          <w:highlight w:val="none"/>
          <w:lang w:eastAsia="zh-CN"/>
        </w:rPr>
        <w:t>5</w:t>
      </w:r>
      <w:r>
        <w:rPr>
          <w:rFonts w:hint="eastAsia" w:hAnsi="宋体"/>
          <w:color w:val="auto"/>
          <w:sz w:val="24"/>
          <w:highlight w:val="none"/>
        </w:rPr>
        <w:t>月</w:t>
      </w:r>
      <w:r>
        <w:rPr>
          <w:rFonts w:hint="eastAsia" w:hAnsi="宋体"/>
          <w:color w:val="auto"/>
          <w:sz w:val="24"/>
          <w:highlight w:val="none"/>
          <w:lang w:eastAsia="zh-CN"/>
        </w:rPr>
        <w:t>，</w:t>
      </w:r>
      <w:r>
        <w:rPr>
          <w:rFonts w:hint="eastAsia" w:hAnsi="宋体"/>
          <w:color w:val="auto"/>
          <w:sz w:val="24"/>
          <w:highlight w:val="none"/>
          <w:lang w:val="en-US" w:eastAsia="zh-CN"/>
        </w:rPr>
        <w:t>具体以合同签订日期为准</w:t>
      </w:r>
      <w:r>
        <w:rPr>
          <w:rFonts w:hint="eastAsia" w:hAnsi="宋体"/>
          <w:color w:val="auto"/>
          <w:sz w:val="24"/>
          <w:highlight w:val="none"/>
        </w:rPr>
        <w:t>。若因不可控因素导致本次运维服务超过原有运维周期，202</w:t>
      </w:r>
      <w:r>
        <w:rPr>
          <w:rFonts w:hint="eastAsia" w:hAnsi="宋体"/>
          <w:color w:val="auto"/>
          <w:sz w:val="24"/>
          <w:highlight w:val="none"/>
          <w:lang w:val="en-US" w:eastAsia="zh-CN"/>
        </w:rPr>
        <w:t>6</w:t>
      </w:r>
      <w:r>
        <w:rPr>
          <w:rFonts w:hint="eastAsia" w:hAnsi="宋体"/>
          <w:color w:val="auto"/>
          <w:sz w:val="24"/>
          <w:highlight w:val="none"/>
        </w:rPr>
        <w:t>年</w:t>
      </w:r>
      <w:r>
        <w:rPr>
          <w:rFonts w:hint="eastAsia" w:hAnsi="宋体"/>
          <w:color w:val="auto"/>
          <w:sz w:val="24"/>
          <w:highlight w:val="none"/>
          <w:lang w:val="en-US" w:eastAsia="zh-CN"/>
        </w:rPr>
        <w:t>5</w:t>
      </w:r>
      <w:r>
        <w:rPr>
          <w:rFonts w:hint="eastAsia" w:hAnsi="宋体"/>
          <w:color w:val="auto"/>
          <w:sz w:val="24"/>
          <w:highlight w:val="none"/>
        </w:rPr>
        <w:t>月</w:t>
      </w:r>
      <w:r>
        <w:rPr>
          <w:rFonts w:hint="eastAsia" w:hAnsi="宋体"/>
          <w:color w:val="auto"/>
          <w:sz w:val="24"/>
          <w:highlight w:val="none"/>
          <w:lang w:val="en-US" w:eastAsia="zh-CN"/>
        </w:rPr>
        <w:t>11</w:t>
      </w:r>
      <w:r>
        <w:rPr>
          <w:rFonts w:hint="eastAsia" w:hAnsi="宋体"/>
          <w:color w:val="auto"/>
          <w:sz w:val="24"/>
          <w:highlight w:val="none"/>
        </w:rPr>
        <w:t>日至本合同签订之日期间的运维仍由原运维单位负责。成交供应商需承诺，超原有运维周期所产生的运维费用以本次中标价格和实际发生时间计算，由成交供应商支付给原运维单位。</w:t>
      </w:r>
    </w:p>
    <w:p w14:paraId="05070449">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14:paraId="26A62D6C">
      <w:pPr>
        <w:keepNext/>
        <w:keepLines/>
        <w:widowControl w:val="0"/>
        <w:spacing w:before="360" w:after="200" w:line="360" w:lineRule="auto"/>
        <w:ind w:firstLine="0"/>
        <w:jc w:val="center"/>
        <w:outlineLvl w:val="1"/>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第五章  评标方法与评标标准</w:t>
      </w:r>
    </w:p>
    <w:p w14:paraId="78F7B3A4">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本项目评标方法采用综合评分法，评标结果按评审后得分由高到低顺序排</w:t>
      </w:r>
      <w:r>
        <w:rPr>
          <w:rFonts w:hint="eastAsia" w:ascii="宋体" w:hAnsi="宋体" w:eastAsia="宋体" w:cs="宋体"/>
          <w:color w:val="auto"/>
          <w:sz w:val="28"/>
          <w:szCs w:val="28"/>
          <w:highlight w:val="none"/>
        </w:rPr>
        <w:t>列，</w:t>
      </w:r>
      <w:r>
        <w:rPr>
          <w:rFonts w:hint="eastAsia" w:ascii="宋体" w:hAnsi="宋体" w:eastAsia="宋体" w:cs="宋体"/>
          <w:color w:val="auto"/>
          <w:sz w:val="28"/>
          <w:szCs w:val="28"/>
          <w:highlight w:val="none"/>
          <w:lang w:val="en-US" w:eastAsia="zh-CN"/>
        </w:rPr>
        <w:t>推荐</w:t>
      </w:r>
      <w:r>
        <w:rPr>
          <w:rFonts w:hint="eastAsia" w:ascii="宋体" w:hAnsi="宋体" w:eastAsia="宋体" w:cs="宋体"/>
          <w:color w:val="auto"/>
          <w:sz w:val="28"/>
          <w:szCs w:val="28"/>
          <w:highlight w:val="none"/>
        </w:rPr>
        <w:t>3名中标候选人。投标文件满足招标文件全部实质性要求，且按照评审因素的量化指标评审得分最高的投标人为中标人。</w:t>
      </w:r>
    </w:p>
    <w:p w14:paraId="4FA5B330">
      <w:pPr>
        <w:snapToGrid/>
        <w:ind w:firstLine="562"/>
        <w:jc w:val="left"/>
        <w:textAlignment w:val="baseline"/>
        <w:outlineLvl w:val="0"/>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一、政府采购政策功能落实</w:t>
      </w:r>
    </w:p>
    <w:p w14:paraId="2CBEC58C">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1、小微型企业价格扣除</w:t>
      </w:r>
    </w:p>
    <w:p w14:paraId="76FC6D2E">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（1）本项目对小型和微型企业产品给予</w:t>
      </w:r>
      <w:r>
        <w:rPr>
          <w:rFonts w:hint="eastAsia" w:ascii="宋体" w:hAnsi="宋体" w:cs="宋体"/>
          <w:color w:val="auto"/>
          <w:kern w:val="2"/>
          <w:sz w:val="28"/>
          <w:szCs w:val="28"/>
          <w:highlight w:val="none"/>
          <w:u w:val="single"/>
        </w:rPr>
        <w:t>10%</w:t>
      </w:r>
      <w:r>
        <w:rPr>
          <w:rFonts w:hint="eastAsia" w:ascii="宋体" w:hAnsi="宋体" w:cs="宋体"/>
          <w:color w:val="auto"/>
          <w:kern w:val="2"/>
          <w:sz w:val="28"/>
          <w:szCs w:val="28"/>
          <w:highlight w:val="none"/>
        </w:rPr>
        <w:t>的扣除价格，用扣除后的价格参与评审。</w:t>
      </w:r>
    </w:p>
    <w:p w14:paraId="0A9390D1">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（2）供应商需按照采购文件的要求提供相应的《小微企业声明函》。</w:t>
      </w:r>
    </w:p>
    <w:p w14:paraId="3FEB0514">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（3）企业标准请参照《关于印发中小企业划型标准规定的通知》（工信部联企业〔2011〕300号）文件规定自行填写。</w:t>
      </w:r>
    </w:p>
    <w:p w14:paraId="1254F847">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2、残疾人福利单位价格扣除</w:t>
      </w:r>
    </w:p>
    <w:p w14:paraId="42576ECA">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（1）本项目对残疾人福利性单位视同小型、微型企业，给予</w:t>
      </w:r>
      <w:r>
        <w:rPr>
          <w:rFonts w:hint="eastAsia" w:ascii="宋体" w:hAnsi="宋体" w:cs="宋体"/>
          <w:color w:val="auto"/>
          <w:kern w:val="2"/>
          <w:sz w:val="28"/>
          <w:szCs w:val="28"/>
          <w:highlight w:val="none"/>
          <w:u w:val="single"/>
        </w:rPr>
        <w:t>10%</w:t>
      </w:r>
      <w:r>
        <w:rPr>
          <w:rFonts w:hint="eastAsia" w:ascii="宋体" w:hAnsi="宋体" w:cs="宋体"/>
          <w:color w:val="auto"/>
          <w:kern w:val="2"/>
          <w:sz w:val="28"/>
          <w:szCs w:val="28"/>
          <w:highlight w:val="none"/>
        </w:rPr>
        <w:t>的价格扣除，用扣除后的价格参与评审。</w:t>
      </w:r>
    </w:p>
    <w:p w14:paraId="495B7885">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（2）残疾人福利单位需按照采购文件的要求提供《残疾人福利性单位声明函》。</w:t>
      </w:r>
    </w:p>
    <w:p w14:paraId="0FE5FD81">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（3）残疾人福利单位标准请参照《关于促进残疾人就业政府采购政策的通知》（财库〔2017〕141号）。</w:t>
      </w:r>
    </w:p>
    <w:p w14:paraId="53E1306E">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3、监狱和戒毒企业价格扣除</w:t>
      </w:r>
    </w:p>
    <w:p w14:paraId="5D8D43A3">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（1）本项目对监狱和戒毒企业（简称监狱企业）视同小型、微型企业，给予</w:t>
      </w:r>
      <w:r>
        <w:rPr>
          <w:rFonts w:hint="eastAsia" w:ascii="宋体" w:hAnsi="宋体" w:cs="宋体"/>
          <w:color w:val="auto"/>
          <w:kern w:val="2"/>
          <w:sz w:val="28"/>
          <w:szCs w:val="28"/>
          <w:highlight w:val="none"/>
          <w:u w:val="single"/>
        </w:rPr>
        <w:t>10%</w:t>
      </w:r>
      <w:r>
        <w:rPr>
          <w:rFonts w:hint="eastAsia" w:ascii="宋体" w:hAnsi="宋体" w:cs="宋体"/>
          <w:color w:val="auto"/>
          <w:kern w:val="2"/>
          <w:sz w:val="28"/>
          <w:szCs w:val="28"/>
          <w:highlight w:val="none"/>
        </w:rPr>
        <w:t>的价格扣除，用扣除后的价格参与评审。</w:t>
      </w:r>
    </w:p>
    <w:p w14:paraId="5E0672B4">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（2）监狱企业参加政府采购活动时，需提供由省级以上监狱管理局、戒毒管理局(含新疆生产建设兵团)出具的属于监狱企业的证明文件。</w:t>
      </w:r>
      <w:r>
        <w:rPr>
          <w:rFonts w:hint="eastAsia" w:ascii="宋体" w:hAnsi="宋体" w:cs="宋体"/>
          <w:color w:val="auto"/>
          <w:sz w:val="28"/>
          <w:szCs w:val="28"/>
          <w:highlight w:val="none"/>
        </w:rPr>
        <w:t>供应商如不提供上述证明文件，价格将不做相应扣除</w:t>
      </w:r>
      <w:r>
        <w:rPr>
          <w:rFonts w:hint="eastAsia" w:ascii="宋体" w:hAnsi="宋体" w:cs="宋体"/>
          <w:color w:val="auto"/>
          <w:kern w:val="2"/>
          <w:sz w:val="28"/>
          <w:szCs w:val="28"/>
          <w:highlight w:val="none"/>
        </w:rPr>
        <w:t>。</w:t>
      </w:r>
    </w:p>
    <w:p w14:paraId="77447F9C">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（3）监狱企业标准请参照《关于政府采购支持监狱企业发展有关问题的通知》（财库〔2014〕68号）。</w:t>
      </w:r>
    </w:p>
    <w:p w14:paraId="290A2082">
      <w:pPr>
        <w:snapToGrid/>
        <w:ind w:firstLine="560"/>
        <w:jc w:val="left"/>
        <w:textAlignment w:val="baseline"/>
        <w:rPr>
          <w:rFonts w:hint="eastAsia" w:ascii="宋体" w:hAnsi="宋体" w:cs="宋体"/>
          <w:color w:val="auto"/>
          <w:kern w:val="2"/>
          <w:sz w:val="28"/>
          <w:szCs w:val="28"/>
          <w:highlight w:val="none"/>
        </w:rPr>
      </w:pPr>
      <w:r>
        <w:rPr>
          <w:rFonts w:hint="eastAsia" w:ascii="宋体" w:hAnsi="宋体" w:cs="宋体"/>
          <w:color w:val="auto"/>
          <w:kern w:val="2"/>
          <w:sz w:val="28"/>
          <w:szCs w:val="28"/>
          <w:highlight w:val="none"/>
        </w:rPr>
        <w:t>4、残疾人福利单位、监狱企业属于小型、微型企业的，不重复享受政策。</w:t>
      </w:r>
    </w:p>
    <w:p w14:paraId="78D0982F">
      <w:pPr>
        <w:ind w:firstLine="56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注：本项目专门面向中小企业采购，不再执行价格评审优惠的扶持政策。</w:t>
      </w:r>
    </w:p>
    <w:p w14:paraId="00A9F9AC">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、商务技术标、报价标评分标准（</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0分+</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0分）</w:t>
      </w:r>
    </w:p>
    <w:p w14:paraId="6FCA6A31">
      <w:pPr>
        <w:ind w:firstLine="56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1.商务技术标评审（70分）</w:t>
      </w:r>
    </w:p>
    <w:tbl>
      <w:tblPr>
        <w:tblStyle w:val="34"/>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3"/>
        <w:gridCol w:w="709"/>
        <w:gridCol w:w="7307"/>
      </w:tblGrid>
      <w:tr w14:paraId="7785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6C840604">
            <w:pPr>
              <w:widowControl/>
              <w:spacing w:line="276" w:lineRule="auto"/>
              <w:ind w:firstLine="0"/>
              <w:jc w:val="center"/>
              <w:rPr>
                <w:b/>
                <w:color w:val="auto"/>
                <w:kern w:val="0"/>
                <w:szCs w:val="21"/>
                <w:highlight w:val="none"/>
              </w:rPr>
            </w:pPr>
            <w:r>
              <w:rPr>
                <w:rFonts w:hAnsi="宋体"/>
                <w:b/>
                <w:bCs/>
                <w:color w:val="auto"/>
                <w:kern w:val="2"/>
                <w:szCs w:val="21"/>
                <w:highlight w:val="none"/>
                <w:lang w:val="zh-CN"/>
              </w:rPr>
              <w:t>评标项目</w:t>
            </w:r>
          </w:p>
        </w:tc>
        <w:tc>
          <w:tcPr>
            <w:tcW w:w="709" w:type="dxa"/>
            <w:vAlign w:val="center"/>
          </w:tcPr>
          <w:p w14:paraId="1CB97C7A">
            <w:pPr>
              <w:widowControl/>
              <w:spacing w:line="276" w:lineRule="auto"/>
              <w:ind w:firstLine="0"/>
              <w:jc w:val="center"/>
              <w:rPr>
                <w:b/>
                <w:color w:val="auto"/>
                <w:kern w:val="0"/>
                <w:szCs w:val="21"/>
                <w:highlight w:val="none"/>
              </w:rPr>
            </w:pPr>
            <w:r>
              <w:rPr>
                <w:rFonts w:hAnsi="宋体"/>
                <w:b/>
                <w:color w:val="auto"/>
                <w:kern w:val="0"/>
                <w:szCs w:val="21"/>
                <w:highlight w:val="none"/>
              </w:rPr>
              <w:t>分值</w:t>
            </w:r>
          </w:p>
        </w:tc>
        <w:tc>
          <w:tcPr>
            <w:tcW w:w="7307" w:type="dxa"/>
            <w:vAlign w:val="center"/>
          </w:tcPr>
          <w:p w14:paraId="70EB4D4A">
            <w:pPr>
              <w:widowControl/>
              <w:spacing w:line="276" w:lineRule="auto"/>
              <w:ind w:firstLine="0"/>
              <w:jc w:val="center"/>
              <w:rPr>
                <w:b/>
                <w:color w:val="auto"/>
                <w:kern w:val="0"/>
                <w:szCs w:val="21"/>
                <w:highlight w:val="none"/>
              </w:rPr>
            </w:pPr>
            <w:r>
              <w:rPr>
                <w:rFonts w:hAnsi="宋体"/>
                <w:b/>
                <w:color w:val="auto"/>
                <w:kern w:val="0"/>
                <w:szCs w:val="21"/>
                <w:highlight w:val="none"/>
              </w:rPr>
              <w:t>评分标准</w:t>
            </w:r>
          </w:p>
        </w:tc>
      </w:tr>
      <w:tr w14:paraId="184A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9" w:type="dxa"/>
            <w:gridSpan w:val="3"/>
            <w:vAlign w:val="center"/>
          </w:tcPr>
          <w:p w14:paraId="0297E44F">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Calibri" w:eastAsia="宋体" w:cs="Times New Roman"/>
                <w:b/>
                <w:color w:val="auto"/>
                <w:kern w:val="0"/>
                <w:sz w:val="24"/>
                <w:szCs w:val="20"/>
                <w:highlight w:val="none"/>
                <w:lang w:val="en-US" w:eastAsia="zh-CN" w:bidi="ar-SA"/>
              </w:rPr>
              <w:t>商务部分（</w:t>
            </w:r>
            <w:r>
              <w:rPr>
                <w:rFonts w:hint="eastAsia" w:ascii="Times New Roman" w:hAnsi="Times New Roman" w:eastAsia="宋体" w:cs="Times New Roman"/>
                <w:b/>
                <w:color w:val="auto"/>
                <w:kern w:val="0"/>
                <w:sz w:val="24"/>
                <w:szCs w:val="20"/>
                <w:highlight w:val="none"/>
                <w:lang w:val="en-US" w:eastAsia="zh-CN" w:bidi="ar-SA"/>
              </w:rPr>
              <w:t>31</w:t>
            </w:r>
            <w:r>
              <w:rPr>
                <w:rFonts w:ascii="Times New Roman" w:hAnsi="Calibri" w:eastAsia="宋体" w:cs="Times New Roman"/>
                <w:b/>
                <w:color w:val="auto"/>
                <w:kern w:val="0"/>
                <w:sz w:val="24"/>
                <w:szCs w:val="20"/>
                <w:highlight w:val="none"/>
                <w:lang w:val="en-US" w:eastAsia="zh-CN" w:bidi="ar-SA"/>
              </w:rPr>
              <w:t>分）</w:t>
            </w:r>
          </w:p>
        </w:tc>
      </w:tr>
      <w:tr w14:paraId="2CEB8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2207241D">
            <w:pPr>
              <w:widowControl/>
              <w:spacing w:line="276" w:lineRule="auto"/>
              <w:ind w:firstLine="0"/>
              <w:jc w:val="center"/>
              <w:rPr>
                <w:color w:val="auto"/>
                <w:kern w:val="0"/>
                <w:szCs w:val="21"/>
                <w:highlight w:val="none"/>
              </w:rPr>
            </w:pPr>
            <w:r>
              <w:rPr>
                <w:rFonts w:hAnsi="宋体"/>
                <w:color w:val="auto"/>
                <w:kern w:val="2"/>
                <w:szCs w:val="21"/>
                <w:highlight w:val="none"/>
              </w:rPr>
              <w:t>企业认证</w:t>
            </w:r>
          </w:p>
        </w:tc>
        <w:tc>
          <w:tcPr>
            <w:tcW w:w="709" w:type="dxa"/>
            <w:vAlign w:val="center"/>
          </w:tcPr>
          <w:p w14:paraId="78211A52">
            <w:pPr>
              <w:widowControl/>
              <w:spacing w:line="276" w:lineRule="auto"/>
              <w:ind w:firstLine="0"/>
              <w:jc w:val="center"/>
              <w:rPr>
                <w:color w:val="auto"/>
                <w:kern w:val="0"/>
                <w:szCs w:val="21"/>
                <w:highlight w:val="none"/>
              </w:rPr>
            </w:pPr>
            <w:r>
              <w:rPr>
                <w:rFonts w:hint="eastAsia" w:ascii="Times New Roman" w:eastAsia="宋体"/>
                <w:color w:val="auto"/>
                <w:kern w:val="0"/>
                <w:szCs w:val="21"/>
                <w:highlight w:val="none"/>
                <w:lang w:val="en-US" w:eastAsia="zh-CN"/>
              </w:rPr>
              <w:t>6</w:t>
            </w:r>
            <w:r>
              <w:rPr>
                <w:rFonts w:hAnsi="宋体"/>
                <w:color w:val="auto"/>
                <w:kern w:val="0"/>
                <w:szCs w:val="21"/>
                <w:highlight w:val="none"/>
              </w:rPr>
              <w:t>分</w:t>
            </w:r>
          </w:p>
        </w:tc>
        <w:tc>
          <w:tcPr>
            <w:tcW w:w="7307" w:type="dxa"/>
            <w:vAlign w:val="center"/>
          </w:tcPr>
          <w:p w14:paraId="5471E5EE">
            <w:pPr>
              <w:widowControl w:val="0"/>
              <w:adjustRightInd/>
              <w:snapToGrid/>
              <w:spacing w:line="276" w:lineRule="auto"/>
              <w:jc w:val="left"/>
              <w:rPr>
                <w:rFonts w:hint="eastAsia"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 xml:space="preserve">1. </w:t>
            </w:r>
            <w:r>
              <w:rPr>
                <w:rFonts w:ascii="Times New Roman" w:hAnsi="宋体" w:eastAsia="宋体" w:cs="Times New Roman"/>
                <w:color w:val="auto"/>
                <w:kern w:val="0"/>
                <w:sz w:val="21"/>
                <w:szCs w:val="21"/>
                <w:highlight w:val="none"/>
                <w:lang w:val="en-US" w:eastAsia="zh-CN" w:bidi="ar-SA"/>
              </w:rPr>
              <w:t>投标人提供企业所获得的</w:t>
            </w:r>
            <w:r>
              <w:rPr>
                <w:rFonts w:ascii="Times New Roman" w:hAnsi="Times New Roman" w:eastAsia="宋体" w:cs="Times New Roman"/>
                <w:color w:val="auto"/>
                <w:kern w:val="0"/>
                <w:sz w:val="21"/>
                <w:szCs w:val="21"/>
                <w:highlight w:val="none"/>
                <w:lang w:val="en-US" w:eastAsia="zh-CN" w:bidi="ar-SA"/>
              </w:rPr>
              <w:t>ISO9001</w:t>
            </w:r>
            <w:r>
              <w:rPr>
                <w:rFonts w:ascii="Times New Roman" w:hAnsi="宋体" w:eastAsia="宋体" w:cs="Times New Roman"/>
                <w:color w:val="auto"/>
                <w:kern w:val="0"/>
                <w:sz w:val="21"/>
                <w:szCs w:val="21"/>
                <w:highlight w:val="none"/>
                <w:lang w:val="en-US" w:eastAsia="zh-CN" w:bidi="ar-SA"/>
              </w:rPr>
              <w:t>质量管理体系认证证书、</w:t>
            </w:r>
            <w:r>
              <w:rPr>
                <w:rFonts w:ascii="Times New Roman" w:hAnsi="Times New Roman" w:eastAsia="宋体" w:cs="Times New Roman"/>
                <w:color w:val="auto"/>
                <w:kern w:val="0"/>
                <w:sz w:val="21"/>
                <w:szCs w:val="21"/>
                <w:highlight w:val="none"/>
                <w:lang w:val="en-US" w:eastAsia="zh-CN" w:bidi="ar-SA"/>
              </w:rPr>
              <w:t>ISO14001</w:t>
            </w:r>
            <w:r>
              <w:rPr>
                <w:rFonts w:ascii="Times New Roman" w:hAnsi="宋体" w:eastAsia="宋体" w:cs="Times New Roman"/>
                <w:color w:val="auto"/>
                <w:kern w:val="0"/>
                <w:sz w:val="21"/>
                <w:szCs w:val="21"/>
                <w:highlight w:val="none"/>
                <w:lang w:val="en-US" w:eastAsia="zh-CN" w:bidi="ar-SA"/>
              </w:rPr>
              <w:t>环境管理体系认证证书、</w:t>
            </w:r>
            <w:r>
              <w:rPr>
                <w:rFonts w:ascii="Times New Roman" w:hAnsi="Times New Roman" w:eastAsia="宋体" w:cs="Times New Roman"/>
                <w:color w:val="auto"/>
                <w:kern w:val="0"/>
                <w:sz w:val="21"/>
                <w:szCs w:val="21"/>
                <w:highlight w:val="none"/>
                <w:lang w:val="en-US" w:eastAsia="zh-CN" w:bidi="ar-SA"/>
              </w:rPr>
              <w:t>ISO45001</w:t>
            </w:r>
            <w:r>
              <w:rPr>
                <w:rFonts w:ascii="Times New Roman" w:hAnsi="宋体" w:eastAsia="宋体" w:cs="Times New Roman"/>
                <w:color w:val="auto"/>
                <w:kern w:val="0"/>
                <w:sz w:val="21"/>
                <w:szCs w:val="21"/>
                <w:highlight w:val="none"/>
                <w:lang w:val="en-US" w:eastAsia="zh-CN" w:bidi="ar-SA"/>
              </w:rPr>
              <w:t>职业健康安全管理体系认证证书、</w:t>
            </w:r>
            <w:r>
              <w:rPr>
                <w:rFonts w:ascii="Times New Roman" w:hAnsi="Times New Roman" w:eastAsia="宋体" w:cs="Times New Roman"/>
                <w:color w:val="auto"/>
                <w:kern w:val="0"/>
                <w:sz w:val="21"/>
                <w:szCs w:val="21"/>
                <w:highlight w:val="none"/>
                <w:lang w:val="en-US" w:eastAsia="zh-CN" w:bidi="ar-SA"/>
              </w:rPr>
              <w:t>ISO27001</w:t>
            </w:r>
            <w:r>
              <w:rPr>
                <w:rFonts w:ascii="Times New Roman" w:hAnsi="宋体" w:eastAsia="宋体" w:cs="Times New Roman"/>
                <w:color w:val="auto"/>
                <w:kern w:val="0"/>
                <w:sz w:val="21"/>
                <w:szCs w:val="21"/>
                <w:highlight w:val="none"/>
                <w:lang w:val="en-US" w:eastAsia="zh-CN" w:bidi="ar-SA"/>
              </w:rPr>
              <w:t>信息安全管理体系认证证书，以上全部具备得</w:t>
            </w:r>
            <w:r>
              <w:rPr>
                <w:rFonts w:ascii="Times New Roman" w:hAnsi="Times New Roman" w:eastAsia="宋体" w:cs="Times New Roman"/>
                <w:color w:val="auto"/>
                <w:kern w:val="0"/>
                <w:sz w:val="21"/>
                <w:szCs w:val="21"/>
                <w:highlight w:val="none"/>
                <w:lang w:val="en-US" w:eastAsia="zh-CN" w:bidi="ar-SA"/>
              </w:rPr>
              <w:t>4</w:t>
            </w:r>
            <w:r>
              <w:rPr>
                <w:rFonts w:ascii="Times New Roman" w:hAnsi="宋体" w:eastAsia="宋体" w:cs="Times New Roman"/>
                <w:color w:val="auto"/>
                <w:kern w:val="0"/>
                <w:sz w:val="21"/>
                <w:szCs w:val="21"/>
                <w:highlight w:val="none"/>
                <w:lang w:val="en-US" w:eastAsia="zh-CN" w:bidi="ar-SA"/>
              </w:rPr>
              <w:t>分，每缺</w:t>
            </w:r>
            <w:r>
              <w:rPr>
                <w:rFonts w:ascii="Times New Roman" w:hAnsi="Times New Roman" w:eastAsia="宋体" w:cs="Times New Roman"/>
                <w:color w:val="auto"/>
                <w:kern w:val="0"/>
                <w:sz w:val="21"/>
                <w:szCs w:val="21"/>
                <w:highlight w:val="none"/>
                <w:lang w:val="en-US" w:eastAsia="zh-CN" w:bidi="ar-SA"/>
              </w:rPr>
              <w:t>1</w:t>
            </w:r>
            <w:r>
              <w:rPr>
                <w:rFonts w:ascii="Times New Roman" w:hAnsi="宋体" w:eastAsia="宋体" w:cs="Times New Roman"/>
                <w:color w:val="auto"/>
                <w:kern w:val="0"/>
                <w:sz w:val="21"/>
                <w:szCs w:val="21"/>
                <w:highlight w:val="none"/>
                <w:lang w:val="en-US" w:eastAsia="zh-CN" w:bidi="ar-SA"/>
              </w:rPr>
              <w:t>个扣</w:t>
            </w:r>
            <w:r>
              <w:rPr>
                <w:rFonts w:ascii="Times New Roman" w:hAnsi="Times New Roman" w:eastAsia="宋体" w:cs="Times New Roman"/>
                <w:color w:val="auto"/>
                <w:kern w:val="0"/>
                <w:sz w:val="21"/>
                <w:szCs w:val="21"/>
                <w:highlight w:val="none"/>
                <w:lang w:val="en-US" w:eastAsia="zh-CN" w:bidi="ar-SA"/>
              </w:rPr>
              <w:t>1</w:t>
            </w:r>
            <w:r>
              <w:rPr>
                <w:rFonts w:ascii="Times New Roman" w:hAnsi="宋体" w:eastAsia="宋体" w:cs="Times New Roman"/>
                <w:color w:val="auto"/>
                <w:kern w:val="0"/>
                <w:sz w:val="21"/>
                <w:szCs w:val="21"/>
                <w:highlight w:val="none"/>
                <w:lang w:val="en-US" w:eastAsia="zh-CN" w:bidi="ar-SA"/>
              </w:rPr>
              <w:t>分，扣完为止。（证书须在有效期内，</w:t>
            </w:r>
            <w:r>
              <w:rPr>
                <w:rFonts w:hint="eastAsia" w:ascii="Times New Roman" w:hAnsi="宋体" w:eastAsia="宋体" w:cs="Times New Roman"/>
                <w:color w:val="auto"/>
                <w:kern w:val="0"/>
                <w:sz w:val="21"/>
                <w:szCs w:val="21"/>
                <w:highlight w:val="none"/>
                <w:lang w:val="en-US" w:eastAsia="zh-CN" w:bidi="ar-SA"/>
              </w:rPr>
              <w:t>认证范围必须与本次采购项目相关，</w:t>
            </w:r>
            <w:r>
              <w:rPr>
                <w:rFonts w:ascii="Times New Roman" w:hAnsi="宋体" w:eastAsia="宋体" w:cs="Times New Roman"/>
                <w:color w:val="auto"/>
                <w:kern w:val="0"/>
                <w:sz w:val="21"/>
                <w:szCs w:val="21"/>
                <w:highlight w:val="none"/>
                <w:lang w:val="en-US" w:eastAsia="zh-CN" w:bidi="ar-SA"/>
              </w:rPr>
              <w:t>需提供证书复印件并加盖投标人公章，不提供则相应项不得分）</w:t>
            </w:r>
            <w:r>
              <w:rPr>
                <w:rFonts w:hint="eastAsia" w:ascii="Times New Roman" w:hAnsi="宋体" w:eastAsia="宋体" w:cs="Times New Roman"/>
                <w:color w:val="auto"/>
                <w:kern w:val="0"/>
                <w:sz w:val="21"/>
                <w:szCs w:val="21"/>
                <w:highlight w:val="none"/>
                <w:lang w:val="en-US" w:eastAsia="zh-CN" w:bidi="ar-SA"/>
              </w:rPr>
              <w:t>。</w:t>
            </w:r>
          </w:p>
          <w:p w14:paraId="31A83389">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 xml:space="preserve">2. </w:t>
            </w:r>
            <w:r>
              <w:rPr>
                <w:rFonts w:ascii="Times New Roman" w:hAnsi="宋体" w:eastAsia="宋体" w:cs="Times New Roman"/>
                <w:color w:val="auto"/>
                <w:kern w:val="0"/>
                <w:sz w:val="21"/>
                <w:szCs w:val="21"/>
                <w:highlight w:val="none"/>
                <w:lang w:val="en-US" w:eastAsia="zh-CN" w:bidi="ar-SA"/>
              </w:rPr>
              <w:t>投标人具有环境空气连续自动监测系统运营服务认证一级证书的得</w:t>
            </w:r>
            <w:r>
              <w:rPr>
                <w:rFonts w:ascii="Times New Roman" w:hAnsi="Times New Roman" w:eastAsia="宋体" w:cs="Times New Roman"/>
                <w:color w:val="auto"/>
                <w:kern w:val="0"/>
                <w:sz w:val="21"/>
                <w:szCs w:val="21"/>
                <w:highlight w:val="none"/>
                <w:lang w:val="en-US" w:eastAsia="zh-CN" w:bidi="ar-SA"/>
              </w:rPr>
              <w:t>2</w:t>
            </w:r>
            <w:r>
              <w:rPr>
                <w:rFonts w:ascii="Times New Roman" w:hAnsi="宋体" w:eastAsia="宋体" w:cs="Times New Roman"/>
                <w:color w:val="auto"/>
                <w:kern w:val="0"/>
                <w:sz w:val="21"/>
                <w:szCs w:val="21"/>
                <w:highlight w:val="none"/>
                <w:lang w:val="en-US" w:eastAsia="zh-CN" w:bidi="ar-SA"/>
              </w:rPr>
              <w:t>分，二级得</w:t>
            </w:r>
            <w:r>
              <w:rPr>
                <w:rFonts w:ascii="Times New Roman" w:hAnsi="Times New Roman" w:eastAsia="宋体" w:cs="Times New Roman"/>
                <w:color w:val="auto"/>
                <w:kern w:val="0"/>
                <w:sz w:val="21"/>
                <w:szCs w:val="21"/>
                <w:highlight w:val="none"/>
                <w:lang w:val="en-US" w:eastAsia="zh-CN" w:bidi="ar-SA"/>
              </w:rPr>
              <w:t>1</w:t>
            </w:r>
            <w:r>
              <w:rPr>
                <w:rFonts w:ascii="Times New Roman" w:hAnsi="宋体" w:eastAsia="宋体" w:cs="Times New Roman"/>
                <w:color w:val="auto"/>
                <w:kern w:val="0"/>
                <w:sz w:val="21"/>
                <w:szCs w:val="21"/>
                <w:highlight w:val="none"/>
                <w:lang w:val="en-US" w:eastAsia="zh-CN" w:bidi="ar-SA"/>
              </w:rPr>
              <w:t>分，若无不得分。（提供证明材料复印件并加盖投标人公章，否则不得分）</w:t>
            </w:r>
          </w:p>
        </w:tc>
      </w:tr>
      <w:tr w14:paraId="4DC7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0913F1BF">
            <w:pPr>
              <w:widowControl/>
              <w:spacing w:line="276" w:lineRule="auto"/>
              <w:ind w:firstLine="0"/>
              <w:jc w:val="center"/>
              <w:rPr>
                <w:color w:val="auto"/>
                <w:kern w:val="2"/>
                <w:szCs w:val="21"/>
                <w:highlight w:val="none"/>
              </w:rPr>
            </w:pPr>
            <w:r>
              <w:rPr>
                <w:rFonts w:hAnsi="宋体"/>
                <w:color w:val="auto"/>
                <w:kern w:val="2"/>
                <w:szCs w:val="21"/>
                <w:highlight w:val="none"/>
              </w:rPr>
              <w:t>响应时间</w:t>
            </w:r>
          </w:p>
        </w:tc>
        <w:tc>
          <w:tcPr>
            <w:tcW w:w="709" w:type="dxa"/>
            <w:vAlign w:val="center"/>
          </w:tcPr>
          <w:p w14:paraId="3CACE033">
            <w:pPr>
              <w:widowControl/>
              <w:spacing w:line="276" w:lineRule="auto"/>
              <w:ind w:firstLine="0"/>
              <w:jc w:val="center"/>
              <w:rPr>
                <w:color w:val="auto"/>
                <w:kern w:val="0"/>
                <w:szCs w:val="21"/>
                <w:highlight w:val="none"/>
              </w:rPr>
            </w:pPr>
            <w:r>
              <w:rPr>
                <w:rFonts w:hint="eastAsia" w:ascii="Times New Roman" w:eastAsia="宋体"/>
                <w:color w:val="auto"/>
                <w:kern w:val="0"/>
                <w:szCs w:val="21"/>
                <w:highlight w:val="none"/>
                <w:lang w:val="en-US" w:eastAsia="zh-CN"/>
              </w:rPr>
              <w:t>4</w:t>
            </w:r>
            <w:r>
              <w:rPr>
                <w:rFonts w:hAnsi="宋体"/>
                <w:color w:val="auto"/>
                <w:kern w:val="0"/>
                <w:szCs w:val="21"/>
                <w:highlight w:val="none"/>
              </w:rPr>
              <w:t>分</w:t>
            </w:r>
          </w:p>
        </w:tc>
        <w:tc>
          <w:tcPr>
            <w:tcW w:w="7307" w:type="dxa"/>
            <w:vAlign w:val="center"/>
          </w:tcPr>
          <w:p w14:paraId="32371798">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确保合同期限内提供全程服务，以投标人的售后服务响应时间打分。</w:t>
            </w:r>
          </w:p>
          <w:p w14:paraId="32DEDFA8">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投标人接到采购人的售后服务需求后，能够在</w:t>
            </w:r>
            <w:r>
              <w:rPr>
                <w:rFonts w:ascii="Times New Roman" w:hAnsi="Times New Roman" w:eastAsia="宋体" w:cs="Times New Roman"/>
                <w:color w:val="auto"/>
                <w:kern w:val="0"/>
                <w:sz w:val="21"/>
                <w:szCs w:val="21"/>
                <w:highlight w:val="none"/>
                <w:lang w:val="en-US" w:eastAsia="zh-CN" w:bidi="ar-SA"/>
              </w:rPr>
              <w:t>1.5</w:t>
            </w:r>
            <w:r>
              <w:rPr>
                <w:rFonts w:ascii="Times New Roman" w:hAnsi="宋体" w:eastAsia="宋体" w:cs="Times New Roman"/>
                <w:color w:val="auto"/>
                <w:kern w:val="0"/>
                <w:sz w:val="21"/>
                <w:szCs w:val="21"/>
                <w:highlight w:val="none"/>
                <w:lang w:val="en-US" w:eastAsia="zh-CN" w:bidi="ar-SA"/>
              </w:rPr>
              <w:t>小时内到达现场处理的，得</w:t>
            </w:r>
            <w:r>
              <w:rPr>
                <w:rFonts w:hint="eastAsia" w:ascii="Times New Roman" w:hAnsi="Times New Roman" w:eastAsia="宋体" w:cs="Times New Roman"/>
                <w:color w:val="auto"/>
                <w:kern w:val="0"/>
                <w:sz w:val="21"/>
                <w:szCs w:val="21"/>
                <w:highlight w:val="none"/>
                <w:lang w:val="en-US" w:eastAsia="zh-CN" w:bidi="ar-SA"/>
              </w:rPr>
              <w:t>4</w:t>
            </w:r>
            <w:r>
              <w:rPr>
                <w:rFonts w:ascii="Times New Roman" w:hAnsi="宋体" w:eastAsia="宋体" w:cs="Times New Roman"/>
                <w:color w:val="auto"/>
                <w:kern w:val="0"/>
                <w:sz w:val="21"/>
                <w:szCs w:val="21"/>
                <w:highlight w:val="none"/>
                <w:lang w:val="en-US" w:eastAsia="zh-CN" w:bidi="ar-SA"/>
              </w:rPr>
              <w:t>分</w:t>
            </w:r>
            <w:r>
              <w:rPr>
                <w:rFonts w:ascii="Times New Roman" w:hAnsi="Times New Roman" w:eastAsia="宋体" w:cs="Times New Roman"/>
                <w:color w:val="auto"/>
                <w:kern w:val="0"/>
                <w:sz w:val="21"/>
                <w:szCs w:val="21"/>
                <w:highlight w:val="none"/>
                <w:lang w:val="en-US" w:eastAsia="zh-CN" w:bidi="ar-SA"/>
              </w:rPr>
              <w:t>;</w:t>
            </w:r>
          </w:p>
          <w:p w14:paraId="740CC926">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能够在</w:t>
            </w:r>
            <w:r>
              <w:rPr>
                <w:rFonts w:ascii="Times New Roman" w:hAnsi="Times New Roman" w:eastAsia="宋体" w:cs="Times New Roman"/>
                <w:color w:val="auto"/>
                <w:kern w:val="0"/>
                <w:sz w:val="21"/>
                <w:szCs w:val="21"/>
                <w:highlight w:val="none"/>
                <w:lang w:val="en-US" w:eastAsia="zh-CN" w:bidi="ar-SA"/>
              </w:rPr>
              <w:t>3</w:t>
            </w:r>
            <w:r>
              <w:rPr>
                <w:rFonts w:ascii="Times New Roman" w:hAnsi="宋体" w:eastAsia="宋体" w:cs="Times New Roman"/>
                <w:color w:val="auto"/>
                <w:kern w:val="0"/>
                <w:sz w:val="21"/>
                <w:szCs w:val="21"/>
                <w:highlight w:val="none"/>
                <w:lang w:val="en-US" w:eastAsia="zh-CN" w:bidi="ar-SA"/>
              </w:rPr>
              <w:t>小时内到达现场处理的，得</w:t>
            </w:r>
            <w:r>
              <w:rPr>
                <w:rFonts w:hint="eastAsia" w:ascii="Times New Roman" w:hAnsi="宋体" w:eastAsia="宋体" w:cs="Times New Roman"/>
                <w:color w:val="auto"/>
                <w:kern w:val="0"/>
                <w:sz w:val="21"/>
                <w:szCs w:val="21"/>
                <w:highlight w:val="none"/>
                <w:lang w:val="en-US" w:eastAsia="zh-CN" w:bidi="ar-SA"/>
              </w:rPr>
              <w:t>2</w:t>
            </w:r>
            <w:r>
              <w:rPr>
                <w:rFonts w:ascii="Times New Roman" w:hAnsi="宋体" w:eastAsia="宋体" w:cs="Times New Roman"/>
                <w:color w:val="auto"/>
                <w:kern w:val="0"/>
                <w:sz w:val="21"/>
                <w:szCs w:val="21"/>
                <w:highlight w:val="none"/>
                <w:lang w:val="en-US" w:eastAsia="zh-CN" w:bidi="ar-SA"/>
              </w:rPr>
              <w:t>分</w:t>
            </w:r>
            <w:r>
              <w:rPr>
                <w:rFonts w:ascii="Times New Roman" w:hAnsi="Times New Roman" w:eastAsia="宋体" w:cs="Times New Roman"/>
                <w:color w:val="auto"/>
                <w:kern w:val="0"/>
                <w:sz w:val="21"/>
                <w:szCs w:val="21"/>
                <w:highlight w:val="none"/>
                <w:lang w:val="en-US" w:eastAsia="zh-CN" w:bidi="ar-SA"/>
              </w:rPr>
              <w:t>;</w:t>
            </w:r>
          </w:p>
          <w:p w14:paraId="27B6AABE">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在</w:t>
            </w:r>
            <w:r>
              <w:rPr>
                <w:rFonts w:ascii="Times New Roman" w:hAnsi="Times New Roman" w:eastAsia="宋体" w:cs="Times New Roman"/>
                <w:color w:val="auto"/>
                <w:kern w:val="0"/>
                <w:sz w:val="21"/>
                <w:szCs w:val="21"/>
                <w:highlight w:val="none"/>
                <w:lang w:val="en-US" w:eastAsia="zh-CN" w:bidi="ar-SA"/>
              </w:rPr>
              <w:t>6</w:t>
            </w:r>
            <w:r>
              <w:rPr>
                <w:rFonts w:ascii="Times New Roman" w:hAnsi="宋体" w:eastAsia="宋体" w:cs="Times New Roman"/>
                <w:color w:val="auto"/>
                <w:kern w:val="0"/>
                <w:sz w:val="21"/>
                <w:szCs w:val="21"/>
                <w:highlight w:val="none"/>
                <w:lang w:val="en-US" w:eastAsia="zh-CN" w:bidi="ar-SA"/>
              </w:rPr>
              <w:t>小时以上到达现场处理的，得</w:t>
            </w:r>
            <w:r>
              <w:rPr>
                <w:rFonts w:ascii="Times New Roman" w:hAnsi="Times New Roman" w:eastAsia="宋体" w:cs="Times New Roman"/>
                <w:color w:val="auto"/>
                <w:kern w:val="0"/>
                <w:sz w:val="21"/>
                <w:szCs w:val="21"/>
                <w:highlight w:val="none"/>
                <w:lang w:val="en-US" w:eastAsia="zh-CN" w:bidi="ar-SA"/>
              </w:rPr>
              <w:t>0</w:t>
            </w:r>
            <w:r>
              <w:rPr>
                <w:rFonts w:ascii="Times New Roman" w:hAnsi="宋体" w:eastAsia="宋体" w:cs="Times New Roman"/>
                <w:color w:val="auto"/>
                <w:kern w:val="0"/>
                <w:sz w:val="21"/>
                <w:szCs w:val="21"/>
                <w:highlight w:val="none"/>
                <w:lang w:val="en-US" w:eastAsia="zh-CN" w:bidi="ar-SA"/>
              </w:rPr>
              <w:t>分。</w:t>
            </w:r>
          </w:p>
          <w:p w14:paraId="0A851FDC">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投标人须提供售后服务承诺书</w:t>
            </w:r>
            <w:r>
              <w:rPr>
                <w:rFonts w:hint="eastAsia" w:ascii="Times New Roman" w:hAnsi="宋体" w:eastAsia="宋体" w:cs="Times New Roman"/>
                <w:color w:val="auto"/>
                <w:kern w:val="0"/>
                <w:sz w:val="21"/>
                <w:szCs w:val="21"/>
                <w:highlight w:val="none"/>
                <w:lang w:val="en-US" w:eastAsia="zh-CN" w:bidi="ar-SA"/>
              </w:rPr>
              <w:t>及响应方案。</w:t>
            </w:r>
          </w:p>
        </w:tc>
      </w:tr>
      <w:tr w14:paraId="5A1B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013334B2">
            <w:pPr>
              <w:spacing w:line="276" w:lineRule="auto"/>
              <w:ind w:firstLine="0"/>
              <w:jc w:val="center"/>
              <w:rPr>
                <w:color w:val="auto"/>
                <w:kern w:val="2"/>
                <w:szCs w:val="21"/>
                <w:highlight w:val="none"/>
              </w:rPr>
            </w:pPr>
            <w:r>
              <w:rPr>
                <w:rFonts w:hAnsi="宋体"/>
                <w:color w:val="auto"/>
                <w:kern w:val="2"/>
                <w:szCs w:val="21"/>
                <w:highlight w:val="none"/>
              </w:rPr>
              <w:t>服务能力</w:t>
            </w:r>
          </w:p>
        </w:tc>
        <w:tc>
          <w:tcPr>
            <w:tcW w:w="709" w:type="dxa"/>
            <w:vAlign w:val="center"/>
          </w:tcPr>
          <w:p w14:paraId="738D6B71">
            <w:pPr>
              <w:spacing w:line="276" w:lineRule="auto"/>
              <w:ind w:firstLine="0"/>
              <w:jc w:val="center"/>
              <w:rPr>
                <w:color w:val="auto"/>
                <w:kern w:val="2"/>
                <w:szCs w:val="21"/>
                <w:highlight w:val="none"/>
              </w:rPr>
            </w:pPr>
            <w:r>
              <w:rPr>
                <w:rFonts w:hint="eastAsia" w:ascii="Times New Roman" w:eastAsia="宋体"/>
                <w:color w:val="auto"/>
                <w:kern w:val="2"/>
                <w:szCs w:val="21"/>
                <w:highlight w:val="none"/>
                <w:lang w:val="en-US" w:eastAsia="zh-CN"/>
              </w:rPr>
              <w:t>15</w:t>
            </w:r>
            <w:r>
              <w:rPr>
                <w:rFonts w:hAnsi="宋体"/>
                <w:color w:val="auto"/>
                <w:kern w:val="0"/>
                <w:szCs w:val="21"/>
                <w:highlight w:val="none"/>
              </w:rPr>
              <w:t>分</w:t>
            </w:r>
          </w:p>
        </w:tc>
        <w:tc>
          <w:tcPr>
            <w:tcW w:w="7307" w:type="dxa"/>
            <w:vAlign w:val="center"/>
          </w:tcPr>
          <w:p w14:paraId="002C8AB1">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1</w:t>
            </w:r>
            <w:r>
              <w:rPr>
                <w:rFonts w:ascii="Times New Roman" w:hAnsi="宋体" w:eastAsia="宋体" w:cs="Times New Roman"/>
                <w:color w:val="auto"/>
                <w:kern w:val="0"/>
                <w:sz w:val="21"/>
                <w:szCs w:val="21"/>
                <w:highlight w:val="none"/>
                <w:lang w:val="en-US" w:eastAsia="zh-CN" w:bidi="ar-SA"/>
              </w:rPr>
              <w:t>、</w:t>
            </w:r>
            <w:r>
              <w:rPr>
                <w:rFonts w:hint="eastAsia" w:ascii="Calibri" w:hAnsi="Calibri" w:eastAsia="宋体" w:cs="宋体"/>
                <w:color w:val="auto"/>
                <w:kern w:val="0"/>
                <w:sz w:val="21"/>
                <w:szCs w:val="20"/>
                <w:highlight w:val="none"/>
                <w:lang w:val="en-US" w:eastAsia="zh-CN" w:bidi="ar-SA"/>
              </w:rPr>
              <w:t>具有履行合同所必需的设备：</w:t>
            </w:r>
            <w:r>
              <w:rPr>
                <w:rFonts w:ascii="Times New Roman" w:hAnsi="宋体" w:eastAsia="宋体" w:cs="Times New Roman"/>
                <w:color w:val="auto"/>
                <w:kern w:val="0"/>
                <w:sz w:val="21"/>
                <w:szCs w:val="21"/>
                <w:highlight w:val="none"/>
                <w:lang w:val="en-US" w:eastAsia="zh-CN" w:bidi="ar-SA"/>
              </w:rPr>
              <w:t>投标人需配备一定运维专用车辆和工具等（需提供行驶证或租车协议等证明材料）。</w:t>
            </w:r>
            <w:r>
              <w:rPr>
                <w:rFonts w:hint="eastAsia" w:ascii="Times New Roman" w:hAnsi="宋体" w:eastAsia="宋体" w:cs="Times New Roman"/>
                <w:color w:val="auto"/>
                <w:kern w:val="0"/>
                <w:sz w:val="21"/>
                <w:szCs w:val="21"/>
                <w:highlight w:val="none"/>
                <w:lang w:val="en-US" w:eastAsia="zh-CN" w:bidi="ar-SA"/>
              </w:rPr>
              <w:t>提供1台得1分</w:t>
            </w:r>
            <w:r>
              <w:rPr>
                <w:rFonts w:ascii="Times New Roman" w:hAnsi="宋体" w:eastAsia="宋体" w:cs="Times New Roman"/>
                <w:color w:val="auto"/>
                <w:kern w:val="0"/>
                <w:sz w:val="21"/>
                <w:szCs w:val="21"/>
                <w:highlight w:val="none"/>
                <w:lang w:val="en-US" w:eastAsia="zh-CN" w:bidi="ar-SA"/>
              </w:rPr>
              <w:t>，最高得</w:t>
            </w:r>
            <w:r>
              <w:rPr>
                <w:rFonts w:hint="eastAsia" w:ascii="Times New Roman" w:hAnsi="Times New Roman" w:eastAsia="宋体" w:cs="Times New Roman"/>
                <w:color w:val="auto"/>
                <w:kern w:val="0"/>
                <w:sz w:val="21"/>
                <w:szCs w:val="21"/>
                <w:highlight w:val="none"/>
                <w:lang w:val="en-US" w:eastAsia="zh-CN" w:bidi="ar-SA"/>
              </w:rPr>
              <w:t>3</w:t>
            </w:r>
            <w:r>
              <w:rPr>
                <w:rFonts w:ascii="Times New Roman" w:hAnsi="宋体" w:eastAsia="宋体" w:cs="Times New Roman"/>
                <w:color w:val="auto"/>
                <w:kern w:val="0"/>
                <w:sz w:val="21"/>
                <w:szCs w:val="21"/>
                <w:highlight w:val="none"/>
                <w:lang w:val="en-US" w:eastAsia="zh-CN" w:bidi="ar-SA"/>
              </w:rPr>
              <w:t>分。</w:t>
            </w:r>
          </w:p>
          <w:p w14:paraId="1DC8D9E6">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2</w:t>
            </w:r>
            <w:r>
              <w:rPr>
                <w:rFonts w:ascii="Times New Roman" w:hAnsi="宋体" w:eastAsia="宋体" w:cs="Times New Roman"/>
                <w:color w:val="auto"/>
                <w:kern w:val="0"/>
                <w:sz w:val="21"/>
                <w:szCs w:val="21"/>
                <w:highlight w:val="none"/>
                <w:lang w:val="en-US" w:eastAsia="zh-CN" w:bidi="ar-SA"/>
              </w:rPr>
              <w:t>、为本项目配备的运维负责人</w:t>
            </w:r>
            <w:r>
              <w:rPr>
                <w:rFonts w:hint="eastAsia" w:ascii="Calibri" w:hAnsi="Calibri" w:eastAsia="宋体" w:cs="宋体"/>
                <w:kern w:val="0"/>
                <w:sz w:val="21"/>
                <w:szCs w:val="21"/>
                <w:highlight w:val="none"/>
                <w:lang w:val="en-US" w:eastAsia="zh-CN" w:bidi="ar"/>
              </w:rPr>
              <w:t>符合项目要求的</w:t>
            </w:r>
            <w:r>
              <w:rPr>
                <w:rFonts w:hint="eastAsia" w:ascii="Calibri" w:hAnsi="Calibri" w:eastAsia="宋体" w:cs="宋体"/>
                <w:color w:val="000000"/>
                <w:kern w:val="0"/>
                <w:sz w:val="21"/>
                <w:szCs w:val="21"/>
                <w:highlight w:val="none"/>
                <w:lang w:val="en-US" w:eastAsia="zh-CN" w:bidi="ar"/>
              </w:rPr>
              <w:t>同时，具备副高及以上技术职称，且具有</w:t>
            </w:r>
            <w:r>
              <w:rPr>
                <w:rFonts w:ascii="Times New Roman" w:hAnsi="宋体" w:eastAsia="宋体" w:cs="Times New Roman"/>
                <w:color w:val="auto"/>
                <w:kern w:val="0"/>
                <w:sz w:val="21"/>
                <w:szCs w:val="21"/>
                <w:highlight w:val="none"/>
                <w:lang w:val="en-US" w:eastAsia="zh-CN" w:bidi="ar-SA"/>
              </w:rPr>
              <w:t>中国环境监测总站</w:t>
            </w:r>
            <w:r>
              <w:rPr>
                <w:rFonts w:hint="eastAsia" w:ascii="Times New Roman" w:hAnsi="宋体" w:eastAsia="宋体" w:cs="Times New Roman"/>
                <w:color w:val="auto"/>
                <w:kern w:val="0"/>
                <w:sz w:val="21"/>
                <w:szCs w:val="21"/>
                <w:highlight w:val="none"/>
                <w:lang w:val="en-US" w:eastAsia="zh-CN" w:bidi="ar-SA"/>
              </w:rPr>
              <w:t>或者中国环境保护产业协会</w:t>
            </w:r>
            <w:r>
              <w:rPr>
                <w:rFonts w:ascii="Times New Roman" w:hAnsi="宋体" w:eastAsia="宋体" w:cs="Times New Roman"/>
                <w:color w:val="auto"/>
                <w:kern w:val="0"/>
                <w:sz w:val="21"/>
                <w:szCs w:val="21"/>
                <w:highlight w:val="none"/>
                <w:lang w:val="en-US" w:eastAsia="zh-CN" w:bidi="ar-SA"/>
              </w:rPr>
              <w:t>颁发的</w:t>
            </w:r>
            <w:r>
              <w:rPr>
                <w:rFonts w:hint="eastAsia" w:ascii="Times New Roman" w:hAnsi="宋体" w:eastAsia="宋体" w:cs="Times New Roman"/>
                <w:color w:val="auto"/>
                <w:kern w:val="0"/>
                <w:sz w:val="21"/>
                <w:szCs w:val="21"/>
                <w:highlight w:val="none"/>
                <w:lang w:val="en-US" w:eastAsia="zh-CN" w:bidi="ar-SA"/>
              </w:rPr>
              <w:t>环境空气相关运维资格</w:t>
            </w:r>
            <w:r>
              <w:rPr>
                <w:rFonts w:ascii="Times New Roman" w:hAnsi="宋体" w:eastAsia="宋体" w:cs="Times New Roman"/>
                <w:color w:val="auto"/>
                <w:kern w:val="0"/>
                <w:sz w:val="21"/>
                <w:szCs w:val="21"/>
                <w:highlight w:val="none"/>
                <w:lang w:val="en-US" w:eastAsia="zh-CN" w:bidi="ar-SA"/>
              </w:rPr>
              <w:t>证书的，得</w:t>
            </w:r>
            <w:r>
              <w:rPr>
                <w:rFonts w:hint="eastAsia" w:ascii="Times New Roman" w:hAnsi="Times New Roman" w:eastAsia="宋体" w:cs="Times New Roman"/>
                <w:color w:val="auto"/>
                <w:kern w:val="0"/>
                <w:sz w:val="21"/>
                <w:szCs w:val="21"/>
                <w:highlight w:val="none"/>
                <w:lang w:val="en-US" w:eastAsia="zh-CN" w:bidi="ar-SA"/>
              </w:rPr>
              <w:t>4</w:t>
            </w:r>
            <w:r>
              <w:rPr>
                <w:rFonts w:ascii="Times New Roman" w:hAnsi="宋体" w:eastAsia="宋体" w:cs="Times New Roman"/>
                <w:color w:val="auto"/>
                <w:kern w:val="0"/>
                <w:sz w:val="21"/>
                <w:szCs w:val="21"/>
                <w:highlight w:val="none"/>
                <w:lang w:val="en-US" w:eastAsia="zh-CN" w:bidi="ar-SA"/>
              </w:rPr>
              <w:t>分。</w:t>
            </w:r>
          </w:p>
          <w:p w14:paraId="2E6F0904">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3</w:t>
            </w:r>
            <w:r>
              <w:rPr>
                <w:rFonts w:ascii="Times New Roman" w:hAnsi="宋体" w:eastAsia="宋体" w:cs="Times New Roman"/>
                <w:color w:val="auto"/>
                <w:kern w:val="0"/>
                <w:sz w:val="21"/>
                <w:szCs w:val="21"/>
                <w:highlight w:val="none"/>
                <w:lang w:val="en-US" w:eastAsia="zh-CN" w:bidi="ar-SA"/>
              </w:rPr>
              <w:t>、为本项目配置的运维技术人员持有中国环境监测总站</w:t>
            </w:r>
            <w:r>
              <w:rPr>
                <w:rFonts w:hint="eastAsia" w:ascii="Times New Roman" w:hAnsi="宋体" w:eastAsia="宋体" w:cs="Times New Roman"/>
                <w:color w:val="auto"/>
                <w:kern w:val="0"/>
                <w:sz w:val="21"/>
                <w:szCs w:val="21"/>
                <w:highlight w:val="none"/>
                <w:lang w:val="en-US" w:eastAsia="zh-CN" w:bidi="ar-SA"/>
              </w:rPr>
              <w:t>或者中国环境保护产业协会</w:t>
            </w:r>
            <w:r>
              <w:rPr>
                <w:rFonts w:ascii="Times New Roman" w:hAnsi="宋体" w:eastAsia="宋体" w:cs="Times New Roman"/>
                <w:color w:val="auto"/>
                <w:kern w:val="0"/>
                <w:sz w:val="21"/>
                <w:szCs w:val="21"/>
                <w:highlight w:val="none"/>
                <w:lang w:val="en-US" w:eastAsia="zh-CN" w:bidi="ar-SA"/>
              </w:rPr>
              <w:t>颁发的</w:t>
            </w:r>
            <w:r>
              <w:rPr>
                <w:rFonts w:hint="eastAsia" w:ascii="Times New Roman" w:hAnsi="宋体" w:eastAsia="宋体" w:cs="Times New Roman"/>
                <w:color w:val="auto"/>
                <w:kern w:val="0"/>
                <w:sz w:val="21"/>
                <w:szCs w:val="21"/>
                <w:highlight w:val="none"/>
                <w:lang w:val="en-US" w:eastAsia="zh-CN" w:bidi="ar-SA"/>
              </w:rPr>
              <w:t>环境空气相关运维资格</w:t>
            </w:r>
            <w:r>
              <w:rPr>
                <w:rFonts w:ascii="Times New Roman" w:hAnsi="宋体" w:eastAsia="宋体" w:cs="Times New Roman"/>
                <w:color w:val="auto"/>
                <w:kern w:val="0"/>
                <w:sz w:val="21"/>
                <w:szCs w:val="21"/>
                <w:highlight w:val="none"/>
                <w:lang w:val="en-US" w:eastAsia="zh-CN" w:bidi="ar-SA"/>
              </w:rPr>
              <w:t>证书的，每个得</w:t>
            </w:r>
            <w:r>
              <w:rPr>
                <w:rFonts w:ascii="Times New Roman" w:hAnsi="Times New Roman" w:eastAsia="宋体" w:cs="Times New Roman"/>
                <w:color w:val="auto"/>
                <w:kern w:val="0"/>
                <w:sz w:val="21"/>
                <w:szCs w:val="21"/>
                <w:highlight w:val="none"/>
                <w:lang w:val="en-US" w:eastAsia="zh-CN" w:bidi="ar-SA"/>
              </w:rPr>
              <w:t>2</w:t>
            </w:r>
            <w:r>
              <w:rPr>
                <w:rFonts w:ascii="Times New Roman" w:hAnsi="宋体" w:eastAsia="宋体" w:cs="Times New Roman"/>
                <w:color w:val="auto"/>
                <w:kern w:val="0"/>
                <w:sz w:val="21"/>
                <w:szCs w:val="21"/>
                <w:highlight w:val="none"/>
                <w:lang w:val="en-US" w:eastAsia="zh-CN" w:bidi="ar-SA"/>
              </w:rPr>
              <w:t>分，最高得</w:t>
            </w:r>
            <w:r>
              <w:rPr>
                <w:rFonts w:ascii="Times New Roman" w:hAnsi="Times New Roman" w:eastAsia="宋体" w:cs="Times New Roman"/>
                <w:color w:val="auto"/>
                <w:kern w:val="0"/>
                <w:sz w:val="21"/>
                <w:szCs w:val="21"/>
                <w:highlight w:val="none"/>
                <w:lang w:val="en-US" w:eastAsia="zh-CN" w:bidi="ar-SA"/>
              </w:rPr>
              <w:t>6</w:t>
            </w:r>
            <w:r>
              <w:rPr>
                <w:rFonts w:ascii="Times New Roman" w:hAnsi="宋体" w:eastAsia="宋体" w:cs="Times New Roman"/>
                <w:color w:val="auto"/>
                <w:kern w:val="0"/>
                <w:sz w:val="21"/>
                <w:szCs w:val="21"/>
                <w:highlight w:val="none"/>
                <w:lang w:val="en-US" w:eastAsia="zh-CN" w:bidi="ar-SA"/>
              </w:rPr>
              <w:t>分；须提供技术人员的证书、劳动合同、近</w:t>
            </w:r>
            <w:r>
              <w:rPr>
                <w:rFonts w:ascii="Times New Roman" w:hAnsi="Times New Roman" w:eastAsia="宋体" w:cs="Times New Roman"/>
                <w:color w:val="auto"/>
                <w:kern w:val="0"/>
                <w:sz w:val="21"/>
                <w:szCs w:val="21"/>
                <w:highlight w:val="none"/>
                <w:lang w:val="en-US" w:eastAsia="zh-CN" w:bidi="ar-SA"/>
              </w:rPr>
              <w:t>3</w:t>
            </w:r>
            <w:r>
              <w:rPr>
                <w:rFonts w:ascii="Times New Roman" w:hAnsi="宋体" w:eastAsia="宋体" w:cs="Times New Roman"/>
                <w:color w:val="auto"/>
                <w:kern w:val="0"/>
                <w:sz w:val="21"/>
                <w:szCs w:val="21"/>
                <w:highlight w:val="none"/>
                <w:lang w:val="en-US" w:eastAsia="zh-CN" w:bidi="ar-SA"/>
              </w:rPr>
              <w:t>个月</w:t>
            </w:r>
            <w:r>
              <w:rPr>
                <w:rFonts w:hint="eastAsia" w:ascii="Times New Roman" w:hAnsi="宋体" w:eastAsia="宋体" w:cs="Times New Roman"/>
                <w:color w:val="auto"/>
                <w:kern w:val="0"/>
                <w:sz w:val="21"/>
                <w:szCs w:val="21"/>
                <w:highlight w:val="none"/>
                <w:lang w:val="en-US" w:eastAsia="zh-CN" w:bidi="ar-SA"/>
              </w:rPr>
              <w:t>内任意一个月</w:t>
            </w:r>
            <w:r>
              <w:rPr>
                <w:rFonts w:ascii="Times New Roman" w:hAnsi="宋体" w:eastAsia="宋体" w:cs="Times New Roman"/>
                <w:color w:val="auto"/>
                <w:kern w:val="0"/>
                <w:sz w:val="21"/>
                <w:szCs w:val="21"/>
                <w:highlight w:val="none"/>
                <w:lang w:val="en-US" w:eastAsia="zh-CN" w:bidi="ar-SA"/>
              </w:rPr>
              <w:t>社保缴费记录等相关证明材料。（复件加盖公章）</w:t>
            </w:r>
          </w:p>
          <w:p w14:paraId="01C5B1D0">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Times New Roman" w:eastAsia="宋体" w:cs="Times New Roman"/>
                <w:color w:val="auto"/>
                <w:kern w:val="0"/>
                <w:sz w:val="21"/>
                <w:szCs w:val="21"/>
                <w:highlight w:val="none"/>
                <w:lang w:val="en-US" w:eastAsia="zh-CN" w:bidi="ar-SA"/>
              </w:rPr>
              <w:t>4.</w:t>
            </w:r>
            <w:r>
              <w:rPr>
                <w:rFonts w:ascii="Times New Roman" w:hAnsi="宋体" w:eastAsia="宋体" w:cs="Times New Roman"/>
                <w:color w:val="auto"/>
                <w:kern w:val="0"/>
                <w:sz w:val="21"/>
                <w:szCs w:val="21"/>
                <w:highlight w:val="none"/>
                <w:lang w:val="en-US" w:eastAsia="zh-CN" w:bidi="ar-SA"/>
              </w:rPr>
              <w:t>投标人自有运维管理平台软件或智慧运营管理平台、同时具有环境突发事件应急响应与处置系统软件、环境监测综合管理移动端系统软件等类似运维管理平台软件自主开发证明的，每个</w:t>
            </w:r>
            <w:r>
              <w:rPr>
                <w:rFonts w:ascii="Times New Roman" w:hAnsi="Times New Roman" w:eastAsia="宋体" w:cs="Times New Roman"/>
                <w:color w:val="auto"/>
                <w:kern w:val="0"/>
                <w:sz w:val="21"/>
                <w:szCs w:val="21"/>
                <w:highlight w:val="none"/>
                <w:lang w:val="en-US" w:eastAsia="zh-CN" w:bidi="ar-SA"/>
              </w:rPr>
              <w:t>1</w:t>
            </w:r>
            <w:r>
              <w:rPr>
                <w:rFonts w:ascii="Times New Roman" w:hAnsi="宋体" w:eastAsia="宋体" w:cs="Times New Roman"/>
                <w:color w:val="auto"/>
                <w:kern w:val="0"/>
                <w:sz w:val="21"/>
                <w:szCs w:val="21"/>
                <w:highlight w:val="none"/>
                <w:lang w:val="en-US" w:eastAsia="zh-CN" w:bidi="ar-SA"/>
              </w:rPr>
              <w:t>分，最高可得</w:t>
            </w:r>
            <w:r>
              <w:rPr>
                <w:rFonts w:ascii="Times New Roman" w:hAnsi="Times New Roman" w:eastAsia="宋体" w:cs="Times New Roman"/>
                <w:color w:val="auto"/>
                <w:kern w:val="0"/>
                <w:sz w:val="21"/>
                <w:szCs w:val="21"/>
                <w:highlight w:val="none"/>
                <w:lang w:val="en-US" w:eastAsia="zh-CN" w:bidi="ar-SA"/>
              </w:rPr>
              <w:t>2</w:t>
            </w:r>
            <w:r>
              <w:rPr>
                <w:rFonts w:ascii="Times New Roman" w:hAnsi="宋体" w:eastAsia="宋体" w:cs="Times New Roman"/>
                <w:color w:val="auto"/>
                <w:kern w:val="0"/>
                <w:sz w:val="21"/>
                <w:szCs w:val="21"/>
                <w:highlight w:val="none"/>
                <w:lang w:val="en-US" w:eastAsia="zh-CN" w:bidi="ar-SA"/>
              </w:rPr>
              <w:t>分。（自主开发软件证明包括软件著作权或软件知识产权证明等，提供证书复印件并加盖投标人公章证明，否则不得分）。</w:t>
            </w:r>
          </w:p>
        </w:tc>
      </w:tr>
      <w:tr w14:paraId="4D1C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3BDDED7A">
            <w:pPr>
              <w:spacing w:line="276" w:lineRule="auto"/>
              <w:ind w:firstLine="0"/>
              <w:jc w:val="center"/>
              <w:rPr>
                <w:color w:val="auto"/>
                <w:kern w:val="2"/>
                <w:szCs w:val="21"/>
                <w:highlight w:val="none"/>
              </w:rPr>
            </w:pPr>
            <w:r>
              <w:rPr>
                <w:rFonts w:hAnsi="宋体"/>
                <w:color w:val="auto"/>
                <w:kern w:val="2"/>
                <w:szCs w:val="21"/>
                <w:highlight w:val="none"/>
              </w:rPr>
              <w:t>业绩证明</w:t>
            </w:r>
          </w:p>
        </w:tc>
        <w:tc>
          <w:tcPr>
            <w:tcW w:w="709" w:type="dxa"/>
            <w:vAlign w:val="center"/>
          </w:tcPr>
          <w:p w14:paraId="200F9188">
            <w:pPr>
              <w:spacing w:line="276" w:lineRule="auto"/>
              <w:ind w:firstLine="0"/>
              <w:jc w:val="center"/>
              <w:rPr>
                <w:color w:val="auto"/>
                <w:kern w:val="2"/>
                <w:szCs w:val="21"/>
                <w:highlight w:val="none"/>
              </w:rPr>
            </w:pPr>
            <w:r>
              <w:rPr>
                <w:rFonts w:hint="eastAsia" w:ascii="Times New Roman" w:eastAsia="宋体"/>
                <w:color w:val="auto"/>
                <w:kern w:val="2"/>
                <w:szCs w:val="21"/>
                <w:highlight w:val="none"/>
                <w:lang w:val="en-US" w:eastAsia="zh-CN"/>
              </w:rPr>
              <w:t>6</w:t>
            </w:r>
            <w:r>
              <w:rPr>
                <w:rFonts w:hAnsi="宋体"/>
                <w:color w:val="auto"/>
                <w:kern w:val="0"/>
                <w:szCs w:val="21"/>
                <w:highlight w:val="none"/>
              </w:rPr>
              <w:t>分</w:t>
            </w:r>
          </w:p>
        </w:tc>
        <w:tc>
          <w:tcPr>
            <w:tcW w:w="7307" w:type="dxa"/>
            <w:vAlign w:val="center"/>
          </w:tcPr>
          <w:p w14:paraId="2163FF7C">
            <w:pPr>
              <w:widowControl/>
              <w:spacing w:line="240" w:lineRule="auto"/>
              <w:ind w:firstLine="0"/>
              <w:jc w:val="left"/>
              <w:rPr>
                <w:color w:val="auto"/>
                <w:kern w:val="0"/>
                <w:szCs w:val="21"/>
                <w:highlight w:val="none"/>
              </w:rPr>
            </w:pPr>
            <w:r>
              <w:rPr>
                <w:rFonts w:hAnsi="宋体"/>
                <w:color w:val="auto"/>
                <w:kern w:val="0"/>
                <w:szCs w:val="21"/>
                <w:highlight w:val="none"/>
              </w:rPr>
              <w:t>投标人须提供</w:t>
            </w:r>
            <w:r>
              <w:rPr>
                <w:color w:val="auto"/>
                <w:kern w:val="0"/>
                <w:szCs w:val="21"/>
                <w:highlight w:val="none"/>
              </w:rPr>
              <w:t xml:space="preserve"> 2</w:t>
            </w:r>
            <w:r>
              <w:rPr>
                <w:rFonts w:hint="eastAsia" w:ascii="Times New Roman" w:eastAsia="宋体"/>
                <w:color w:val="auto"/>
                <w:kern w:val="0"/>
                <w:szCs w:val="21"/>
                <w:highlight w:val="none"/>
                <w:lang w:val="en-US" w:eastAsia="zh-CN"/>
              </w:rPr>
              <w:t>024</w:t>
            </w:r>
            <w:r>
              <w:rPr>
                <w:rFonts w:hAnsi="宋体"/>
                <w:color w:val="auto"/>
                <w:kern w:val="0"/>
                <w:szCs w:val="21"/>
                <w:highlight w:val="none"/>
              </w:rPr>
              <w:t>年</w:t>
            </w:r>
            <w:r>
              <w:rPr>
                <w:color w:val="auto"/>
                <w:kern w:val="0"/>
                <w:szCs w:val="21"/>
                <w:highlight w:val="none"/>
              </w:rPr>
              <w:t xml:space="preserve"> 1 </w:t>
            </w:r>
            <w:r>
              <w:rPr>
                <w:rFonts w:hAnsi="宋体"/>
                <w:color w:val="auto"/>
                <w:kern w:val="0"/>
                <w:szCs w:val="21"/>
                <w:highlight w:val="none"/>
              </w:rPr>
              <w:t>月</w:t>
            </w:r>
            <w:r>
              <w:rPr>
                <w:color w:val="auto"/>
                <w:kern w:val="0"/>
                <w:szCs w:val="21"/>
                <w:highlight w:val="none"/>
              </w:rPr>
              <w:t xml:space="preserve"> 1 </w:t>
            </w:r>
            <w:r>
              <w:rPr>
                <w:rFonts w:hAnsi="宋体"/>
                <w:color w:val="auto"/>
                <w:kern w:val="0"/>
                <w:szCs w:val="21"/>
                <w:highlight w:val="none"/>
              </w:rPr>
              <w:t>日起至今（以合同签署日期为准）同类运维项目业绩合同，</w:t>
            </w:r>
            <w:r>
              <w:rPr>
                <w:rFonts w:hint="eastAsia"/>
                <w:kern w:val="2"/>
                <w:szCs w:val="21"/>
                <w:highlight w:val="none"/>
                <w:lang w:bidi="ar"/>
              </w:rPr>
              <w:t>提供1份合同得</w:t>
            </w:r>
            <w:r>
              <w:rPr>
                <w:kern w:val="2"/>
                <w:szCs w:val="21"/>
                <w:highlight w:val="none"/>
                <w:lang w:bidi="ar"/>
              </w:rPr>
              <w:t>1</w:t>
            </w:r>
            <w:r>
              <w:rPr>
                <w:rFonts w:hint="eastAsia" w:ascii="Times New Roman" w:eastAsia="宋体"/>
                <w:kern w:val="2"/>
                <w:szCs w:val="21"/>
                <w:highlight w:val="none"/>
                <w:lang w:val="en-US" w:eastAsia="zh-CN" w:bidi="ar"/>
              </w:rPr>
              <w:t>.5</w:t>
            </w:r>
            <w:r>
              <w:rPr>
                <w:rFonts w:hint="eastAsia"/>
                <w:kern w:val="2"/>
                <w:szCs w:val="21"/>
                <w:highlight w:val="none"/>
                <w:lang w:bidi="ar"/>
              </w:rPr>
              <w:t>分，最高得</w:t>
            </w:r>
            <w:r>
              <w:rPr>
                <w:rFonts w:hint="eastAsia" w:ascii="Times New Roman" w:eastAsia="宋体"/>
                <w:kern w:val="2"/>
                <w:szCs w:val="21"/>
                <w:highlight w:val="none"/>
                <w:lang w:val="en-US" w:eastAsia="zh-CN" w:bidi="ar"/>
              </w:rPr>
              <w:t>6</w:t>
            </w:r>
            <w:r>
              <w:rPr>
                <w:rFonts w:hint="eastAsia"/>
                <w:kern w:val="2"/>
                <w:szCs w:val="21"/>
                <w:highlight w:val="none"/>
                <w:lang w:bidi="ar"/>
              </w:rPr>
              <w:t>分</w:t>
            </w:r>
            <w:r>
              <w:rPr>
                <w:rFonts w:hAnsi="宋体"/>
                <w:color w:val="auto"/>
                <w:kern w:val="0"/>
                <w:szCs w:val="21"/>
                <w:highlight w:val="none"/>
              </w:rPr>
              <w:t>。</w:t>
            </w:r>
            <w:r>
              <w:rPr>
                <w:color w:val="auto"/>
                <w:kern w:val="0"/>
                <w:szCs w:val="21"/>
                <w:highlight w:val="none"/>
              </w:rPr>
              <w:t xml:space="preserve"> </w:t>
            </w:r>
          </w:p>
          <w:p w14:paraId="1C3C64F6">
            <w:pPr>
              <w:widowControl/>
              <w:spacing w:line="240" w:lineRule="auto"/>
              <w:ind w:firstLine="0"/>
              <w:jc w:val="left"/>
              <w:rPr>
                <w:color w:val="auto"/>
                <w:kern w:val="0"/>
                <w:szCs w:val="21"/>
                <w:highlight w:val="none"/>
              </w:rPr>
            </w:pPr>
            <w:r>
              <w:rPr>
                <w:rFonts w:hAnsi="宋体"/>
                <w:color w:val="auto"/>
                <w:kern w:val="0"/>
                <w:szCs w:val="21"/>
                <w:highlight w:val="none"/>
              </w:rPr>
              <w:t>注：上述业绩须为至少包含《环境空气质量标准》（</w:t>
            </w:r>
            <w:r>
              <w:rPr>
                <w:color w:val="auto"/>
                <w:kern w:val="0"/>
                <w:szCs w:val="21"/>
                <w:highlight w:val="none"/>
              </w:rPr>
              <w:t>GB3095-2012</w:t>
            </w:r>
            <w:r>
              <w:rPr>
                <w:rFonts w:hAnsi="宋体"/>
                <w:color w:val="auto"/>
                <w:kern w:val="0"/>
                <w:szCs w:val="21"/>
                <w:highlight w:val="none"/>
              </w:rPr>
              <w:t>）</w:t>
            </w:r>
            <w:r>
              <w:rPr>
                <w:color w:val="auto"/>
                <w:kern w:val="0"/>
                <w:szCs w:val="21"/>
                <w:highlight w:val="none"/>
              </w:rPr>
              <w:t xml:space="preserve"> </w:t>
            </w:r>
            <w:r>
              <w:rPr>
                <w:rFonts w:hAnsi="宋体"/>
                <w:color w:val="auto"/>
                <w:kern w:val="0"/>
                <w:szCs w:val="21"/>
                <w:highlight w:val="none"/>
              </w:rPr>
              <w:t>全部</w:t>
            </w:r>
            <w:r>
              <w:rPr>
                <w:color w:val="auto"/>
                <w:kern w:val="0"/>
                <w:szCs w:val="21"/>
                <w:highlight w:val="none"/>
              </w:rPr>
              <w:t xml:space="preserve"> 6 </w:t>
            </w:r>
            <w:r>
              <w:rPr>
                <w:rFonts w:hAnsi="宋体"/>
                <w:color w:val="auto"/>
                <w:kern w:val="0"/>
                <w:szCs w:val="21"/>
                <w:highlight w:val="none"/>
              </w:rPr>
              <w:t>项基本项目（</w:t>
            </w:r>
            <w:r>
              <w:rPr>
                <w:color w:val="auto"/>
                <w:kern w:val="0"/>
                <w:szCs w:val="21"/>
                <w:highlight w:val="none"/>
              </w:rPr>
              <w:t>PM10</w:t>
            </w:r>
            <w:r>
              <w:rPr>
                <w:rFonts w:hAnsi="宋体"/>
                <w:color w:val="auto"/>
                <w:kern w:val="0"/>
                <w:szCs w:val="21"/>
                <w:highlight w:val="none"/>
              </w:rPr>
              <w:t>、</w:t>
            </w:r>
            <w:r>
              <w:rPr>
                <w:color w:val="auto"/>
                <w:kern w:val="0"/>
                <w:szCs w:val="21"/>
                <w:highlight w:val="none"/>
              </w:rPr>
              <w:t>PM2.5</w:t>
            </w:r>
            <w:r>
              <w:rPr>
                <w:rFonts w:hAnsi="宋体"/>
                <w:color w:val="auto"/>
                <w:kern w:val="0"/>
                <w:szCs w:val="21"/>
                <w:highlight w:val="none"/>
              </w:rPr>
              <w:t>、</w:t>
            </w:r>
            <w:r>
              <w:rPr>
                <w:color w:val="auto"/>
                <w:kern w:val="0"/>
                <w:szCs w:val="21"/>
                <w:highlight w:val="none"/>
              </w:rPr>
              <w:t>SO2</w:t>
            </w:r>
            <w:r>
              <w:rPr>
                <w:rFonts w:hAnsi="宋体"/>
                <w:color w:val="auto"/>
                <w:kern w:val="0"/>
                <w:szCs w:val="21"/>
                <w:highlight w:val="none"/>
              </w:rPr>
              <w:t>、</w:t>
            </w:r>
            <w:r>
              <w:rPr>
                <w:color w:val="auto"/>
                <w:kern w:val="0"/>
                <w:szCs w:val="21"/>
                <w:highlight w:val="none"/>
              </w:rPr>
              <w:t>NO2</w:t>
            </w:r>
            <w:r>
              <w:rPr>
                <w:rFonts w:hAnsi="宋体"/>
                <w:color w:val="auto"/>
                <w:kern w:val="0"/>
                <w:szCs w:val="21"/>
                <w:highlight w:val="none"/>
              </w:rPr>
              <w:t>、</w:t>
            </w:r>
            <w:r>
              <w:rPr>
                <w:color w:val="auto"/>
                <w:kern w:val="0"/>
                <w:szCs w:val="21"/>
                <w:highlight w:val="none"/>
              </w:rPr>
              <w:t xml:space="preserve">CO </w:t>
            </w:r>
            <w:r>
              <w:rPr>
                <w:rFonts w:hAnsi="宋体"/>
                <w:color w:val="auto"/>
                <w:kern w:val="0"/>
                <w:szCs w:val="21"/>
                <w:highlight w:val="none"/>
              </w:rPr>
              <w:t>和</w:t>
            </w:r>
            <w:r>
              <w:rPr>
                <w:color w:val="auto"/>
                <w:kern w:val="0"/>
                <w:szCs w:val="21"/>
                <w:highlight w:val="none"/>
              </w:rPr>
              <w:t xml:space="preserve"> O3</w:t>
            </w:r>
            <w:r>
              <w:rPr>
                <w:rFonts w:hAnsi="宋体"/>
                <w:color w:val="auto"/>
                <w:kern w:val="0"/>
                <w:szCs w:val="21"/>
                <w:highlight w:val="none"/>
              </w:rPr>
              <w:t>）的空气站或超级站（背景站、区域站）类运维或质控业绩，不包含基于光散射法的小微站（网格化站点）的运维或质控业绩。</w:t>
            </w:r>
          </w:p>
          <w:p w14:paraId="740C1F92">
            <w:pPr>
              <w:widowControl w:val="0"/>
              <w:adjustRightInd/>
              <w:snapToGrid/>
              <w:spacing w:line="276" w:lineRule="auto"/>
              <w:jc w:val="left"/>
              <w:rPr>
                <w:rFonts w:ascii="Times New Roman" w:hAnsi="Times New Roman" w:eastAsia="宋体" w:cs="Times New Roman"/>
                <w:color w:val="auto"/>
                <w:kern w:val="0"/>
                <w:sz w:val="21"/>
                <w:szCs w:val="21"/>
                <w:highlight w:val="none"/>
                <w:lang w:val="en-US" w:eastAsia="zh-CN" w:bidi="ar-SA"/>
              </w:rPr>
            </w:pPr>
            <w:r>
              <w:rPr>
                <w:rFonts w:ascii="Times New Roman" w:hAnsi="宋体" w:eastAsia="宋体" w:cs="Times New Roman"/>
                <w:color w:val="auto"/>
                <w:kern w:val="0"/>
                <w:sz w:val="21"/>
                <w:szCs w:val="21"/>
                <w:highlight w:val="none"/>
                <w:lang w:val="en-US" w:eastAsia="zh-CN" w:bidi="ar-SA"/>
              </w:rPr>
              <w:t>提供中标通知书及合同复印件（涉及商业机密的可自行屏蔽处理）并加盖公章。</w:t>
            </w:r>
          </w:p>
        </w:tc>
      </w:tr>
      <w:tr w14:paraId="46AD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9" w:type="dxa"/>
            <w:gridSpan w:val="3"/>
            <w:vAlign w:val="center"/>
          </w:tcPr>
          <w:p w14:paraId="73C76F3A">
            <w:pPr>
              <w:widowControl/>
              <w:spacing w:line="276" w:lineRule="auto"/>
              <w:ind w:firstLine="0"/>
              <w:jc w:val="left"/>
              <w:rPr>
                <w:color w:val="auto"/>
                <w:kern w:val="2"/>
                <w:szCs w:val="21"/>
                <w:highlight w:val="none"/>
              </w:rPr>
            </w:pPr>
            <w:r>
              <w:rPr>
                <w:b/>
                <w:color w:val="auto"/>
                <w:kern w:val="2"/>
                <w:sz w:val="24"/>
                <w:szCs w:val="21"/>
                <w:highlight w:val="none"/>
              </w:rPr>
              <w:t>技术部分（</w:t>
            </w:r>
            <w:r>
              <w:rPr>
                <w:rFonts w:hint="eastAsia" w:ascii="Times New Roman" w:eastAsia="宋体"/>
                <w:b/>
                <w:color w:val="auto"/>
                <w:kern w:val="2"/>
                <w:sz w:val="24"/>
                <w:szCs w:val="21"/>
                <w:highlight w:val="none"/>
                <w:lang w:val="en-US" w:eastAsia="zh-CN"/>
              </w:rPr>
              <w:t>39</w:t>
            </w:r>
            <w:r>
              <w:rPr>
                <w:b/>
                <w:color w:val="auto"/>
                <w:kern w:val="2"/>
                <w:sz w:val="24"/>
                <w:szCs w:val="21"/>
                <w:highlight w:val="none"/>
              </w:rPr>
              <w:t>分）</w:t>
            </w:r>
          </w:p>
        </w:tc>
      </w:tr>
      <w:tr w14:paraId="2361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19141EA4">
            <w:pPr>
              <w:spacing w:line="276" w:lineRule="auto"/>
              <w:ind w:firstLine="0"/>
              <w:jc w:val="center"/>
              <w:rPr>
                <w:color w:val="auto"/>
                <w:kern w:val="2"/>
                <w:szCs w:val="21"/>
                <w:highlight w:val="none"/>
              </w:rPr>
            </w:pPr>
            <w:r>
              <w:rPr>
                <w:rFonts w:hAnsi="宋体"/>
                <w:color w:val="auto"/>
                <w:kern w:val="2"/>
                <w:szCs w:val="21"/>
                <w:highlight w:val="none"/>
              </w:rPr>
              <w:t>运维方案</w:t>
            </w:r>
          </w:p>
        </w:tc>
        <w:tc>
          <w:tcPr>
            <w:tcW w:w="709" w:type="dxa"/>
            <w:vAlign w:val="center"/>
          </w:tcPr>
          <w:p w14:paraId="4AAD687A">
            <w:pPr>
              <w:spacing w:line="276" w:lineRule="auto"/>
              <w:ind w:firstLine="0"/>
              <w:jc w:val="center"/>
              <w:rPr>
                <w:color w:val="auto"/>
                <w:kern w:val="2"/>
                <w:szCs w:val="21"/>
                <w:highlight w:val="none"/>
              </w:rPr>
            </w:pPr>
            <w:r>
              <w:rPr>
                <w:color w:val="auto"/>
                <w:kern w:val="2"/>
                <w:szCs w:val="21"/>
                <w:highlight w:val="none"/>
              </w:rPr>
              <w:t>1</w:t>
            </w:r>
            <w:r>
              <w:rPr>
                <w:rFonts w:hint="eastAsia" w:ascii="Times New Roman" w:eastAsia="宋体"/>
                <w:color w:val="auto"/>
                <w:kern w:val="2"/>
                <w:szCs w:val="21"/>
                <w:highlight w:val="none"/>
                <w:lang w:val="en-US" w:eastAsia="zh-CN"/>
              </w:rPr>
              <w:t>0</w:t>
            </w:r>
            <w:r>
              <w:rPr>
                <w:rFonts w:hAnsi="宋体"/>
                <w:color w:val="auto"/>
                <w:kern w:val="0"/>
                <w:szCs w:val="21"/>
                <w:highlight w:val="none"/>
              </w:rPr>
              <w:t>分</w:t>
            </w:r>
          </w:p>
        </w:tc>
        <w:tc>
          <w:tcPr>
            <w:tcW w:w="7307" w:type="dxa"/>
            <w:vAlign w:val="center"/>
          </w:tcPr>
          <w:p w14:paraId="0552BFF4">
            <w:pPr>
              <w:widowControl/>
              <w:spacing w:line="276" w:lineRule="auto"/>
              <w:ind w:firstLine="0"/>
              <w:jc w:val="left"/>
              <w:rPr>
                <w:color w:val="auto"/>
                <w:kern w:val="2"/>
                <w:szCs w:val="21"/>
                <w:highlight w:val="none"/>
              </w:rPr>
            </w:pPr>
            <w:r>
              <w:rPr>
                <w:rFonts w:hAnsi="宋体"/>
                <w:color w:val="auto"/>
                <w:kern w:val="2"/>
                <w:szCs w:val="21"/>
                <w:highlight w:val="none"/>
              </w:rPr>
              <w:t>投标人提供详细的运维实施方案，包括但不限于：</w:t>
            </w:r>
          </w:p>
          <w:p w14:paraId="7AB5B248">
            <w:pPr>
              <w:widowControl/>
              <w:spacing w:line="276" w:lineRule="auto"/>
              <w:ind w:firstLine="0"/>
              <w:jc w:val="left"/>
              <w:rPr>
                <w:color w:val="auto"/>
                <w:kern w:val="2"/>
                <w:szCs w:val="21"/>
                <w:highlight w:val="none"/>
              </w:rPr>
            </w:pPr>
            <w:r>
              <w:rPr>
                <w:rFonts w:hAnsi="宋体"/>
                <w:color w:val="auto"/>
                <w:kern w:val="2"/>
                <w:szCs w:val="21"/>
                <w:highlight w:val="none"/>
              </w:rPr>
              <w:t>①日常管理制度；</w:t>
            </w:r>
          </w:p>
          <w:p w14:paraId="3F5AA2A4">
            <w:pPr>
              <w:widowControl/>
              <w:spacing w:line="276" w:lineRule="auto"/>
              <w:ind w:firstLine="0"/>
              <w:jc w:val="left"/>
              <w:rPr>
                <w:color w:val="auto"/>
                <w:kern w:val="2"/>
                <w:szCs w:val="21"/>
                <w:highlight w:val="none"/>
              </w:rPr>
            </w:pPr>
            <w:r>
              <w:rPr>
                <w:rFonts w:hAnsi="宋体"/>
                <w:color w:val="auto"/>
                <w:kern w:val="2"/>
                <w:szCs w:val="21"/>
                <w:highlight w:val="none"/>
              </w:rPr>
              <w:t>②备品备件保障；</w:t>
            </w:r>
          </w:p>
          <w:p w14:paraId="3C977228">
            <w:pPr>
              <w:widowControl/>
              <w:spacing w:line="276" w:lineRule="auto"/>
              <w:ind w:firstLine="0"/>
              <w:jc w:val="left"/>
              <w:rPr>
                <w:color w:val="auto"/>
                <w:kern w:val="2"/>
                <w:szCs w:val="21"/>
                <w:highlight w:val="none"/>
              </w:rPr>
            </w:pPr>
            <w:r>
              <w:rPr>
                <w:rFonts w:hAnsi="宋体"/>
                <w:color w:val="auto"/>
                <w:kern w:val="2"/>
                <w:szCs w:val="21"/>
                <w:highlight w:val="none"/>
              </w:rPr>
              <w:t>③管理体系文件；</w:t>
            </w:r>
          </w:p>
          <w:p w14:paraId="66747A2C">
            <w:pPr>
              <w:widowControl/>
              <w:spacing w:line="276" w:lineRule="auto"/>
              <w:ind w:firstLine="0"/>
              <w:jc w:val="left"/>
              <w:rPr>
                <w:color w:val="auto"/>
                <w:kern w:val="2"/>
                <w:szCs w:val="21"/>
                <w:highlight w:val="none"/>
              </w:rPr>
            </w:pPr>
            <w:r>
              <w:rPr>
                <w:rFonts w:hAnsi="宋体"/>
                <w:color w:val="auto"/>
                <w:kern w:val="2"/>
                <w:szCs w:val="21"/>
                <w:highlight w:val="none"/>
              </w:rPr>
              <w:t>④运维质量考核办法；</w:t>
            </w:r>
          </w:p>
          <w:p w14:paraId="20B0AF0E">
            <w:pPr>
              <w:widowControl/>
              <w:spacing w:line="276" w:lineRule="auto"/>
              <w:ind w:firstLine="0"/>
              <w:jc w:val="left"/>
              <w:rPr>
                <w:color w:val="auto"/>
                <w:kern w:val="2"/>
                <w:szCs w:val="21"/>
                <w:highlight w:val="none"/>
              </w:rPr>
            </w:pPr>
            <w:r>
              <w:rPr>
                <w:rFonts w:hAnsi="宋体"/>
                <w:color w:val="auto"/>
                <w:kern w:val="2"/>
                <w:szCs w:val="21"/>
                <w:highlight w:val="none"/>
              </w:rPr>
              <w:t>⑤标准气体管理及故障维修。</w:t>
            </w:r>
          </w:p>
          <w:p w14:paraId="56CE8098">
            <w:pPr>
              <w:widowControl/>
              <w:spacing w:line="276" w:lineRule="auto"/>
              <w:ind w:firstLine="0"/>
              <w:jc w:val="left"/>
              <w:rPr>
                <w:color w:val="auto"/>
                <w:kern w:val="2"/>
                <w:szCs w:val="21"/>
                <w:highlight w:val="none"/>
              </w:rPr>
            </w:pPr>
            <w:r>
              <w:rPr>
                <w:rFonts w:hint="eastAsia" w:ascii="Times New Roman" w:eastAsia="宋体"/>
                <w:color w:val="auto"/>
                <w:kern w:val="2"/>
                <w:szCs w:val="21"/>
                <w:highlight w:val="none"/>
                <w:lang w:val="en-US" w:eastAsia="zh-CN"/>
              </w:rPr>
              <w:t>以上</w:t>
            </w:r>
            <w:r>
              <w:rPr>
                <w:rFonts w:hint="eastAsia"/>
                <w:color w:val="auto"/>
                <w:kern w:val="2"/>
                <w:szCs w:val="21"/>
                <w:highlight w:val="none"/>
              </w:rPr>
              <w:t>每项方案</w:t>
            </w:r>
            <w:r>
              <w:rPr>
                <w:rFonts w:hint="eastAsia" w:ascii="Times New Roman" w:eastAsia="宋体"/>
                <w:color w:val="auto"/>
                <w:kern w:val="2"/>
                <w:szCs w:val="21"/>
                <w:highlight w:val="none"/>
                <w:lang w:val="en-US" w:eastAsia="zh-CN"/>
              </w:rPr>
              <w:t>符合本次采购需求</w:t>
            </w:r>
            <w:r>
              <w:rPr>
                <w:rFonts w:hint="eastAsia"/>
                <w:color w:val="auto"/>
                <w:kern w:val="2"/>
                <w:szCs w:val="21"/>
                <w:highlight w:val="none"/>
              </w:rPr>
              <w:t>的计</w:t>
            </w:r>
            <w:r>
              <w:rPr>
                <w:rFonts w:hint="eastAsia" w:ascii="Times New Roman" w:eastAsia="宋体"/>
                <w:color w:val="auto"/>
                <w:kern w:val="2"/>
                <w:szCs w:val="21"/>
                <w:highlight w:val="none"/>
                <w:lang w:val="en-US" w:eastAsia="zh-CN"/>
              </w:rPr>
              <w:t>2</w:t>
            </w:r>
            <w:r>
              <w:rPr>
                <w:rFonts w:hint="eastAsia"/>
                <w:color w:val="auto"/>
                <w:kern w:val="2"/>
                <w:szCs w:val="21"/>
                <w:highlight w:val="none"/>
              </w:rPr>
              <w:t>分，</w:t>
            </w:r>
            <w:r>
              <w:rPr>
                <w:rFonts w:hint="eastAsia"/>
                <w:color w:val="auto"/>
                <w:kern w:val="2"/>
                <w:szCs w:val="21"/>
                <w:highlight w:val="none"/>
                <w:lang w:val="en-US" w:eastAsia="zh-CN"/>
              </w:rPr>
              <w:t>欠</w:t>
            </w:r>
            <w:r>
              <w:rPr>
                <w:rFonts w:hint="eastAsia"/>
                <w:color w:val="auto"/>
                <w:kern w:val="2"/>
                <w:szCs w:val="21"/>
                <w:highlight w:val="none"/>
              </w:rPr>
              <w:t>合理的</w:t>
            </w:r>
            <w:r>
              <w:rPr>
                <w:rFonts w:hint="eastAsia" w:ascii="Times New Roman" w:eastAsia="宋体"/>
                <w:color w:val="auto"/>
                <w:kern w:val="2"/>
                <w:szCs w:val="21"/>
                <w:highlight w:val="none"/>
                <w:lang w:val="en-US" w:eastAsia="zh-CN"/>
              </w:rPr>
              <w:t>得0.5</w:t>
            </w:r>
            <w:r>
              <w:rPr>
                <w:rFonts w:hint="eastAsia"/>
                <w:color w:val="auto"/>
                <w:kern w:val="2"/>
                <w:szCs w:val="21"/>
                <w:highlight w:val="none"/>
              </w:rPr>
              <w:t>分，未提供的不计分。</w:t>
            </w:r>
          </w:p>
        </w:tc>
      </w:tr>
      <w:tr w14:paraId="4F04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4C610C8D">
            <w:pPr>
              <w:spacing w:line="276" w:lineRule="auto"/>
              <w:ind w:firstLine="0"/>
              <w:jc w:val="center"/>
              <w:rPr>
                <w:color w:val="auto"/>
                <w:kern w:val="2"/>
                <w:szCs w:val="21"/>
                <w:highlight w:val="none"/>
              </w:rPr>
            </w:pPr>
            <w:r>
              <w:rPr>
                <w:rFonts w:hAnsi="宋体"/>
                <w:color w:val="auto"/>
                <w:kern w:val="2"/>
                <w:szCs w:val="21"/>
                <w:highlight w:val="none"/>
              </w:rPr>
              <w:t>质控方案</w:t>
            </w:r>
          </w:p>
        </w:tc>
        <w:tc>
          <w:tcPr>
            <w:tcW w:w="709" w:type="dxa"/>
            <w:vAlign w:val="center"/>
          </w:tcPr>
          <w:p w14:paraId="67054D2B">
            <w:pPr>
              <w:spacing w:line="276" w:lineRule="auto"/>
              <w:ind w:firstLine="0"/>
              <w:jc w:val="center"/>
              <w:rPr>
                <w:color w:val="auto"/>
                <w:kern w:val="2"/>
                <w:szCs w:val="21"/>
                <w:highlight w:val="none"/>
              </w:rPr>
            </w:pPr>
            <w:r>
              <w:rPr>
                <w:color w:val="auto"/>
                <w:kern w:val="0"/>
                <w:szCs w:val="21"/>
                <w:highlight w:val="none"/>
              </w:rPr>
              <w:t>1</w:t>
            </w:r>
            <w:r>
              <w:rPr>
                <w:rFonts w:hint="eastAsia" w:ascii="Times New Roman" w:eastAsia="宋体"/>
                <w:color w:val="auto"/>
                <w:kern w:val="0"/>
                <w:szCs w:val="21"/>
                <w:highlight w:val="none"/>
                <w:lang w:val="en-US" w:eastAsia="zh-CN"/>
              </w:rPr>
              <w:t>0</w:t>
            </w:r>
            <w:r>
              <w:rPr>
                <w:rFonts w:hAnsi="宋体"/>
                <w:color w:val="auto"/>
                <w:kern w:val="0"/>
                <w:szCs w:val="21"/>
                <w:highlight w:val="none"/>
              </w:rPr>
              <w:t>分</w:t>
            </w:r>
          </w:p>
        </w:tc>
        <w:tc>
          <w:tcPr>
            <w:tcW w:w="7307" w:type="dxa"/>
            <w:vAlign w:val="center"/>
          </w:tcPr>
          <w:p w14:paraId="692BDBE5">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根据投标人承诺按照计划开展质控工作，并提供质控方案，根据质控方案的编写情况，编写内容需包括：</w:t>
            </w:r>
          </w:p>
          <w:p w14:paraId="661CFF7C">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①运维质量控制体系管理；</w:t>
            </w:r>
          </w:p>
          <w:p w14:paraId="7FB7024D">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②质量控制计划；</w:t>
            </w:r>
          </w:p>
          <w:p w14:paraId="3C83E3AF">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③质量控制内容；</w:t>
            </w:r>
          </w:p>
          <w:p w14:paraId="77D95631">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④质量保证措施；</w:t>
            </w:r>
          </w:p>
          <w:p w14:paraId="2617E143">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⑤异常数据的审核与校验控制等内容；</w:t>
            </w:r>
          </w:p>
          <w:p w14:paraId="63C6846E">
            <w:pPr>
              <w:widowControl w:val="0"/>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以上每项方案符合本次采购需求的计2分，</w:t>
            </w:r>
            <w:r>
              <w:rPr>
                <w:rFonts w:hint="eastAsia"/>
                <w:color w:val="auto"/>
                <w:kern w:val="2"/>
                <w:szCs w:val="21"/>
                <w:highlight w:val="none"/>
                <w:lang w:val="en-US" w:eastAsia="zh-CN"/>
              </w:rPr>
              <w:t>欠</w:t>
            </w:r>
            <w:r>
              <w:rPr>
                <w:rFonts w:hint="eastAsia" w:ascii="Times New Roman" w:hAnsi="Times New Roman" w:eastAsia="宋体" w:cs="Times New Roman"/>
                <w:color w:val="auto"/>
                <w:kern w:val="2"/>
                <w:sz w:val="21"/>
                <w:szCs w:val="21"/>
                <w:highlight w:val="none"/>
                <w:lang w:val="en-US" w:eastAsia="zh-CN" w:bidi="ar-SA"/>
              </w:rPr>
              <w:t>合理的得0.5分，未提供的不计分。</w:t>
            </w:r>
          </w:p>
        </w:tc>
      </w:tr>
      <w:tr w14:paraId="73A4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0E3BF084">
            <w:pPr>
              <w:spacing w:line="276" w:lineRule="auto"/>
              <w:ind w:firstLine="0"/>
              <w:jc w:val="center"/>
              <w:rPr>
                <w:color w:val="auto"/>
                <w:kern w:val="2"/>
                <w:szCs w:val="21"/>
                <w:highlight w:val="none"/>
              </w:rPr>
            </w:pPr>
            <w:r>
              <w:rPr>
                <w:rFonts w:hAnsi="宋体"/>
                <w:color w:val="auto"/>
                <w:kern w:val="2"/>
                <w:szCs w:val="21"/>
                <w:highlight w:val="none"/>
              </w:rPr>
              <w:t>应急预案</w:t>
            </w:r>
          </w:p>
        </w:tc>
        <w:tc>
          <w:tcPr>
            <w:tcW w:w="709" w:type="dxa"/>
            <w:vAlign w:val="center"/>
          </w:tcPr>
          <w:p w14:paraId="2FC8D1E2">
            <w:pPr>
              <w:spacing w:line="276" w:lineRule="auto"/>
              <w:ind w:firstLine="0"/>
              <w:jc w:val="center"/>
              <w:rPr>
                <w:color w:val="auto"/>
                <w:kern w:val="2"/>
                <w:szCs w:val="21"/>
                <w:highlight w:val="none"/>
              </w:rPr>
            </w:pPr>
            <w:r>
              <w:rPr>
                <w:color w:val="auto"/>
                <w:kern w:val="0"/>
                <w:szCs w:val="21"/>
                <w:highlight w:val="none"/>
              </w:rPr>
              <w:t>1</w:t>
            </w:r>
            <w:r>
              <w:rPr>
                <w:rFonts w:hint="eastAsia" w:ascii="Times New Roman" w:eastAsia="宋体"/>
                <w:color w:val="auto"/>
                <w:kern w:val="0"/>
                <w:szCs w:val="21"/>
                <w:highlight w:val="none"/>
                <w:lang w:val="en-US" w:eastAsia="zh-CN"/>
              </w:rPr>
              <w:t>0</w:t>
            </w:r>
            <w:r>
              <w:rPr>
                <w:rFonts w:hAnsi="宋体"/>
                <w:color w:val="auto"/>
                <w:kern w:val="0"/>
                <w:szCs w:val="21"/>
                <w:highlight w:val="none"/>
              </w:rPr>
              <w:t>分</w:t>
            </w:r>
          </w:p>
        </w:tc>
        <w:tc>
          <w:tcPr>
            <w:tcW w:w="7307" w:type="dxa"/>
            <w:vAlign w:val="center"/>
          </w:tcPr>
          <w:p w14:paraId="584D7D73">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提供针对数据或空气异常和不可抗力导致不具备运维条件的应急预案，内容包括：</w:t>
            </w:r>
          </w:p>
          <w:p w14:paraId="717BA184">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①异常数据识别办法；</w:t>
            </w:r>
          </w:p>
          <w:p w14:paraId="48260D82">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②响应办法；</w:t>
            </w:r>
          </w:p>
          <w:p w14:paraId="65B4CD93">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③应急监测流程；</w:t>
            </w:r>
          </w:p>
          <w:p w14:paraId="3B9AAE42">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④污染事故应急监测方案；</w:t>
            </w:r>
          </w:p>
          <w:p w14:paraId="110D99D3">
            <w:pPr>
              <w:widowControl w:val="0"/>
              <w:jc w:val="left"/>
              <w:rPr>
                <w:rFonts w:ascii="Times New Roman" w:hAnsi="Times New Roman" w:eastAsia="宋体" w:cs="Times New Roman"/>
                <w:color w:val="auto"/>
                <w:kern w:val="2"/>
                <w:sz w:val="21"/>
                <w:szCs w:val="21"/>
                <w:highlight w:val="none"/>
                <w:lang w:val="en-US" w:eastAsia="zh-CN" w:bidi="ar-SA"/>
              </w:rPr>
            </w:pPr>
            <w:r>
              <w:rPr>
                <w:rFonts w:ascii="Times New Roman" w:hAnsi="宋体" w:eastAsia="宋体" w:cs="Times New Roman"/>
                <w:color w:val="auto"/>
                <w:kern w:val="2"/>
                <w:sz w:val="21"/>
                <w:szCs w:val="21"/>
                <w:highlight w:val="none"/>
                <w:lang w:val="en-US" w:eastAsia="zh-CN" w:bidi="ar-SA"/>
              </w:rPr>
              <w:t>⑤自然灾害、电路检修、临时停电、节假日、被偷盗破坏等情况的有效预防和应急措施。</w:t>
            </w:r>
          </w:p>
          <w:p w14:paraId="476AE5B9">
            <w:pPr>
              <w:widowControl w:val="0"/>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以上每项方案符合本次采购需求的计2分，</w:t>
            </w:r>
            <w:r>
              <w:rPr>
                <w:rFonts w:hint="eastAsia"/>
                <w:color w:val="auto"/>
                <w:kern w:val="2"/>
                <w:szCs w:val="21"/>
                <w:highlight w:val="none"/>
                <w:lang w:val="en-US" w:eastAsia="zh-CN"/>
              </w:rPr>
              <w:t>欠</w:t>
            </w:r>
            <w:r>
              <w:rPr>
                <w:rFonts w:hint="eastAsia" w:ascii="Times New Roman" w:hAnsi="Times New Roman" w:eastAsia="宋体" w:cs="Times New Roman"/>
                <w:color w:val="auto"/>
                <w:kern w:val="2"/>
                <w:sz w:val="21"/>
                <w:szCs w:val="21"/>
                <w:highlight w:val="none"/>
                <w:lang w:val="en-US" w:eastAsia="zh-CN" w:bidi="ar-SA"/>
              </w:rPr>
              <w:t>合理的得0.5分，未提供的不计分。</w:t>
            </w:r>
          </w:p>
        </w:tc>
      </w:tr>
      <w:tr w14:paraId="5B05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3" w:type="dxa"/>
            <w:vAlign w:val="center"/>
          </w:tcPr>
          <w:p w14:paraId="28CE3358">
            <w:pPr>
              <w:spacing w:line="276" w:lineRule="auto"/>
              <w:ind w:firstLine="0"/>
              <w:jc w:val="center"/>
              <w:rPr>
                <w:color w:val="auto"/>
                <w:kern w:val="2"/>
                <w:szCs w:val="21"/>
                <w:highlight w:val="none"/>
              </w:rPr>
            </w:pPr>
            <w:r>
              <w:rPr>
                <w:rFonts w:hAnsi="宋体"/>
                <w:color w:val="auto"/>
                <w:kern w:val="2"/>
                <w:szCs w:val="21"/>
                <w:highlight w:val="none"/>
              </w:rPr>
              <w:t>备机情况</w:t>
            </w:r>
          </w:p>
        </w:tc>
        <w:tc>
          <w:tcPr>
            <w:tcW w:w="709" w:type="dxa"/>
            <w:vAlign w:val="center"/>
          </w:tcPr>
          <w:p w14:paraId="44639EFE">
            <w:pPr>
              <w:spacing w:line="276" w:lineRule="auto"/>
              <w:ind w:firstLine="0"/>
              <w:jc w:val="center"/>
              <w:rPr>
                <w:color w:val="auto"/>
                <w:kern w:val="2"/>
                <w:szCs w:val="21"/>
                <w:highlight w:val="none"/>
              </w:rPr>
            </w:pPr>
            <w:r>
              <w:rPr>
                <w:rFonts w:hint="eastAsia" w:ascii="Times New Roman" w:eastAsia="宋体"/>
                <w:color w:val="auto"/>
                <w:kern w:val="0"/>
                <w:szCs w:val="21"/>
                <w:highlight w:val="none"/>
                <w:lang w:val="en-US" w:eastAsia="zh-CN"/>
              </w:rPr>
              <w:t>9</w:t>
            </w:r>
            <w:r>
              <w:rPr>
                <w:rFonts w:hAnsi="宋体"/>
                <w:color w:val="auto"/>
                <w:kern w:val="0"/>
                <w:szCs w:val="21"/>
                <w:highlight w:val="none"/>
              </w:rPr>
              <w:t>分</w:t>
            </w:r>
          </w:p>
        </w:tc>
        <w:tc>
          <w:tcPr>
            <w:tcW w:w="7307" w:type="dxa"/>
            <w:vAlign w:val="center"/>
          </w:tcPr>
          <w:p w14:paraId="057B9D48">
            <w:pPr>
              <w:spacing w:line="276" w:lineRule="auto"/>
              <w:ind w:firstLine="0"/>
              <w:rPr>
                <w:b/>
                <w:bCs/>
                <w:color w:val="auto"/>
                <w:kern w:val="2"/>
                <w:szCs w:val="21"/>
                <w:highlight w:val="none"/>
              </w:rPr>
            </w:pPr>
            <w:r>
              <w:rPr>
                <w:rFonts w:hint="eastAsia" w:hAnsi="宋体"/>
                <w:color w:val="auto"/>
                <w:kern w:val="2"/>
                <w:szCs w:val="21"/>
                <w:highlight w:val="none"/>
              </w:rPr>
              <w:t>针对本项目准备的备机，满足运维需要，覆盖本项目常规站型号相同的备机（常规六因子、动态校准仪、零气发生器）得9分，缺一项扣1分，扣完为止。注：①须提供备机配置清单（厂家、型号、数量、来源、监测方法）②提供备机适用性检测报告③投标人为设备生产厂家的需提供库存清单，已购买的提供发票或采购合同复印件及备机地点，不满足上述备注任一要求的，不得分。</w:t>
            </w:r>
          </w:p>
        </w:tc>
      </w:tr>
    </w:tbl>
    <w:p w14:paraId="53D32620">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2.</w:t>
      </w:r>
      <w:r>
        <w:rPr>
          <w:rFonts w:hint="eastAsia" w:ascii="宋体" w:hAnsi="宋体" w:eastAsia="宋体" w:cs="宋体"/>
          <w:color w:val="auto"/>
          <w:sz w:val="28"/>
          <w:szCs w:val="28"/>
          <w:highlight w:val="none"/>
        </w:rPr>
        <w:t>报价标评审标准（</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0分）</w:t>
      </w:r>
    </w:p>
    <w:p w14:paraId="30B26B54">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价标分的评审标准为：</w:t>
      </w:r>
      <w:r>
        <w:rPr>
          <w:rFonts w:hint="eastAsia" w:ascii="宋体" w:hAnsi="宋体" w:cs="宋体"/>
          <w:color w:val="auto"/>
          <w:sz w:val="28"/>
          <w:szCs w:val="28"/>
          <w:highlight w:val="none"/>
          <w:lang w:eastAsia="zh-CN"/>
        </w:rPr>
        <w:t>满足</w:t>
      </w:r>
      <w:r>
        <w:rPr>
          <w:rFonts w:hint="eastAsia" w:ascii="宋体" w:hAnsi="宋体" w:eastAsia="宋体" w:cs="宋体"/>
          <w:color w:val="auto"/>
          <w:sz w:val="28"/>
          <w:szCs w:val="28"/>
          <w:highlight w:val="none"/>
        </w:rPr>
        <w:t>招标文件要求且投标价格最低的投标报价为评标基准价，其价格分（即报价标分）为满分</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0分。其他投标人的价格分统一按照下列公式计算：投标报价得分=（评标基准价/投标报价）*价格权重（</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0%）*100。</w:t>
      </w:r>
    </w:p>
    <w:p w14:paraId="2AF7A0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注：评审过程中出现下列情形之一的，评</w:t>
      </w:r>
      <w:r>
        <w:rPr>
          <w:rFonts w:hint="eastAsia" w:ascii="宋体" w:hAnsi="宋体" w:eastAsia="宋体" w:cs="宋体"/>
          <w:b/>
          <w:bCs/>
          <w:color w:val="auto"/>
          <w:sz w:val="28"/>
          <w:szCs w:val="28"/>
          <w:highlight w:val="none"/>
          <w:lang w:val="en-US" w:eastAsia="zh-CN"/>
        </w:rPr>
        <w:t>标</w:t>
      </w:r>
      <w:r>
        <w:rPr>
          <w:rFonts w:hint="eastAsia" w:ascii="宋体" w:hAnsi="宋体" w:eastAsia="宋体" w:cs="宋体"/>
          <w:b/>
          <w:bCs/>
          <w:color w:val="auto"/>
          <w:sz w:val="28"/>
          <w:szCs w:val="28"/>
          <w:highlight w:val="none"/>
          <w:lang w:eastAsia="zh-CN"/>
        </w:rPr>
        <w:t>委员会应当启动异常低价投标（响应）审查程序：</w:t>
      </w:r>
    </w:p>
    <w:p w14:paraId="626F5941">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1.投标（响应）报价低于全部通过符合性审查供应商投标（响应）报价平均值</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%的，即投标（响应）报价&lt;全部通过符合性审查供应商投标（响应）报价平均值×</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 xml:space="preserve">%； </w:t>
      </w:r>
    </w:p>
    <w:p w14:paraId="724F6E41">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2.投标（响应）报价低于通过符合性审查的次低报价供应商投标（响应）报价</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%的，即投标（响应）报价&lt;通过符合性审查的次低报价供应商投标（响应）报价×</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 xml:space="preserve">%； </w:t>
      </w:r>
    </w:p>
    <w:p w14:paraId="063163B1">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3.投标（响应）报价低于采购项目最高限价</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%的，即投标（响应）报价&lt;采购项目最高限价×</w:t>
      </w:r>
      <w:r>
        <w:rPr>
          <w:rFonts w:hint="eastAsia" w:ascii="宋体" w:hAnsi="宋体" w:cs="宋体"/>
          <w:b/>
          <w:bCs/>
          <w:color w:val="auto"/>
          <w:sz w:val="28"/>
          <w:szCs w:val="28"/>
          <w:highlight w:val="none"/>
          <w:lang w:val="en-US" w:eastAsia="zh-CN"/>
        </w:rPr>
        <w:t>65</w:t>
      </w:r>
      <w:r>
        <w:rPr>
          <w:rFonts w:hint="eastAsia" w:ascii="宋体" w:hAnsi="宋体" w:eastAsia="宋体" w:cs="宋体"/>
          <w:b/>
          <w:bCs/>
          <w:color w:val="auto"/>
          <w:sz w:val="28"/>
          <w:szCs w:val="28"/>
          <w:highlight w:val="none"/>
          <w:lang w:eastAsia="zh-CN"/>
        </w:rPr>
        <w:t xml:space="preserve">%； </w:t>
      </w:r>
    </w:p>
    <w:p w14:paraId="3BE50C7F">
      <w:pPr>
        <w:rPr>
          <w:color w:val="auto"/>
          <w:highlight w:val="none"/>
        </w:rPr>
      </w:pPr>
      <w:r>
        <w:rPr>
          <w:rFonts w:hint="eastAsia" w:ascii="宋体" w:hAnsi="宋体" w:eastAsia="宋体" w:cs="宋体"/>
          <w:b/>
          <w:bCs/>
          <w:color w:val="auto"/>
          <w:sz w:val="28"/>
          <w:szCs w:val="28"/>
          <w:highlight w:val="none"/>
          <w:lang w:eastAsia="zh-CN"/>
        </w:rPr>
        <w:t>4.评审委员会基于专业判断，认为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D1F224B">
      <w:pPr>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       </w:t>
      </w:r>
    </w:p>
    <w:p w14:paraId="75AFA2A7">
      <w:pPr>
        <w:ind w:left="0" w:leftChars="0" w:firstLine="0" w:firstLineChars="0"/>
        <w:jc w:val="left"/>
        <w:rPr>
          <w:rFonts w:hint="eastAsia" w:ascii="宋体" w:hAnsi="宋体" w:cs="宋体"/>
          <w:color w:val="auto"/>
          <w:sz w:val="48"/>
          <w:szCs w:val="48"/>
          <w:highlight w:val="none"/>
        </w:rPr>
      </w:pPr>
      <w:r>
        <w:rPr>
          <w:rFonts w:hint="eastAsia" w:ascii="宋体" w:hAnsi="宋体" w:cs="宋体"/>
          <w:color w:val="auto"/>
          <w:sz w:val="48"/>
          <w:szCs w:val="48"/>
          <w:highlight w:val="none"/>
        </w:rPr>
        <w:br w:type="page"/>
      </w:r>
    </w:p>
    <w:p w14:paraId="439D2B24">
      <w:pPr>
        <w:ind w:left="0" w:leftChars="0" w:firstLine="0" w:firstLineChars="0"/>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第六章  投标</w:t>
      </w:r>
      <w:bookmarkEnd w:id="176"/>
      <w:bookmarkEnd w:id="177"/>
      <w:bookmarkEnd w:id="178"/>
      <w:r>
        <w:rPr>
          <w:rFonts w:hint="eastAsia" w:ascii="宋体" w:hAnsi="宋体" w:cs="宋体"/>
          <w:color w:val="auto"/>
          <w:sz w:val="48"/>
          <w:szCs w:val="48"/>
          <w:highlight w:val="none"/>
        </w:rPr>
        <w:t>文件格式</w:t>
      </w:r>
    </w:p>
    <w:p w14:paraId="28EC8490">
      <w:pPr>
        <w:rPr>
          <w:rFonts w:hint="eastAsia" w:ascii="宋体" w:hAnsi="宋体" w:cs="宋体"/>
          <w:color w:val="auto"/>
          <w:highlight w:val="none"/>
        </w:rPr>
      </w:pPr>
      <w:bookmarkStart w:id="187" w:name="_Hlt26671244"/>
      <w:bookmarkEnd w:id="187"/>
      <w:bookmarkStart w:id="188" w:name="_Hlt26955039"/>
      <w:bookmarkEnd w:id="188"/>
      <w:bookmarkStart w:id="189" w:name="_Toc49090576"/>
      <w:bookmarkStart w:id="190" w:name="_Toc26554094"/>
      <w:bookmarkStart w:id="191" w:name="_Toc120614282"/>
    </w:p>
    <w:p w14:paraId="27EB4590">
      <w:pPr>
        <w:rPr>
          <w:rFonts w:hint="eastAsia" w:ascii="宋体" w:hAnsi="宋体" w:cs="宋体"/>
          <w:color w:val="auto"/>
          <w:highlight w:val="none"/>
        </w:rPr>
      </w:pPr>
    </w:p>
    <w:p w14:paraId="146DD104">
      <w:pPr>
        <w:jc w:val="center"/>
        <w:rPr>
          <w:rFonts w:hint="eastAsia" w:ascii="宋体" w:hAnsi="宋体" w:cs="宋体"/>
          <w:color w:val="auto"/>
          <w:sz w:val="48"/>
          <w:szCs w:val="48"/>
          <w:highlight w:val="none"/>
        </w:rPr>
      </w:pPr>
      <w:r>
        <w:rPr>
          <w:rFonts w:hint="eastAsia" w:ascii="宋体" w:hAnsi="宋体" w:cs="宋体"/>
          <w:color w:val="auto"/>
          <w:sz w:val="48"/>
          <w:szCs w:val="48"/>
          <w:highlight w:val="none"/>
        </w:rPr>
        <w:t>投  标  文  件</w:t>
      </w:r>
    </w:p>
    <w:p w14:paraId="1637DFD1">
      <w:pPr>
        <w:rPr>
          <w:rFonts w:hint="eastAsia" w:ascii="宋体" w:hAnsi="宋体" w:cs="宋体"/>
          <w:color w:val="auto"/>
          <w:highlight w:val="none"/>
        </w:rPr>
      </w:pPr>
    </w:p>
    <w:p w14:paraId="67C244C4">
      <w:pPr>
        <w:rPr>
          <w:rFonts w:hint="eastAsia" w:ascii="宋体" w:hAnsi="宋体" w:cs="宋体"/>
          <w:color w:val="auto"/>
          <w:highlight w:val="none"/>
        </w:rPr>
      </w:pPr>
    </w:p>
    <w:p w14:paraId="5054F09E">
      <w:pPr>
        <w:rPr>
          <w:rFonts w:hint="eastAsia" w:ascii="宋体" w:hAnsi="宋体" w:cs="宋体"/>
          <w:color w:val="auto"/>
          <w:highlight w:val="none"/>
        </w:rPr>
      </w:pPr>
    </w:p>
    <w:p w14:paraId="4367E32A">
      <w:pPr>
        <w:pStyle w:val="154"/>
        <w:ind w:firstLine="480"/>
        <w:rPr>
          <w:rFonts w:hint="eastAsia" w:ascii="宋体" w:hAnsi="宋体" w:eastAsia="宋体" w:cs="宋体"/>
          <w:color w:val="auto"/>
          <w:highlight w:val="none"/>
        </w:rPr>
      </w:pPr>
    </w:p>
    <w:p w14:paraId="7AC21C1A">
      <w:pPr>
        <w:rPr>
          <w:rFonts w:hint="eastAsia" w:ascii="宋体" w:hAnsi="宋体" w:cs="宋体"/>
          <w:color w:val="auto"/>
          <w:highlight w:val="none"/>
        </w:rPr>
      </w:pPr>
    </w:p>
    <w:p w14:paraId="6BFAB8E0">
      <w:pPr>
        <w:pStyle w:val="154"/>
        <w:ind w:firstLine="480"/>
        <w:rPr>
          <w:rFonts w:hint="eastAsia" w:ascii="宋体" w:hAnsi="宋体" w:eastAsia="宋体" w:cs="宋体"/>
          <w:color w:val="auto"/>
          <w:highlight w:val="none"/>
        </w:rPr>
      </w:pPr>
    </w:p>
    <w:p w14:paraId="00EB6663">
      <w:pPr>
        <w:rPr>
          <w:rFonts w:hint="eastAsia" w:ascii="宋体" w:hAnsi="宋体" w:cs="宋体"/>
          <w:color w:val="auto"/>
          <w:highlight w:val="none"/>
        </w:rPr>
      </w:pPr>
    </w:p>
    <w:p w14:paraId="0CD68CFF">
      <w:pPr>
        <w:pStyle w:val="154"/>
        <w:ind w:firstLine="480"/>
        <w:rPr>
          <w:rFonts w:hint="eastAsia" w:ascii="宋体" w:hAnsi="宋体" w:eastAsia="宋体" w:cs="宋体"/>
          <w:color w:val="auto"/>
          <w:highlight w:val="none"/>
        </w:rPr>
      </w:pPr>
    </w:p>
    <w:p w14:paraId="46C9F2AF">
      <w:pPr>
        <w:rPr>
          <w:rFonts w:hint="eastAsia" w:ascii="宋体" w:hAnsi="宋体" w:cs="宋体"/>
          <w:color w:val="auto"/>
          <w:highlight w:val="none"/>
        </w:rPr>
      </w:pPr>
    </w:p>
    <w:p w14:paraId="4E321FE8">
      <w:pPr>
        <w:rPr>
          <w:rFonts w:hint="eastAsia" w:ascii="宋体" w:hAnsi="宋体" w:cs="宋体"/>
          <w:color w:val="auto"/>
          <w:highlight w:val="none"/>
        </w:rPr>
      </w:pPr>
    </w:p>
    <w:p w14:paraId="72A8923A">
      <w:pPr>
        <w:pStyle w:val="156"/>
        <w:ind w:left="63" w:right="63"/>
        <w:rPr>
          <w:rFonts w:hint="eastAsia" w:ascii="宋体" w:hAnsi="宋体" w:cs="宋体"/>
          <w:color w:val="auto"/>
          <w:highlight w:val="none"/>
        </w:rPr>
      </w:pPr>
    </w:p>
    <w:p w14:paraId="4382DF72">
      <w:pPr>
        <w:pStyle w:val="156"/>
        <w:ind w:left="63" w:right="63"/>
        <w:rPr>
          <w:rFonts w:hint="eastAsia" w:ascii="宋体" w:hAnsi="宋体" w:cs="宋体"/>
          <w:color w:val="auto"/>
          <w:highlight w:val="none"/>
        </w:rPr>
      </w:pPr>
    </w:p>
    <w:p w14:paraId="33DB9ADD">
      <w:pPr>
        <w:pStyle w:val="156"/>
        <w:ind w:left="63" w:right="63"/>
        <w:rPr>
          <w:rFonts w:hint="eastAsia" w:ascii="宋体" w:hAnsi="宋体" w:cs="宋体"/>
          <w:color w:val="auto"/>
          <w:highlight w:val="none"/>
        </w:rPr>
      </w:pPr>
    </w:p>
    <w:p w14:paraId="4A1D723A">
      <w:pPr>
        <w:pStyle w:val="156"/>
        <w:ind w:left="63" w:right="63"/>
        <w:rPr>
          <w:rFonts w:hint="eastAsia" w:ascii="宋体" w:hAnsi="宋体" w:cs="宋体"/>
          <w:color w:val="auto"/>
          <w:highlight w:val="none"/>
        </w:rPr>
      </w:pPr>
    </w:p>
    <w:p w14:paraId="53FF8D5C">
      <w:pPr>
        <w:pStyle w:val="156"/>
        <w:ind w:left="63" w:right="63"/>
        <w:rPr>
          <w:rFonts w:hint="eastAsia" w:ascii="宋体" w:hAnsi="宋体" w:cs="宋体"/>
          <w:color w:val="auto"/>
          <w:highlight w:val="none"/>
        </w:rPr>
      </w:pPr>
    </w:p>
    <w:p w14:paraId="1BF004EA">
      <w:pPr>
        <w:ind w:firstLine="1600"/>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 目 名 称：               </w:t>
      </w:r>
    </w:p>
    <w:p w14:paraId="0BB534D4">
      <w:pPr>
        <w:ind w:firstLine="1600"/>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 目 编 号：               </w:t>
      </w:r>
    </w:p>
    <w:p w14:paraId="7DD74C5C">
      <w:pPr>
        <w:ind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      投标人名称 ：</w:t>
      </w:r>
      <w:r>
        <w:rPr>
          <w:rFonts w:hint="eastAsia" w:ascii="宋体" w:hAnsi="宋体" w:cs="宋体"/>
          <w:color w:val="auto"/>
          <w:sz w:val="32"/>
          <w:szCs w:val="32"/>
          <w:highlight w:val="none"/>
          <w:u w:val="single"/>
        </w:rPr>
        <w:t>（加盖CA电子公章）</w:t>
      </w:r>
    </w:p>
    <w:p w14:paraId="4BEA087F">
      <w:pPr>
        <w:ind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      日      期 ：</w:t>
      </w:r>
      <w:r>
        <w:rPr>
          <w:rFonts w:hint="eastAsia" w:ascii="宋体" w:hAnsi="宋体" w:cs="宋体"/>
          <w:color w:val="auto"/>
          <w:sz w:val="32"/>
          <w:szCs w:val="32"/>
          <w:highlight w:val="none"/>
          <w:u w:val="single"/>
        </w:rPr>
        <w:t xml:space="preserve">               </w:t>
      </w:r>
    </w:p>
    <w:p w14:paraId="0675C6AD">
      <w:pPr>
        <w:rPr>
          <w:rFonts w:hint="eastAsia" w:ascii="宋体" w:hAnsi="宋体" w:cs="宋体"/>
          <w:color w:val="auto"/>
          <w:highlight w:val="none"/>
        </w:rPr>
      </w:pPr>
    </w:p>
    <w:p w14:paraId="306261B8">
      <w:pPr>
        <w:rPr>
          <w:rFonts w:hint="eastAsia" w:ascii="宋体" w:hAnsi="宋体" w:cs="宋体"/>
          <w:color w:val="auto"/>
          <w:highlight w:val="none"/>
        </w:rPr>
      </w:pPr>
    </w:p>
    <w:p w14:paraId="4F4A5B3A">
      <w:pPr>
        <w:ind w:firstLine="720"/>
        <w:rPr>
          <w:rFonts w:hint="eastAsia" w:ascii="宋体" w:hAnsi="宋体" w:cs="宋体"/>
          <w:color w:val="auto"/>
          <w:sz w:val="28"/>
          <w:szCs w:val="28"/>
          <w:highlight w:val="none"/>
        </w:rPr>
      </w:pPr>
      <w:r>
        <w:rPr>
          <w:rFonts w:hint="eastAsia" w:ascii="宋体" w:hAnsi="宋体" w:cs="宋体"/>
          <w:color w:val="auto"/>
          <w:sz w:val="36"/>
          <w:szCs w:val="21"/>
          <w:highlight w:val="none"/>
          <w:u w:val="single"/>
        </w:rPr>
        <w:br w:type="page" w:clear="all"/>
      </w:r>
      <w:r>
        <w:rPr>
          <w:rFonts w:hint="eastAsia" w:ascii="宋体" w:hAnsi="宋体" w:cs="宋体"/>
          <w:color w:val="auto"/>
          <w:sz w:val="28"/>
          <w:szCs w:val="28"/>
          <w:highlight w:val="none"/>
        </w:rPr>
        <w:t>投标文件组成</w:t>
      </w:r>
    </w:p>
    <w:p w14:paraId="41B2CDDF">
      <w:pPr>
        <w:ind w:firstLine="560"/>
        <w:rPr>
          <w:rFonts w:hint="eastAsia" w:ascii="宋体" w:hAnsi="宋体" w:cs="宋体"/>
          <w:b/>
          <w:bCs/>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zh-CN"/>
        </w:rPr>
        <w:t>开标一览表</w:t>
      </w:r>
    </w:p>
    <w:p w14:paraId="0125D04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资格审查材料</w:t>
      </w:r>
    </w:p>
    <w:p w14:paraId="31A2B11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2.投标人符合《</w:t>
      </w:r>
      <w:r>
        <w:rPr>
          <w:rFonts w:hint="eastAsia" w:ascii="宋体" w:hAnsi="宋体" w:cs="宋体"/>
          <w:color w:val="auto"/>
          <w:sz w:val="28"/>
          <w:szCs w:val="28"/>
          <w:highlight w:val="none"/>
          <w:lang w:eastAsia="zh-CN"/>
        </w:rPr>
        <w:t>中华人民共和国政府采购法</w:t>
      </w:r>
      <w:r>
        <w:rPr>
          <w:rFonts w:hint="eastAsia" w:ascii="宋体" w:hAnsi="宋体" w:cs="宋体"/>
          <w:color w:val="auto"/>
          <w:sz w:val="28"/>
          <w:szCs w:val="28"/>
          <w:highlight w:val="none"/>
        </w:rPr>
        <w:t>》第二十二条规定条件的声明函；</w:t>
      </w:r>
    </w:p>
    <w:p w14:paraId="4FFD7FB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3.法人或者其他组织的营业执照等证明文件；</w:t>
      </w:r>
    </w:p>
    <w:p w14:paraId="5340340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4.法人授权书；</w:t>
      </w:r>
    </w:p>
    <w:p w14:paraId="03B73CE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5.202</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年度的财务审计报告（成立不满一年无需提供）或开户银行出具的银行资信证明；</w:t>
      </w:r>
    </w:p>
    <w:p w14:paraId="038F8DA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6.依法缴纳税收和社会保障资金的相关材料（提供提交投标文件截止时间前一年内至少一个月依法缴纳税收及缴纳社会保障资金的证明材料。投标人依法享受缓缴、免缴税收、社会保障资金的提供证明材料。）；</w:t>
      </w:r>
    </w:p>
    <w:p w14:paraId="171E5EC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7.具备履行合同所必需的设备和专业技术能力的书面声明；</w:t>
      </w:r>
    </w:p>
    <w:p w14:paraId="4AC7DE0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8.参加政府采购活动前 3 年内在经营活动中没有重大违法记录的书面声明；</w:t>
      </w:r>
    </w:p>
    <w:p w14:paraId="7523A47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w:t>
      </w:r>
      <w:r>
        <w:rPr>
          <w:rFonts w:hint="eastAsia" w:ascii="宋体" w:hAnsi="宋体" w:cs="宋体"/>
          <w:color w:val="auto"/>
          <w:sz w:val="28"/>
          <w:szCs w:val="28"/>
          <w:highlight w:val="none"/>
          <w:lang w:val="zh-CN"/>
        </w:rPr>
        <w:t>中小企业声明函或残疾人福利性单位声明函或监狱企业声明函</w:t>
      </w:r>
      <w:r>
        <w:rPr>
          <w:rFonts w:hint="eastAsia" w:ascii="宋体" w:hAnsi="宋体" w:cs="宋体"/>
          <w:color w:val="auto"/>
          <w:sz w:val="28"/>
          <w:szCs w:val="28"/>
          <w:highlight w:val="none"/>
        </w:rPr>
        <w:t>。</w:t>
      </w:r>
    </w:p>
    <w:p w14:paraId="282DA577">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符合性条件材料</w:t>
      </w:r>
    </w:p>
    <w:p w14:paraId="6310EC0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0</w:t>
      </w:r>
      <w:r>
        <w:rPr>
          <w:rFonts w:hint="eastAsia" w:ascii="宋体" w:hAnsi="宋体" w:cs="宋体"/>
          <w:color w:val="auto"/>
          <w:sz w:val="28"/>
          <w:szCs w:val="28"/>
          <w:highlight w:val="none"/>
        </w:rPr>
        <w:t>.投标函；</w:t>
      </w:r>
    </w:p>
    <w:p w14:paraId="7C0D1B8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.技术要求响应及偏离表；</w:t>
      </w:r>
    </w:p>
    <w:p w14:paraId="4A81591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.商务要求响应及偏离表。</w:t>
      </w:r>
    </w:p>
    <w:p w14:paraId="07BFC7B9">
      <w:pPr>
        <w:ind w:firstLine="56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商务技术文件材料</w:t>
      </w:r>
    </w:p>
    <w:p w14:paraId="6C1D7A51">
      <w:pPr>
        <w:ind w:firstLine="560"/>
        <w:rPr>
          <w:rFonts w:hint="eastAsia" w:ascii="宋体" w:hAnsi="宋体" w:cs="宋体"/>
          <w:b/>
          <w:bCs/>
          <w:color w:val="auto"/>
          <w:sz w:val="36"/>
          <w:szCs w:val="36"/>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.投标人根据招标文件打分项，提交的材料。</w:t>
      </w:r>
      <w:bookmarkEnd w:id="174"/>
      <w:bookmarkEnd w:id="175"/>
      <w:bookmarkEnd w:id="189"/>
      <w:bookmarkEnd w:id="190"/>
      <w:bookmarkEnd w:id="191"/>
    </w:p>
    <w:p w14:paraId="7991BE1A">
      <w:pPr>
        <w:ind w:firstLine="560"/>
        <w:outlineLvl w:val="0"/>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14:paraId="54554574">
      <w:pPr>
        <w:ind w:firstLine="560"/>
        <w:jc w:val="left"/>
        <w:rPr>
          <w:rFonts w:hint="eastAsia" w:ascii="宋体" w:hAnsi="宋体" w:cs="宋体"/>
          <w:b/>
          <w:bCs/>
          <w:color w:val="auto"/>
          <w:sz w:val="24"/>
          <w:szCs w:val="21"/>
          <w:highlight w:val="none"/>
        </w:rPr>
      </w:pPr>
      <w:r>
        <w:rPr>
          <w:rFonts w:hint="eastAsia" w:ascii="宋体" w:hAnsi="宋体" w:cs="宋体"/>
          <w:b/>
          <w:bCs/>
          <w:color w:val="auto"/>
          <w:sz w:val="36"/>
          <w:szCs w:val="36"/>
          <w:highlight w:val="none"/>
        </w:rPr>
        <w:t>格式附件如下：</w:t>
      </w:r>
    </w:p>
    <w:p w14:paraId="6AA9ABA9">
      <w:pPr>
        <w:rPr>
          <w:rFonts w:hint="eastAsia" w:ascii="宋体" w:hAnsi="宋体" w:cs="宋体"/>
          <w:color w:val="auto"/>
          <w:highlight w:val="none"/>
        </w:rPr>
      </w:pPr>
    </w:p>
    <w:p w14:paraId="391602D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开标一览表</w:t>
      </w:r>
    </w:p>
    <w:p w14:paraId="1CDDB32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投标人全称（加盖CA电子签章）：</w:t>
      </w:r>
    </w:p>
    <w:p w14:paraId="6DE78F1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p w14:paraId="090F8B6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 xml:space="preserve">                                  </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89"/>
      </w:tblGrid>
      <w:tr w14:paraId="6AA2C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089" w:type="dxa"/>
            <w:vAlign w:val="center"/>
          </w:tcPr>
          <w:p w14:paraId="1529330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投标总报价</w:t>
            </w:r>
          </w:p>
        </w:tc>
      </w:tr>
      <w:tr w14:paraId="3F43A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9089" w:type="dxa"/>
            <w:vAlign w:val="center"/>
          </w:tcPr>
          <w:p w14:paraId="76F7B2A1">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小写：                             （人民币：元）</w:t>
            </w:r>
          </w:p>
        </w:tc>
      </w:tr>
    </w:tbl>
    <w:p w14:paraId="71E42AAD">
      <w:pPr>
        <w:ind w:firstLine="560"/>
        <w:rPr>
          <w:rFonts w:hint="eastAsia" w:ascii="宋体" w:hAnsi="宋体" w:cs="宋体"/>
          <w:color w:val="auto"/>
          <w:sz w:val="28"/>
          <w:szCs w:val="28"/>
          <w:highlight w:val="none"/>
        </w:rPr>
      </w:pPr>
    </w:p>
    <w:p w14:paraId="6C1E42A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3DE41137">
      <w:pPr>
        <w:rPr>
          <w:rFonts w:hint="eastAsia" w:ascii="宋体" w:hAnsi="宋体" w:cs="宋体"/>
          <w:color w:val="auto"/>
          <w:highlight w:val="none"/>
        </w:rPr>
      </w:pPr>
    </w:p>
    <w:p w14:paraId="7F5B28AD">
      <w:pPr>
        <w:rPr>
          <w:rFonts w:hint="eastAsia" w:ascii="宋体" w:hAnsi="宋体" w:cs="宋体"/>
          <w:color w:val="auto"/>
          <w:highlight w:val="none"/>
        </w:rPr>
      </w:pPr>
    </w:p>
    <w:p w14:paraId="37675750">
      <w:pPr>
        <w:pStyle w:val="154"/>
        <w:ind w:firstLine="480"/>
        <w:rPr>
          <w:rFonts w:hint="eastAsia" w:ascii="宋体" w:hAnsi="宋体" w:eastAsia="宋体" w:cs="宋体"/>
          <w:color w:val="auto"/>
          <w:highlight w:val="none"/>
        </w:rPr>
      </w:pPr>
    </w:p>
    <w:p w14:paraId="6CAC7F44">
      <w:pPr>
        <w:rPr>
          <w:rFonts w:hint="eastAsia" w:ascii="宋体" w:hAnsi="宋体" w:cs="宋体"/>
          <w:color w:val="auto"/>
          <w:highlight w:val="none"/>
        </w:rPr>
      </w:pPr>
      <w:r>
        <w:rPr>
          <w:rFonts w:hint="eastAsia" w:ascii="宋体" w:hAnsi="宋体" w:cs="宋体"/>
          <w:color w:val="auto"/>
          <w:highlight w:val="none"/>
        </w:rPr>
        <w:br w:type="page" w:clear="all"/>
      </w:r>
    </w:p>
    <w:p w14:paraId="7CD3911D">
      <w:pPr>
        <w:ind w:firstLine="720"/>
        <w:jc w:val="center"/>
        <w:rPr>
          <w:rFonts w:hint="eastAsia" w:ascii="宋体" w:hAnsi="宋体" w:cs="宋体"/>
          <w:color w:val="auto"/>
          <w:sz w:val="44"/>
          <w:szCs w:val="44"/>
          <w:highlight w:val="none"/>
        </w:rPr>
      </w:pPr>
      <w:r>
        <w:rPr>
          <w:rFonts w:hint="eastAsia" w:ascii="宋体" w:hAnsi="宋体" w:cs="宋体"/>
          <w:color w:val="auto"/>
          <w:sz w:val="36"/>
          <w:szCs w:val="36"/>
          <w:highlight w:val="none"/>
        </w:rPr>
        <w:t>投标人符合《</w:t>
      </w:r>
      <w:r>
        <w:rPr>
          <w:rFonts w:hint="eastAsia" w:ascii="宋体" w:hAnsi="宋体" w:cs="宋体"/>
          <w:color w:val="auto"/>
          <w:sz w:val="36"/>
          <w:szCs w:val="36"/>
          <w:highlight w:val="none"/>
          <w:lang w:eastAsia="zh-CN"/>
        </w:rPr>
        <w:t>中华人民共和国政府采购法</w:t>
      </w:r>
      <w:r>
        <w:rPr>
          <w:rFonts w:hint="eastAsia" w:ascii="宋体" w:hAnsi="宋体" w:cs="宋体"/>
          <w:color w:val="auto"/>
          <w:sz w:val="36"/>
          <w:szCs w:val="36"/>
          <w:highlight w:val="none"/>
        </w:rPr>
        <w:t>》第二十二条规定条件的声明函</w:t>
      </w:r>
      <w:r>
        <w:rPr>
          <w:rFonts w:hint="eastAsia" w:ascii="宋体" w:hAnsi="宋体" w:cs="宋体"/>
          <w:color w:val="auto"/>
          <w:sz w:val="44"/>
          <w:szCs w:val="44"/>
          <w:highlight w:val="none"/>
        </w:rPr>
        <w:t xml:space="preserve">  </w:t>
      </w:r>
    </w:p>
    <w:p w14:paraId="1723A6C5">
      <w:pPr>
        <w:ind w:firstLine="560"/>
        <w:rPr>
          <w:rFonts w:hint="eastAsia" w:ascii="宋体" w:hAnsi="宋体" w:cs="宋体"/>
          <w:b/>
          <w:color w:val="auto"/>
          <w:sz w:val="28"/>
          <w:szCs w:val="28"/>
          <w:highlight w:val="none"/>
        </w:rPr>
      </w:pPr>
      <w:r>
        <w:rPr>
          <w:rFonts w:hint="eastAsia" w:ascii="宋体" w:hAnsi="宋体" w:cs="宋体"/>
          <w:color w:val="auto"/>
          <w:sz w:val="28"/>
          <w:szCs w:val="28"/>
          <w:highlight w:val="none"/>
        </w:rPr>
        <w:t>我单位参加</w:t>
      </w:r>
      <w:r>
        <w:rPr>
          <w:rFonts w:hint="eastAsia" w:ascii="宋体" w:hAnsi="宋体" w:cs="宋体"/>
          <w:color w:val="auto"/>
          <w:sz w:val="28"/>
          <w:szCs w:val="28"/>
          <w:highlight w:val="none"/>
          <w:u w:val="none"/>
        </w:rPr>
        <w:t>________________</w:t>
      </w:r>
      <w:r>
        <w:rPr>
          <w:rFonts w:hint="eastAsia" w:ascii="宋体" w:hAnsi="宋体" w:cs="宋体"/>
          <w:color w:val="auto"/>
          <w:sz w:val="28"/>
          <w:szCs w:val="28"/>
          <w:highlight w:val="none"/>
        </w:rPr>
        <w:t>（项目名称） （项目编号）投标活动。针对《中华人民共和国政府采购法》第二十二条规定做出如下声明：</w:t>
      </w:r>
    </w:p>
    <w:p w14:paraId="3A6F6FE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1.我单位具有独立承担民事责任的能力；</w:t>
      </w:r>
    </w:p>
    <w:p w14:paraId="37ADC73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5EC7E07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4343EE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1660D37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0013EF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A237168">
      <w:pPr>
        <w:ind w:firstLine="0"/>
        <w:rPr>
          <w:rFonts w:hint="eastAsia" w:ascii="宋体" w:hAnsi="宋体" w:cs="宋体"/>
          <w:color w:val="auto"/>
          <w:sz w:val="28"/>
          <w:szCs w:val="28"/>
          <w:highlight w:val="none"/>
        </w:rPr>
      </w:pPr>
    </w:p>
    <w:p w14:paraId="0BE5090C">
      <w:pPr>
        <w:ind w:firstLine="560"/>
        <w:rPr>
          <w:rFonts w:hint="eastAsia" w:ascii="宋体" w:hAnsi="宋体" w:cs="宋体"/>
          <w:color w:val="auto"/>
          <w:sz w:val="28"/>
          <w:szCs w:val="28"/>
          <w:highlight w:val="none"/>
        </w:rPr>
      </w:pPr>
    </w:p>
    <w:p w14:paraId="7E3A7A8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承诺人名称（加盖CA电子签章）：</w:t>
      </w:r>
    </w:p>
    <w:p w14:paraId="085B4AC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69270D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w:t>
      </w:r>
      <w:r>
        <w:rPr>
          <w:rFonts w:hint="eastAsia" w:ascii="宋体" w:hAnsi="宋体" w:cs="宋体"/>
          <w:color w:val="auto"/>
          <w:sz w:val="28"/>
          <w:szCs w:val="28"/>
          <w:highlight w:val="none"/>
          <w:u w:val="single"/>
        </w:rPr>
        <w:t>______</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7D9A077E">
      <w:pPr>
        <w:jc w:val="center"/>
        <w:rPr>
          <w:rFonts w:hint="eastAsia" w:ascii="宋体" w:hAnsi="宋体" w:cs="宋体"/>
          <w:color w:val="auto"/>
          <w:sz w:val="28"/>
          <w:szCs w:val="28"/>
          <w:highlight w:val="none"/>
        </w:rPr>
      </w:pPr>
      <w:r>
        <w:rPr>
          <w:rFonts w:hint="eastAsia" w:ascii="宋体" w:hAnsi="宋体" w:cs="宋体"/>
          <w:color w:val="auto"/>
          <w:highlight w:val="none"/>
        </w:rPr>
        <w:br w:type="page" w:clear="all"/>
      </w:r>
      <w:r>
        <w:rPr>
          <w:rFonts w:hint="eastAsia" w:ascii="宋体" w:hAnsi="宋体" w:cs="宋体"/>
          <w:color w:val="auto"/>
          <w:sz w:val="28"/>
          <w:szCs w:val="28"/>
          <w:highlight w:val="none"/>
        </w:rPr>
        <w:t>法人或者其他组织的营业执照等证明文件</w:t>
      </w:r>
    </w:p>
    <w:p w14:paraId="6120F16F">
      <w:pPr>
        <w:pStyle w:val="154"/>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（扫描件）</w:t>
      </w:r>
    </w:p>
    <w:p w14:paraId="694FAF92">
      <w:pPr>
        <w:pStyle w:val="154"/>
        <w:ind w:firstLine="560"/>
        <w:rPr>
          <w:rFonts w:hint="eastAsia" w:ascii="宋体" w:hAnsi="宋体" w:eastAsia="宋体" w:cs="宋体"/>
          <w:color w:val="auto"/>
          <w:sz w:val="28"/>
          <w:szCs w:val="28"/>
          <w:highlight w:val="none"/>
        </w:rPr>
      </w:pPr>
    </w:p>
    <w:p w14:paraId="0A4E6B48">
      <w:pPr>
        <w:ind w:firstLine="560"/>
        <w:rPr>
          <w:rFonts w:hint="eastAsia" w:ascii="宋体" w:hAnsi="宋体" w:cs="宋体"/>
          <w:color w:val="auto"/>
          <w:sz w:val="28"/>
          <w:szCs w:val="28"/>
          <w:highlight w:val="none"/>
        </w:rPr>
      </w:pPr>
    </w:p>
    <w:p w14:paraId="2663FEB3">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法人授权书</w:t>
      </w:r>
    </w:p>
    <w:p w14:paraId="159E0AA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本授权书声明：____________（投标人名称）授权___________（被授权人的姓名）为我方就</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号项目采购活动的合法代理人，以本单位名义全权处理一切与该项目采购有关的事务。</w:t>
      </w:r>
    </w:p>
    <w:p w14:paraId="0394BBD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本授权书于______年____月____日起生效，特此声明。</w:t>
      </w:r>
    </w:p>
    <w:p w14:paraId="03A2BBE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被授权人身份证号码：                              </w:t>
      </w:r>
    </w:p>
    <w:p w14:paraId="3CE4B88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被授权人联系电话：（手机）                          </w:t>
      </w:r>
    </w:p>
    <w:p w14:paraId="32252F6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授权单位名称：（加盖CA电子公章）</w:t>
      </w:r>
    </w:p>
    <w:p w14:paraId="01E7EBF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单位地址：                                         </w:t>
      </w:r>
    </w:p>
    <w:p w14:paraId="23C980B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w:t>
      </w:r>
    </w:p>
    <w:p w14:paraId="32E7AF74">
      <w:pPr>
        <w:ind w:firstLine="560"/>
        <w:rPr>
          <w:rFonts w:hint="eastAsia" w:ascii="宋体" w:hAnsi="宋体" w:cs="宋体"/>
          <w:color w:val="auto"/>
          <w:sz w:val="28"/>
          <w:szCs w:val="28"/>
          <w:highlight w:val="none"/>
        </w:rPr>
      </w:pPr>
    </w:p>
    <w:p w14:paraId="7E1EA44F">
      <w:pPr>
        <w:ind w:firstLine="560"/>
        <w:rPr>
          <w:rFonts w:hint="eastAsia" w:ascii="宋体" w:hAnsi="宋体" w:cs="宋体"/>
          <w:color w:val="auto"/>
          <w:sz w:val="28"/>
          <w:szCs w:val="28"/>
          <w:highlight w:val="none"/>
        </w:rPr>
      </w:pPr>
    </w:p>
    <w:p w14:paraId="085C228F">
      <w:pPr>
        <w:ind w:firstLine="560"/>
        <w:rPr>
          <w:rFonts w:hint="eastAsia" w:ascii="宋体" w:hAnsi="宋体" w:cs="宋体"/>
          <w:color w:val="auto"/>
          <w:sz w:val="28"/>
          <w:szCs w:val="28"/>
          <w:highlight w:val="none"/>
        </w:rPr>
      </w:pPr>
    </w:p>
    <w:p w14:paraId="3E5C3914">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202</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年度的财务审计报告（成立不满一年无需提供）或开户银行出具的银行资信证明</w:t>
      </w:r>
    </w:p>
    <w:p w14:paraId="7B56B1F3">
      <w:pPr>
        <w:ind w:firstLine="560"/>
        <w:rPr>
          <w:rFonts w:hint="eastAsia" w:ascii="宋体" w:hAnsi="宋体" w:cs="宋体"/>
          <w:color w:val="auto"/>
          <w:sz w:val="28"/>
          <w:szCs w:val="28"/>
          <w:highlight w:val="none"/>
        </w:rPr>
      </w:pPr>
    </w:p>
    <w:p w14:paraId="26A90C36">
      <w:pPr>
        <w:ind w:firstLine="560"/>
        <w:rPr>
          <w:rFonts w:hint="eastAsia" w:ascii="宋体" w:hAnsi="宋体" w:cs="宋体"/>
          <w:color w:val="auto"/>
          <w:sz w:val="28"/>
          <w:szCs w:val="28"/>
          <w:highlight w:val="none"/>
        </w:rPr>
      </w:pPr>
    </w:p>
    <w:p w14:paraId="6CB2B632">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依法缴纳税收和社会保障资金的相关材料</w:t>
      </w:r>
    </w:p>
    <w:p w14:paraId="51033BD2">
      <w:pPr>
        <w:ind w:firstLine="560"/>
        <w:rPr>
          <w:rFonts w:hint="eastAsia" w:ascii="宋体" w:hAnsi="宋体" w:cs="宋体"/>
          <w:color w:val="auto"/>
          <w:sz w:val="28"/>
          <w:szCs w:val="28"/>
          <w:highlight w:val="none"/>
        </w:rPr>
      </w:pPr>
      <w:bookmarkStart w:id="192" w:name="_Toc120614284"/>
      <w:r>
        <w:rPr>
          <w:rFonts w:hint="eastAsia" w:ascii="宋体" w:hAnsi="宋体" w:cs="宋体"/>
          <w:color w:val="auto"/>
          <w:sz w:val="28"/>
          <w:szCs w:val="28"/>
          <w:highlight w:val="none"/>
        </w:rPr>
        <w:t>提供提交投标文件截止时间前一年内至少一个月依法缴纳税收及缴纳社会保障资金的证明材料。投标人依法享受缓缴、免缴税收、社会保障资金的提供证明材料。</w:t>
      </w:r>
    </w:p>
    <w:p w14:paraId="5ABA270F">
      <w:pPr>
        <w:rPr>
          <w:rFonts w:hint="eastAsia" w:ascii="宋体" w:hAnsi="宋体" w:cs="宋体"/>
          <w:color w:val="auto"/>
          <w:highlight w:val="none"/>
        </w:rPr>
      </w:pPr>
    </w:p>
    <w:p w14:paraId="4D17E027">
      <w:pPr>
        <w:rPr>
          <w:rFonts w:hint="eastAsia" w:ascii="宋体" w:hAnsi="宋体" w:cs="宋体"/>
          <w:color w:val="auto"/>
          <w:highlight w:val="none"/>
        </w:rPr>
      </w:pPr>
      <w:r>
        <w:rPr>
          <w:rFonts w:hint="eastAsia" w:ascii="宋体" w:hAnsi="宋体" w:cs="宋体"/>
          <w:color w:val="auto"/>
          <w:highlight w:val="none"/>
        </w:rPr>
        <w:br w:type="page" w:clear="all"/>
      </w:r>
    </w:p>
    <w:p w14:paraId="6BC61820">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具备履行合同所必需的设备和专业技术能力的书面声明</w:t>
      </w:r>
    </w:p>
    <w:p w14:paraId="4D731AD5">
      <w:pPr>
        <w:ind w:firstLine="560"/>
        <w:rPr>
          <w:rFonts w:hint="eastAsia" w:ascii="宋体" w:hAnsi="宋体" w:cs="宋体"/>
          <w:color w:val="auto"/>
          <w:sz w:val="28"/>
          <w:szCs w:val="28"/>
          <w:highlight w:val="none"/>
        </w:rPr>
      </w:pPr>
    </w:p>
    <w:p w14:paraId="4CD214F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我单位郑重声明：我单位具备履行本项采购合同所必需的设备和专业技术能力，为履行本项采购合同我公司具备如下主要设备和主要专业技术能力：</w:t>
      </w:r>
    </w:p>
    <w:p w14:paraId="0BC821C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主要设备有：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A44C65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70A5A93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D05A88B">
      <w:pPr>
        <w:pStyle w:val="155"/>
        <w:ind w:firstLine="560"/>
        <w:rPr>
          <w:rFonts w:hint="eastAsia" w:ascii="宋体" w:hAnsi="宋体" w:cs="宋体"/>
          <w:color w:val="auto"/>
          <w:sz w:val="28"/>
          <w:szCs w:val="28"/>
          <w:highlight w:val="none"/>
        </w:rPr>
      </w:pPr>
    </w:p>
    <w:p w14:paraId="3C947141">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参加政府采购活动前 3 年内在经营活动中没有重大违法记录的书面声明</w:t>
      </w:r>
    </w:p>
    <w:p w14:paraId="6ADD88A1">
      <w:pPr>
        <w:ind w:firstLine="562"/>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79BBFEF1">
      <w:pPr>
        <w:rPr>
          <w:rFonts w:hint="eastAsia" w:ascii="宋体" w:hAnsi="宋体" w:cs="宋体"/>
          <w:color w:val="auto"/>
          <w:highlight w:val="none"/>
        </w:rPr>
      </w:pPr>
    </w:p>
    <w:p w14:paraId="090FF577">
      <w:pPr>
        <w:pStyle w:val="154"/>
        <w:ind w:firstLine="480"/>
        <w:rPr>
          <w:rFonts w:hint="eastAsia" w:ascii="宋体" w:hAnsi="宋体" w:eastAsia="宋体" w:cs="宋体"/>
          <w:color w:val="auto"/>
          <w:highlight w:val="none"/>
        </w:rPr>
      </w:pPr>
    </w:p>
    <w:p w14:paraId="50D5D9AB">
      <w:pPr>
        <w:rPr>
          <w:rFonts w:hint="eastAsia" w:ascii="宋体" w:hAnsi="宋体" w:cs="宋体"/>
          <w:color w:val="auto"/>
          <w:highlight w:val="none"/>
        </w:rPr>
      </w:pPr>
    </w:p>
    <w:p w14:paraId="52FD37DC">
      <w:pPr>
        <w:jc w:val="cente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sz w:val="44"/>
          <w:szCs w:val="44"/>
          <w:highlight w:val="none"/>
        </w:rPr>
        <w:t>投标函</w:t>
      </w:r>
    </w:p>
    <w:p w14:paraId="21599EA9">
      <w:pPr>
        <w:pStyle w:val="162"/>
        <w:ind w:firstLine="56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致：</w:t>
      </w:r>
      <w:r>
        <w:rPr>
          <w:rFonts w:hint="eastAsia" w:ascii="宋体" w:hAnsi="宋体" w:cs="宋体"/>
          <w:color w:val="auto"/>
          <w:sz w:val="28"/>
          <w:szCs w:val="28"/>
          <w:highlight w:val="none"/>
          <w:u w:val="single"/>
          <w:lang w:val="en-US" w:eastAsia="zh-CN"/>
        </w:rPr>
        <w:t>采购人名称</w:t>
      </w:r>
    </w:p>
    <w:p w14:paraId="4945A418">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根据贵方的</w:t>
      </w:r>
      <w:r>
        <w:rPr>
          <w:rFonts w:hint="eastAsia" w:ascii="宋体" w:hAnsi="宋体" w:cs="宋体"/>
          <w:color w:val="auto"/>
          <w:sz w:val="28"/>
          <w:szCs w:val="28"/>
          <w:highlight w:val="none"/>
          <w:shd w:val="clear" w:color="auto" w:fill="FFFFFF"/>
        </w:rPr>
        <w:t xml:space="preserve">      </w:t>
      </w:r>
      <w:r>
        <w:rPr>
          <w:rFonts w:hint="eastAsia" w:ascii="宋体" w:hAnsi="宋体" w:cs="宋体"/>
          <w:color w:val="auto"/>
          <w:sz w:val="28"/>
          <w:szCs w:val="28"/>
          <w:highlight w:val="none"/>
        </w:rPr>
        <w:t>号招标文件，正式授权下述签字人______</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姓名</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代表我方______________（投标人的名称），全权处理本次项目投标的有关事宜。</w:t>
      </w:r>
    </w:p>
    <w:p w14:paraId="4F3FC24F">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据此函，__________签字人兹宣布同意如下：</w:t>
      </w:r>
    </w:p>
    <w:p w14:paraId="177F7E1B">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1.按招标文件规定的各项要求，向买方提供所需服务（包含与服务相关的货物）。</w:t>
      </w:r>
    </w:p>
    <w:p w14:paraId="38515ED1">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2.我们完全理解贵方不一定将合同授予最低报价的投标人。</w:t>
      </w:r>
    </w:p>
    <w:p w14:paraId="3A136591">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3.我们已详细审核全部招标文件及其有效补充文件，我们知道必须放弃提出含糊不清或误解问题的权利。</w:t>
      </w:r>
    </w:p>
    <w:p w14:paraId="749310C2">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4.我们同意从规定的开标日期起遵循本投标文件，并在规定的投标有效期期满之前均具有约束力。</w:t>
      </w:r>
    </w:p>
    <w:p w14:paraId="10673554">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5.同意向贵方提供贵方可能另外要求的与投标有关的任何证据或资料，并保证我方已提供和将要提供的文件是真实的、准确的。</w:t>
      </w:r>
    </w:p>
    <w:p w14:paraId="4C966693">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6.一旦我方中标</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我方将根据招标文件的规定，严格履行合同的责任和义务</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并保证在招标文件规定的时间完成项目</w:t>
      </w:r>
      <w:r>
        <w:rPr>
          <w:rFonts w:hint="eastAsia" w:ascii="宋体" w:hAnsi="宋体" w:cs="宋体"/>
          <w:color w:val="auto"/>
          <w:sz w:val="28"/>
          <w:szCs w:val="28"/>
          <w:highlight w:val="none"/>
          <w:lang w:val="en-US" w:eastAsia="zh-CN"/>
        </w:rPr>
        <w:t>服务工作</w:t>
      </w:r>
      <w:r>
        <w:rPr>
          <w:rFonts w:hint="eastAsia" w:ascii="宋体" w:hAnsi="宋体" w:cs="宋体"/>
          <w:color w:val="auto"/>
          <w:sz w:val="28"/>
          <w:szCs w:val="28"/>
          <w:highlight w:val="none"/>
        </w:rPr>
        <w:t>。</w:t>
      </w:r>
    </w:p>
    <w:p w14:paraId="43D67F04">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7.与本投标有关的正式通讯地址为：</w:t>
      </w:r>
    </w:p>
    <w:p w14:paraId="55FF02B8">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地          址：</w:t>
      </w:r>
    </w:p>
    <w:p w14:paraId="6B9660D8">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邮          编：</w:t>
      </w:r>
    </w:p>
    <w:p w14:paraId="14B11D9D">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电          话：</w:t>
      </w:r>
    </w:p>
    <w:p w14:paraId="0FE5585F">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传          真：</w:t>
      </w:r>
    </w:p>
    <w:p w14:paraId="57CB9958">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投标人开户行：</w:t>
      </w:r>
    </w:p>
    <w:p w14:paraId="03867B8F">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账          号： </w:t>
      </w:r>
    </w:p>
    <w:p w14:paraId="24179664">
      <w:pPr>
        <w:pStyle w:val="162"/>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日           期：________年____月____日</w:t>
      </w:r>
    </w:p>
    <w:p w14:paraId="259AC32E">
      <w:pPr>
        <w:ind w:left="0" w:leftChars="0" w:firstLine="0" w:firstLineChars="0"/>
        <w:jc w:val="center"/>
        <w:rPr>
          <w:rFonts w:hint="eastAsia" w:ascii="宋体" w:hAnsi="宋体" w:eastAsia="宋体" w:cs="宋体"/>
          <w:color w:val="auto"/>
          <w:sz w:val="36"/>
          <w:szCs w:val="36"/>
          <w:highlight w:val="none"/>
          <w:lang w:bidi="zh-CN"/>
        </w:rPr>
      </w:pPr>
      <w:r>
        <w:rPr>
          <w:rFonts w:hint="eastAsia" w:ascii="宋体" w:hAnsi="宋体" w:cs="宋体"/>
          <w:b/>
          <w:color w:val="auto"/>
          <w:sz w:val="30"/>
          <w:szCs w:val="30"/>
          <w:highlight w:val="none"/>
        </w:rPr>
        <w:br w:type="page" w:clear="all"/>
      </w:r>
      <w:r>
        <w:rPr>
          <w:rFonts w:hint="eastAsia" w:ascii="宋体" w:hAnsi="宋体" w:eastAsia="宋体" w:cs="宋体"/>
          <w:color w:val="auto"/>
          <w:sz w:val="36"/>
          <w:szCs w:val="36"/>
          <w:highlight w:val="none"/>
          <w:lang w:bidi="zh-CN"/>
        </w:rPr>
        <w:t>中小企业声明函</w:t>
      </w:r>
    </w:p>
    <w:p w14:paraId="4130BA56">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本公司（联合体）郑重声明，根据《政府采购促进中小企业发展管理办法》（财库﹝2020﹞46 号）的规定，本公司（联合体）参加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zh-CN"/>
        </w:rPr>
        <w:t>（单位名称）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 </w:t>
      </w:r>
      <w:r>
        <w:rPr>
          <w:rFonts w:hint="eastAsia" w:ascii="宋体" w:hAnsi="宋体" w:eastAsia="宋体" w:cs="宋体"/>
          <w:color w:val="auto"/>
          <w:sz w:val="28"/>
          <w:szCs w:val="28"/>
          <w:highlight w:val="none"/>
          <w:u w:val="single"/>
          <w:lang w:val="zh-CN"/>
        </w:rPr>
        <w:t>（项目名称）</w:t>
      </w:r>
      <w:r>
        <w:rPr>
          <w:rFonts w:hint="eastAsia" w:ascii="宋体" w:hAnsi="宋体" w:eastAsia="宋体" w:cs="宋体"/>
          <w:color w:val="auto"/>
          <w:sz w:val="28"/>
          <w:szCs w:val="28"/>
          <w:highlight w:val="none"/>
        </w:rPr>
        <w:t xml:space="preserve"> 采购活动，服务全部由符合政策要求的中小企业承接。相关企业（含联合体中的中小企业、签订分包意向协议的中小企业）的具体情况如下：</w:t>
      </w:r>
    </w:p>
    <w:p w14:paraId="6F1BA454">
      <w:pPr>
        <w:ind w:firstLine="56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u w:val="single"/>
          <w:lang w:val="zh-CN"/>
        </w:rPr>
        <w:t>（标的名称）</w:t>
      </w:r>
      <w:r>
        <w:rPr>
          <w:rFonts w:hint="eastAsia" w:ascii="宋体" w:hAnsi="宋体" w:eastAsia="宋体" w:cs="宋体"/>
          <w:color w:val="auto"/>
          <w:sz w:val="28"/>
          <w:szCs w:val="28"/>
          <w:highlight w:val="none"/>
        </w:rPr>
        <w:t>，属于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rPr>
        <w:t>（采购文件中明确的所属行业）；</w:t>
      </w:r>
      <w:r>
        <w:rPr>
          <w:rFonts w:hint="eastAsia" w:ascii="宋体" w:hAnsi="宋体" w:eastAsia="宋体" w:cs="宋体"/>
          <w:color w:val="auto"/>
          <w:sz w:val="28"/>
          <w:szCs w:val="28"/>
          <w:highlight w:val="none"/>
        </w:rPr>
        <w:t>承接企业为</w:t>
      </w:r>
      <w:r>
        <w:rPr>
          <w:rFonts w:hint="eastAsia" w:ascii="宋体" w:hAnsi="宋体" w:eastAsia="宋体" w:cs="宋体"/>
          <w:color w:val="auto"/>
          <w:sz w:val="28"/>
          <w:szCs w:val="28"/>
          <w:highlight w:val="none"/>
          <w:u w:val="single"/>
          <w:lang w:val="zh-CN"/>
        </w:rPr>
        <w:t>（企业名称）</w:t>
      </w: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rPr>
        <w:t>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万元，属于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lang w:val="zh-CN"/>
        </w:rPr>
        <w:t>（中型企业、小型企业、微型企业）；</w:t>
      </w:r>
    </w:p>
    <w:p w14:paraId="1E2E7322">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以上企业，不属于大企业的分支机构，不存在控股股东为大企业的情形，也不存在与大企业的负责人为同一人的情形。</w:t>
      </w:r>
    </w:p>
    <w:p w14:paraId="060CEEF2">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本企业对上述声明内容的真实性负责。如有虚假，将依法承担相应责任。</w:t>
      </w:r>
    </w:p>
    <w:p w14:paraId="3643DC0D">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企业名称（加盖CA电子签章）：</w:t>
      </w:r>
    </w:p>
    <w:p w14:paraId="062E0AE8">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342704DD">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备注1：从业人员、营业收入、资产总额填报上一年度数据，无上一年度数据的新成立企业可不填报。</w:t>
      </w:r>
    </w:p>
    <w:p w14:paraId="24B7E504">
      <w:pPr>
        <w:ind w:firstLine="640"/>
        <w:jc w:val="center"/>
        <w:rPr>
          <w:rFonts w:hint="eastAsia" w:ascii="宋体" w:hAnsi="宋体" w:cs="宋体"/>
          <w:color w:val="auto"/>
          <w:highlight w:val="none"/>
        </w:rPr>
      </w:pPr>
      <w:r>
        <w:rPr>
          <w:rFonts w:hint="eastAsia" w:ascii="宋体" w:hAnsi="宋体" w:cs="宋体"/>
          <w:color w:val="auto"/>
          <w:sz w:val="32"/>
          <w:szCs w:val="32"/>
          <w:highlight w:val="none"/>
        </w:rPr>
        <w:br w:type="page" w:clear="all"/>
      </w:r>
      <w:r>
        <w:rPr>
          <w:rFonts w:hint="eastAsia" w:ascii="宋体" w:hAnsi="宋体" w:cs="宋体"/>
          <w:color w:val="auto"/>
          <w:sz w:val="36"/>
          <w:szCs w:val="36"/>
          <w:highlight w:val="none"/>
        </w:rPr>
        <w:t>残疾人福利性单位声明函</w:t>
      </w:r>
    </w:p>
    <w:p w14:paraId="13DF63E6">
      <w:pPr>
        <w:rPr>
          <w:rFonts w:hint="eastAsia" w:ascii="宋体" w:hAnsi="宋体" w:cs="宋体"/>
          <w:color w:val="auto"/>
          <w:highlight w:val="none"/>
        </w:rPr>
      </w:pPr>
    </w:p>
    <w:p w14:paraId="142840E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w:t>
      </w:r>
      <w:r>
        <w:rPr>
          <w:rFonts w:hint="eastAsia" w:ascii="宋体" w:hAnsi="宋体" w:cs="宋体"/>
          <w:color w:val="auto"/>
          <w:sz w:val="28"/>
          <w:szCs w:val="28"/>
          <w:highlight w:val="none"/>
          <w:lang w:eastAsia="zh-CN"/>
        </w:rPr>
        <w:t>〔2017〕141号</w:t>
      </w:r>
      <w:r>
        <w:rPr>
          <w:rFonts w:hint="eastAsia" w:ascii="宋体" w:hAnsi="宋体" w:cs="宋体"/>
          <w:color w:val="auto"/>
          <w:sz w:val="28"/>
          <w:szCs w:val="28"/>
          <w:highlight w:val="none"/>
        </w:rPr>
        <w:t>）的规定，本单位为符合条件的残疾人福利性单位，且本单位参加______单位的采购文件编号为______的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项目采购活动由本单位提供服务。</w:t>
      </w:r>
    </w:p>
    <w:p w14:paraId="0F4EE5B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38E98CD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（备注：1、供应商如不提供此声明函，价格将不做相应扣除。2、中标人为残疾人福利单位的，此声明函将随中标结果同时公告，接受社会监督）</w:t>
      </w:r>
    </w:p>
    <w:p w14:paraId="69074AF7">
      <w:pPr>
        <w:ind w:firstLine="560"/>
        <w:rPr>
          <w:rFonts w:hint="eastAsia" w:ascii="宋体" w:hAnsi="宋体" w:cs="宋体"/>
          <w:color w:val="auto"/>
          <w:sz w:val="28"/>
          <w:szCs w:val="28"/>
          <w:highlight w:val="none"/>
        </w:rPr>
      </w:pPr>
    </w:p>
    <w:p w14:paraId="55DBA90F">
      <w:pPr>
        <w:ind w:firstLine="584"/>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供应商全称（加盖CA电子公章）：</w:t>
      </w:r>
    </w:p>
    <w:p w14:paraId="25ADF4E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p>
    <w:p w14:paraId="44EB4DCF">
      <w:pPr>
        <w:rPr>
          <w:rFonts w:hint="eastAsia" w:ascii="宋体" w:hAnsi="宋体" w:cs="宋体"/>
          <w:color w:val="auto"/>
          <w:highlight w:val="none"/>
        </w:rPr>
      </w:pPr>
    </w:p>
    <w:p w14:paraId="4F2C92D5">
      <w:pPr>
        <w:rPr>
          <w:rFonts w:hint="eastAsia" w:ascii="宋体" w:hAnsi="宋体" w:cs="宋体"/>
          <w:color w:val="auto"/>
          <w:highlight w:val="none"/>
        </w:rPr>
      </w:pPr>
    </w:p>
    <w:p w14:paraId="034BAD89">
      <w:pPr>
        <w:rPr>
          <w:rFonts w:hint="eastAsia" w:ascii="宋体" w:hAnsi="宋体" w:cs="宋体"/>
          <w:color w:val="auto"/>
          <w:highlight w:val="none"/>
        </w:rPr>
      </w:pPr>
    </w:p>
    <w:p w14:paraId="6F09314C">
      <w:pPr>
        <w:rPr>
          <w:rFonts w:hint="eastAsia" w:ascii="宋体" w:hAnsi="宋体" w:cs="宋体"/>
          <w:color w:val="auto"/>
          <w:highlight w:val="none"/>
        </w:rPr>
      </w:pPr>
    </w:p>
    <w:p w14:paraId="0B862E42">
      <w:pPr>
        <w:rPr>
          <w:rFonts w:hint="eastAsia" w:ascii="宋体" w:hAnsi="宋体" w:cs="宋体"/>
          <w:color w:val="auto"/>
          <w:highlight w:val="none"/>
        </w:rPr>
      </w:pPr>
    </w:p>
    <w:p w14:paraId="525FC5BD">
      <w:pPr>
        <w:rPr>
          <w:rFonts w:hint="eastAsia" w:ascii="宋体" w:hAnsi="宋体" w:cs="宋体"/>
          <w:color w:val="auto"/>
          <w:highlight w:val="none"/>
        </w:rPr>
      </w:pPr>
    </w:p>
    <w:p w14:paraId="78564A09">
      <w:pPr>
        <w:rPr>
          <w:rFonts w:hint="eastAsia" w:ascii="宋体" w:hAnsi="宋体" w:cs="宋体"/>
          <w:color w:val="auto"/>
          <w:highlight w:val="none"/>
        </w:rPr>
      </w:pPr>
    </w:p>
    <w:p w14:paraId="464D5E4D">
      <w:pPr>
        <w:rPr>
          <w:rFonts w:hint="eastAsia" w:ascii="宋体" w:hAnsi="宋体" w:cs="宋体"/>
          <w:color w:val="auto"/>
          <w:highlight w:val="none"/>
        </w:rPr>
      </w:pPr>
    </w:p>
    <w:p w14:paraId="5138FBA3">
      <w:pPr>
        <w:rPr>
          <w:rFonts w:hint="eastAsia" w:ascii="宋体" w:hAnsi="宋体" w:cs="宋体"/>
          <w:color w:val="auto"/>
          <w:highlight w:val="none"/>
        </w:rPr>
      </w:pPr>
    </w:p>
    <w:p w14:paraId="527A0B9A">
      <w:pPr>
        <w:rPr>
          <w:rFonts w:hint="eastAsia" w:ascii="宋体" w:hAnsi="宋体" w:cs="宋体"/>
          <w:color w:val="auto"/>
          <w:highlight w:val="none"/>
        </w:rPr>
      </w:pPr>
    </w:p>
    <w:p w14:paraId="5C5E2CAB">
      <w:pPr>
        <w:rPr>
          <w:rFonts w:hint="eastAsia" w:ascii="宋体" w:hAnsi="宋体" w:cs="宋体"/>
          <w:color w:val="auto"/>
          <w:highlight w:val="none"/>
        </w:rPr>
      </w:pPr>
    </w:p>
    <w:p w14:paraId="342A383F">
      <w:pPr>
        <w:rPr>
          <w:rFonts w:hint="eastAsia" w:ascii="宋体" w:hAnsi="宋体" w:cs="宋体"/>
          <w:color w:val="auto"/>
          <w:highlight w:val="none"/>
        </w:rPr>
      </w:pPr>
    </w:p>
    <w:p w14:paraId="030BEF57">
      <w:pPr>
        <w:rPr>
          <w:rFonts w:hint="eastAsia" w:ascii="宋体" w:hAnsi="宋体" w:cs="宋体"/>
          <w:color w:val="auto"/>
          <w:highlight w:val="none"/>
        </w:rPr>
      </w:pPr>
    </w:p>
    <w:p w14:paraId="731A892E">
      <w:pPr>
        <w:rPr>
          <w:rFonts w:hint="eastAsia" w:ascii="宋体" w:hAnsi="宋体" w:cs="宋体"/>
          <w:color w:val="auto"/>
          <w:highlight w:val="none"/>
        </w:rPr>
      </w:pPr>
      <w:r>
        <w:rPr>
          <w:rFonts w:hint="eastAsia" w:ascii="宋体" w:hAnsi="宋体" w:cs="宋体"/>
          <w:bCs/>
          <w:color w:val="auto"/>
          <w:sz w:val="32"/>
          <w:szCs w:val="32"/>
          <w:highlight w:val="none"/>
        </w:rPr>
        <w:br w:type="page" w:clear="all"/>
      </w:r>
      <w:bookmarkEnd w:id="192"/>
    </w:p>
    <w:p w14:paraId="768CC151">
      <w:pPr>
        <w:rPr>
          <w:rFonts w:hint="eastAsia" w:ascii="宋体" w:hAnsi="宋体" w:cs="宋体"/>
          <w:color w:val="auto"/>
          <w:highlight w:val="none"/>
        </w:rPr>
      </w:pPr>
    </w:p>
    <w:p w14:paraId="4DE6AA2A">
      <w:pPr>
        <w:jc w:val="center"/>
        <w:rPr>
          <w:rFonts w:hint="eastAsia" w:ascii="宋体" w:hAnsi="宋体" w:cs="宋体"/>
          <w:color w:val="auto"/>
          <w:sz w:val="36"/>
          <w:szCs w:val="36"/>
          <w:highlight w:val="none"/>
        </w:rPr>
      </w:pPr>
      <w:r>
        <w:rPr>
          <w:rFonts w:hint="eastAsia" w:ascii="宋体" w:hAnsi="宋体" w:cs="宋体"/>
          <w:color w:val="auto"/>
          <w:highlight w:val="none"/>
        </w:rPr>
        <w:br w:type="page" w:clear="all"/>
      </w:r>
      <w:r>
        <w:rPr>
          <w:rFonts w:hint="eastAsia" w:ascii="宋体" w:hAnsi="宋体" w:cs="宋体"/>
          <w:color w:val="auto"/>
          <w:sz w:val="36"/>
          <w:szCs w:val="36"/>
          <w:highlight w:val="none"/>
        </w:rPr>
        <w:t>技术要求响应及偏离表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3061"/>
        <w:gridCol w:w="2852"/>
        <w:gridCol w:w="1308"/>
        <w:gridCol w:w="1173"/>
      </w:tblGrid>
      <w:tr w14:paraId="09D37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75" w:type="dxa"/>
            <w:vAlign w:val="center"/>
          </w:tcPr>
          <w:p w14:paraId="11B61F37">
            <w:pPr>
              <w:ind w:left="0" w:leftChars="0" w:firstLine="0" w:firstLineChars="0"/>
              <w:jc w:val="center"/>
              <w:rPr>
                <w:rFonts w:hint="eastAsia" w:ascii="宋体" w:hAnsi="宋体" w:cs="宋体"/>
                <w:color w:val="auto"/>
                <w:highlight w:val="none"/>
              </w:rPr>
            </w:pPr>
            <w:r>
              <w:rPr>
                <w:rFonts w:hint="eastAsia" w:ascii="宋体" w:hAnsi="宋体" w:cs="宋体"/>
                <w:color w:val="auto"/>
                <w:highlight w:val="none"/>
              </w:rPr>
              <w:t>序号</w:t>
            </w:r>
          </w:p>
        </w:tc>
        <w:tc>
          <w:tcPr>
            <w:tcW w:w="3061" w:type="dxa"/>
            <w:vAlign w:val="center"/>
          </w:tcPr>
          <w:p w14:paraId="73C812A8">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852" w:type="dxa"/>
            <w:vAlign w:val="center"/>
          </w:tcPr>
          <w:p w14:paraId="06D003A1">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308" w:type="dxa"/>
            <w:vAlign w:val="center"/>
          </w:tcPr>
          <w:p w14:paraId="520E8A83">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符合或偏离</w:t>
            </w:r>
          </w:p>
        </w:tc>
        <w:tc>
          <w:tcPr>
            <w:tcW w:w="1173" w:type="dxa"/>
            <w:vAlign w:val="center"/>
          </w:tcPr>
          <w:p w14:paraId="03A2BE9E">
            <w:pPr>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r>
      <w:tr w14:paraId="6C20D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524D887F">
            <w:pPr>
              <w:rPr>
                <w:rFonts w:hint="eastAsia" w:ascii="宋体" w:hAnsi="宋体" w:cs="宋体"/>
                <w:color w:val="auto"/>
                <w:highlight w:val="none"/>
              </w:rPr>
            </w:pPr>
          </w:p>
        </w:tc>
        <w:tc>
          <w:tcPr>
            <w:tcW w:w="3061" w:type="dxa"/>
          </w:tcPr>
          <w:p w14:paraId="7B333495">
            <w:pPr>
              <w:rPr>
                <w:rFonts w:hint="eastAsia" w:ascii="宋体" w:hAnsi="宋体" w:cs="宋体"/>
                <w:color w:val="auto"/>
                <w:highlight w:val="none"/>
              </w:rPr>
            </w:pPr>
          </w:p>
        </w:tc>
        <w:tc>
          <w:tcPr>
            <w:tcW w:w="2852" w:type="dxa"/>
          </w:tcPr>
          <w:p w14:paraId="32EA8DD2">
            <w:pPr>
              <w:rPr>
                <w:rFonts w:hint="eastAsia" w:ascii="宋体" w:hAnsi="宋体" w:cs="宋体"/>
                <w:color w:val="auto"/>
                <w:highlight w:val="none"/>
              </w:rPr>
            </w:pPr>
          </w:p>
        </w:tc>
        <w:tc>
          <w:tcPr>
            <w:tcW w:w="1308" w:type="dxa"/>
          </w:tcPr>
          <w:p w14:paraId="1C55D1A2">
            <w:pPr>
              <w:rPr>
                <w:rFonts w:hint="eastAsia" w:ascii="宋体" w:hAnsi="宋体" w:cs="宋体"/>
                <w:color w:val="auto"/>
                <w:highlight w:val="none"/>
              </w:rPr>
            </w:pPr>
          </w:p>
        </w:tc>
        <w:tc>
          <w:tcPr>
            <w:tcW w:w="1173" w:type="dxa"/>
          </w:tcPr>
          <w:p w14:paraId="73D89145">
            <w:pPr>
              <w:rPr>
                <w:rFonts w:hint="eastAsia" w:ascii="宋体" w:hAnsi="宋体" w:cs="宋体"/>
                <w:color w:val="auto"/>
                <w:highlight w:val="none"/>
              </w:rPr>
            </w:pPr>
          </w:p>
        </w:tc>
      </w:tr>
      <w:tr w14:paraId="3AFD6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2F057C9F">
            <w:pPr>
              <w:rPr>
                <w:rFonts w:hint="eastAsia" w:ascii="宋体" w:hAnsi="宋体" w:cs="宋体"/>
                <w:color w:val="auto"/>
                <w:highlight w:val="none"/>
              </w:rPr>
            </w:pPr>
          </w:p>
        </w:tc>
        <w:tc>
          <w:tcPr>
            <w:tcW w:w="3061" w:type="dxa"/>
          </w:tcPr>
          <w:p w14:paraId="21A31AB5">
            <w:pPr>
              <w:rPr>
                <w:rFonts w:hint="eastAsia" w:ascii="宋体" w:hAnsi="宋体" w:cs="宋体"/>
                <w:color w:val="auto"/>
                <w:highlight w:val="none"/>
              </w:rPr>
            </w:pPr>
          </w:p>
        </w:tc>
        <w:tc>
          <w:tcPr>
            <w:tcW w:w="2852" w:type="dxa"/>
          </w:tcPr>
          <w:p w14:paraId="2BFDAE56">
            <w:pPr>
              <w:rPr>
                <w:rFonts w:hint="eastAsia" w:ascii="宋体" w:hAnsi="宋体" w:cs="宋体"/>
                <w:color w:val="auto"/>
                <w:highlight w:val="none"/>
              </w:rPr>
            </w:pPr>
          </w:p>
        </w:tc>
        <w:tc>
          <w:tcPr>
            <w:tcW w:w="1308" w:type="dxa"/>
          </w:tcPr>
          <w:p w14:paraId="1B1A7A3C">
            <w:pPr>
              <w:rPr>
                <w:rFonts w:hint="eastAsia" w:ascii="宋体" w:hAnsi="宋体" w:cs="宋体"/>
                <w:color w:val="auto"/>
                <w:highlight w:val="none"/>
              </w:rPr>
            </w:pPr>
          </w:p>
        </w:tc>
        <w:tc>
          <w:tcPr>
            <w:tcW w:w="1173" w:type="dxa"/>
          </w:tcPr>
          <w:p w14:paraId="368E1AB4">
            <w:pPr>
              <w:rPr>
                <w:rFonts w:hint="eastAsia" w:ascii="宋体" w:hAnsi="宋体" w:cs="宋体"/>
                <w:color w:val="auto"/>
                <w:highlight w:val="none"/>
              </w:rPr>
            </w:pPr>
          </w:p>
        </w:tc>
      </w:tr>
      <w:tr w14:paraId="1BC37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35B50581">
            <w:pPr>
              <w:rPr>
                <w:rFonts w:hint="eastAsia" w:ascii="宋体" w:hAnsi="宋体" w:cs="宋体"/>
                <w:color w:val="auto"/>
                <w:highlight w:val="none"/>
              </w:rPr>
            </w:pPr>
          </w:p>
        </w:tc>
        <w:tc>
          <w:tcPr>
            <w:tcW w:w="3061" w:type="dxa"/>
          </w:tcPr>
          <w:p w14:paraId="63F72353">
            <w:pPr>
              <w:rPr>
                <w:rFonts w:hint="eastAsia" w:ascii="宋体" w:hAnsi="宋体" w:cs="宋体"/>
                <w:color w:val="auto"/>
                <w:highlight w:val="none"/>
              </w:rPr>
            </w:pPr>
          </w:p>
        </w:tc>
        <w:tc>
          <w:tcPr>
            <w:tcW w:w="2852" w:type="dxa"/>
          </w:tcPr>
          <w:p w14:paraId="4189BD3E">
            <w:pPr>
              <w:rPr>
                <w:rFonts w:hint="eastAsia" w:ascii="宋体" w:hAnsi="宋体" w:cs="宋体"/>
                <w:color w:val="auto"/>
                <w:highlight w:val="none"/>
              </w:rPr>
            </w:pPr>
          </w:p>
        </w:tc>
        <w:tc>
          <w:tcPr>
            <w:tcW w:w="1308" w:type="dxa"/>
          </w:tcPr>
          <w:p w14:paraId="079FF671">
            <w:pPr>
              <w:rPr>
                <w:rFonts w:hint="eastAsia" w:ascii="宋体" w:hAnsi="宋体" w:cs="宋体"/>
                <w:color w:val="auto"/>
                <w:highlight w:val="none"/>
              </w:rPr>
            </w:pPr>
          </w:p>
        </w:tc>
        <w:tc>
          <w:tcPr>
            <w:tcW w:w="1173" w:type="dxa"/>
          </w:tcPr>
          <w:p w14:paraId="167326E5">
            <w:pPr>
              <w:rPr>
                <w:rFonts w:hint="eastAsia" w:ascii="宋体" w:hAnsi="宋体" w:cs="宋体"/>
                <w:color w:val="auto"/>
                <w:highlight w:val="none"/>
              </w:rPr>
            </w:pPr>
          </w:p>
        </w:tc>
      </w:tr>
      <w:tr w14:paraId="595EA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4B90BD65">
            <w:pPr>
              <w:rPr>
                <w:rFonts w:hint="eastAsia" w:ascii="宋体" w:hAnsi="宋体" w:cs="宋体"/>
                <w:color w:val="auto"/>
                <w:highlight w:val="none"/>
              </w:rPr>
            </w:pPr>
          </w:p>
        </w:tc>
        <w:tc>
          <w:tcPr>
            <w:tcW w:w="3061" w:type="dxa"/>
          </w:tcPr>
          <w:p w14:paraId="34C7A90E">
            <w:pPr>
              <w:rPr>
                <w:rFonts w:hint="eastAsia" w:ascii="宋体" w:hAnsi="宋体" w:cs="宋体"/>
                <w:color w:val="auto"/>
                <w:highlight w:val="none"/>
              </w:rPr>
            </w:pPr>
          </w:p>
        </w:tc>
        <w:tc>
          <w:tcPr>
            <w:tcW w:w="2852" w:type="dxa"/>
          </w:tcPr>
          <w:p w14:paraId="03F11376">
            <w:pPr>
              <w:rPr>
                <w:rFonts w:hint="eastAsia" w:ascii="宋体" w:hAnsi="宋体" w:cs="宋体"/>
                <w:color w:val="auto"/>
                <w:highlight w:val="none"/>
              </w:rPr>
            </w:pPr>
          </w:p>
        </w:tc>
        <w:tc>
          <w:tcPr>
            <w:tcW w:w="1308" w:type="dxa"/>
          </w:tcPr>
          <w:p w14:paraId="4DC41295">
            <w:pPr>
              <w:rPr>
                <w:rFonts w:hint="eastAsia" w:ascii="宋体" w:hAnsi="宋体" w:cs="宋体"/>
                <w:color w:val="auto"/>
                <w:highlight w:val="none"/>
              </w:rPr>
            </w:pPr>
          </w:p>
        </w:tc>
        <w:tc>
          <w:tcPr>
            <w:tcW w:w="1173" w:type="dxa"/>
          </w:tcPr>
          <w:p w14:paraId="6F4C02BE">
            <w:pPr>
              <w:rPr>
                <w:rFonts w:hint="eastAsia" w:ascii="宋体" w:hAnsi="宋体" w:cs="宋体"/>
                <w:color w:val="auto"/>
                <w:highlight w:val="none"/>
              </w:rPr>
            </w:pPr>
          </w:p>
        </w:tc>
      </w:tr>
      <w:tr w14:paraId="25608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34DB4A45">
            <w:pPr>
              <w:rPr>
                <w:rFonts w:hint="eastAsia" w:ascii="宋体" w:hAnsi="宋体" w:cs="宋体"/>
                <w:color w:val="auto"/>
                <w:highlight w:val="none"/>
              </w:rPr>
            </w:pPr>
          </w:p>
        </w:tc>
        <w:tc>
          <w:tcPr>
            <w:tcW w:w="3061" w:type="dxa"/>
          </w:tcPr>
          <w:p w14:paraId="59FB9038">
            <w:pPr>
              <w:rPr>
                <w:rFonts w:hint="eastAsia" w:ascii="宋体" w:hAnsi="宋体" w:cs="宋体"/>
                <w:color w:val="auto"/>
                <w:highlight w:val="none"/>
              </w:rPr>
            </w:pPr>
          </w:p>
        </w:tc>
        <w:tc>
          <w:tcPr>
            <w:tcW w:w="2852" w:type="dxa"/>
          </w:tcPr>
          <w:p w14:paraId="0FF80CF1">
            <w:pPr>
              <w:rPr>
                <w:rFonts w:hint="eastAsia" w:ascii="宋体" w:hAnsi="宋体" w:cs="宋体"/>
                <w:color w:val="auto"/>
                <w:highlight w:val="none"/>
              </w:rPr>
            </w:pPr>
          </w:p>
        </w:tc>
        <w:tc>
          <w:tcPr>
            <w:tcW w:w="1308" w:type="dxa"/>
          </w:tcPr>
          <w:p w14:paraId="6DA89383">
            <w:pPr>
              <w:rPr>
                <w:rFonts w:hint="eastAsia" w:ascii="宋体" w:hAnsi="宋体" w:cs="宋体"/>
                <w:color w:val="auto"/>
                <w:highlight w:val="none"/>
              </w:rPr>
            </w:pPr>
          </w:p>
        </w:tc>
        <w:tc>
          <w:tcPr>
            <w:tcW w:w="1173" w:type="dxa"/>
          </w:tcPr>
          <w:p w14:paraId="41632BB4">
            <w:pPr>
              <w:rPr>
                <w:rFonts w:hint="eastAsia" w:ascii="宋体" w:hAnsi="宋体" w:cs="宋体"/>
                <w:color w:val="auto"/>
                <w:highlight w:val="none"/>
              </w:rPr>
            </w:pPr>
          </w:p>
        </w:tc>
      </w:tr>
      <w:tr w14:paraId="76EE6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7AB9E26F">
            <w:pPr>
              <w:rPr>
                <w:rFonts w:hint="eastAsia" w:ascii="宋体" w:hAnsi="宋体" w:cs="宋体"/>
                <w:color w:val="auto"/>
                <w:highlight w:val="none"/>
              </w:rPr>
            </w:pPr>
          </w:p>
        </w:tc>
        <w:tc>
          <w:tcPr>
            <w:tcW w:w="3061" w:type="dxa"/>
          </w:tcPr>
          <w:p w14:paraId="201CC1EF">
            <w:pPr>
              <w:rPr>
                <w:rFonts w:hint="eastAsia" w:ascii="宋体" w:hAnsi="宋体" w:cs="宋体"/>
                <w:color w:val="auto"/>
                <w:highlight w:val="none"/>
              </w:rPr>
            </w:pPr>
          </w:p>
        </w:tc>
        <w:tc>
          <w:tcPr>
            <w:tcW w:w="2852" w:type="dxa"/>
          </w:tcPr>
          <w:p w14:paraId="1DC8B791">
            <w:pPr>
              <w:rPr>
                <w:rFonts w:hint="eastAsia" w:ascii="宋体" w:hAnsi="宋体" w:cs="宋体"/>
                <w:color w:val="auto"/>
                <w:highlight w:val="none"/>
              </w:rPr>
            </w:pPr>
          </w:p>
        </w:tc>
        <w:tc>
          <w:tcPr>
            <w:tcW w:w="1308" w:type="dxa"/>
          </w:tcPr>
          <w:p w14:paraId="6AD74012">
            <w:pPr>
              <w:rPr>
                <w:rFonts w:hint="eastAsia" w:ascii="宋体" w:hAnsi="宋体" w:cs="宋体"/>
                <w:color w:val="auto"/>
                <w:highlight w:val="none"/>
              </w:rPr>
            </w:pPr>
          </w:p>
        </w:tc>
        <w:tc>
          <w:tcPr>
            <w:tcW w:w="1173" w:type="dxa"/>
          </w:tcPr>
          <w:p w14:paraId="4791F360">
            <w:pPr>
              <w:rPr>
                <w:rFonts w:hint="eastAsia" w:ascii="宋体" w:hAnsi="宋体" w:cs="宋体"/>
                <w:color w:val="auto"/>
                <w:highlight w:val="none"/>
              </w:rPr>
            </w:pPr>
          </w:p>
        </w:tc>
      </w:tr>
      <w:tr w14:paraId="610FD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45260697">
            <w:pPr>
              <w:rPr>
                <w:rFonts w:hint="eastAsia" w:ascii="宋体" w:hAnsi="宋体" w:cs="宋体"/>
                <w:color w:val="auto"/>
                <w:highlight w:val="none"/>
              </w:rPr>
            </w:pPr>
          </w:p>
        </w:tc>
        <w:tc>
          <w:tcPr>
            <w:tcW w:w="3061" w:type="dxa"/>
          </w:tcPr>
          <w:p w14:paraId="217E8C23">
            <w:pPr>
              <w:rPr>
                <w:rFonts w:hint="eastAsia" w:ascii="宋体" w:hAnsi="宋体" w:cs="宋体"/>
                <w:color w:val="auto"/>
                <w:highlight w:val="none"/>
              </w:rPr>
            </w:pPr>
          </w:p>
        </w:tc>
        <w:tc>
          <w:tcPr>
            <w:tcW w:w="2852" w:type="dxa"/>
          </w:tcPr>
          <w:p w14:paraId="4FBB4BA8">
            <w:pPr>
              <w:rPr>
                <w:rFonts w:hint="eastAsia" w:ascii="宋体" w:hAnsi="宋体" w:cs="宋体"/>
                <w:color w:val="auto"/>
                <w:highlight w:val="none"/>
              </w:rPr>
            </w:pPr>
          </w:p>
        </w:tc>
        <w:tc>
          <w:tcPr>
            <w:tcW w:w="1308" w:type="dxa"/>
          </w:tcPr>
          <w:p w14:paraId="5535829E">
            <w:pPr>
              <w:rPr>
                <w:rFonts w:hint="eastAsia" w:ascii="宋体" w:hAnsi="宋体" w:cs="宋体"/>
                <w:color w:val="auto"/>
                <w:highlight w:val="none"/>
              </w:rPr>
            </w:pPr>
          </w:p>
        </w:tc>
        <w:tc>
          <w:tcPr>
            <w:tcW w:w="1173" w:type="dxa"/>
          </w:tcPr>
          <w:p w14:paraId="335A24A4">
            <w:pPr>
              <w:rPr>
                <w:rFonts w:hint="eastAsia" w:ascii="宋体" w:hAnsi="宋体" w:cs="宋体"/>
                <w:color w:val="auto"/>
                <w:highlight w:val="none"/>
              </w:rPr>
            </w:pPr>
          </w:p>
        </w:tc>
      </w:tr>
      <w:tr w14:paraId="1352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75" w:type="dxa"/>
          </w:tcPr>
          <w:p w14:paraId="1E6A5C92">
            <w:pPr>
              <w:rPr>
                <w:rFonts w:hint="eastAsia" w:ascii="宋体" w:hAnsi="宋体" w:cs="宋体"/>
                <w:color w:val="auto"/>
                <w:highlight w:val="none"/>
              </w:rPr>
            </w:pPr>
          </w:p>
        </w:tc>
        <w:tc>
          <w:tcPr>
            <w:tcW w:w="3061" w:type="dxa"/>
          </w:tcPr>
          <w:p w14:paraId="4EF1852A">
            <w:pPr>
              <w:rPr>
                <w:rFonts w:hint="eastAsia" w:ascii="宋体" w:hAnsi="宋体" w:cs="宋体"/>
                <w:color w:val="auto"/>
                <w:highlight w:val="none"/>
              </w:rPr>
            </w:pPr>
            <w:r>
              <w:rPr>
                <w:rFonts w:hint="eastAsia" w:ascii="宋体" w:hAnsi="宋体" w:cs="宋体"/>
                <w:color w:val="auto"/>
                <w:highlight w:val="none"/>
              </w:rPr>
              <w:t>……</w:t>
            </w:r>
          </w:p>
        </w:tc>
        <w:tc>
          <w:tcPr>
            <w:tcW w:w="2852" w:type="dxa"/>
          </w:tcPr>
          <w:p w14:paraId="42595211">
            <w:pPr>
              <w:rPr>
                <w:rFonts w:hint="eastAsia" w:ascii="宋体" w:hAnsi="宋体" w:cs="宋体"/>
                <w:color w:val="auto"/>
                <w:highlight w:val="none"/>
              </w:rPr>
            </w:pPr>
          </w:p>
        </w:tc>
        <w:tc>
          <w:tcPr>
            <w:tcW w:w="1308" w:type="dxa"/>
          </w:tcPr>
          <w:p w14:paraId="22EDCC8D">
            <w:pPr>
              <w:rPr>
                <w:rFonts w:hint="eastAsia" w:ascii="宋体" w:hAnsi="宋体" w:cs="宋体"/>
                <w:color w:val="auto"/>
                <w:highlight w:val="none"/>
              </w:rPr>
            </w:pPr>
          </w:p>
        </w:tc>
        <w:tc>
          <w:tcPr>
            <w:tcW w:w="1173" w:type="dxa"/>
          </w:tcPr>
          <w:p w14:paraId="5AF66CAB">
            <w:pPr>
              <w:rPr>
                <w:rFonts w:hint="eastAsia" w:ascii="宋体" w:hAnsi="宋体" w:cs="宋体"/>
                <w:color w:val="auto"/>
                <w:highlight w:val="none"/>
              </w:rPr>
            </w:pPr>
          </w:p>
        </w:tc>
      </w:tr>
    </w:tbl>
    <w:p w14:paraId="1824E221">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 行数不够，可自行添加。</w:t>
      </w:r>
    </w:p>
    <w:p w14:paraId="2D40FE2E">
      <w:pPr>
        <w:rPr>
          <w:rFonts w:hint="eastAsia" w:ascii="宋体" w:hAnsi="宋体" w:cs="宋体"/>
          <w:color w:val="auto"/>
          <w:highlight w:val="none"/>
        </w:rPr>
      </w:pPr>
    </w:p>
    <w:p w14:paraId="5341F9E7">
      <w:pPr>
        <w:rPr>
          <w:rFonts w:hint="eastAsia" w:ascii="宋体" w:hAnsi="宋体" w:cs="宋体"/>
          <w:color w:val="auto"/>
          <w:highlight w:val="none"/>
        </w:rPr>
      </w:pPr>
    </w:p>
    <w:p w14:paraId="01346AA0">
      <w:pPr>
        <w:rPr>
          <w:rFonts w:hint="eastAsia" w:ascii="宋体" w:hAnsi="宋体" w:cs="宋体"/>
          <w:color w:val="auto"/>
          <w:highlight w:val="none"/>
        </w:rPr>
      </w:pPr>
    </w:p>
    <w:p w14:paraId="3049D23A">
      <w:pPr>
        <w:rPr>
          <w:rFonts w:hint="eastAsia" w:ascii="宋体" w:hAnsi="宋体" w:cs="宋体"/>
          <w:color w:val="auto"/>
          <w:highlight w:val="none"/>
        </w:rPr>
      </w:pPr>
    </w:p>
    <w:p w14:paraId="53C6CA9B">
      <w:pPr>
        <w:rPr>
          <w:rFonts w:hint="eastAsia" w:ascii="宋体" w:hAnsi="宋体" w:cs="宋体"/>
          <w:color w:val="auto"/>
          <w:highlight w:val="none"/>
        </w:rPr>
      </w:pPr>
    </w:p>
    <w:p w14:paraId="460D35D0">
      <w:pPr>
        <w:rPr>
          <w:rFonts w:hint="eastAsia" w:ascii="宋体" w:hAnsi="宋体" w:cs="宋体"/>
          <w:color w:val="auto"/>
          <w:highlight w:val="none"/>
        </w:rPr>
      </w:pPr>
    </w:p>
    <w:p w14:paraId="373609FC">
      <w:pPr>
        <w:rPr>
          <w:rFonts w:hint="eastAsia" w:ascii="宋体" w:hAnsi="宋体" w:cs="宋体"/>
          <w:color w:val="auto"/>
          <w:highlight w:val="none"/>
        </w:rPr>
      </w:pPr>
    </w:p>
    <w:p w14:paraId="39476E9C">
      <w:pPr>
        <w:rPr>
          <w:rFonts w:hint="eastAsia" w:ascii="宋体" w:hAnsi="宋体" w:cs="宋体"/>
          <w:color w:val="auto"/>
          <w:highlight w:val="none"/>
        </w:rPr>
      </w:pPr>
    </w:p>
    <w:p w14:paraId="5823ED2D">
      <w:pPr>
        <w:rPr>
          <w:rFonts w:hint="eastAsia" w:ascii="宋体" w:hAnsi="宋体" w:cs="宋体"/>
          <w:color w:val="auto"/>
          <w:highlight w:val="none"/>
        </w:rPr>
      </w:pPr>
      <w:bookmarkStart w:id="193" w:name="_Hlt26955054"/>
      <w:bookmarkEnd w:id="193"/>
      <w:r>
        <w:rPr>
          <w:rFonts w:hint="eastAsia" w:ascii="宋体" w:hAnsi="宋体" w:cs="宋体"/>
          <w:color w:val="auto"/>
          <w:highlight w:val="none"/>
        </w:rPr>
        <w:br w:type="page" w:clear="all"/>
      </w:r>
    </w:p>
    <w:p w14:paraId="6FD73DC6">
      <w:pPr>
        <w:ind w:firstLine="56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商务要求响应及偏离表</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0300F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1FE5C0E3">
            <w:pPr>
              <w:ind w:left="0" w:leftChars="0" w:firstLine="0" w:firstLineChars="0"/>
              <w:jc w:val="center"/>
              <w:rPr>
                <w:rFonts w:hint="eastAsia" w:ascii="宋体" w:hAnsi="宋体" w:eastAsia="宋体" w:cs="宋体"/>
                <w:color w:val="auto"/>
                <w:highlight w:val="none"/>
              </w:rPr>
            </w:pPr>
            <w:bookmarkStart w:id="194" w:name="_Hlt26955064"/>
            <w:bookmarkEnd w:id="194"/>
            <w:bookmarkStart w:id="195" w:name="_Hlt26955056"/>
            <w:bookmarkEnd w:id="195"/>
            <w:bookmarkStart w:id="196" w:name="_Hlt26782999"/>
            <w:bookmarkEnd w:id="196"/>
            <w:bookmarkStart w:id="197" w:name="_Hlt26671343"/>
            <w:bookmarkEnd w:id="197"/>
            <w:bookmarkStart w:id="198" w:name="_Hlt24879081"/>
            <w:bookmarkEnd w:id="198"/>
            <w:bookmarkStart w:id="199" w:name="_Hlt26580838"/>
            <w:bookmarkEnd w:id="199"/>
            <w:bookmarkStart w:id="200" w:name="_Hlt26671372"/>
            <w:bookmarkEnd w:id="200"/>
            <w:bookmarkStart w:id="201" w:name="_Hlt26609391"/>
            <w:bookmarkEnd w:id="201"/>
            <w:r>
              <w:rPr>
                <w:rFonts w:hint="eastAsia" w:ascii="宋体" w:hAnsi="宋体" w:eastAsia="宋体" w:cs="宋体"/>
                <w:color w:val="auto"/>
                <w:highlight w:val="none"/>
              </w:rPr>
              <w:t>序号</w:t>
            </w:r>
          </w:p>
        </w:tc>
        <w:tc>
          <w:tcPr>
            <w:tcW w:w="2688" w:type="dxa"/>
            <w:vAlign w:val="center"/>
          </w:tcPr>
          <w:p w14:paraId="18749281">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883" w:type="dxa"/>
            <w:vAlign w:val="center"/>
          </w:tcPr>
          <w:p w14:paraId="3E1AB121">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302" w:type="dxa"/>
            <w:vAlign w:val="center"/>
          </w:tcPr>
          <w:p w14:paraId="1AB2D5C4">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符合或偏离</w:t>
            </w:r>
          </w:p>
        </w:tc>
        <w:tc>
          <w:tcPr>
            <w:tcW w:w="1614" w:type="dxa"/>
            <w:vAlign w:val="center"/>
          </w:tcPr>
          <w:p w14:paraId="774368CB">
            <w:pPr>
              <w:ind w:left="0" w:leftChars="0" w:firstLine="0" w:firstLineChars="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备注</w:t>
            </w:r>
          </w:p>
        </w:tc>
      </w:tr>
      <w:tr w14:paraId="25869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1C1F1FE0">
            <w:pPr>
              <w:rPr>
                <w:rFonts w:hint="eastAsia" w:ascii="宋体" w:hAnsi="宋体" w:cs="宋体"/>
                <w:color w:val="auto"/>
                <w:highlight w:val="none"/>
              </w:rPr>
            </w:pPr>
          </w:p>
        </w:tc>
        <w:tc>
          <w:tcPr>
            <w:tcW w:w="2688" w:type="dxa"/>
          </w:tcPr>
          <w:p w14:paraId="543D35E6">
            <w:pPr>
              <w:rPr>
                <w:rFonts w:hint="eastAsia" w:ascii="宋体" w:hAnsi="宋体" w:cs="宋体"/>
                <w:color w:val="auto"/>
                <w:highlight w:val="none"/>
              </w:rPr>
            </w:pPr>
          </w:p>
        </w:tc>
        <w:tc>
          <w:tcPr>
            <w:tcW w:w="2883" w:type="dxa"/>
          </w:tcPr>
          <w:p w14:paraId="537C278C">
            <w:pPr>
              <w:ind w:left="0" w:leftChars="0" w:firstLine="0" w:firstLineChars="0"/>
              <w:jc w:val="center"/>
              <w:rPr>
                <w:rFonts w:hint="eastAsia" w:ascii="宋体" w:hAnsi="宋体" w:cs="宋体"/>
                <w:color w:val="auto"/>
                <w:highlight w:val="none"/>
              </w:rPr>
            </w:pPr>
          </w:p>
        </w:tc>
        <w:tc>
          <w:tcPr>
            <w:tcW w:w="1302" w:type="dxa"/>
          </w:tcPr>
          <w:p w14:paraId="51506A48">
            <w:pPr>
              <w:rPr>
                <w:rFonts w:hint="eastAsia" w:ascii="宋体" w:hAnsi="宋体" w:cs="宋体"/>
                <w:color w:val="auto"/>
                <w:highlight w:val="none"/>
              </w:rPr>
            </w:pPr>
          </w:p>
        </w:tc>
        <w:tc>
          <w:tcPr>
            <w:tcW w:w="1614" w:type="dxa"/>
          </w:tcPr>
          <w:p w14:paraId="01DE1806">
            <w:pPr>
              <w:rPr>
                <w:rFonts w:hint="eastAsia" w:ascii="宋体" w:hAnsi="宋体" w:cs="宋体"/>
                <w:color w:val="auto"/>
                <w:highlight w:val="none"/>
              </w:rPr>
            </w:pPr>
          </w:p>
        </w:tc>
      </w:tr>
      <w:tr w14:paraId="3EB82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26671563">
            <w:pPr>
              <w:rPr>
                <w:rFonts w:hint="eastAsia" w:ascii="宋体" w:hAnsi="宋体" w:cs="宋体"/>
                <w:color w:val="auto"/>
                <w:highlight w:val="none"/>
              </w:rPr>
            </w:pPr>
          </w:p>
        </w:tc>
        <w:tc>
          <w:tcPr>
            <w:tcW w:w="2688" w:type="dxa"/>
          </w:tcPr>
          <w:p w14:paraId="4D81BD38">
            <w:pPr>
              <w:rPr>
                <w:rFonts w:hint="eastAsia" w:ascii="宋体" w:hAnsi="宋体" w:cs="宋体"/>
                <w:color w:val="auto"/>
                <w:highlight w:val="none"/>
              </w:rPr>
            </w:pPr>
          </w:p>
        </w:tc>
        <w:tc>
          <w:tcPr>
            <w:tcW w:w="2883" w:type="dxa"/>
          </w:tcPr>
          <w:p w14:paraId="2984087F">
            <w:pPr>
              <w:rPr>
                <w:rFonts w:hint="eastAsia" w:ascii="宋体" w:hAnsi="宋体" w:cs="宋体"/>
                <w:color w:val="auto"/>
                <w:highlight w:val="none"/>
              </w:rPr>
            </w:pPr>
          </w:p>
        </w:tc>
        <w:tc>
          <w:tcPr>
            <w:tcW w:w="1302" w:type="dxa"/>
          </w:tcPr>
          <w:p w14:paraId="520C75B6">
            <w:pPr>
              <w:rPr>
                <w:rFonts w:hint="eastAsia" w:ascii="宋体" w:hAnsi="宋体" w:cs="宋体"/>
                <w:color w:val="auto"/>
                <w:highlight w:val="none"/>
              </w:rPr>
            </w:pPr>
          </w:p>
        </w:tc>
        <w:tc>
          <w:tcPr>
            <w:tcW w:w="1614" w:type="dxa"/>
          </w:tcPr>
          <w:p w14:paraId="220B65D2">
            <w:pPr>
              <w:rPr>
                <w:rFonts w:hint="eastAsia" w:ascii="宋体" w:hAnsi="宋体" w:cs="宋体"/>
                <w:color w:val="auto"/>
                <w:highlight w:val="none"/>
              </w:rPr>
            </w:pPr>
          </w:p>
        </w:tc>
      </w:tr>
      <w:tr w14:paraId="17412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14902E1">
            <w:pPr>
              <w:rPr>
                <w:rFonts w:hint="eastAsia" w:ascii="宋体" w:hAnsi="宋体" w:cs="宋体"/>
                <w:color w:val="auto"/>
                <w:highlight w:val="none"/>
              </w:rPr>
            </w:pPr>
          </w:p>
        </w:tc>
        <w:tc>
          <w:tcPr>
            <w:tcW w:w="2688" w:type="dxa"/>
          </w:tcPr>
          <w:p w14:paraId="02996A1E">
            <w:pPr>
              <w:rPr>
                <w:rFonts w:hint="eastAsia" w:ascii="宋体" w:hAnsi="宋体" w:cs="宋体"/>
                <w:color w:val="auto"/>
                <w:highlight w:val="none"/>
              </w:rPr>
            </w:pPr>
          </w:p>
        </w:tc>
        <w:tc>
          <w:tcPr>
            <w:tcW w:w="2883" w:type="dxa"/>
          </w:tcPr>
          <w:p w14:paraId="6A8297E1">
            <w:pPr>
              <w:rPr>
                <w:rFonts w:hint="eastAsia" w:ascii="宋体" w:hAnsi="宋体" w:cs="宋体"/>
                <w:color w:val="auto"/>
                <w:highlight w:val="none"/>
              </w:rPr>
            </w:pPr>
          </w:p>
        </w:tc>
        <w:tc>
          <w:tcPr>
            <w:tcW w:w="1302" w:type="dxa"/>
          </w:tcPr>
          <w:p w14:paraId="43D2B5D3">
            <w:pPr>
              <w:rPr>
                <w:rFonts w:hint="eastAsia" w:ascii="宋体" w:hAnsi="宋体" w:cs="宋体"/>
                <w:color w:val="auto"/>
                <w:highlight w:val="none"/>
              </w:rPr>
            </w:pPr>
          </w:p>
        </w:tc>
        <w:tc>
          <w:tcPr>
            <w:tcW w:w="1614" w:type="dxa"/>
          </w:tcPr>
          <w:p w14:paraId="3BA2A9E4">
            <w:pPr>
              <w:rPr>
                <w:rFonts w:hint="eastAsia" w:ascii="宋体" w:hAnsi="宋体" w:cs="宋体"/>
                <w:color w:val="auto"/>
                <w:highlight w:val="none"/>
              </w:rPr>
            </w:pPr>
          </w:p>
        </w:tc>
      </w:tr>
      <w:tr w14:paraId="1C287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2AADC5">
            <w:pPr>
              <w:rPr>
                <w:rFonts w:hint="eastAsia" w:ascii="宋体" w:hAnsi="宋体" w:cs="宋体"/>
                <w:color w:val="auto"/>
                <w:highlight w:val="none"/>
              </w:rPr>
            </w:pPr>
          </w:p>
        </w:tc>
        <w:tc>
          <w:tcPr>
            <w:tcW w:w="2688" w:type="dxa"/>
          </w:tcPr>
          <w:p w14:paraId="03AC4A82">
            <w:pPr>
              <w:rPr>
                <w:rFonts w:hint="eastAsia" w:ascii="宋体" w:hAnsi="宋体" w:cs="宋体"/>
                <w:color w:val="auto"/>
                <w:highlight w:val="none"/>
              </w:rPr>
            </w:pPr>
          </w:p>
        </w:tc>
        <w:tc>
          <w:tcPr>
            <w:tcW w:w="2883" w:type="dxa"/>
          </w:tcPr>
          <w:p w14:paraId="3F7A8EDB">
            <w:pPr>
              <w:rPr>
                <w:rFonts w:hint="eastAsia" w:ascii="宋体" w:hAnsi="宋体" w:cs="宋体"/>
                <w:color w:val="auto"/>
                <w:highlight w:val="none"/>
              </w:rPr>
            </w:pPr>
          </w:p>
        </w:tc>
        <w:tc>
          <w:tcPr>
            <w:tcW w:w="1302" w:type="dxa"/>
          </w:tcPr>
          <w:p w14:paraId="6005E58B">
            <w:pPr>
              <w:rPr>
                <w:rFonts w:hint="eastAsia" w:ascii="宋体" w:hAnsi="宋体" w:cs="宋体"/>
                <w:color w:val="auto"/>
                <w:highlight w:val="none"/>
              </w:rPr>
            </w:pPr>
          </w:p>
        </w:tc>
        <w:tc>
          <w:tcPr>
            <w:tcW w:w="1614" w:type="dxa"/>
          </w:tcPr>
          <w:p w14:paraId="4C2199A0">
            <w:pPr>
              <w:rPr>
                <w:rFonts w:hint="eastAsia" w:ascii="宋体" w:hAnsi="宋体" w:cs="宋体"/>
                <w:color w:val="auto"/>
                <w:highlight w:val="none"/>
              </w:rPr>
            </w:pPr>
          </w:p>
        </w:tc>
      </w:tr>
      <w:tr w14:paraId="12DDB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25305D7">
            <w:pPr>
              <w:rPr>
                <w:rFonts w:hint="eastAsia" w:ascii="宋体" w:hAnsi="宋体" w:cs="宋体"/>
                <w:color w:val="auto"/>
                <w:highlight w:val="none"/>
              </w:rPr>
            </w:pPr>
          </w:p>
        </w:tc>
        <w:tc>
          <w:tcPr>
            <w:tcW w:w="2688" w:type="dxa"/>
          </w:tcPr>
          <w:p w14:paraId="2CF472B2">
            <w:pPr>
              <w:rPr>
                <w:rFonts w:hint="eastAsia" w:ascii="宋体" w:hAnsi="宋体" w:cs="宋体"/>
                <w:color w:val="auto"/>
                <w:highlight w:val="none"/>
              </w:rPr>
            </w:pPr>
          </w:p>
        </w:tc>
        <w:tc>
          <w:tcPr>
            <w:tcW w:w="2883" w:type="dxa"/>
          </w:tcPr>
          <w:p w14:paraId="236251EC">
            <w:pPr>
              <w:rPr>
                <w:rFonts w:hint="eastAsia" w:ascii="宋体" w:hAnsi="宋体" w:cs="宋体"/>
                <w:color w:val="auto"/>
                <w:highlight w:val="none"/>
              </w:rPr>
            </w:pPr>
          </w:p>
        </w:tc>
        <w:tc>
          <w:tcPr>
            <w:tcW w:w="1302" w:type="dxa"/>
          </w:tcPr>
          <w:p w14:paraId="2277C3BE">
            <w:pPr>
              <w:rPr>
                <w:rFonts w:hint="eastAsia" w:ascii="宋体" w:hAnsi="宋体" w:cs="宋体"/>
                <w:color w:val="auto"/>
                <w:highlight w:val="none"/>
              </w:rPr>
            </w:pPr>
          </w:p>
        </w:tc>
        <w:tc>
          <w:tcPr>
            <w:tcW w:w="1614" w:type="dxa"/>
          </w:tcPr>
          <w:p w14:paraId="48E606FB">
            <w:pPr>
              <w:rPr>
                <w:rFonts w:hint="eastAsia" w:ascii="宋体" w:hAnsi="宋体" w:cs="宋体"/>
                <w:color w:val="auto"/>
                <w:highlight w:val="none"/>
              </w:rPr>
            </w:pPr>
          </w:p>
        </w:tc>
      </w:tr>
      <w:tr w14:paraId="505BD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36BEB84">
            <w:pPr>
              <w:rPr>
                <w:rFonts w:hint="eastAsia" w:ascii="宋体" w:hAnsi="宋体" w:cs="宋体"/>
                <w:color w:val="auto"/>
                <w:highlight w:val="none"/>
              </w:rPr>
            </w:pPr>
          </w:p>
        </w:tc>
        <w:tc>
          <w:tcPr>
            <w:tcW w:w="2688" w:type="dxa"/>
          </w:tcPr>
          <w:p w14:paraId="07650586">
            <w:pPr>
              <w:rPr>
                <w:rFonts w:hint="eastAsia" w:ascii="宋体" w:hAnsi="宋体" w:cs="宋体"/>
                <w:color w:val="auto"/>
                <w:highlight w:val="none"/>
              </w:rPr>
            </w:pPr>
          </w:p>
        </w:tc>
        <w:tc>
          <w:tcPr>
            <w:tcW w:w="2883" w:type="dxa"/>
          </w:tcPr>
          <w:p w14:paraId="6D431C6A">
            <w:pPr>
              <w:rPr>
                <w:rFonts w:hint="eastAsia" w:ascii="宋体" w:hAnsi="宋体" w:cs="宋体"/>
                <w:color w:val="auto"/>
                <w:highlight w:val="none"/>
              </w:rPr>
            </w:pPr>
          </w:p>
        </w:tc>
        <w:tc>
          <w:tcPr>
            <w:tcW w:w="1302" w:type="dxa"/>
          </w:tcPr>
          <w:p w14:paraId="5C58BB62">
            <w:pPr>
              <w:rPr>
                <w:rFonts w:hint="eastAsia" w:ascii="宋体" w:hAnsi="宋体" w:cs="宋体"/>
                <w:color w:val="auto"/>
                <w:highlight w:val="none"/>
              </w:rPr>
            </w:pPr>
          </w:p>
        </w:tc>
        <w:tc>
          <w:tcPr>
            <w:tcW w:w="1614" w:type="dxa"/>
          </w:tcPr>
          <w:p w14:paraId="1CBD9E3F">
            <w:pPr>
              <w:rPr>
                <w:rFonts w:hint="eastAsia" w:ascii="宋体" w:hAnsi="宋体" w:cs="宋体"/>
                <w:color w:val="auto"/>
                <w:highlight w:val="none"/>
              </w:rPr>
            </w:pPr>
          </w:p>
        </w:tc>
      </w:tr>
      <w:tr w14:paraId="46D26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1D7E06F8">
            <w:pPr>
              <w:rPr>
                <w:rFonts w:hint="eastAsia" w:ascii="宋体" w:hAnsi="宋体" w:cs="宋体"/>
                <w:color w:val="auto"/>
                <w:highlight w:val="none"/>
              </w:rPr>
            </w:pPr>
          </w:p>
        </w:tc>
        <w:tc>
          <w:tcPr>
            <w:tcW w:w="2688" w:type="dxa"/>
          </w:tcPr>
          <w:p w14:paraId="2794547C">
            <w:pPr>
              <w:rPr>
                <w:rFonts w:hint="eastAsia" w:ascii="宋体" w:hAnsi="宋体" w:cs="宋体"/>
                <w:color w:val="auto"/>
                <w:highlight w:val="none"/>
              </w:rPr>
            </w:pPr>
          </w:p>
        </w:tc>
        <w:tc>
          <w:tcPr>
            <w:tcW w:w="2883" w:type="dxa"/>
          </w:tcPr>
          <w:p w14:paraId="3AD24495">
            <w:pPr>
              <w:rPr>
                <w:rFonts w:hint="eastAsia" w:ascii="宋体" w:hAnsi="宋体" w:cs="宋体"/>
                <w:color w:val="auto"/>
                <w:highlight w:val="none"/>
              </w:rPr>
            </w:pPr>
          </w:p>
        </w:tc>
        <w:tc>
          <w:tcPr>
            <w:tcW w:w="1302" w:type="dxa"/>
          </w:tcPr>
          <w:p w14:paraId="2221E897">
            <w:pPr>
              <w:rPr>
                <w:rFonts w:hint="eastAsia" w:ascii="宋体" w:hAnsi="宋体" w:cs="宋体"/>
                <w:color w:val="auto"/>
                <w:highlight w:val="none"/>
              </w:rPr>
            </w:pPr>
          </w:p>
        </w:tc>
        <w:tc>
          <w:tcPr>
            <w:tcW w:w="1614" w:type="dxa"/>
          </w:tcPr>
          <w:p w14:paraId="23C90E6C">
            <w:pPr>
              <w:rPr>
                <w:rFonts w:hint="eastAsia" w:ascii="宋体" w:hAnsi="宋体" w:cs="宋体"/>
                <w:color w:val="auto"/>
                <w:highlight w:val="none"/>
              </w:rPr>
            </w:pPr>
          </w:p>
        </w:tc>
      </w:tr>
      <w:tr w14:paraId="45603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E4E8CE7">
            <w:pPr>
              <w:rPr>
                <w:rFonts w:hint="eastAsia" w:ascii="宋体" w:hAnsi="宋体" w:cs="宋体"/>
                <w:color w:val="auto"/>
                <w:highlight w:val="none"/>
              </w:rPr>
            </w:pPr>
          </w:p>
        </w:tc>
        <w:tc>
          <w:tcPr>
            <w:tcW w:w="2688" w:type="dxa"/>
          </w:tcPr>
          <w:p w14:paraId="087EE1A1">
            <w:pPr>
              <w:rPr>
                <w:rFonts w:hint="eastAsia" w:ascii="宋体" w:hAnsi="宋体" w:cs="宋体"/>
                <w:color w:val="auto"/>
                <w:highlight w:val="none"/>
              </w:rPr>
            </w:pPr>
          </w:p>
        </w:tc>
        <w:tc>
          <w:tcPr>
            <w:tcW w:w="2883" w:type="dxa"/>
          </w:tcPr>
          <w:p w14:paraId="029E60D8">
            <w:pPr>
              <w:rPr>
                <w:rFonts w:hint="eastAsia" w:ascii="宋体" w:hAnsi="宋体" w:cs="宋体"/>
                <w:color w:val="auto"/>
                <w:highlight w:val="none"/>
              </w:rPr>
            </w:pPr>
          </w:p>
        </w:tc>
        <w:tc>
          <w:tcPr>
            <w:tcW w:w="1302" w:type="dxa"/>
          </w:tcPr>
          <w:p w14:paraId="0D4B0BB0">
            <w:pPr>
              <w:rPr>
                <w:rFonts w:hint="eastAsia" w:ascii="宋体" w:hAnsi="宋体" w:cs="宋体"/>
                <w:color w:val="auto"/>
                <w:highlight w:val="none"/>
              </w:rPr>
            </w:pPr>
          </w:p>
        </w:tc>
        <w:tc>
          <w:tcPr>
            <w:tcW w:w="1614" w:type="dxa"/>
          </w:tcPr>
          <w:p w14:paraId="60F50F2B">
            <w:pPr>
              <w:rPr>
                <w:rFonts w:hint="eastAsia" w:ascii="宋体" w:hAnsi="宋体" w:cs="宋体"/>
                <w:color w:val="auto"/>
                <w:highlight w:val="none"/>
              </w:rPr>
            </w:pPr>
          </w:p>
        </w:tc>
      </w:tr>
    </w:tbl>
    <w:p w14:paraId="0202480A">
      <w:pPr>
        <w:rPr>
          <w:rFonts w:hint="eastAsia" w:ascii="宋体" w:hAnsi="宋体" w:cs="宋体"/>
          <w:color w:val="auto"/>
          <w:highlight w:val="none"/>
        </w:rPr>
      </w:pPr>
      <w:r>
        <w:rPr>
          <w:rFonts w:hint="eastAsia" w:ascii="宋体" w:hAnsi="宋体" w:cs="宋体"/>
          <w:color w:val="auto"/>
          <w:highlight w:val="none"/>
        </w:rPr>
        <w:t>注： 行数不够，可自行添加。</w:t>
      </w:r>
    </w:p>
    <w:p w14:paraId="1C8B1BB0">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5F6BFA2B">
      <w:pPr>
        <w:rPr>
          <w:rFonts w:hint="eastAsia" w:ascii="宋体" w:hAnsi="宋体" w:cs="宋体"/>
          <w:b/>
          <w:color w:val="auto"/>
          <w:sz w:val="30"/>
          <w:szCs w:val="30"/>
          <w:highlight w:val="none"/>
        </w:rPr>
      </w:pPr>
    </w:p>
    <w:p w14:paraId="627C8B4F">
      <w:pPr>
        <w:ind w:firstLine="480"/>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质疑函范本</w:t>
      </w:r>
    </w:p>
    <w:p w14:paraId="153988E8">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一、质疑供应商基本信息</w:t>
      </w:r>
    </w:p>
    <w:p w14:paraId="1F35899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质疑供应商：                                                              </w:t>
      </w:r>
    </w:p>
    <w:p w14:paraId="00CADF1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邮编：                                    </w:t>
      </w:r>
    </w:p>
    <w:p w14:paraId="14D41C9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                      联系电话：                                       </w:t>
      </w:r>
    </w:p>
    <w:p w14:paraId="523C88B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授权代表：                                                                 </w:t>
      </w:r>
    </w:p>
    <w:p w14:paraId="55ADE45D">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                                                                </w:t>
      </w:r>
    </w:p>
    <w:p w14:paraId="7DB97BA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                         邮编：                                     </w:t>
      </w:r>
    </w:p>
    <w:p w14:paraId="6D536EE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二、质疑项目基本情况</w:t>
      </w:r>
    </w:p>
    <w:p w14:paraId="60F5F0A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                                                          </w:t>
      </w:r>
    </w:p>
    <w:p w14:paraId="0F49D0A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                         包号：                           </w:t>
      </w:r>
    </w:p>
    <w:p w14:paraId="57EFBB1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采购人名称：                                                              </w:t>
      </w:r>
    </w:p>
    <w:p w14:paraId="7F2E201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                                                        </w:t>
      </w:r>
    </w:p>
    <w:p w14:paraId="76864A67">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三、质疑事项具体内容</w:t>
      </w:r>
    </w:p>
    <w:p w14:paraId="6E30D430">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质疑事项1：                                                              </w:t>
      </w:r>
    </w:p>
    <w:p w14:paraId="515CC91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事实依据：                                                                </w:t>
      </w:r>
    </w:p>
    <w:p w14:paraId="26C31DD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EEA5F1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法律依据：                                                                 </w:t>
      </w:r>
    </w:p>
    <w:p w14:paraId="7CFF1ED3">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DF34782">
      <w:pPr>
        <w:ind w:firstLine="56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质疑事项2</w:t>
      </w:r>
    </w:p>
    <w:p w14:paraId="04CE40E2">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w:t>
      </w:r>
    </w:p>
    <w:p w14:paraId="50B8798F">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四、与质疑事项相关的质疑请求</w:t>
      </w:r>
    </w:p>
    <w:p w14:paraId="364D1A0B">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请求：                                                                     </w:t>
      </w:r>
    </w:p>
    <w:p w14:paraId="5C4EAE8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签章</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 xml:space="preserve">：                   公章：                      </w:t>
      </w:r>
    </w:p>
    <w:p w14:paraId="445815A9">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p>
    <w:p w14:paraId="175256D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质疑函制作说明：</w:t>
      </w:r>
    </w:p>
    <w:p w14:paraId="4CB7F745">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1.供应商提出质疑时，应提交质疑函和必要的证明材料。</w:t>
      </w:r>
    </w:p>
    <w:p w14:paraId="14C3416E">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781FF1">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3.质疑供应商若对项目的某一分包进行质疑，质疑函中应列明具体标段。</w:t>
      </w:r>
    </w:p>
    <w:p w14:paraId="56CE6796">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0945021C">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20BC0D94">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6AF1C97E">
      <w:pPr>
        <w:pStyle w:val="155"/>
        <w:ind w:firstLine="400"/>
        <w:rPr>
          <w:rFonts w:hint="eastAsia" w:ascii="宋体" w:hAnsi="宋体" w:cs="宋体"/>
          <w:color w:val="auto"/>
          <w:highlight w:val="none"/>
        </w:rPr>
      </w:pPr>
    </w:p>
    <w:p w14:paraId="241E17D3">
      <w:pPr>
        <w:pStyle w:val="155"/>
        <w:ind w:firstLine="400"/>
        <w:rPr>
          <w:rFonts w:hint="eastAsia" w:ascii="宋体" w:hAnsi="宋体" w:cs="宋体"/>
          <w:color w:val="auto"/>
          <w:highlight w:val="none"/>
        </w:rPr>
      </w:pPr>
    </w:p>
    <w:p w14:paraId="76A81049">
      <w:pPr>
        <w:rPr>
          <w:rFonts w:hint="eastAsia" w:ascii="宋体" w:hAnsi="宋体" w:cs="宋体"/>
          <w:color w:val="auto"/>
          <w:highlight w:val="none"/>
        </w:rPr>
      </w:pPr>
    </w:p>
    <w:p w14:paraId="13DE69BA">
      <w:pPr>
        <w:pStyle w:val="130"/>
        <w:widowControl/>
        <w:spacing w:before="0" w:beforeAutospacing="0" w:after="0" w:afterAutospacing="0" w:line="630" w:lineRule="atLeast"/>
        <w:jc w:val="center"/>
        <w:rPr>
          <w:rFonts w:hint="eastAsia" w:ascii="宋体" w:hAnsi="宋体" w:cs="宋体"/>
          <w:color w:val="auto"/>
          <w:sz w:val="44"/>
          <w:szCs w:val="44"/>
          <w:highlight w:val="none"/>
        </w:rPr>
      </w:pPr>
      <w:r>
        <w:rPr>
          <w:rFonts w:hint="eastAsia" w:ascii="宋体" w:hAnsi="宋体" w:cs="宋体"/>
          <w:color w:val="auto"/>
          <w:highlight w:val="none"/>
        </w:rPr>
        <w:br w:type="page" w:clear="all"/>
      </w:r>
      <w:r>
        <w:rPr>
          <w:rStyle w:val="135"/>
          <w:rFonts w:hint="eastAsia" w:ascii="宋体" w:hAnsi="宋体" w:cs="宋体"/>
          <w:color w:val="auto"/>
          <w:sz w:val="44"/>
          <w:szCs w:val="44"/>
          <w:highlight w:val="none"/>
          <w:shd w:val="clear" w:color="auto" w:fill="FFFFFF"/>
        </w:rPr>
        <w:t>中小企业划型标准规定</w:t>
      </w:r>
    </w:p>
    <w:p w14:paraId="6B78859B">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一、</w:t>
      </w:r>
      <w:r>
        <w:rPr>
          <w:rFonts w:hint="eastAsia" w:ascii="宋体" w:hAnsi="宋体" w:cs="宋体"/>
          <w:color w:val="auto"/>
          <w:szCs w:val="24"/>
          <w:highlight w:val="none"/>
          <w:shd w:val="clear" w:color="auto" w:fill="FFFFFF"/>
        </w:rPr>
        <w:t>根据《中华人民共和国中小企业促进法》和《国务院关于进一步促进中小企业发展的若干意见》</w:t>
      </w:r>
      <w:r>
        <w:rPr>
          <w:rFonts w:hint="eastAsia" w:ascii="宋体" w:hAnsi="宋体" w:cs="宋体"/>
          <w:color w:val="auto"/>
          <w:szCs w:val="24"/>
          <w:highlight w:val="none"/>
          <w:shd w:val="clear" w:color="auto" w:fill="FFFFFF"/>
          <w:lang w:eastAsia="zh-CN"/>
        </w:rPr>
        <w:t>（</w:t>
      </w:r>
      <w:r>
        <w:rPr>
          <w:rFonts w:hint="eastAsia" w:ascii="宋体" w:hAnsi="宋体" w:cs="宋体"/>
          <w:color w:val="auto"/>
          <w:szCs w:val="24"/>
          <w:highlight w:val="none"/>
          <w:shd w:val="clear" w:color="auto" w:fill="FFFFFF"/>
        </w:rPr>
        <w:t>国发〔2009〕36号</w:t>
      </w:r>
      <w:r>
        <w:rPr>
          <w:rFonts w:hint="eastAsia" w:ascii="宋体" w:hAnsi="宋体" w:cs="宋体"/>
          <w:color w:val="auto"/>
          <w:szCs w:val="24"/>
          <w:highlight w:val="none"/>
          <w:shd w:val="clear" w:color="auto" w:fill="FFFFFF"/>
          <w:lang w:eastAsia="zh-CN"/>
        </w:rPr>
        <w:t>）</w:t>
      </w:r>
      <w:r>
        <w:rPr>
          <w:rFonts w:hint="eastAsia" w:ascii="宋体" w:hAnsi="宋体" w:cs="宋体"/>
          <w:color w:val="auto"/>
          <w:szCs w:val="24"/>
          <w:highlight w:val="none"/>
          <w:shd w:val="clear" w:color="auto" w:fill="FFFFFF"/>
        </w:rPr>
        <w:t>，制定本规定。</w:t>
      </w:r>
    </w:p>
    <w:p w14:paraId="5483D10E">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二、</w:t>
      </w:r>
      <w:r>
        <w:rPr>
          <w:rFonts w:hint="eastAsia" w:ascii="宋体" w:hAnsi="宋体" w:cs="宋体"/>
          <w:color w:val="auto"/>
          <w:szCs w:val="24"/>
          <w:highlight w:val="none"/>
          <w:shd w:val="clear" w:color="auto" w:fill="FFFFFF"/>
        </w:rPr>
        <w:t>中小企业划分为中型、小型、微型三种类型，具体标准根据企业从业人员、营业收入、资产总额等指标，结合行业特点制定。</w:t>
      </w:r>
    </w:p>
    <w:p w14:paraId="608F4C74">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三、</w:t>
      </w:r>
      <w:r>
        <w:rPr>
          <w:rFonts w:hint="eastAsia" w:ascii="宋体" w:hAnsi="宋体" w:cs="宋体"/>
          <w:color w:val="auto"/>
          <w:szCs w:val="24"/>
          <w:highlight w:val="none"/>
          <w:shd w:val="clear" w:color="auto" w:fill="FFFFFF"/>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69406CF">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四、各行业划型标准为：</w:t>
      </w:r>
    </w:p>
    <w:p w14:paraId="66B8C7F4">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（一）农、林、牧、渔业。</w:t>
      </w:r>
      <w:r>
        <w:rPr>
          <w:rFonts w:hint="eastAsia" w:ascii="宋体" w:hAnsi="宋体" w:cs="宋体"/>
          <w:color w:val="auto"/>
          <w:szCs w:val="24"/>
          <w:highlight w:val="none"/>
          <w:shd w:val="clear" w:color="auto" w:fill="FFFFFF"/>
        </w:rPr>
        <w:t>营业收入20000万元以下的为中小微型企业。其中，营业收入500万元及以上的为中型企业，营业收入50万元及以上的为小型企业，营业收入50万元以下的为微型企业。</w:t>
      </w:r>
    </w:p>
    <w:p w14:paraId="25CFA28D">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（二）工业。</w:t>
      </w:r>
      <w:r>
        <w:rPr>
          <w:rFonts w:hint="eastAsia" w:ascii="宋体" w:hAnsi="宋体" w:cs="宋体"/>
          <w:color w:val="auto"/>
          <w:szCs w:val="24"/>
          <w:highlight w:val="none"/>
          <w:shd w:val="clear" w:color="auto"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36A6FC">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（三）建筑业。</w:t>
      </w:r>
      <w:r>
        <w:rPr>
          <w:rFonts w:hint="eastAsia" w:ascii="宋体" w:hAnsi="宋体" w:cs="宋体"/>
          <w:color w:val="auto"/>
          <w:szCs w:val="24"/>
          <w:highlight w:val="none"/>
          <w:shd w:val="clear" w:color="auto" w:fill="FFFFFF"/>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8120B0">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（四）批发业。</w:t>
      </w:r>
      <w:r>
        <w:rPr>
          <w:rFonts w:hint="eastAsia" w:ascii="宋体" w:hAnsi="宋体" w:cs="宋体"/>
          <w:color w:val="auto"/>
          <w:szCs w:val="24"/>
          <w:highlight w:val="none"/>
          <w:shd w:val="clear" w:color="auto" w:fill="FFFFFF"/>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E666722">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（五）零售业。</w:t>
      </w:r>
      <w:r>
        <w:rPr>
          <w:rFonts w:hint="eastAsia" w:ascii="宋体" w:hAnsi="宋体" w:cs="宋体"/>
          <w:color w:val="auto"/>
          <w:szCs w:val="24"/>
          <w:highlight w:val="none"/>
          <w:shd w:val="clear" w:color="auto" w:fill="FFFFFF"/>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5029A">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（六）交通运输业。</w:t>
      </w:r>
      <w:r>
        <w:rPr>
          <w:rFonts w:hint="eastAsia" w:ascii="宋体" w:hAnsi="宋体" w:cs="宋体"/>
          <w:color w:val="auto"/>
          <w:szCs w:val="24"/>
          <w:highlight w:val="none"/>
          <w:shd w:val="clear" w:color="auto" w:fill="FFFFFF"/>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53D0051">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（七）仓储业。</w:t>
      </w:r>
      <w:r>
        <w:rPr>
          <w:rFonts w:hint="eastAsia" w:ascii="宋体" w:hAnsi="宋体" w:cs="宋体"/>
          <w:color w:val="auto"/>
          <w:szCs w:val="24"/>
          <w:highlight w:val="none"/>
          <w:shd w:val="clear" w:color="auto" w:fill="FFFFFF"/>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9360505">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（八）邮政业。</w:t>
      </w:r>
      <w:r>
        <w:rPr>
          <w:rFonts w:hint="eastAsia" w:ascii="宋体" w:hAnsi="宋体" w:cs="宋体"/>
          <w:color w:val="auto"/>
          <w:szCs w:val="24"/>
          <w:highlight w:val="none"/>
          <w:shd w:val="clear" w:color="auto" w:fill="FFFFFF"/>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004BB7D">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（九）住宿业。</w:t>
      </w:r>
      <w:r>
        <w:rPr>
          <w:rFonts w:hint="eastAsia" w:ascii="宋体" w:hAnsi="宋体" w:cs="宋体"/>
          <w:color w:val="auto"/>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774F40B">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（十）餐饮业。</w:t>
      </w:r>
      <w:r>
        <w:rPr>
          <w:rFonts w:hint="eastAsia" w:ascii="宋体" w:hAnsi="宋体" w:cs="宋体"/>
          <w:color w:val="auto"/>
          <w:szCs w:val="24"/>
          <w:highlight w:val="none"/>
          <w:shd w:val="clear" w:color="auto" w:fill="FFFFFF"/>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B8C99A0">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（十一）信息传输业。</w:t>
      </w:r>
      <w:r>
        <w:rPr>
          <w:rFonts w:hint="eastAsia" w:ascii="宋体" w:hAnsi="宋体" w:cs="宋体"/>
          <w:color w:val="auto"/>
          <w:szCs w:val="24"/>
          <w:highlight w:val="none"/>
          <w:shd w:val="clear" w:color="auto"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19B7719">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（十二）软件和信息技术服务业。</w:t>
      </w:r>
      <w:r>
        <w:rPr>
          <w:rFonts w:hint="eastAsia" w:ascii="宋体" w:hAnsi="宋体" w:cs="宋体"/>
          <w:color w:val="auto"/>
          <w:szCs w:val="24"/>
          <w:highlight w:val="none"/>
          <w:shd w:val="clear" w:color="auto" w:fill="FFFFFF"/>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434097E">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（十三）房地产开发经营。</w:t>
      </w:r>
      <w:r>
        <w:rPr>
          <w:rFonts w:hint="eastAsia" w:ascii="宋体" w:hAnsi="宋体" w:cs="宋体"/>
          <w:color w:val="auto"/>
          <w:szCs w:val="24"/>
          <w:highlight w:val="none"/>
          <w:shd w:val="clear" w:color="auto" w:fill="FFFFFF"/>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8DCAF9">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（十四）物业管理。</w:t>
      </w:r>
      <w:r>
        <w:rPr>
          <w:rFonts w:hint="eastAsia" w:ascii="宋体" w:hAnsi="宋体" w:cs="宋体"/>
          <w:color w:val="auto"/>
          <w:szCs w:val="24"/>
          <w:highlight w:val="none"/>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0E5441F">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（十五）租赁和商务服务业。</w:t>
      </w:r>
      <w:r>
        <w:rPr>
          <w:rFonts w:hint="eastAsia" w:ascii="宋体" w:hAnsi="宋体" w:cs="宋体"/>
          <w:color w:val="auto"/>
          <w:szCs w:val="24"/>
          <w:highlight w:val="none"/>
          <w:shd w:val="clear" w:color="auto" w:fill="FFFFFF"/>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2425BAE">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（十六）其他未列明行业。</w:t>
      </w:r>
      <w:r>
        <w:rPr>
          <w:rFonts w:hint="eastAsia" w:ascii="宋体" w:hAnsi="宋体" w:cs="宋体"/>
          <w:color w:val="auto"/>
          <w:szCs w:val="24"/>
          <w:highlight w:val="none"/>
          <w:shd w:val="clear" w:color="auto" w:fill="FFFFFF"/>
        </w:rPr>
        <w:t>从业人员300人以下的为中小微型企业。其中，从业人员100人及以上的为中型企业；从业人员10人及以上的为小型企业；从业人员10人以下的为微型企业。</w:t>
      </w:r>
    </w:p>
    <w:p w14:paraId="327C72D8">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五、</w:t>
      </w:r>
      <w:r>
        <w:rPr>
          <w:rFonts w:hint="eastAsia" w:ascii="宋体" w:hAnsi="宋体" w:cs="宋体"/>
          <w:color w:val="auto"/>
          <w:szCs w:val="24"/>
          <w:highlight w:val="none"/>
          <w:shd w:val="clear" w:color="auto" w:fill="FFFFFF"/>
        </w:rPr>
        <w:t>企业类型的划分以统计部门的统计数据为依据。</w:t>
      </w:r>
    </w:p>
    <w:p w14:paraId="1A5E7711">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六、</w:t>
      </w:r>
      <w:r>
        <w:rPr>
          <w:rFonts w:hint="eastAsia" w:ascii="宋体" w:hAnsi="宋体" w:cs="宋体"/>
          <w:color w:val="auto"/>
          <w:szCs w:val="24"/>
          <w:highlight w:val="none"/>
          <w:shd w:val="clear" w:color="auto" w:fill="FFFFFF"/>
        </w:rPr>
        <w:t>本规定适用于在中华人民共和国境内依法设立的各类所有制和各种组织形式的企业。个体工商户和本规定以外的行业，参照本规定进行划型。</w:t>
      </w:r>
    </w:p>
    <w:p w14:paraId="1D01B5B5">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七、</w:t>
      </w:r>
      <w:r>
        <w:rPr>
          <w:rFonts w:hint="eastAsia" w:ascii="宋体" w:hAnsi="宋体" w:cs="宋体"/>
          <w:color w:val="auto"/>
          <w:szCs w:val="24"/>
          <w:highlight w:val="none"/>
          <w:shd w:val="clear" w:color="auto" w:fill="FFFFFF"/>
        </w:rPr>
        <w:t>本规定的中型企业标准上限即为大型企业标准的下限，国家统计部门据此制定大中小微型企业的统计分类。国务院有关部门据此进行相关数据分析，不得制定与本规定不一致的企业划型标准。</w:t>
      </w:r>
    </w:p>
    <w:p w14:paraId="14A0297B">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八、</w:t>
      </w:r>
      <w:r>
        <w:rPr>
          <w:rFonts w:hint="eastAsia" w:ascii="宋体" w:hAnsi="宋体" w:cs="宋体"/>
          <w:color w:val="auto"/>
          <w:szCs w:val="24"/>
          <w:highlight w:val="none"/>
          <w:shd w:val="clear" w:color="auto" w:fill="FFFFFF"/>
        </w:rPr>
        <w:t>本规定由工业和信息化部、国家统计局会同有关部门根据《国民经济行业分类》修订情况和企业发展变化情况适时修订。</w:t>
      </w:r>
    </w:p>
    <w:p w14:paraId="05EA3D6C">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九、</w:t>
      </w:r>
      <w:r>
        <w:rPr>
          <w:rFonts w:hint="eastAsia" w:ascii="宋体" w:hAnsi="宋体" w:cs="宋体"/>
          <w:color w:val="auto"/>
          <w:szCs w:val="24"/>
          <w:highlight w:val="none"/>
          <w:shd w:val="clear" w:color="auto" w:fill="FFFFFF"/>
        </w:rPr>
        <w:t>本规定由工业和信息化部、国家统计局会同有关部门负责解释。</w:t>
      </w:r>
    </w:p>
    <w:p w14:paraId="29A02925">
      <w:pPr>
        <w:pStyle w:val="130"/>
        <w:widowControl/>
        <w:spacing w:before="0" w:beforeAutospacing="0" w:after="0" w:afterAutospacing="0" w:line="630" w:lineRule="atLeast"/>
        <w:rPr>
          <w:rFonts w:hint="eastAsia" w:ascii="宋体" w:hAnsi="宋体" w:cs="宋体"/>
          <w:color w:val="auto"/>
          <w:szCs w:val="24"/>
          <w:highlight w:val="none"/>
        </w:rPr>
      </w:pPr>
      <w:r>
        <w:rPr>
          <w:rStyle w:val="135"/>
          <w:rFonts w:hint="eastAsia" w:ascii="宋体" w:hAnsi="宋体" w:cs="宋体"/>
          <w:color w:val="auto"/>
          <w:szCs w:val="24"/>
          <w:highlight w:val="none"/>
          <w:shd w:val="clear" w:color="auto" w:fill="FFFFFF"/>
        </w:rPr>
        <w:t>十、</w:t>
      </w:r>
      <w:r>
        <w:rPr>
          <w:rFonts w:hint="eastAsia" w:ascii="宋体" w:hAnsi="宋体" w:cs="宋体"/>
          <w:color w:val="auto"/>
          <w:szCs w:val="24"/>
          <w:highlight w:val="none"/>
          <w:shd w:val="clear" w:color="auto" w:fill="FFFFFF"/>
        </w:rPr>
        <w:t>本规定自发布之日起执行，原国家经贸委、原国家计委、财政部和国家统计局2003年颁布的《中小企业标准暂行规定》同时废止。</w:t>
      </w:r>
    </w:p>
    <w:p w14:paraId="7AA7B854">
      <w:pPr>
        <w:rPr>
          <w:rFonts w:hint="eastAsia" w:ascii="宋体" w:hAnsi="宋体" w:cs="宋体"/>
          <w:color w:val="auto"/>
          <w:sz w:val="24"/>
          <w:szCs w:val="24"/>
          <w:highlight w:val="none"/>
        </w:rPr>
      </w:pPr>
    </w:p>
    <w:p w14:paraId="278A3721">
      <w:pPr>
        <w:rPr>
          <w:rFonts w:hint="eastAsia" w:ascii="宋体" w:hAnsi="宋体" w:cs="宋体"/>
          <w:color w:val="auto"/>
          <w:highlight w:val="none"/>
        </w:rPr>
      </w:pPr>
    </w:p>
    <w:sectPr>
      <w:footerReference r:id="rId9" w:type="first"/>
      <w:headerReference r:id="rId7" w:type="default"/>
      <w:footerReference r:id="rId8" w:type="default"/>
      <w:pgSz w:w="11906" w:h="16838"/>
      <w:pgMar w:top="1418" w:right="1588" w:bottom="1418" w:left="1365" w:header="851" w:footer="907" w:gutter="0"/>
      <w:pgBorders>
        <w:top w:val="none" w:sz="0" w:space="0"/>
        <w:left w:val="none" w:sz="0" w:space="0"/>
        <w:bottom w:val="none" w:sz="0" w:space="0"/>
        <w:right w:val="none" w:sz="0" w:space="0"/>
      </w:pgBorders>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8F70D">
    <w:pPr>
      <w:pStyle w:val="163"/>
      <w:ind w:firstLine="36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79BE">
    <w:pPr>
      <w:pStyle w:val="163"/>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2" name="Text Box 35"/>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41735336">
                          <w:pPr>
                            <w:pStyle w:val="21"/>
                          </w:pPr>
                          <w:r>
                            <w:fldChar w:fldCharType="begin"/>
                          </w:r>
                          <w:r>
                            <w:instrText xml:space="preserve"> PAGE  \* MERGEFORMAT </w:instrText>
                          </w:r>
                          <w:r>
                            <w:fldChar w:fldCharType="separate"/>
                          </w:r>
                          <w:r>
                            <w:t>82</w:t>
                          </w:r>
                          <w:r>
                            <w:fldChar w:fldCharType="end"/>
                          </w:r>
                        </w:p>
                      </w:txbxContent>
                    </wps:txbx>
                    <wps:bodyPr rot="0" vert="horz" wrap="none" lIns="0" tIns="0" rIns="0" bIns="0" anchor="t" anchorCtr="0" upright="1">
                      <a:spAutoFit/>
                    </wps:bodyPr>
                  </wps:wsp>
                </a:graphicData>
              </a:graphic>
            </wp:anchor>
          </w:drawing>
        </mc:Choice>
        <mc:Fallback>
          <w:pict>
            <v:shape id="Text Box 35" o:spid="_x0000_s1026" o:spt="202" type="#_x0000_t202" style="position:absolute;left:0pt;margin-top:0pt;height:12.05pt;width:31.55pt;mso-position-horizontal:center;mso-position-horizontal-relative:margin;mso-wrap-style:none;z-index:251659264;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Ag6S/oBAAACBAAADgAAAAAAAAABACAAAAAhAQAAZHJzL2Uyb0RvYy54bWxQ&#10;SwUGAAAAAAYABgBZAQAAjQUAAAAA&#10;">
              <v:fill on="f" focussize="0,0"/>
              <v:stroke on="f"/>
              <v:imagedata o:title=""/>
              <o:lock v:ext="edit" aspectratio="f"/>
              <v:textbox inset="0mm,0mm,0mm,0mm" style="mso-fit-shape-to-text:t;">
                <w:txbxContent>
                  <w:p w14:paraId="41735336">
                    <w:pPr>
                      <w:pStyle w:val="21"/>
                    </w:pPr>
                    <w:r>
                      <w:fldChar w:fldCharType="begin"/>
                    </w:r>
                    <w:r>
                      <w:instrText xml:space="preserve"> PAGE  \* MERGEFORMAT </w:instrText>
                    </w:r>
                    <w:r>
                      <w:fldChar w:fldCharType="separate"/>
                    </w:r>
                    <w:r>
                      <w:t>82</w:t>
                    </w:r>
                    <w:r>
                      <w:fldChar w:fldCharType="end"/>
                    </w:r>
                  </w:p>
                </w:txbxContent>
              </v:textbox>
            </v:shape>
          </w:pict>
        </mc:Fallback>
      </mc:AlternateConten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F1E45">
    <w:pPr>
      <w:pStyle w:val="1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53035"/>
              <wp:effectExtent l="3810" t="0" r="0" b="0"/>
              <wp:wrapNone/>
              <wp:docPr id="1" name="Text Box 36"/>
              <wp:cNvGraphicFramePr/>
              <a:graphic xmlns:a="http://schemas.openxmlformats.org/drawingml/2006/main">
                <a:graphicData uri="http://schemas.microsoft.com/office/word/2010/wordprocessingShape">
                  <wps:wsp>
                    <wps:cNvSpPr txBox="1">
                      <a:spLocks noChangeArrowheads="1"/>
                    </wps:cNvSpPr>
                    <wps:spPr bwMode="auto">
                      <a:xfrm>
                        <a:off x="0" y="0"/>
                        <a:ext cx="400685" cy="153035"/>
                      </a:xfrm>
                      <a:prstGeom prst="rect">
                        <a:avLst/>
                      </a:prstGeom>
                      <a:noFill/>
                      <a:ln>
                        <a:noFill/>
                      </a:ln>
                    </wps:spPr>
                    <wps:txbx>
                      <w:txbxContent>
                        <w:p w14:paraId="3A89D47C">
                          <w:pPr>
                            <w:pStyle w:val="21"/>
                          </w:pPr>
                          <w:r>
                            <w:fldChar w:fldCharType="begin"/>
                          </w:r>
                          <w:r>
                            <w:instrText xml:space="preserve"> PAGE  \* MERGEFORMAT </w:instrText>
                          </w:r>
                          <w:r>
                            <w:fldChar w:fldCharType="separate"/>
                          </w:r>
                          <w:r>
                            <w:t>81</w:t>
                          </w:r>
                          <w:r>
                            <w:fldChar w:fldCharType="end"/>
                          </w:r>
                        </w:p>
                      </w:txbxContent>
                    </wps:txbx>
                    <wps:bodyPr rot="0" vert="horz" wrap="none" lIns="0" tIns="0" rIns="0" bIns="0" anchor="t" anchorCtr="0" upright="1">
                      <a:spAutoFit/>
                    </wps:bodyPr>
                  </wps:wsp>
                </a:graphicData>
              </a:graphic>
            </wp:anchor>
          </w:drawing>
        </mc:Choice>
        <mc:Fallback>
          <w:pict>
            <v:shape id="Text Box 36" o:spid="_x0000_s1026" o:spt="202" type="#_x0000_t202" style="position:absolute;left:0pt;margin-top:0pt;height:12.05pt;width:31.55pt;mso-position-horizontal:center;mso-position-horizontal-relative:margin;mso-wrap-style:none;z-index:251660288;mso-width-relative:page;mso-height-relative:page;" filled="f" stroked="f" coordsize="21600,21600" o:gfxdata="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741hn0gAAAAMBAAAPAAAAAAAAAAEAIAAAACIAAABkcnMvZG93bnJldi54bWxQSwEC&#10;FAAUAAAACACHTuJAcNfujPoBAAACBAAADgAAAAAAAAABACAAAAAhAQAAZHJzL2Uyb0RvYy54bWxQ&#10;SwUGAAAAAAYABgBZAQAAjQUAAAAA&#10;">
              <v:fill on="f" focussize="0,0"/>
              <v:stroke on="f"/>
              <v:imagedata o:title=""/>
              <o:lock v:ext="edit" aspectratio="f"/>
              <v:textbox inset="0mm,0mm,0mm,0mm" style="mso-fit-shape-to-text:t;">
                <w:txbxContent>
                  <w:p w14:paraId="3A89D47C">
                    <w:pPr>
                      <w:pStyle w:val="21"/>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64B56">
    <w:pPr>
      <w:pStyle w:val="165"/>
      <w:pBdr>
        <w:bottom w:val="none" w:color="000000"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AF60A">
    <w:pPr>
      <w:pStyle w:val="118"/>
      <w:pBdr>
        <w:bottom w:val="none" w:color="000000" w:sz="0" w:space="0"/>
      </w:pBdr>
      <w:tabs>
        <w:tab w:val="center" w:pos="4153"/>
        <w:tab w:val="right"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JmYmVhMGQ2YWQwOTc0ZDFkYmVkZTE0NzFkNThlYzIifQ=="/>
  </w:docVars>
  <w:rsids>
    <w:rsidRoot w:val="00172A27"/>
    <w:rsid w:val="000216EA"/>
    <w:rsid w:val="000327A8"/>
    <w:rsid w:val="000705BA"/>
    <w:rsid w:val="000A2414"/>
    <w:rsid w:val="00124EE1"/>
    <w:rsid w:val="00172A27"/>
    <w:rsid w:val="00193CD2"/>
    <w:rsid w:val="001A7F32"/>
    <w:rsid w:val="001D4658"/>
    <w:rsid w:val="001E75A9"/>
    <w:rsid w:val="00261676"/>
    <w:rsid w:val="00283643"/>
    <w:rsid w:val="002B0769"/>
    <w:rsid w:val="00303DED"/>
    <w:rsid w:val="0030415A"/>
    <w:rsid w:val="00363502"/>
    <w:rsid w:val="0036518F"/>
    <w:rsid w:val="0038484A"/>
    <w:rsid w:val="003C5AF5"/>
    <w:rsid w:val="0046550B"/>
    <w:rsid w:val="004B0D8F"/>
    <w:rsid w:val="005374AF"/>
    <w:rsid w:val="00612C96"/>
    <w:rsid w:val="00655ADF"/>
    <w:rsid w:val="00670D19"/>
    <w:rsid w:val="00671BD9"/>
    <w:rsid w:val="006764CF"/>
    <w:rsid w:val="00692087"/>
    <w:rsid w:val="006F4CE8"/>
    <w:rsid w:val="00702073"/>
    <w:rsid w:val="00712C4F"/>
    <w:rsid w:val="007538F5"/>
    <w:rsid w:val="00775B84"/>
    <w:rsid w:val="007C1772"/>
    <w:rsid w:val="007E5D53"/>
    <w:rsid w:val="0084088D"/>
    <w:rsid w:val="00847C51"/>
    <w:rsid w:val="0089116E"/>
    <w:rsid w:val="009B7BFB"/>
    <w:rsid w:val="00A14B03"/>
    <w:rsid w:val="00A8315C"/>
    <w:rsid w:val="00A93C71"/>
    <w:rsid w:val="00C40778"/>
    <w:rsid w:val="00C846F3"/>
    <w:rsid w:val="00CA50EC"/>
    <w:rsid w:val="00D01FE5"/>
    <w:rsid w:val="00D258BA"/>
    <w:rsid w:val="00D36310"/>
    <w:rsid w:val="00D535A9"/>
    <w:rsid w:val="00D673A8"/>
    <w:rsid w:val="00DC0944"/>
    <w:rsid w:val="00E26DED"/>
    <w:rsid w:val="00E33579"/>
    <w:rsid w:val="00F15970"/>
    <w:rsid w:val="01090D59"/>
    <w:rsid w:val="01D64F5A"/>
    <w:rsid w:val="01F064D9"/>
    <w:rsid w:val="022D68F3"/>
    <w:rsid w:val="02AE36E1"/>
    <w:rsid w:val="02F05C02"/>
    <w:rsid w:val="048234BE"/>
    <w:rsid w:val="06CE24DB"/>
    <w:rsid w:val="06E635A4"/>
    <w:rsid w:val="07A86AAB"/>
    <w:rsid w:val="081E4FBF"/>
    <w:rsid w:val="084C194A"/>
    <w:rsid w:val="08BF40AC"/>
    <w:rsid w:val="094B1ECB"/>
    <w:rsid w:val="0AE85633"/>
    <w:rsid w:val="0B22354F"/>
    <w:rsid w:val="0BE35FF3"/>
    <w:rsid w:val="0C3F31F4"/>
    <w:rsid w:val="0C5D1937"/>
    <w:rsid w:val="0E0F7634"/>
    <w:rsid w:val="0F685F12"/>
    <w:rsid w:val="120D5E88"/>
    <w:rsid w:val="13A201F7"/>
    <w:rsid w:val="150342BE"/>
    <w:rsid w:val="1633452D"/>
    <w:rsid w:val="16900E36"/>
    <w:rsid w:val="16CA201C"/>
    <w:rsid w:val="17D336D0"/>
    <w:rsid w:val="18D729E8"/>
    <w:rsid w:val="18DB72CC"/>
    <w:rsid w:val="197C1459"/>
    <w:rsid w:val="1AD05CA5"/>
    <w:rsid w:val="1AF232D2"/>
    <w:rsid w:val="1BF776C1"/>
    <w:rsid w:val="1C240D74"/>
    <w:rsid w:val="1C2E35CB"/>
    <w:rsid w:val="1DD864F5"/>
    <w:rsid w:val="1DF7520E"/>
    <w:rsid w:val="1E29229C"/>
    <w:rsid w:val="20286583"/>
    <w:rsid w:val="20390790"/>
    <w:rsid w:val="20CC3413"/>
    <w:rsid w:val="213D72FD"/>
    <w:rsid w:val="22A97F0A"/>
    <w:rsid w:val="23125492"/>
    <w:rsid w:val="23464F61"/>
    <w:rsid w:val="246E4C4B"/>
    <w:rsid w:val="25183942"/>
    <w:rsid w:val="25DD396C"/>
    <w:rsid w:val="25ED7524"/>
    <w:rsid w:val="26220F7D"/>
    <w:rsid w:val="279D0683"/>
    <w:rsid w:val="27F97BEB"/>
    <w:rsid w:val="283A2073"/>
    <w:rsid w:val="284952E9"/>
    <w:rsid w:val="291E0C65"/>
    <w:rsid w:val="2A0B61F2"/>
    <w:rsid w:val="2B035C23"/>
    <w:rsid w:val="2B6054BB"/>
    <w:rsid w:val="2BF90574"/>
    <w:rsid w:val="2CF77A09"/>
    <w:rsid w:val="2D510DEC"/>
    <w:rsid w:val="2D746EF7"/>
    <w:rsid w:val="2DB06539"/>
    <w:rsid w:val="2DB63420"/>
    <w:rsid w:val="2EFC4E63"/>
    <w:rsid w:val="30A535D8"/>
    <w:rsid w:val="30EC0F07"/>
    <w:rsid w:val="30FC601A"/>
    <w:rsid w:val="31635543"/>
    <w:rsid w:val="31B77AA1"/>
    <w:rsid w:val="31E60B34"/>
    <w:rsid w:val="32DC56D7"/>
    <w:rsid w:val="32F05BAA"/>
    <w:rsid w:val="34F5482E"/>
    <w:rsid w:val="35125BC0"/>
    <w:rsid w:val="352D0611"/>
    <w:rsid w:val="35482620"/>
    <w:rsid w:val="355D1380"/>
    <w:rsid w:val="35707F04"/>
    <w:rsid w:val="35C73209"/>
    <w:rsid w:val="362C5852"/>
    <w:rsid w:val="36446E4F"/>
    <w:rsid w:val="364610BA"/>
    <w:rsid w:val="36964A4D"/>
    <w:rsid w:val="36DB5CA6"/>
    <w:rsid w:val="37325402"/>
    <w:rsid w:val="38197A17"/>
    <w:rsid w:val="3AC70A1B"/>
    <w:rsid w:val="3AE16320"/>
    <w:rsid w:val="3E3657C0"/>
    <w:rsid w:val="3E6D18D9"/>
    <w:rsid w:val="3F30338C"/>
    <w:rsid w:val="3F65658D"/>
    <w:rsid w:val="41A839F4"/>
    <w:rsid w:val="427D669F"/>
    <w:rsid w:val="43550B61"/>
    <w:rsid w:val="43565E1C"/>
    <w:rsid w:val="43B04DA0"/>
    <w:rsid w:val="44F93827"/>
    <w:rsid w:val="455235D7"/>
    <w:rsid w:val="458A0420"/>
    <w:rsid w:val="467E185E"/>
    <w:rsid w:val="46895B79"/>
    <w:rsid w:val="469B1347"/>
    <w:rsid w:val="46DC584E"/>
    <w:rsid w:val="46ED7A5B"/>
    <w:rsid w:val="476825EA"/>
    <w:rsid w:val="480701F9"/>
    <w:rsid w:val="4C2550BF"/>
    <w:rsid w:val="4C424E61"/>
    <w:rsid w:val="4C496C8E"/>
    <w:rsid w:val="4C4E7BB1"/>
    <w:rsid w:val="4D445E81"/>
    <w:rsid w:val="4D8008DC"/>
    <w:rsid w:val="4E3D4C0A"/>
    <w:rsid w:val="4E9B4517"/>
    <w:rsid w:val="4FBA06F6"/>
    <w:rsid w:val="522602C5"/>
    <w:rsid w:val="5233586C"/>
    <w:rsid w:val="527F0E8A"/>
    <w:rsid w:val="5363629A"/>
    <w:rsid w:val="537B541C"/>
    <w:rsid w:val="553F6765"/>
    <w:rsid w:val="56110B2B"/>
    <w:rsid w:val="569215DD"/>
    <w:rsid w:val="584B5298"/>
    <w:rsid w:val="58F00CE5"/>
    <w:rsid w:val="5B3A325A"/>
    <w:rsid w:val="5B4A1D7E"/>
    <w:rsid w:val="5B924781"/>
    <w:rsid w:val="5C140477"/>
    <w:rsid w:val="5C1778E0"/>
    <w:rsid w:val="5C4D35D0"/>
    <w:rsid w:val="5C976ED0"/>
    <w:rsid w:val="5D113BBA"/>
    <w:rsid w:val="5E7E0340"/>
    <w:rsid w:val="5E9F0094"/>
    <w:rsid w:val="5F335DCF"/>
    <w:rsid w:val="60D528D8"/>
    <w:rsid w:val="61827A7D"/>
    <w:rsid w:val="6191435B"/>
    <w:rsid w:val="61B54E59"/>
    <w:rsid w:val="639E497B"/>
    <w:rsid w:val="64386E3F"/>
    <w:rsid w:val="65092384"/>
    <w:rsid w:val="655D371D"/>
    <w:rsid w:val="661C75BD"/>
    <w:rsid w:val="6659611C"/>
    <w:rsid w:val="676E2628"/>
    <w:rsid w:val="68703BF0"/>
    <w:rsid w:val="690F51B7"/>
    <w:rsid w:val="6A1F767C"/>
    <w:rsid w:val="6A2A04EB"/>
    <w:rsid w:val="6A304064"/>
    <w:rsid w:val="6AE368FC"/>
    <w:rsid w:val="6B901DF2"/>
    <w:rsid w:val="6C2B0153"/>
    <w:rsid w:val="6C934C20"/>
    <w:rsid w:val="6D142D9C"/>
    <w:rsid w:val="6D30054A"/>
    <w:rsid w:val="6D9A6F85"/>
    <w:rsid w:val="6DC94A56"/>
    <w:rsid w:val="6E080427"/>
    <w:rsid w:val="6FAD15A2"/>
    <w:rsid w:val="71235CA4"/>
    <w:rsid w:val="720400C8"/>
    <w:rsid w:val="72925790"/>
    <w:rsid w:val="73245D03"/>
    <w:rsid w:val="739F4EC0"/>
    <w:rsid w:val="74157F65"/>
    <w:rsid w:val="74200154"/>
    <w:rsid w:val="75D353D7"/>
    <w:rsid w:val="76A06E55"/>
    <w:rsid w:val="78100EA1"/>
    <w:rsid w:val="787A616E"/>
    <w:rsid w:val="7AF935E8"/>
    <w:rsid w:val="7BBB4D2B"/>
    <w:rsid w:val="7CB42E95"/>
    <w:rsid w:val="7D1402B5"/>
    <w:rsid w:val="7E1B711A"/>
    <w:rsid w:val="7E760A2E"/>
    <w:rsid w:val="7F3F52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jc w:val="both"/>
    </w:pPr>
    <w:rPr>
      <w:rFonts w:ascii="Times New Roman" w:hAnsi="Times New Roman" w:eastAsia="宋体" w:cs="Times New Roman"/>
      <w:sz w:val="21"/>
      <w:szCs w:val="22"/>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99"/>
    <w:rPr>
      <w:rFonts w:ascii="楷体_GB2312" w:hAnsi="Arial" w:eastAsia="楷体_GB2312"/>
      <w:sz w:val="28"/>
      <w:szCs w:val="28"/>
    </w:rPr>
  </w:style>
  <w:style w:type="paragraph" w:styleId="14">
    <w:name w:val="Body Text Indent"/>
    <w:basedOn w:val="1"/>
    <w:next w:val="15"/>
    <w:unhideWhenUsed/>
    <w:qFormat/>
    <w:uiPriority w:val="0"/>
    <w:pPr>
      <w:spacing w:after="120"/>
      <w:ind w:left="420" w:leftChars="200"/>
    </w:pPr>
  </w:style>
  <w:style w:type="paragraph" w:styleId="15">
    <w:name w:val="envelope return"/>
    <w:basedOn w:val="1"/>
    <w:next w:val="11"/>
    <w:unhideWhenUsed/>
    <w:qFormat/>
    <w:uiPriority w:val="99"/>
    <w:pPr>
      <w:snapToGrid w:val="0"/>
    </w:pPr>
    <w:rPr>
      <w:rFonts w:ascii="Arial" w:hAnsi="Arial"/>
    </w:rPr>
  </w:style>
  <w:style w:type="paragraph" w:styleId="16">
    <w:name w:val="toc 5"/>
    <w:basedOn w:val="1"/>
    <w:next w:val="1"/>
    <w:unhideWhenUsed/>
    <w:qFormat/>
    <w:uiPriority w:val="39"/>
    <w:pPr>
      <w:spacing w:after="57"/>
      <w:ind w:left="1134" w:firstLine="0"/>
    </w:pPr>
  </w:style>
  <w:style w:type="paragraph" w:styleId="17">
    <w:name w:val="toc 3"/>
    <w:basedOn w:val="1"/>
    <w:next w:val="1"/>
    <w:unhideWhenUsed/>
    <w:qFormat/>
    <w:uiPriority w:val="39"/>
    <w:pPr>
      <w:spacing w:after="57"/>
      <w:ind w:left="567" w:firstLine="0"/>
    </w:pPr>
  </w:style>
  <w:style w:type="paragraph" w:styleId="18">
    <w:name w:val="Plain Text"/>
    <w:basedOn w:val="1"/>
    <w:qFormat/>
    <w:uiPriority w:val="0"/>
    <w:rPr>
      <w:rFonts w:ascii="宋体" w:hAnsi="Courier New" w:cs="Courier New"/>
    </w:rPr>
  </w:style>
  <w:style w:type="paragraph" w:styleId="19">
    <w:name w:val="toc 8"/>
    <w:basedOn w:val="1"/>
    <w:next w:val="1"/>
    <w:unhideWhenUsed/>
    <w:qFormat/>
    <w:uiPriority w:val="39"/>
    <w:pPr>
      <w:spacing w:after="57"/>
      <w:ind w:left="1984" w:firstLine="0"/>
    </w:pPr>
  </w:style>
  <w:style w:type="paragraph" w:styleId="20">
    <w:name w:val="endnote text"/>
    <w:basedOn w:val="1"/>
    <w:link w:val="81"/>
    <w:semiHidden/>
    <w:unhideWhenUsed/>
    <w:qFormat/>
    <w:uiPriority w:val="99"/>
    <w:pPr>
      <w:spacing w:line="240" w:lineRule="auto"/>
    </w:pPr>
    <w:rPr>
      <w:sz w:val="20"/>
    </w:rPr>
  </w:style>
  <w:style w:type="paragraph" w:styleId="21">
    <w:name w:val="footer"/>
    <w:basedOn w:val="1"/>
    <w:unhideWhenUsed/>
    <w:qFormat/>
    <w:uiPriority w:val="99"/>
    <w:pPr>
      <w:tabs>
        <w:tab w:val="center" w:pos="7143"/>
        <w:tab w:val="right" w:pos="14287"/>
      </w:tabs>
      <w:spacing w:line="240" w:lineRule="auto"/>
    </w:pPr>
  </w:style>
  <w:style w:type="paragraph" w:styleId="22">
    <w:name w:val="header"/>
    <w:basedOn w:val="1"/>
    <w:link w:val="59"/>
    <w:unhideWhenUsed/>
    <w:qFormat/>
    <w:uiPriority w:val="99"/>
    <w:pPr>
      <w:tabs>
        <w:tab w:val="center" w:pos="7143"/>
        <w:tab w:val="right" w:pos="14287"/>
      </w:tabs>
      <w:spacing w:line="240" w:lineRule="auto"/>
    </w:pPr>
  </w:style>
  <w:style w:type="paragraph" w:styleId="23">
    <w:name w:val="toc 1"/>
    <w:basedOn w:val="1"/>
    <w:next w:val="1"/>
    <w:unhideWhenUsed/>
    <w:qFormat/>
    <w:uiPriority w:val="39"/>
    <w:pPr>
      <w:spacing w:after="57"/>
      <w:ind w:firstLine="0"/>
    </w:pPr>
  </w:style>
  <w:style w:type="paragraph" w:styleId="24">
    <w:name w:val="toc 4"/>
    <w:basedOn w:val="1"/>
    <w:next w:val="1"/>
    <w:unhideWhenUsed/>
    <w:qFormat/>
    <w:uiPriority w:val="39"/>
    <w:pPr>
      <w:spacing w:after="57"/>
      <w:ind w:left="85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80"/>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firstLine="0"/>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firstLine="0"/>
    </w:pPr>
  </w:style>
  <w:style w:type="paragraph" w:styleId="30">
    <w:name w:val="toc 9"/>
    <w:basedOn w:val="1"/>
    <w:next w:val="1"/>
    <w:unhideWhenUsed/>
    <w:qFormat/>
    <w:uiPriority w:val="39"/>
    <w:pPr>
      <w:spacing w:after="57"/>
      <w:ind w:left="2268" w:firstLine="0"/>
    </w:pPr>
  </w:style>
  <w:style w:type="paragraph" w:styleId="3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4"/>
    <w:next w:val="1"/>
    <w:qFormat/>
    <w:uiPriority w:val="0"/>
    <w:pPr>
      <w:spacing w:after="0" w:line="360" w:lineRule="auto"/>
      <w:ind w:left="0" w:leftChars="0" w:firstLine="420" w:firstLineChars="200"/>
    </w:pPr>
    <w:rPr>
      <w:rFonts w:ascii="宋体" w:hAnsi="宋体"/>
      <w:szCs w:val="20"/>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Default"/>
    <w:next w:val="1"/>
    <w:qFormat/>
    <w:uiPriority w:val="99"/>
    <w:pPr>
      <w:widowControl w:val="0"/>
    </w:pPr>
    <w:rPr>
      <w:rFonts w:ascii="宋体" w:hAnsi="Times New Roman" w:eastAsia="宋体" w:cs="Times New Roman"/>
      <w:color w:val="000000"/>
      <w:sz w:val="24"/>
      <w:szCs w:val="24"/>
      <w:lang w:val="en-US" w:eastAsia="zh-CN" w:bidi="ar-SA"/>
    </w:rPr>
  </w:style>
  <w:style w:type="character" w:customStyle="1" w:styleId="42">
    <w:name w:val="标题 1 字符"/>
    <w:link w:val="2"/>
    <w:qFormat/>
    <w:uiPriority w:val="9"/>
    <w:rPr>
      <w:rFonts w:ascii="Arial" w:hAnsi="Arial" w:eastAsia="Arial" w:cs="Arial"/>
      <w:sz w:val="40"/>
      <w:szCs w:val="40"/>
    </w:rPr>
  </w:style>
  <w:style w:type="character" w:customStyle="1" w:styleId="43">
    <w:name w:val="标题 2 字符"/>
    <w:link w:val="3"/>
    <w:qFormat/>
    <w:uiPriority w:val="9"/>
    <w:rPr>
      <w:rFonts w:ascii="Arial" w:hAnsi="Arial" w:eastAsia="Arial" w:cs="Arial"/>
      <w:sz w:val="34"/>
    </w:rPr>
  </w:style>
  <w:style w:type="character" w:customStyle="1" w:styleId="44">
    <w:name w:val="标题 3 字符"/>
    <w:link w:val="4"/>
    <w:qFormat/>
    <w:uiPriority w:val="9"/>
    <w:rPr>
      <w:rFonts w:ascii="Arial" w:hAnsi="Arial" w:eastAsia="Arial" w:cs="Arial"/>
      <w:sz w:val="30"/>
      <w:szCs w:val="30"/>
    </w:rPr>
  </w:style>
  <w:style w:type="character" w:customStyle="1" w:styleId="45">
    <w:name w:val="标题 4 字符"/>
    <w:link w:val="5"/>
    <w:qFormat/>
    <w:uiPriority w:val="9"/>
    <w:rPr>
      <w:rFonts w:ascii="Arial" w:hAnsi="Arial" w:eastAsia="Arial" w:cs="Arial"/>
      <w:b/>
      <w:bCs/>
      <w:sz w:val="26"/>
      <w:szCs w:val="26"/>
    </w:rPr>
  </w:style>
  <w:style w:type="character" w:customStyle="1" w:styleId="46">
    <w:name w:val="标题 5 字符"/>
    <w:link w:val="6"/>
    <w:qFormat/>
    <w:uiPriority w:val="9"/>
    <w:rPr>
      <w:rFonts w:ascii="Arial" w:hAnsi="Arial" w:eastAsia="Arial" w:cs="Arial"/>
      <w:b/>
      <w:bCs/>
      <w:sz w:val="24"/>
      <w:szCs w:val="24"/>
    </w:rPr>
  </w:style>
  <w:style w:type="character" w:customStyle="1" w:styleId="47">
    <w:name w:val="标题 6 字符"/>
    <w:link w:val="7"/>
    <w:qFormat/>
    <w:uiPriority w:val="9"/>
    <w:rPr>
      <w:rFonts w:ascii="Arial" w:hAnsi="Arial" w:eastAsia="Arial" w:cs="Arial"/>
      <w:b/>
      <w:bCs/>
      <w:sz w:val="22"/>
      <w:szCs w:val="22"/>
    </w:rPr>
  </w:style>
  <w:style w:type="character" w:customStyle="1" w:styleId="48">
    <w:name w:val="标题 7 字符"/>
    <w:link w:val="8"/>
    <w:qFormat/>
    <w:uiPriority w:val="9"/>
    <w:rPr>
      <w:rFonts w:ascii="Arial" w:hAnsi="Arial" w:eastAsia="Arial" w:cs="Arial"/>
      <w:b/>
      <w:bCs/>
      <w:i/>
      <w:iCs/>
      <w:sz w:val="22"/>
      <w:szCs w:val="22"/>
    </w:rPr>
  </w:style>
  <w:style w:type="character" w:customStyle="1" w:styleId="49">
    <w:name w:val="标题 8 字符"/>
    <w:link w:val="9"/>
    <w:qFormat/>
    <w:uiPriority w:val="9"/>
    <w:rPr>
      <w:rFonts w:ascii="Arial" w:hAnsi="Arial" w:eastAsia="Arial" w:cs="Arial"/>
      <w:i/>
      <w:iCs/>
      <w:sz w:val="22"/>
      <w:szCs w:val="22"/>
    </w:rPr>
  </w:style>
  <w:style w:type="character" w:customStyle="1" w:styleId="50">
    <w:name w:val="标题 9 字符"/>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字符"/>
    <w:link w:val="32"/>
    <w:qFormat/>
    <w:uiPriority w:val="10"/>
    <w:rPr>
      <w:sz w:val="48"/>
      <w:szCs w:val="48"/>
    </w:rPr>
  </w:style>
  <w:style w:type="character" w:customStyle="1" w:styleId="54">
    <w:name w:val="副标题 字符"/>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字符"/>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qFormat/>
    <w:uiPriority w:val="30"/>
    <w:rPr>
      <w:i/>
    </w:rPr>
  </w:style>
  <w:style w:type="character" w:customStyle="1" w:styleId="59">
    <w:name w:val="页眉 字符"/>
    <w:link w:val="22"/>
    <w:qFormat/>
    <w:uiPriority w:val="99"/>
  </w:style>
  <w:style w:type="table" w:customStyle="1" w:styleId="60">
    <w:name w:val="无格式表格 11"/>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普通表格1"/>
    <w:unhideWhenUsed/>
    <w:qFormat/>
    <w:uiPriority w:val="99"/>
    <w:tblPr>
      <w:tblCellMar>
        <w:top w:w="0" w:type="dxa"/>
        <w:left w:w="0" w:type="dxa"/>
        <w:bottom w:w="0" w:type="dxa"/>
        <w:right w:w="0" w:type="dxa"/>
      </w:tblCellMar>
    </w:tblPr>
  </w:style>
  <w:style w:type="table" w:customStyle="1" w:styleId="62">
    <w:name w:val="无格式表格 21"/>
    <w:basedOn w:val="6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basedOn w:val="6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basedOn w:val="6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basedOn w:val="6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basedOn w:val="6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网格表 2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3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41"/>
    <w:basedOn w:val="6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网格表 5 深色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网格表 6 彩色1"/>
    <w:basedOn w:val="6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网格表 7 彩色1"/>
    <w:basedOn w:val="6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清单表 1 浅色1"/>
    <w:basedOn w:val="6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清单表 21"/>
    <w:basedOn w:val="6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3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清单表 4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清单表 5 深色1"/>
    <w:basedOn w:val="6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清单表 6 彩色1"/>
    <w:basedOn w:val="6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清单表 7 彩色1"/>
    <w:basedOn w:val="6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0">
    <w:name w:val="脚注文本 字符"/>
    <w:link w:val="26"/>
    <w:qFormat/>
    <w:uiPriority w:val="99"/>
    <w:rPr>
      <w:sz w:val="18"/>
    </w:rPr>
  </w:style>
  <w:style w:type="character" w:customStyle="1" w:styleId="81">
    <w:name w:val="尾注文本 字符"/>
    <w:link w:val="20"/>
    <w:qFormat/>
    <w:uiPriority w:val="99"/>
    <w:rPr>
      <w:sz w:val="20"/>
    </w:rPr>
  </w:style>
  <w:style w:type="paragraph" w:customStyle="1" w:styleId="82">
    <w:name w:val="TOC 标题1"/>
    <w:unhideWhenUsed/>
    <w:qFormat/>
    <w:uiPriority w:val="39"/>
    <w:rPr>
      <w:rFonts w:ascii="Times New Roman" w:hAnsi="Times New Roman" w:eastAsia="宋体" w:cs="Times New Roman"/>
      <w:lang w:val="en-US" w:eastAsia="zh-CN" w:bidi="ar-SA"/>
    </w:rPr>
  </w:style>
  <w:style w:type="paragraph" w:customStyle="1" w:styleId="83">
    <w:name w:val="标题 11"/>
    <w:basedOn w:val="1"/>
    <w:next w:val="1"/>
    <w:link w:val="95"/>
    <w:qFormat/>
    <w:uiPriority w:val="9"/>
    <w:pPr>
      <w:keepNext/>
      <w:keepLines/>
      <w:spacing w:before="480" w:after="200"/>
      <w:outlineLvl w:val="0"/>
    </w:pPr>
    <w:rPr>
      <w:rFonts w:ascii="Arial" w:hAnsi="Arial" w:eastAsia="Arial"/>
      <w:sz w:val="40"/>
      <w:szCs w:val="40"/>
    </w:rPr>
  </w:style>
  <w:style w:type="paragraph" w:customStyle="1" w:styleId="84">
    <w:name w:val="标题 21"/>
    <w:basedOn w:val="1"/>
    <w:next w:val="1"/>
    <w:link w:val="96"/>
    <w:qFormat/>
    <w:uiPriority w:val="9"/>
    <w:pPr>
      <w:keepNext/>
      <w:keepLines/>
      <w:spacing w:before="360" w:after="200"/>
      <w:outlineLvl w:val="1"/>
    </w:pPr>
    <w:rPr>
      <w:rFonts w:ascii="Arial" w:hAnsi="Arial" w:eastAsia="Arial"/>
      <w:sz w:val="34"/>
      <w:szCs w:val="20"/>
    </w:rPr>
  </w:style>
  <w:style w:type="paragraph" w:customStyle="1" w:styleId="85">
    <w:name w:val="标题 31"/>
    <w:basedOn w:val="1"/>
    <w:next w:val="1"/>
    <w:link w:val="97"/>
    <w:qFormat/>
    <w:uiPriority w:val="9"/>
    <w:pPr>
      <w:keepNext/>
      <w:keepLines/>
      <w:spacing w:before="320" w:after="200"/>
      <w:outlineLvl w:val="2"/>
    </w:pPr>
    <w:rPr>
      <w:rFonts w:ascii="Arial" w:hAnsi="Arial" w:eastAsia="Arial"/>
      <w:sz w:val="30"/>
      <w:szCs w:val="30"/>
    </w:rPr>
  </w:style>
  <w:style w:type="paragraph" w:customStyle="1" w:styleId="86">
    <w:name w:val="标题 41"/>
    <w:basedOn w:val="1"/>
    <w:next w:val="1"/>
    <w:link w:val="98"/>
    <w:qFormat/>
    <w:uiPriority w:val="9"/>
    <w:pPr>
      <w:keepNext/>
      <w:keepLines/>
      <w:spacing w:before="320" w:after="200"/>
      <w:outlineLvl w:val="3"/>
    </w:pPr>
    <w:rPr>
      <w:rFonts w:ascii="Arial" w:hAnsi="Arial" w:eastAsia="Arial"/>
      <w:b/>
      <w:bCs/>
      <w:sz w:val="26"/>
      <w:szCs w:val="26"/>
    </w:rPr>
  </w:style>
  <w:style w:type="paragraph" w:customStyle="1" w:styleId="87">
    <w:name w:val="标题 51"/>
    <w:basedOn w:val="1"/>
    <w:next w:val="1"/>
    <w:link w:val="99"/>
    <w:qFormat/>
    <w:uiPriority w:val="9"/>
    <w:pPr>
      <w:keepNext/>
      <w:keepLines/>
      <w:spacing w:before="320" w:after="200"/>
      <w:outlineLvl w:val="4"/>
    </w:pPr>
    <w:rPr>
      <w:rFonts w:ascii="Arial" w:hAnsi="Arial" w:eastAsia="Arial"/>
      <w:b/>
      <w:bCs/>
      <w:sz w:val="24"/>
      <w:szCs w:val="24"/>
    </w:rPr>
  </w:style>
  <w:style w:type="paragraph" w:customStyle="1" w:styleId="88">
    <w:name w:val="标题 61"/>
    <w:basedOn w:val="1"/>
    <w:next w:val="1"/>
    <w:link w:val="100"/>
    <w:qFormat/>
    <w:uiPriority w:val="9"/>
    <w:pPr>
      <w:keepNext/>
      <w:keepLines/>
      <w:spacing w:before="320" w:after="200"/>
      <w:outlineLvl w:val="5"/>
    </w:pPr>
    <w:rPr>
      <w:rFonts w:ascii="Arial" w:hAnsi="Arial" w:eastAsia="Arial"/>
      <w:b/>
      <w:bCs/>
      <w:sz w:val="22"/>
    </w:rPr>
  </w:style>
  <w:style w:type="paragraph" w:customStyle="1" w:styleId="89">
    <w:name w:val="标题 71"/>
    <w:basedOn w:val="1"/>
    <w:next w:val="1"/>
    <w:link w:val="101"/>
    <w:qFormat/>
    <w:uiPriority w:val="9"/>
    <w:pPr>
      <w:keepNext/>
      <w:keepLines/>
      <w:spacing w:before="320" w:after="200"/>
      <w:outlineLvl w:val="6"/>
    </w:pPr>
    <w:rPr>
      <w:rFonts w:ascii="Arial" w:hAnsi="Arial" w:eastAsia="Arial"/>
      <w:b/>
      <w:bCs/>
      <w:i/>
      <w:iCs/>
      <w:sz w:val="22"/>
    </w:rPr>
  </w:style>
  <w:style w:type="paragraph" w:customStyle="1" w:styleId="90">
    <w:name w:val="标题 81"/>
    <w:basedOn w:val="1"/>
    <w:next w:val="1"/>
    <w:link w:val="102"/>
    <w:qFormat/>
    <w:uiPriority w:val="9"/>
    <w:pPr>
      <w:keepNext/>
      <w:keepLines/>
      <w:spacing w:before="320" w:after="200"/>
      <w:outlineLvl w:val="7"/>
    </w:pPr>
    <w:rPr>
      <w:rFonts w:ascii="Arial" w:hAnsi="Arial" w:eastAsia="Arial"/>
      <w:i/>
      <w:iCs/>
      <w:sz w:val="22"/>
    </w:rPr>
  </w:style>
  <w:style w:type="paragraph" w:customStyle="1" w:styleId="91">
    <w:name w:val="标题 91"/>
    <w:basedOn w:val="1"/>
    <w:next w:val="1"/>
    <w:link w:val="103"/>
    <w:qFormat/>
    <w:uiPriority w:val="9"/>
    <w:pPr>
      <w:keepNext/>
      <w:keepLines/>
      <w:spacing w:before="320" w:after="200"/>
      <w:outlineLvl w:val="8"/>
    </w:pPr>
    <w:rPr>
      <w:rFonts w:ascii="Arial" w:hAnsi="Arial" w:eastAsia="Arial"/>
      <w:i/>
      <w:iCs/>
      <w:szCs w:val="21"/>
    </w:rPr>
  </w:style>
  <w:style w:type="character" w:customStyle="1" w:styleId="92">
    <w:name w:val="默认段落字体1"/>
    <w:unhideWhenUsed/>
    <w:qFormat/>
    <w:uiPriority w:val="1"/>
  </w:style>
  <w:style w:type="paragraph" w:customStyle="1" w:styleId="93">
    <w:name w:val="正文文本11"/>
    <w:basedOn w:val="1"/>
    <w:next w:val="94"/>
    <w:qFormat/>
    <w:uiPriority w:val="99"/>
    <w:rPr>
      <w:rFonts w:ascii="楷体_GB2312" w:hAnsi="Arial" w:eastAsia="楷体_GB2312"/>
      <w:sz w:val="28"/>
      <w:szCs w:val="28"/>
    </w:rPr>
  </w:style>
  <w:style w:type="paragraph" w:customStyle="1" w:styleId="94">
    <w:name w:val="正文首行缩进11"/>
    <w:basedOn w:val="93"/>
    <w:next w:val="1"/>
    <w:qFormat/>
    <w:uiPriority w:val="0"/>
    <w:pPr>
      <w:spacing w:after="120"/>
    </w:pPr>
    <w:rPr>
      <w:rFonts w:ascii="Times New Roman" w:eastAsia="宋体"/>
      <w:szCs w:val="24"/>
    </w:rPr>
  </w:style>
  <w:style w:type="character" w:customStyle="1" w:styleId="95">
    <w:name w:val="标题 1 Char"/>
    <w:link w:val="83"/>
    <w:qFormat/>
    <w:uiPriority w:val="9"/>
    <w:rPr>
      <w:rFonts w:ascii="Arial" w:hAnsi="Arial" w:eastAsia="Arial" w:cs="Arial"/>
      <w:sz w:val="40"/>
      <w:szCs w:val="40"/>
    </w:rPr>
  </w:style>
  <w:style w:type="character" w:customStyle="1" w:styleId="96">
    <w:name w:val="标题 2 Char"/>
    <w:link w:val="84"/>
    <w:qFormat/>
    <w:uiPriority w:val="9"/>
    <w:rPr>
      <w:rFonts w:ascii="Arial" w:hAnsi="Arial" w:eastAsia="Arial" w:cs="Arial"/>
      <w:sz w:val="34"/>
    </w:rPr>
  </w:style>
  <w:style w:type="character" w:customStyle="1" w:styleId="97">
    <w:name w:val="标题 3 Char"/>
    <w:link w:val="85"/>
    <w:qFormat/>
    <w:uiPriority w:val="9"/>
    <w:rPr>
      <w:rFonts w:ascii="Arial" w:hAnsi="Arial" w:eastAsia="Arial" w:cs="Arial"/>
      <w:sz w:val="30"/>
      <w:szCs w:val="30"/>
    </w:rPr>
  </w:style>
  <w:style w:type="character" w:customStyle="1" w:styleId="98">
    <w:name w:val="标题 4 Char"/>
    <w:link w:val="86"/>
    <w:qFormat/>
    <w:uiPriority w:val="9"/>
    <w:rPr>
      <w:rFonts w:ascii="Arial" w:hAnsi="Arial" w:eastAsia="Arial" w:cs="Arial"/>
      <w:b/>
      <w:bCs/>
      <w:sz w:val="26"/>
      <w:szCs w:val="26"/>
    </w:rPr>
  </w:style>
  <w:style w:type="character" w:customStyle="1" w:styleId="99">
    <w:name w:val="标题 5 Char"/>
    <w:link w:val="87"/>
    <w:qFormat/>
    <w:uiPriority w:val="9"/>
    <w:rPr>
      <w:rFonts w:ascii="Arial" w:hAnsi="Arial" w:eastAsia="Arial" w:cs="Arial"/>
      <w:b/>
      <w:bCs/>
      <w:sz w:val="24"/>
      <w:szCs w:val="24"/>
    </w:rPr>
  </w:style>
  <w:style w:type="character" w:customStyle="1" w:styleId="100">
    <w:name w:val="标题 6 Char"/>
    <w:link w:val="88"/>
    <w:qFormat/>
    <w:uiPriority w:val="9"/>
    <w:rPr>
      <w:rFonts w:ascii="Arial" w:hAnsi="Arial" w:eastAsia="Arial" w:cs="Arial"/>
      <w:b/>
      <w:bCs/>
      <w:sz w:val="22"/>
      <w:szCs w:val="22"/>
    </w:rPr>
  </w:style>
  <w:style w:type="character" w:customStyle="1" w:styleId="101">
    <w:name w:val="标题 7 Char"/>
    <w:link w:val="89"/>
    <w:qFormat/>
    <w:uiPriority w:val="9"/>
    <w:rPr>
      <w:rFonts w:ascii="Arial" w:hAnsi="Arial" w:eastAsia="Arial" w:cs="Arial"/>
      <w:b/>
      <w:bCs/>
      <w:i/>
      <w:iCs/>
      <w:sz w:val="22"/>
      <w:szCs w:val="22"/>
    </w:rPr>
  </w:style>
  <w:style w:type="character" w:customStyle="1" w:styleId="102">
    <w:name w:val="标题 8 Char"/>
    <w:link w:val="90"/>
    <w:qFormat/>
    <w:uiPriority w:val="9"/>
    <w:rPr>
      <w:rFonts w:ascii="Arial" w:hAnsi="Arial" w:eastAsia="Arial" w:cs="Arial"/>
      <w:i/>
      <w:iCs/>
      <w:sz w:val="22"/>
      <w:szCs w:val="22"/>
    </w:rPr>
  </w:style>
  <w:style w:type="character" w:customStyle="1" w:styleId="103">
    <w:name w:val="标题 9 Char"/>
    <w:link w:val="91"/>
    <w:qFormat/>
    <w:uiPriority w:val="9"/>
    <w:rPr>
      <w:rFonts w:ascii="Arial" w:hAnsi="Arial" w:eastAsia="Arial" w:cs="Arial"/>
      <w:i/>
      <w:iCs/>
      <w:sz w:val="21"/>
      <w:szCs w:val="21"/>
    </w:rPr>
  </w:style>
  <w:style w:type="paragraph" w:customStyle="1" w:styleId="104">
    <w:name w:val="目录 71"/>
    <w:basedOn w:val="1"/>
    <w:next w:val="1"/>
    <w:unhideWhenUsed/>
    <w:qFormat/>
    <w:uiPriority w:val="39"/>
    <w:pPr>
      <w:spacing w:after="57"/>
      <w:ind w:left="1701"/>
    </w:pPr>
  </w:style>
  <w:style w:type="paragraph" w:customStyle="1" w:styleId="105">
    <w:name w:val="正文缩进12"/>
    <w:basedOn w:val="1"/>
    <w:next w:val="106"/>
    <w:qFormat/>
    <w:uiPriority w:val="0"/>
  </w:style>
  <w:style w:type="paragraph" w:customStyle="1" w:styleId="106">
    <w:name w:val="正文文本 21"/>
    <w:basedOn w:val="1"/>
    <w:qFormat/>
    <w:uiPriority w:val="0"/>
    <w:pPr>
      <w:widowControl/>
      <w:jc w:val="center"/>
    </w:pPr>
    <w:rPr>
      <w:rFonts w:ascii="楷体_GB2312" w:eastAsia="楷体_GB2312"/>
      <w:sz w:val="28"/>
      <w:szCs w:val="28"/>
    </w:rPr>
  </w:style>
  <w:style w:type="paragraph" w:customStyle="1" w:styleId="107">
    <w:name w:val="题注1"/>
    <w:basedOn w:val="1"/>
    <w:next w:val="1"/>
    <w:qFormat/>
    <w:uiPriority w:val="35"/>
    <w:pPr>
      <w:spacing w:line="276" w:lineRule="auto"/>
    </w:pPr>
    <w:rPr>
      <w:b/>
      <w:bCs/>
      <w:color w:val="5B9BD5"/>
      <w:sz w:val="18"/>
      <w:szCs w:val="18"/>
    </w:rPr>
  </w:style>
  <w:style w:type="paragraph" w:customStyle="1" w:styleId="108">
    <w:name w:val="批注文字1"/>
    <w:basedOn w:val="1"/>
    <w:unhideWhenUsed/>
    <w:qFormat/>
    <w:uiPriority w:val="99"/>
    <w:pPr>
      <w:jc w:val="left"/>
    </w:pPr>
  </w:style>
  <w:style w:type="paragraph" w:customStyle="1" w:styleId="109">
    <w:name w:val="正文文本缩进1"/>
    <w:basedOn w:val="1"/>
    <w:next w:val="110"/>
    <w:qFormat/>
    <w:uiPriority w:val="0"/>
    <w:pPr>
      <w:ind w:firstLine="645"/>
    </w:pPr>
    <w:rPr>
      <w:rFonts w:ascii="楷体_GB2312" w:eastAsia="楷体_GB2312"/>
      <w:sz w:val="32"/>
      <w:szCs w:val="32"/>
    </w:rPr>
  </w:style>
  <w:style w:type="paragraph" w:customStyle="1" w:styleId="110">
    <w:name w:val="寄信人地址1"/>
    <w:basedOn w:val="1"/>
    <w:next w:val="104"/>
    <w:qFormat/>
    <w:uiPriority w:val="99"/>
    <w:rPr>
      <w:rFonts w:ascii="Arial" w:hAnsi="Arial"/>
    </w:rPr>
  </w:style>
  <w:style w:type="paragraph" w:customStyle="1" w:styleId="111">
    <w:name w:val="目录 51"/>
    <w:basedOn w:val="1"/>
    <w:next w:val="1"/>
    <w:unhideWhenUsed/>
    <w:qFormat/>
    <w:uiPriority w:val="39"/>
    <w:pPr>
      <w:spacing w:after="57"/>
      <w:ind w:left="1134"/>
    </w:pPr>
  </w:style>
  <w:style w:type="paragraph" w:customStyle="1" w:styleId="112">
    <w:name w:val="目录 31"/>
    <w:basedOn w:val="1"/>
    <w:next w:val="1"/>
    <w:unhideWhenUsed/>
    <w:qFormat/>
    <w:uiPriority w:val="39"/>
    <w:pPr>
      <w:spacing w:after="57"/>
      <w:ind w:left="567"/>
    </w:pPr>
  </w:style>
  <w:style w:type="paragraph" w:customStyle="1" w:styleId="113">
    <w:name w:val="纯文本1"/>
    <w:basedOn w:val="1"/>
    <w:qFormat/>
    <w:uiPriority w:val="0"/>
    <w:rPr>
      <w:rFonts w:ascii="宋体" w:hAnsi="Courier New" w:cs="Courier New"/>
    </w:rPr>
  </w:style>
  <w:style w:type="paragraph" w:customStyle="1" w:styleId="114">
    <w:name w:val="目录 81"/>
    <w:basedOn w:val="1"/>
    <w:next w:val="1"/>
    <w:unhideWhenUsed/>
    <w:qFormat/>
    <w:uiPriority w:val="39"/>
    <w:pPr>
      <w:spacing w:after="57"/>
      <w:ind w:left="1984"/>
    </w:pPr>
  </w:style>
  <w:style w:type="paragraph" w:customStyle="1" w:styleId="115">
    <w:name w:val="尾注文本1"/>
    <w:basedOn w:val="1"/>
    <w:link w:val="116"/>
    <w:unhideWhenUsed/>
    <w:qFormat/>
    <w:uiPriority w:val="99"/>
    <w:rPr>
      <w:sz w:val="20"/>
      <w:szCs w:val="20"/>
    </w:rPr>
  </w:style>
  <w:style w:type="character" w:customStyle="1" w:styleId="116">
    <w:name w:val="尾注文本 Char"/>
    <w:link w:val="115"/>
    <w:qFormat/>
    <w:uiPriority w:val="99"/>
    <w:rPr>
      <w:sz w:val="20"/>
    </w:rPr>
  </w:style>
  <w:style w:type="paragraph" w:customStyle="1" w:styleId="117">
    <w:name w:val="页脚11"/>
    <w:basedOn w:val="1"/>
    <w:unhideWhenUsed/>
    <w:qFormat/>
    <w:uiPriority w:val="99"/>
    <w:pPr>
      <w:tabs>
        <w:tab w:val="center" w:pos="7143"/>
        <w:tab w:val="right" w:pos="14287"/>
      </w:tabs>
    </w:pPr>
  </w:style>
  <w:style w:type="paragraph" w:customStyle="1" w:styleId="118">
    <w:name w:val="页眉11"/>
    <w:basedOn w:val="1"/>
    <w:link w:val="119"/>
    <w:unhideWhenUsed/>
    <w:qFormat/>
    <w:uiPriority w:val="99"/>
    <w:pPr>
      <w:tabs>
        <w:tab w:val="center" w:pos="7143"/>
        <w:tab w:val="right" w:pos="14287"/>
      </w:tabs>
    </w:pPr>
  </w:style>
  <w:style w:type="character" w:customStyle="1" w:styleId="119">
    <w:name w:val="页眉 Char"/>
    <w:basedOn w:val="92"/>
    <w:link w:val="118"/>
    <w:qFormat/>
    <w:uiPriority w:val="99"/>
  </w:style>
  <w:style w:type="paragraph" w:customStyle="1" w:styleId="120">
    <w:name w:val="目录 11"/>
    <w:basedOn w:val="1"/>
    <w:next w:val="1"/>
    <w:unhideWhenUsed/>
    <w:qFormat/>
    <w:uiPriority w:val="39"/>
    <w:pPr>
      <w:spacing w:after="57"/>
    </w:pPr>
  </w:style>
  <w:style w:type="paragraph" w:customStyle="1" w:styleId="121">
    <w:name w:val="目录 41"/>
    <w:basedOn w:val="1"/>
    <w:next w:val="1"/>
    <w:unhideWhenUsed/>
    <w:qFormat/>
    <w:uiPriority w:val="39"/>
    <w:pPr>
      <w:spacing w:after="57"/>
      <w:ind w:left="850"/>
    </w:pPr>
  </w:style>
  <w:style w:type="paragraph" w:customStyle="1" w:styleId="122">
    <w:name w:val="副标题1"/>
    <w:basedOn w:val="1"/>
    <w:next w:val="1"/>
    <w:link w:val="123"/>
    <w:qFormat/>
    <w:uiPriority w:val="11"/>
    <w:pPr>
      <w:spacing w:before="200" w:after="200"/>
    </w:pPr>
    <w:rPr>
      <w:sz w:val="24"/>
      <w:szCs w:val="24"/>
    </w:rPr>
  </w:style>
  <w:style w:type="character" w:customStyle="1" w:styleId="123">
    <w:name w:val="副标题 Char"/>
    <w:link w:val="122"/>
    <w:qFormat/>
    <w:uiPriority w:val="11"/>
    <w:rPr>
      <w:sz w:val="24"/>
      <w:szCs w:val="24"/>
    </w:rPr>
  </w:style>
  <w:style w:type="paragraph" w:customStyle="1" w:styleId="124">
    <w:name w:val="脚注文本11"/>
    <w:basedOn w:val="1"/>
    <w:link w:val="125"/>
    <w:unhideWhenUsed/>
    <w:qFormat/>
    <w:uiPriority w:val="99"/>
    <w:pPr>
      <w:spacing w:after="40"/>
    </w:pPr>
    <w:rPr>
      <w:sz w:val="18"/>
      <w:szCs w:val="20"/>
    </w:rPr>
  </w:style>
  <w:style w:type="character" w:customStyle="1" w:styleId="125">
    <w:name w:val="脚注文本 Char"/>
    <w:link w:val="124"/>
    <w:qFormat/>
    <w:uiPriority w:val="99"/>
    <w:rPr>
      <w:sz w:val="18"/>
    </w:rPr>
  </w:style>
  <w:style w:type="paragraph" w:customStyle="1" w:styleId="126">
    <w:name w:val="目录 61"/>
    <w:basedOn w:val="1"/>
    <w:next w:val="1"/>
    <w:unhideWhenUsed/>
    <w:qFormat/>
    <w:uiPriority w:val="39"/>
    <w:pPr>
      <w:spacing w:after="57"/>
      <w:ind w:left="1417"/>
    </w:pPr>
  </w:style>
  <w:style w:type="paragraph" w:customStyle="1" w:styleId="127">
    <w:name w:val="图表目录1"/>
    <w:basedOn w:val="1"/>
    <w:next w:val="1"/>
    <w:unhideWhenUsed/>
    <w:qFormat/>
    <w:uiPriority w:val="99"/>
  </w:style>
  <w:style w:type="paragraph" w:customStyle="1" w:styleId="128">
    <w:name w:val="目录 21"/>
    <w:basedOn w:val="1"/>
    <w:next w:val="1"/>
    <w:unhideWhenUsed/>
    <w:qFormat/>
    <w:uiPriority w:val="39"/>
    <w:pPr>
      <w:spacing w:after="57"/>
      <w:ind w:left="283"/>
    </w:pPr>
  </w:style>
  <w:style w:type="paragraph" w:customStyle="1" w:styleId="129">
    <w:name w:val="目录 91"/>
    <w:basedOn w:val="1"/>
    <w:next w:val="1"/>
    <w:unhideWhenUsed/>
    <w:qFormat/>
    <w:uiPriority w:val="39"/>
    <w:pPr>
      <w:spacing w:after="57"/>
      <w:ind w:left="2268"/>
    </w:pPr>
  </w:style>
  <w:style w:type="paragraph" w:customStyle="1" w:styleId="130">
    <w:name w:val="普通(网站)1"/>
    <w:basedOn w:val="1"/>
    <w:qFormat/>
    <w:uiPriority w:val="0"/>
    <w:pPr>
      <w:spacing w:before="100" w:beforeAutospacing="1" w:after="100" w:afterAutospacing="1"/>
      <w:jc w:val="left"/>
    </w:pPr>
    <w:rPr>
      <w:sz w:val="24"/>
    </w:rPr>
  </w:style>
  <w:style w:type="paragraph" w:customStyle="1" w:styleId="131">
    <w:name w:val="标题1"/>
    <w:basedOn w:val="1"/>
    <w:next w:val="1"/>
    <w:link w:val="132"/>
    <w:qFormat/>
    <w:uiPriority w:val="10"/>
    <w:pPr>
      <w:spacing w:before="300" w:after="200"/>
      <w:contextualSpacing/>
    </w:pPr>
    <w:rPr>
      <w:sz w:val="48"/>
      <w:szCs w:val="48"/>
    </w:rPr>
  </w:style>
  <w:style w:type="character" w:customStyle="1" w:styleId="132">
    <w:name w:val="标题 Char"/>
    <w:link w:val="131"/>
    <w:qFormat/>
    <w:uiPriority w:val="10"/>
    <w:rPr>
      <w:sz w:val="48"/>
      <w:szCs w:val="48"/>
    </w:rPr>
  </w:style>
  <w:style w:type="paragraph" w:customStyle="1" w:styleId="133">
    <w:name w:val="正文首行缩进 21"/>
    <w:basedOn w:val="109"/>
    <w:next w:val="1"/>
    <w:qFormat/>
    <w:uiPriority w:val="0"/>
    <w:pPr>
      <w:ind w:firstLine="420"/>
    </w:pPr>
    <w:rPr>
      <w:rFonts w:ascii="宋体" w:hAnsi="宋体" w:eastAsia="宋体"/>
      <w:sz w:val="21"/>
      <w:szCs w:val="20"/>
    </w:rPr>
  </w:style>
  <w:style w:type="table" w:customStyle="1" w:styleId="134">
    <w:name w:val="网格型1"/>
    <w:basedOn w:val="61"/>
    <w:qFormat/>
    <w:uiPriority w:val="59"/>
  </w:style>
  <w:style w:type="character" w:customStyle="1" w:styleId="135">
    <w:name w:val="要点1"/>
    <w:basedOn w:val="92"/>
    <w:qFormat/>
    <w:uiPriority w:val="0"/>
    <w:rPr>
      <w:b/>
    </w:rPr>
  </w:style>
  <w:style w:type="character" w:customStyle="1" w:styleId="136">
    <w:name w:val="尾注引用1"/>
    <w:unhideWhenUsed/>
    <w:qFormat/>
    <w:uiPriority w:val="99"/>
    <w:rPr>
      <w:vertAlign w:val="superscript"/>
    </w:rPr>
  </w:style>
  <w:style w:type="character" w:customStyle="1" w:styleId="137">
    <w:name w:val="超链接1"/>
    <w:unhideWhenUsed/>
    <w:qFormat/>
    <w:uiPriority w:val="99"/>
    <w:rPr>
      <w:color w:val="0563C1"/>
      <w:u w:val="single"/>
    </w:rPr>
  </w:style>
  <w:style w:type="character" w:customStyle="1" w:styleId="138">
    <w:name w:val="脚注引用1"/>
    <w:unhideWhenUsed/>
    <w:qFormat/>
    <w:uiPriority w:val="99"/>
    <w:rPr>
      <w:vertAlign w:val="superscript"/>
    </w:rPr>
  </w:style>
  <w:style w:type="character" w:customStyle="1" w:styleId="139">
    <w:name w:val="明显引用 Char"/>
    <w:link w:val="140"/>
    <w:qFormat/>
    <w:uiPriority w:val="30"/>
    <w:rPr>
      <w:i/>
    </w:rPr>
  </w:style>
  <w:style w:type="paragraph" w:customStyle="1" w:styleId="140">
    <w:name w:val="明显引用1"/>
    <w:basedOn w:val="1"/>
    <w:next w:val="1"/>
    <w:link w:val="13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41">
    <w:name w:val="引用 Char"/>
    <w:link w:val="142"/>
    <w:qFormat/>
    <w:uiPriority w:val="29"/>
    <w:rPr>
      <w:i/>
    </w:rPr>
  </w:style>
  <w:style w:type="paragraph" w:customStyle="1" w:styleId="142">
    <w:name w:val="引用1"/>
    <w:basedOn w:val="1"/>
    <w:next w:val="1"/>
    <w:link w:val="141"/>
    <w:qFormat/>
    <w:uiPriority w:val="29"/>
    <w:pPr>
      <w:ind w:left="720" w:right="720"/>
    </w:pPr>
    <w:rPr>
      <w:i/>
      <w:sz w:val="20"/>
      <w:szCs w:val="20"/>
    </w:rPr>
  </w:style>
  <w:style w:type="character" w:customStyle="1" w:styleId="143">
    <w:name w:val="页码1"/>
    <w:qFormat/>
    <w:uiPriority w:val="0"/>
    <w:rPr>
      <w:rFonts w:ascii="Times New Roman" w:hAnsi="Times New Roman" w:eastAsia="宋体" w:cs="Times New Roman"/>
      <w:sz w:val="21"/>
      <w:szCs w:val="22"/>
      <w:lang w:val="en-US" w:eastAsia="zh-CN" w:bidi="ar-SA"/>
    </w:rPr>
  </w:style>
  <w:style w:type="character" w:customStyle="1" w:styleId="144">
    <w:name w:val="font21"/>
    <w:basedOn w:val="92"/>
    <w:qFormat/>
    <w:uiPriority w:val="0"/>
    <w:rPr>
      <w:rFonts w:ascii="Times New Roman" w:hAnsi="Times New Roman" w:cs="Times New Roman"/>
      <w:color w:val="000000"/>
      <w:sz w:val="14"/>
      <w:szCs w:val="14"/>
      <w:u w:val="none"/>
    </w:rPr>
  </w:style>
  <w:style w:type="character" w:customStyle="1" w:styleId="145">
    <w:name w:val="font41"/>
    <w:basedOn w:val="92"/>
    <w:qFormat/>
    <w:uiPriority w:val="0"/>
    <w:rPr>
      <w:rFonts w:hint="eastAsia" w:ascii="宋体" w:hAnsi="宋体" w:eastAsia="宋体" w:cs="宋体"/>
      <w:color w:val="000000"/>
      <w:sz w:val="18"/>
      <w:szCs w:val="18"/>
      <w:u w:val="none"/>
    </w:rPr>
  </w:style>
  <w:style w:type="character" w:customStyle="1" w:styleId="146">
    <w:name w:val="Footer Char"/>
    <w:basedOn w:val="92"/>
    <w:qFormat/>
    <w:uiPriority w:val="99"/>
  </w:style>
  <w:style w:type="character" w:customStyle="1" w:styleId="147">
    <w:name w:val="font11"/>
    <w:qFormat/>
    <w:uiPriority w:val="0"/>
    <w:rPr>
      <w:rFonts w:hint="eastAsia" w:ascii="宋体" w:hAnsi="宋体" w:eastAsia="宋体" w:cs="宋体"/>
      <w:color w:val="000000"/>
      <w:sz w:val="24"/>
      <w:szCs w:val="24"/>
      <w:u w:val="none"/>
    </w:rPr>
  </w:style>
  <w:style w:type="character" w:customStyle="1" w:styleId="148">
    <w:name w:val="font01"/>
    <w:qFormat/>
    <w:uiPriority w:val="0"/>
    <w:rPr>
      <w:rFonts w:hint="eastAsia" w:ascii="宋体" w:hAnsi="宋体" w:eastAsia="宋体" w:cs="宋体"/>
      <w:b/>
      <w:color w:val="000000"/>
      <w:sz w:val="24"/>
      <w:szCs w:val="24"/>
      <w:u w:val="none"/>
    </w:rPr>
  </w:style>
  <w:style w:type="character" w:customStyle="1" w:styleId="149">
    <w:name w:val="Caption Char"/>
    <w:qFormat/>
    <w:uiPriority w:val="99"/>
  </w:style>
  <w:style w:type="paragraph" w:customStyle="1" w:styleId="150">
    <w:name w:val="正文首行缩进1"/>
    <w:basedOn w:val="151"/>
    <w:next w:val="1"/>
    <w:qFormat/>
    <w:uiPriority w:val="0"/>
    <w:pPr>
      <w:ind w:firstLine="200"/>
    </w:pPr>
    <w:rPr>
      <w:rFonts w:ascii="仿宋_GB2312" w:hAnsi="Times New Roman" w:eastAsia="仿宋_GB2312"/>
      <w:sz w:val="30"/>
      <w:szCs w:val="30"/>
    </w:rPr>
  </w:style>
  <w:style w:type="paragraph" w:customStyle="1" w:styleId="151">
    <w:name w:val="正文文本2"/>
    <w:basedOn w:val="1"/>
    <w:next w:val="1"/>
    <w:qFormat/>
    <w:uiPriority w:val="0"/>
    <w:rPr>
      <w:rFonts w:ascii="楷体_GB2312" w:hAnsi="Arial" w:eastAsia="楷体_GB2312"/>
      <w:sz w:val="28"/>
      <w:szCs w:val="28"/>
    </w:rPr>
  </w:style>
  <w:style w:type="paragraph" w:customStyle="1" w:styleId="152">
    <w:name w:val="索引 51"/>
    <w:basedOn w:val="1"/>
    <w:next w:val="1"/>
    <w:unhideWhenUsed/>
    <w:qFormat/>
    <w:uiPriority w:val="99"/>
    <w:pPr>
      <w:ind w:left="1050" w:hanging="210"/>
      <w:jc w:val="left"/>
    </w:pPr>
    <w:rPr>
      <w:sz w:val="18"/>
      <w:szCs w:val="18"/>
      <w:lang w:eastAsia="zh-TW"/>
    </w:rPr>
  </w:style>
  <w:style w:type="paragraph" w:customStyle="1" w:styleId="153">
    <w:name w:val="无间隔1"/>
    <w:qFormat/>
    <w:uiPriority w:val="1"/>
    <w:rPr>
      <w:rFonts w:ascii="Times New Roman" w:hAnsi="Times New Roman" w:eastAsia="宋体" w:cs="Times New Roman"/>
      <w:lang w:val="en-US" w:eastAsia="zh-CN" w:bidi="ar-SA"/>
    </w:rPr>
  </w:style>
  <w:style w:type="paragraph" w:customStyle="1" w:styleId="154">
    <w:name w:val="正文文本1"/>
    <w:basedOn w:val="1"/>
    <w:next w:val="1"/>
    <w:qFormat/>
    <w:uiPriority w:val="0"/>
    <w:rPr>
      <w:rFonts w:ascii="仿宋_GB2312" w:eastAsia="仿宋_GB2312"/>
      <w:sz w:val="24"/>
      <w:szCs w:val="20"/>
    </w:rPr>
  </w:style>
  <w:style w:type="paragraph" w:customStyle="1" w:styleId="155">
    <w:name w:val="正文缩进11"/>
    <w:basedOn w:val="1"/>
    <w:qFormat/>
    <w:uiPriority w:val="0"/>
    <w:rPr>
      <w:sz w:val="20"/>
      <w:szCs w:val="21"/>
    </w:rPr>
  </w:style>
  <w:style w:type="paragraph" w:customStyle="1" w:styleId="156">
    <w:name w:val="BodyText1"/>
    <w:basedOn w:val="1"/>
    <w:qFormat/>
    <w:uiPriority w:val="0"/>
    <w:pPr>
      <w:spacing w:after="60" w:line="360" w:lineRule="atLeast"/>
      <w:ind w:left="72" w:right="30"/>
      <w:jc w:val="center"/>
    </w:pPr>
  </w:style>
  <w:style w:type="paragraph" w:customStyle="1" w:styleId="157">
    <w:name w:val="head 1.1"/>
    <w:basedOn w:val="158"/>
    <w:qFormat/>
    <w:uiPriority w:val="0"/>
    <w:pPr>
      <w:tabs>
        <w:tab w:val="left" w:pos="840"/>
      </w:tabs>
      <w:spacing w:before="260" w:after="260"/>
      <w:ind w:left="840" w:firstLine="0"/>
    </w:pPr>
    <w:rPr>
      <w:rFonts w:ascii="宋体" w:hAnsi="宋体"/>
      <w:bCs/>
      <w:szCs w:val="20"/>
    </w:rPr>
  </w:style>
  <w:style w:type="paragraph" w:customStyle="1" w:styleId="158">
    <w:name w:val="列出段落"/>
    <w:basedOn w:val="1"/>
    <w:qFormat/>
    <w:uiPriority w:val="34"/>
    <w:pPr>
      <w:ind w:left="720"/>
      <w:contextualSpacing/>
    </w:pPr>
  </w:style>
  <w:style w:type="paragraph" w:customStyle="1" w:styleId="159">
    <w:name w:val="修订1"/>
    <w:unhideWhenUsed/>
    <w:qFormat/>
    <w:uiPriority w:val="99"/>
    <w:rPr>
      <w:rFonts w:ascii="Times New Roman" w:hAnsi="Times New Roman" w:eastAsia="宋体" w:cs="Times New Roman"/>
      <w:sz w:val="21"/>
      <w:szCs w:val="22"/>
      <w:lang w:val="en-US" w:eastAsia="zh-CN" w:bidi="ar-SA"/>
    </w:rPr>
  </w:style>
  <w:style w:type="paragraph" w:customStyle="1" w:styleId="160">
    <w:name w:val="脚注文本1"/>
    <w:basedOn w:val="1"/>
    <w:next w:val="152"/>
    <w:qFormat/>
    <w:uiPriority w:val="0"/>
    <w:pPr>
      <w:spacing w:line="312" w:lineRule="atLeast"/>
      <w:jc w:val="left"/>
    </w:pPr>
    <w:rPr>
      <w:sz w:val="18"/>
      <w:szCs w:val="20"/>
    </w:rPr>
  </w:style>
  <w:style w:type="paragraph" w:customStyle="1" w:styleId="161">
    <w:name w:val="正文文本 (2)"/>
    <w:basedOn w:val="1"/>
    <w:qFormat/>
    <w:uiPriority w:val="0"/>
    <w:pPr>
      <w:shd w:val="clear" w:color="auto" w:fill="FFFFFF"/>
      <w:spacing w:before="60" w:line="317" w:lineRule="exact"/>
      <w:ind w:firstLine="37"/>
    </w:pPr>
    <w:rPr>
      <w:rFonts w:ascii="MingLiU" w:hAnsi="MingLiU" w:eastAsia="MingLiU" w:cs="MingLiU"/>
      <w:sz w:val="18"/>
      <w:szCs w:val="18"/>
    </w:rPr>
  </w:style>
  <w:style w:type="paragraph" w:customStyle="1" w:styleId="162">
    <w:name w:val="普通正文"/>
    <w:basedOn w:val="1"/>
    <w:qFormat/>
    <w:uiPriority w:val="0"/>
    <w:pPr>
      <w:spacing w:before="120" w:after="120"/>
      <w:ind w:firstLine="480"/>
      <w:jc w:val="left"/>
    </w:pPr>
    <w:rPr>
      <w:rFonts w:ascii="Arial" w:hAnsi="Arial"/>
      <w:sz w:val="24"/>
      <w:szCs w:val="24"/>
    </w:rPr>
  </w:style>
  <w:style w:type="paragraph" w:customStyle="1" w:styleId="163">
    <w:name w:val="页脚1"/>
    <w:basedOn w:val="1"/>
    <w:qFormat/>
    <w:uiPriority w:val="0"/>
    <w:pPr>
      <w:tabs>
        <w:tab w:val="center" w:pos="4153"/>
        <w:tab w:val="right" w:pos="8306"/>
      </w:tabs>
      <w:jc w:val="left"/>
    </w:pPr>
    <w:rPr>
      <w:sz w:val="18"/>
      <w:szCs w:val="18"/>
    </w:rPr>
  </w:style>
  <w:style w:type="paragraph" w:customStyle="1" w:styleId="164">
    <w:name w:val="*正文"/>
    <w:basedOn w:val="1"/>
    <w:qFormat/>
    <w:uiPriority w:val="99"/>
    <w:pPr>
      <w:ind w:firstLine="482"/>
    </w:pPr>
    <w:rPr>
      <w:rFonts w:eastAsia="仿宋_GB2312"/>
      <w:sz w:val="28"/>
    </w:rPr>
  </w:style>
  <w:style w:type="paragraph" w:customStyle="1" w:styleId="16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66">
    <w:name w:val="TOC 标题11"/>
    <w:unhideWhenUsed/>
    <w:qFormat/>
    <w:uiPriority w:val="39"/>
    <w:rPr>
      <w:rFonts w:ascii="Times New Roman" w:hAnsi="Times New Roman" w:eastAsia="宋体" w:cs="Times New Roman"/>
      <w:lang w:val="en-US" w:eastAsia="zh-CN" w:bidi="ar-SA"/>
    </w:rPr>
  </w:style>
  <w:style w:type="paragraph" w:customStyle="1" w:styleId="167">
    <w:name w:val="正文缩进1"/>
    <w:basedOn w:val="1"/>
    <w:qFormat/>
    <w:uiPriority w:val="99"/>
    <w:pPr>
      <w:jc w:val="left"/>
    </w:pPr>
    <w:rPr>
      <w:sz w:val="24"/>
    </w:rPr>
  </w:style>
  <w:style w:type="paragraph" w:customStyle="1" w:styleId="16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69">
    <w:name w:val="列出段落1"/>
    <w:basedOn w:val="1"/>
    <w:qFormat/>
    <w:uiPriority w:val="0"/>
    <w:rPr>
      <w:rFonts w:ascii="Calibri" w:hAnsi="Calibri"/>
    </w:rPr>
  </w:style>
  <w:style w:type="paragraph" w:customStyle="1" w:styleId="170">
    <w:name w:val="段"/>
    <w:next w:val="1"/>
    <w:qFormat/>
    <w:uiPriority w:val="0"/>
    <w:pPr>
      <w:ind w:firstLine="200"/>
      <w:jc w:val="both"/>
    </w:pPr>
    <w:rPr>
      <w:rFonts w:ascii="宋体" w:hAnsi="Times New Roman" w:eastAsia="宋体" w:cs="Times New Roman"/>
      <w:sz w:val="21"/>
      <w:szCs w:val="22"/>
      <w:lang w:val="en-US" w:eastAsia="zh-CN" w:bidi="ar-SA"/>
    </w:rPr>
  </w:style>
  <w:style w:type="table" w:customStyle="1" w:styleId="171">
    <w:name w:val="List Table 4 - Accent 2"/>
    <w:basedOn w:val="61"/>
    <w:qFormat/>
    <w:uiPriority w:val="99"/>
  </w:style>
  <w:style w:type="table" w:customStyle="1" w:styleId="172">
    <w:name w:val="Lined - Accent 1"/>
    <w:basedOn w:val="61"/>
    <w:qFormat/>
    <w:uiPriority w:val="99"/>
    <w:rPr>
      <w:color w:val="404040"/>
    </w:rPr>
  </w:style>
  <w:style w:type="table" w:customStyle="1" w:styleId="173">
    <w:name w:val="Grid Table 4 - Accent 5"/>
    <w:basedOn w:val="61"/>
    <w:qFormat/>
    <w:uiPriority w:val="59"/>
  </w:style>
  <w:style w:type="table" w:customStyle="1" w:styleId="174">
    <w:name w:val="Grid Table 5 Dark - Accent 6"/>
    <w:basedOn w:val="61"/>
    <w:qFormat/>
    <w:uiPriority w:val="99"/>
  </w:style>
  <w:style w:type="table" w:customStyle="1" w:styleId="175">
    <w:name w:val="List Table 5 Dark - Accent 3"/>
    <w:basedOn w:val="61"/>
    <w:qFormat/>
    <w:uiPriority w:val="99"/>
  </w:style>
  <w:style w:type="table" w:customStyle="1" w:styleId="176">
    <w:name w:val="List Table 7 Colorful - Accent 4"/>
    <w:basedOn w:val="61"/>
    <w:qFormat/>
    <w:uiPriority w:val="99"/>
  </w:style>
  <w:style w:type="table" w:customStyle="1" w:styleId="177">
    <w:name w:val="List Table 5 Dark - Accent 2"/>
    <w:basedOn w:val="61"/>
    <w:qFormat/>
    <w:uiPriority w:val="99"/>
  </w:style>
  <w:style w:type="table" w:customStyle="1" w:styleId="178">
    <w:name w:val="Bordered - Accent 4"/>
    <w:basedOn w:val="61"/>
    <w:qFormat/>
    <w:uiPriority w:val="99"/>
  </w:style>
  <w:style w:type="table" w:customStyle="1" w:styleId="179">
    <w:name w:val="Grid Table 5 Dark - Accent 3"/>
    <w:basedOn w:val="61"/>
    <w:qFormat/>
    <w:uiPriority w:val="99"/>
  </w:style>
  <w:style w:type="table" w:customStyle="1" w:styleId="180">
    <w:name w:val="List Table 2 - Accent 5"/>
    <w:basedOn w:val="61"/>
    <w:qFormat/>
    <w:uiPriority w:val="99"/>
  </w:style>
  <w:style w:type="table" w:customStyle="1" w:styleId="181">
    <w:name w:val="Grid Table 5 Dark- Accent 4"/>
    <w:basedOn w:val="61"/>
    <w:qFormat/>
    <w:uiPriority w:val="99"/>
  </w:style>
  <w:style w:type="table" w:customStyle="1" w:styleId="182">
    <w:name w:val="List Table 6 Colorful - Accent 3"/>
    <w:basedOn w:val="61"/>
    <w:qFormat/>
    <w:uiPriority w:val="99"/>
  </w:style>
  <w:style w:type="table" w:customStyle="1" w:styleId="183">
    <w:name w:val="List Table 7 Colorful - Accent 1"/>
    <w:basedOn w:val="61"/>
    <w:qFormat/>
    <w:uiPriority w:val="99"/>
  </w:style>
  <w:style w:type="table" w:customStyle="1" w:styleId="184">
    <w:name w:val="Grid Table 7 Colorful - Accent 2"/>
    <w:basedOn w:val="61"/>
    <w:qFormat/>
    <w:uiPriority w:val="99"/>
  </w:style>
  <w:style w:type="table" w:customStyle="1" w:styleId="185">
    <w:name w:val="Grid Table 4 - Accent 4"/>
    <w:basedOn w:val="61"/>
    <w:qFormat/>
    <w:uiPriority w:val="59"/>
  </w:style>
  <w:style w:type="table" w:customStyle="1" w:styleId="186">
    <w:name w:val="Bordered - Accent 2"/>
    <w:basedOn w:val="61"/>
    <w:qFormat/>
    <w:uiPriority w:val="99"/>
  </w:style>
  <w:style w:type="table" w:customStyle="1" w:styleId="187">
    <w:name w:val="List Table 2 - Accent 6"/>
    <w:basedOn w:val="61"/>
    <w:qFormat/>
    <w:uiPriority w:val="99"/>
  </w:style>
  <w:style w:type="table" w:customStyle="1" w:styleId="188">
    <w:name w:val="Grid Table 7 Colorful - Accent 6"/>
    <w:basedOn w:val="61"/>
    <w:qFormat/>
    <w:uiPriority w:val="99"/>
  </w:style>
  <w:style w:type="table" w:customStyle="1" w:styleId="189">
    <w:name w:val="Grid Table 2 - Accent 1"/>
    <w:basedOn w:val="61"/>
    <w:qFormat/>
    <w:uiPriority w:val="99"/>
  </w:style>
  <w:style w:type="table" w:customStyle="1" w:styleId="190">
    <w:name w:val="List Table 1 Light - Accent 6"/>
    <w:basedOn w:val="61"/>
    <w:qFormat/>
    <w:uiPriority w:val="99"/>
  </w:style>
  <w:style w:type="table" w:customStyle="1" w:styleId="191">
    <w:name w:val="Grid Table 5 Dark - Accent 5"/>
    <w:basedOn w:val="61"/>
    <w:qFormat/>
    <w:uiPriority w:val="99"/>
  </w:style>
  <w:style w:type="table" w:customStyle="1" w:styleId="192">
    <w:name w:val="Bordered"/>
    <w:basedOn w:val="61"/>
    <w:qFormat/>
    <w:uiPriority w:val="99"/>
  </w:style>
  <w:style w:type="table" w:customStyle="1" w:styleId="193">
    <w:name w:val="List Table 3 - Accent 4"/>
    <w:basedOn w:val="61"/>
    <w:qFormat/>
    <w:uiPriority w:val="99"/>
  </w:style>
  <w:style w:type="table" w:customStyle="1" w:styleId="194">
    <w:name w:val="List Table 3 - Accent 3"/>
    <w:basedOn w:val="61"/>
    <w:qFormat/>
    <w:uiPriority w:val="99"/>
  </w:style>
  <w:style w:type="table" w:customStyle="1" w:styleId="195">
    <w:name w:val="List Table 2 - Accent 1"/>
    <w:basedOn w:val="61"/>
    <w:qFormat/>
    <w:uiPriority w:val="99"/>
  </w:style>
  <w:style w:type="table" w:customStyle="1" w:styleId="196">
    <w:name w:val="List Table 3 - Accent 6"/>
    <w:basedOn w:val="61"/>
    <w:qFormat/>
    <w:uiPriority w:val="99"/>
  </w:style>
  <w:style w:type="table" w:customStyle="1" w:styleId="197">
    <w:name w:val="Grid Table 2 - Accent 5"/>
    <w:basedOn w:val="61"/>
    <w:qFormat/>
    <w:uiPriority w:val="99"/>
  </w:style>
  <w:style w:type="table" w:customStyle="1" w:styleId="198">
    <w:name w:val="Bordered - Accent 6"/>
    <w:basedOn w:val="61"/>
    <w:qFormat/>
    <w:uiPriority w:val="99"/>
  </w:style>
  <w:style w:type="table" w:customStyle="1" w:styleId="199">
    <w:name w:val="Lined - Accent 5"/>
    <w:basedOn w:val="61"/>
    <w:qFormat/>
    <w:uiPriority w:val="99"/>
    <w:rPr>
      <w:color w:val="404040"/>
    </w:rPr>
  </w:style>
  <w:style w:type="table" w:customStyle="1" w:styleId="200">
    <w:name w:val="Grid Table 1 Light - Accent 2"/>
    <w:basedOn w:val="61"/>
    <w:qFormat/>
    <w:uiPriority w:val="99"/>
  </w:style>
  <w:style w:type="table" w:customStyle="1" w:styleId="201">
    <w:name w:val="List Table 6 Colorful - Accent 5"/>
    <w:basedOn w:val="61"/>
    <w:qFormat/>
    <w:uiPriority w:val="99"/>
  </w:style>
  <w:style w:type="table" w:customStyle="1" w:styleId="202">
    <w:name w:val="Grid Table 6 Colorful - Accent 5"/>
    <w:basedOn w:val="61"/>
    <w:qFormat/>
    <w:uiPriority w:val="99"/>
  </w:style>
  <w:style w:type="table" w:customStyle="1" w:styleId="203">
    <w:name w:val="List Table 3 - Accent 2"/>
    <w:basedOn w:val="61"/>
    <w:qFormat/>
    <w:uiPriority w:val="99"/>
  </w:style>
  <w:style w:type="table" w:customStyle="1" w:styleId="204">
    <w:name w:val="List Table 5 Dark - Accent 6"/>
    <w:basedOn w:val="61"/>
    <w:qFormat/>
    <w:uiPriority w:val="99"/>
  </w:style>
  <w:style w:type="table" w:customStyle="1" w:styleId="205">
    <w:name w:val="List Table 6 Colorful - Accent 2"/>
    <w:basedOn w:val="61"/>
    <w:qFormat/>
    <w:uiPriority w:val="99"/>
  </w:style>
  <w:style w:type="table" w:customStyle="1" w:styleId="206">
    <w:name w:val="Grid Table 7 Colorful - Accent 3"/>
    <w:basedOn w:val="61"/>
    <w:qFormat/>
    <w:uiPriority w:val="99"/>
  </w:style>
  <w:style w:type="table" w:customStyle="1" w:styleId="207">
    <w:name w:val="Grid Table 7 Colorful - Accent 1"/>
    <w:basedOn w:val="61"/>
    <w:qFormat/>
    <w:uiPriority w:val="99"/>
  </w:style>
  <w:style w:type="table" w:customStyle="1" w:styleId="208">
    <w:name w:val="List Table 5 Dark - Accent 5"/>
    <w:basedOn w:val="61"/>
    <w:qFormat/>
    <w:uiPriority w:val="99"/>
  </w:style>
  <w:style w:type="table" w:customStyle="1" w:styleId="209">
    <w:name w:val="List Table 4 - Accent 4"/>
    <w:basedOn w:val="61"/>
    <w:qFormat/>
    <w:uiPriority w:val="99"/>
  </w:style>
  <w:style w:type="table" w:customStyle="1" w:styleId="210">
    <w:name w:val="Grid Table 6 Colorful - Accent 2"/>
    <w:basedOn w:val="61"/>
    <w:qFormat/>
    <w:uiPriority w:val="99"/>
  </w:style>
  <w:style w:type="table" w:customStyle="1" w:styleId="211">
    <w:name w:val="Grid Table 4 - Accent 6"/>
    <w:basedOn w:val="61"/>
    <w:qFormat/>
    <w:uiPriority w:val="59"/>
  </w:style>
  <w:style w:type="table" w:customStyle="1" w:styleId="212">
    <w:name w:val="List Table 4 - Accent 1"/>
    <w:basedOn w:val="61"/>
    <w:qFormat/>
    <w:uiPriority w:val="99"/>
  </w:style>
  <w:style w:type="table" w:customStyle="1" w:styleId="213">
    <w:name w:val="List Table 7 Colorful - Accent 6"/>
    <w:basedOn w:val="61"/>
    <w:qFormat/>
    <w:uiPriority w:val="99"/>
  </w:style>
  <w:style w:type="table" w:customStyle="1" w:styleId="214">
    <w:name w:val="Bordered &amp; Lined - Accent 2"/>
    <w:basedOn w:val="61"/>
    <w:qFormat/>
    <w:uiPriority w:val="99"/>
    <w:rPr>
      <w:color w:val="404040"/>
    </w:rPr>
  </w:style>
  <w:style w:type="table" w:customStyle="1" w:styleId="215">
    <w:name w:val="List Table 6 Colorful - Accent 4"/>
    <w:basedOn w:val="61"/>
    <w:qFormat/>
    <w:uiPriority w:val="99"/>
  </w:style>
  <w:style w:type="table" w:customStyle="1" w:styleId="216">
    <w:name w:val="List Table 1 Light - Accent 3"/>
    <w:basedOn w:val="61"/>
    <w:qFormat/>
    <w:uiPriority w:val="99"/>
  </w:style>
  <w:style w:type="table" w:customStyle="1" w:styleId="217">
    <w:name w:val="Bordered &amp; Lined - Accent"/>
    <w:basedOn w:val="61"/>
    <w:qFormat/>
    <w:uiPriority w:val="99"/>
    <w:rPr>
      <w:color w:val="404040"/>
    </w:rPr>
  </w:style>
  <w:style w:type="table" w:customStyle="1" w:styleId="218">
    <w:name w:val="Grid Table 4 - Accent 3"/>
    <w:basedOn w:val="61"/>
    <w:qFormat/>
    <w:uiPriority w:val="59"/>
  </w:style>
  <w:style w:type="table" w:customStyle="1" w:styleId="219">
    <w:name w:val="Grid Table 7 Colorful - Accent 4"/>
    <w:basedOn w:val="61"/>
    <w:qFormat/>
    <w:uiPriority w:val="99"/>
  </w:style>
  <w:style w:type="table" w:customStyle="1" w:styleId="220">
    <w:name w:val="Grid Table 3 - Accent 2"/>
    <w:basedOn w:val="61"/>
    <w:qFormat/>
    <w:uiPriority w:val="99"/>
  </w:style>
  <w:style w:type="table" w:customStyle="1" w:styleId="221">
    <w:name w:val="Bordered &amp; Lined - Accent 4"/>
    <w:basedOn w:val="61"/>
    <w:qFormat/>
    <w:uiPriority w:val="99"/>
    <w:rPr>
      <w:color w:val="404040"/>
    </w:rPr>
  </w:style>
  <w:style w:type="table" w:customStyle="1" w:styleId="222">
    <w:name w:val="Grid Table 2 - Accent 6"/>
    <w:basedOn w:val="61"/>
    <w:qFormat/>
    <w:uiPriority w:val="99"/>
  </w:style>
  <w:style w:type="table" w:customStyle="1" w:styleId="223">
    <w:name w:val="List Table 3 - Accent 5"/>
    <w:basedOn w:val="61"/>
    <w:qFormat/>
    <w:uiPriority w:val="99"/>
  </w:style>
  <w:style w:type="table" w:customStyle="1" w:styleId="224">
    <w:name w:val="Grid Table 3 - Accent 4"/>
    <w:basedOn w:val="61"/>
    <w:qFormat/>
    <w:uiPriority w:val="99"/>
  </w:style>
  <w:style w:type="table" w:customStyle="1" w:styleId="225">
    <w:name w:val="Grid Table 3 - Accent 1"/>
    <w:basedOn w:val="61"/>
    <w:qFormat/>
    <w:uiPriority w:val="99"/>
  </w:style>
  <w:style w:type="table" w:customStyle="1" w:styleId="226">
    <w:name w:val="Grid Table 6 Colorful - Accent 6"/>
    <w:basedOn w:val="61"/>
    <w:qFormat/>
    <w:uiPriority w:val="99"/>
  </w:style>
  <w:style w:type="table" w:customStyle="1" w:styleId="227">
    <w:name w:val="List Table 5 Dark - Accent 4"/>
    <w:basedOn w:val="61"/>
    <w:qFormat/>
    <w:uiPriority w:val="99"/>
  </w:style>
  <w:style w:type="table" w:customStyle="1" w:styleId="228">
    <w:name w:val="Table Grid Light"/>
    <w:basedOn w:val="61"/>
    <w:qFormat/>
    <w:uiPriority w:val="59"/>
  </w:style>
  <w:style w:type="table" w:customStyle="1" w:styleId="229">
    <w:name w:val="Grid Table 2 - Accent 4"/>
    <w:basedOn w:val="61"/>
    <w:qFormat/>
    <w:uiPriority w:val="99"/>
  </w:style>
  <w:style w:type="table" w:customStyle="1" w:styleId="230">
    <w:name w:val="Grid Table 1 Light - Accent 4"/>
    <w:basedOn w:val="61"/>
    <w:qFormat/>
    <w:uiPriority w:val="99"/>
  </w:style>
  <w:style w:type="table" w:customStyle="1" w:styleId="231">
    <w:name w:val="List Table 6 Colorful - Accent 1"/>
    <w:basedOn w:val="61"/>
    <w:qFormat/>
    <w:uiPriority w:val="99"/>
  </w:style>
  <w:style w:type="table" w:customStyle="1" w:styleId="232">
    <w:name w:val="Grid Table 5 Dark- Accent 1"/>
    <w:basedOn w:val="61"/>
    <w:qFormat/>
    <w:uiPriority w:val="99"/>
  </w:style>
  <w:style w:type="table" w:customStyle="1" w:styleId="233">
    <w:name w:val="Bordered - Accent 5"/>
    <w:basedOn w:val="61"/>
    <w:qFormat/>
    <w:uiPriority w:val="99"/>
  </w:style>
  <w:style w:type="table" w:customStyle="1" w:styleId="234">
    <w:name w:val="Bordered &amp; Lined - Accent 6"/>
    <w:basedOn w:val="61"/>
    <w:qFormat/>
    <w:uiPriority w:val="99"/>
    <w:rPr>
      <w:color w:val="404040"/>
    </w:rPr>
  </w:style>
  <w:style w:type="table" w:customStyle="1" w:styleId="235">
    <w:name w:val="List Table 7 Colorful - Accent 2"/>
    <w:basedOn w:val="61"/>
    <w:qFormat/>
    <w:uiPriority w:val="99"/>
  </w:style>
  <w:style w:type="table" w:customStyle="1" w:styleId="236">
    <w:name w:val="Grid Table 5 Dark - Accent 2"/>
    <w:basedOn w:val="61"/>
    <w:qFormat/>
    <w:uiPriority w:val="99"/>
  </w:style>
  <w:style w:type="table" w:customStyle="1" w:styleId="237">
    <w:name w:val="Grid Table 3 - Accent 5"/>
    <w:basedOn w:val="61"/>
    <w:qFormat/>
    <w:uiPriority w:val="99"/>
  </w:style>
  <w:style w:type="table" w:customStyle="1" w:styleId="238">
    <w:name w:val="List Table 4 - Accent 3"/>
    <w:basedOn w:val="61"/>
    <w:qFormat/>
    <w:uiPriority w:val="99"/>
  </w:style>
  <w:style w:type="table" w:customStyle="1" w:styleId="239">
    <w:name w:val="Grid Table 6 Colorful - Accent 4"/>
    <w:basedOn w:val="61"/>
    <w:qFormat/>
    <w:uiPriority w:val="99"/>
  </w:style>
  <w:style w:type="table" w:customStyle="1" w:styleId="240">
    <w:name w:val="List Table 6 Colorful - Accent 6"/>
    <w:basedOn w:val="61"/>
    <w:qFormat/>
    <w:uiPriority w:val="99"/>
  </w:style>
  <w:style w:type="table" w:customStyle="1" w:styleId="241">
    <w:name w:val="List Table 5 Dark - Accent 1"/>
    <w:basedOn w:val="61"/>
    <w:qFormat/>
    <w:uiPriority w:val="99"/>
  </w:style>
  <w:style w:type="table" w:customStyle="1" w:styleId="242">
    <w:name w:val="Lined - Accent"/>
    <w:basedOn w:val="61"/>
    <w:qFormat/>
    <w:uiPriority w:val="99"/>
    <w:rPr>
      <w:color w:val="404040"/>
    </w:rPr>
  </w:style>
  <w:style w:type="table" w:customStyle="1" w:styleId="243">
    <w:name w:val="List Table 2 - Accent 3"/>
    <w:basedOn w:val="61"/>
    <w:qFormat/>
    <w:uiPriority w:val="99"/>
  </w:style>
  <w:style w:type="table" w:customStyle="1" w:styleId="244">
    <w:name w:val="Grid Table 6 Colorful - Accent 3"/>
    <w:basedOn w:val="61"/>
    <w:qFormat/>
    <w:uiPriority w:val="99"/>
  </w:style>
  <w:style w:type="table" w:customStyle="1" w:styleId="245">
    <w:name w:val="List Table 7 Colorful - Accent 5"/>
    <w:basedOn w:val="61"/>
    <w:qFormat/>
    <w:uiPriority w:val="99"/>
  </w:style>
  <w:style w:type="table" w:customStyle="1" w:styleId="246">
    <w:name w:val="Bordered &amp; Lined - Accent 1"/>
    <w:basedOn w:val="61"/>
    <w:qFormat/>
    <w:uiPriority w:val="99"/>
    <w:rPr>
      <w:color w:val="404040"/>
    </w:rPr>
  </w:style>
  <w:style w:type="table" w:customStyle="1" w:styleId="247">
    <w:name w:val="Lined - Accent 6"/>
    <w:basedOn w:val="61"/>
    <w:qFormat/>
    <w:uiPriority w:val="99"/>
    <w:rPr>
      <w:color w:val="404040"/>
    </w:rPr>
  </w:style>
  <w:style w:type="table" w:customStyle="1" w:styleId="248">
    <w:name w:val="Grid Table 1 Light - Accent 6"/>
    <w:basedOn w:val="61"/>
    <w:qFormat/>
    <w:uiPriority w:val="99"/>
  </w:style>
  <w:style w:type="table" w:customStyle="1" w:styleId="249">
    <w:name w:val="List Table 2 - Accent 4"/>
    <w:basedOn w:val="61"/>
    <w:qFormat/>
    <w:uiPriority w:val="99"/>
  </w:style>
  <w:style w:type="table" w:customStyle="1" w:styleId="250">
    <w:name w:val="Bordered - Accent 3"/>
    <w:basedOn w:val="61"/>
    <w:qFormat/>
    <w:uiPriority w:val="99"/>
  </w:style>
  <w:style w:type="table" w:customStyle="1" w:styleId="251">
    <w:name w:val="Bordered &amp; Lined - Accent 3"/>
    <w:basedOn w:val="61"/>
    <w:qFormat/>
    <w:uiPriority w:val="99"/>
    <w:rPr>
      <w:color w:val="404040"/>
    </w:rPr>
  </w:style>
  <w:style w:type="table" w:customStyle="1" w:styleId="252">
    <w:name w:val="List Table 3 - Accent 1"/>
    <w:basedOn w:val="61"/>
    <w:qFormat/>
    <w:uiPriority w:val="99"/>
  </w:style>
  <w:style w:type="table" w:customStyle="1" w:styleId="253">
    <w:name w:val="Grid Table 1 Light - Accent 5"/>
    <w:basedOn w:val="61"/>
    <w:qFormat/>
    <w:uiPriority w:val="99"/>
  </w:style>
  <w:style w:type="table" w:customStyle="1" w:styleId="254">
    <w:name w:val="List Table 1 Light - Accent 2"/>
    <w:basedOn w:val="61"/>
    <w:qFormat/>
    <w:uiPriority w:val="99"/>
  </w:style>
  <w:style w:type="table" w:customStyle="1" w:styleId="255">
    <w:name w:val="Grid Table 1 Light - Accent 1"/>
    <w:basedOn w:val="61"/>
    <w:qFormat/>
    <w:uiPriority w:val="99"/>
  </w:style>
  <w:style w:type="table" w:customStyle="1" w:styleId="256">
    <w:name w:val="Grid Table 1 Light - Accent 3"/>
    <w:basedOn w:val="61"/>
    <w:qFormat/>
    <w:uiPriority w:val="99"/>
  </w:style>
  <w:style w:type="table" w:customStyle="1" w:styleId="257">
    <w:name w:val="List Table 4 - Accent 5"/>
    <w:basedOn w:val="61"/>
    <w:qFormat/>
    <w:uiPriority w:val="99"/>
  </w:style>
  <w:style w:type="table" w:customStyle="1" w:styleId="258">
    <w:name w:val="List Table 7 Colorful - Accent 3"/>
    <w:basedOn w:val="61"/>
    <w:qFormat/>
    <w:uiPriority w:val="99"/>
  </w:style>
  <w:style w:type="table" w:customStyle="1" w:styleId="259">
    <w:name w:val="List Table 1 Light - Accent 5"/>
    <w:basedOn w:val="61"/>
    <w:qFormat/>
    <w:uiPriority w:val="99"/>
  </w:style>
  <w:style w:type="table" w:customStyle="1" w:styleId="260">
    <w:name w:val="Grid Table 7 Colorful - Accent 5"/>
    <w:basedOn w:val="61"/>
    <w:qFormat/>
    <w:uiPriority w:val="99"/>
  </w:style>
  <w:style w:type="table" w:customStyle="1" w:styleId="261">
    <w:name w:val="Grid Table 4 - Accent 1"/>
    <w:basedOn w:val="61"/>
    <w:qFormat/>
    <w:uiPriority w:val="59"/>
  </w:style>
  <w:style w:type="table" w:customStyle="1" w:styleId="262">
    <w:name w:val="List Table 4 - Accent 6"/>
    <w:basedOn w:val="61"/>
    <w:qFormat/>
    <w:uiPriority w:val="99"/>
  </w:style>
  <w:style w:type="table" w:customStyle="1" w:styleId="263">
    <w:name w:val="Lined - Accent 3"/>
    <w:basedOn w:val="61"/>
    <w:qFormat/>
    <w:uiPriority w:val="99"/>
    <w:rPr>
      <w:color w:val="404040"/>
    </w:rPr>
  </w:style>
  <w:style w:type="table" w:customStyle="1" w:styleId="264">
    <w:name w:val="Grid Table 3 - Accent 6"/>
    <w:basedOn w:val="61"/>
    <w:qFormat/>
    <w:uiPriority w:val="99"/>
  </w:style>
  <w:style w:type="table" w:customStyle="1" w:styleId="265">
    <w:name w:val="List Table 1 Light - Accent 1"/>
    <w:basedOn w:val="61"/>
    <w:qFormat/>
    <w:uiPriority w:val="99"/>
  </w:style>
  <w:style w:type="table" w:customStyle="1" w:styleId="266">
    <w:name w:val="Bordered &amp; Lined - Accent 5"/>
    <w:basedOn w:val="61"/>
    <w:qFormat/>
    <w:uiPriority w:val="99"/>
    <w:rPr>
      <w:color w:val="404040"/>
    </w:rPr>
  </w:style>
  <w:style w:type="table" w:customStyle="1" w:styleId="267">
    <w:name w:val="Lined - Accent 4"/>
    <w:basedOn w:val="61"/>
    <w:qFormat/>
    <w:uiPriority w:val="99"/>
    <w:rPr>
      <w:color w:val="404040"/>
    </w:rPr>
  </w:style>
  <w:style w:type="table" w:customStyle="1" w:styleId="268">
    <w:name w:val="Bordered - Accent 1"/>
    <w:basedOn w:val="61"/>
    <w:qFormat/>
    <w:uiPriority w:val="99"/>
  </w:style>
  <w:style w:type="table" w:customStyle="1" w:styleId="269">
    <w:name w:val="List Table 1 Light - Accent 4"/>
    <w:basedOn w:val="61"/>
    <w:qFormat/>
    <w:uiPriority w:val="99"/>
  </w:style>
  <w:style w:type="table" w:customStyle="1" w:styleId="270">
    <w:name w:val="List Table 2 - Accent 2"/>
    <w:basedOn w:val="61"/>
    <w:qFormat/>
    <w:uiPriority w:val="99"/>
  </w:style>
  <w:style w:type="table" w:customStyle="1" w:styleId="271">
    <w:name w:val="Grid Table 3 - Accent 3"/>
    <w:basedOn w:val="61"/>
    <w:qFormat/>
    <w:uiPriority w:val="99"/>
  </w:style>
  <w:style w:type="table" w:customStyle="1" w:styleId="272">
    <w:name w:val="Grid Table 2 - Accent 2"/>
    <w:basedOn w:val="61"/>
    <w:qFormat/>
    <w:uiPriority w:val="99"/>
  </w:style>
  <w:style w:type="table" w:customStyle="1" w:styleId="273">
    <w:name w:val="Lined - Accent 2"/>
    <w:basedOn w:val="61"/>
    <w:qFormat/>
    <w:uiPriority w:val="99"/>
    <w:rPr>
      <w:color w:val="404040"/>
    </w:rPr>
  </w:style>
  <w:style w:type="table" w:customStyle="1" w:styleId="274">
    <w:name w:val="Grid Table 6 Colorful - Accent 1"/>
    <w:basedOn w:val="61"/>
    <w:qFormat/>
    <w:uiPriority w:val="99"/>
  </w:style>
  <w:style w:type="table" w:customStyle="1" w:styleId="275">
    <w:name w:val="Grid Table 4 - Accent 2"/>
    <w:basedOn w:val="61"/>
    <w:qFormat/>
    <w:uiPriority w:val="59"/>
  </w:style>
  <w:style w:type="table" w:customStyle="1" w:styleId="276">
    <w:name w:val="Grid Table 2 - Accent 3"/>
    <w:basedOn w:val="61"/>
    <w:qFormat/>
    <w:uiPriority w:val="99"/>
  </w:style>
  <w:style w:type="character" w:customStyle="1" w:styleId="277">
    <w:name w:val="font141"/>
    <w:basedOn w:val="36"/>
    <w:qFormat/>
    <w:uiPriority w:val="0"/>
    <w:rPr>
      <w:rFonts w:hint="default" w:ascii="Arial" w:hAnsi="Arial" w:cs="Arial"/>
      <w:color w:val="000000"/>
      <w:sz w:val="20"/>
      <w:szCs w:val="20"/>
      <w:u w:val="none"/>
    </w:rPr>
  </w:style>
  <w:style w:type="character" w:customStyle="1" w:styleId="278">
    <w:name w:val="font13"/>
    <w:basedOn w:val="36"/>
    <w:qFormat/>
    <w:uiPriority w:val="0"/>
    <w:rPr>
      <w:rFonts w:hint="eastAsia" w:ascii="宋体" w:hAnsi="宋体" w:eastAsia="宋体" w:cs="宋体"/>
      <w:color w:val="000000"/>
      <w:sz w:val="22"/>
      <w:szCs w:val="22"/>
      <w:u w:val="none"/>
    </w:rPr>
  </w:style>
  <w:style w:type="character" w:customStyle="1" w:styleId="279">
    <w:name w:val="font91"/>
    <w:basedOn w:val="36"/>
    <w:qFormat/>
    <w:uiPriority w:val="0"/>
    <w:rPr>
      <w:rFonts w:hint="eastAsia" w:ascii="宋体" w:hAnsi="宋体" w:eastAsia="宋体" w:cs="宋体"/>
      <w:color w:val="000000"/>
      <w:sz w:val="24"/>
      <w:szCs w:val="24"/>
      <w:u w:val="none"/>
    </w:rPr>
  </w:style>
  <w:style w:type="character" w:customStyle="1" w:styleId="280">
    <w:name w:val="font121"/>
    <w:basedOn w:val="36"/>
    <w:qFormat/>
    <w:uiPriority w:val="0"/>
    <w:rPr>
      <w:rFonts w:hint="default" w:ascii="Arial" w:hAnsi="Arial" w:cs="Arial"/>
      <w:color w:val="000000"/>
      <w:sz w:val="20"/>
      <w:szCs w:val="20"/>
      <w:u w:val="none"/>
    </w:rPr>
  </w:style>
  <w:style w:type="character" w:customStyle="1" w:styleId="281">
    <w:name w:val="font51"/>
    <w:basedOn w:val="36"/>
    <w:qFormat/>
    <w:uiPriority w:val="0"/>
    <w:rPr>
      <w:rFonts w:hint="eastAsia" w:ascii="宋体" w:hAnsi="宋体" w:eastAsia="宋体" w:cs="宋体"/>
      <w:b/>
      <w:bCs/>
      <w:color w:val="000000"/>
      <w:sz w:val="20"/>
      <w:szCs w:val="20"/>
      <w:u w:val="none"/>
    </w:rPr>
  </w:style>
  <w:style w:type="character" w:customStyle="1" w:styleId="282">
    <w:name w:val="font161"/>
    <w:basedOn w:val="36"/>
    <w:qFormat/>
    <w:uiPriority w:val="0"/>
    <w:rPr>
      <w:rFonts w:hint="default" w:ascii="Arial" w:hAnsi="Arial" w:cs="Arial"/>
      <w:b/>
      <w:bCs/>
      <w:color w:val="000000"/>
      <w:sz w:val="20"/>
      <w:szCs w:val="20"/>
      <w:u w:val="none"/>
    </w:rPr>
  </w:style>
  <w:style w:type="table" w:customStyle="1" w:styleId="283">
    <w:name w:val="Table Normal"/>
    <w:semiHidden/>
    <w:unhideWhenUsed/>
    <w:qFormat/>
    <w:uiPriority w:val="0"/>
    <w:tblPr>
      <w:tblCellMar>
        <w:top w:w="0" w:type="dxa"/>
        <w:left w:w="0" w:type="dxa"/>
        <w:bottom w:w="0" w:type="dxa"/>
        <w:right w:w="0" w:type="dxa"/>
      </w:tblCellMar>
    </w:tblPr>
  </w:style>
  <w:style w:type="paragraph" w:customStyle="1" w:styleId="284">
    <w:name w:val="Table Text"/>
    <w:basedOn w:val="1"/>
    <w:semiHidden/>
    <w:qFormat/>
    <w:uiPriority w:val="0"/>
    <w:rPr>
      <w:rFonts w:ascii="宋体" w:hAnsi="宋体" w:eastAsia="宋体" w:cs="宋体"/>
      <w:sz w:val="24"/>
      <w:szCs w:val="24"/>
      <w:lang w:val="en-US" w:eastAsia="en-US" w:bidi="ar-SA"/>
    </w:rPr>
  </w:style>
  <w:style w:type="paragraph" w:customStyle="1" w:styleId="285">
    <w:name w:val="Other|1"/>
    <w:basedOn w:val="1"/>
    <w:qFormat/>
    <w:uiPriority w:val="0"/>
    <w:pPr>
      <w:spacing w:line="413" w:lineRule="auto"/>
      <w:ind w:firstLine="400"/>
      <w:jc w:val="left"/>
    </w:pPr>
    <w:rPr>
      <w:rFonts w:ascii="宋体" w:hAnsi="宋体" w:cs="宋体"/>
      <w:kern w:val="0"/>
      <w:sz w:val="19"/>
      <w:szCs w:val="19"/>
      <w:lang w:val="zh-TW" w:eastAsia="zh-TW" w:bidi="zh-TW"/>
    </w:rPr>
  </w:style>
  <w:style w:type="paragraph" w:customStyle="1" w:styleId="286">
    <w:name w:val="_Style 13"/>
    <w:qFormat/>
    <w:uiPriority w:val="0"/>
    <w:pPr>
      <w:spacing w:before="120" w:after="120" w:line="288" w:lineRule="auto"/>
      <w:ind w:left="0"/>
      <w:jc w:val="left"/>
    </w:pPr>
    <w:rPr>
      <w:rFonts w:ascii="Arial" w:hAnsi="Arial" w:eastAsia="等线" w:cs="Arial"/>
      <w:sz w:val="22"/>
      <w:szCs w:val="22"/>
    </w:rPr>
  </w:style>
  <w:style w:type="paragraph" w:customStyle="1" w:styleId="287">
    <w:name w:val="BodyText"/>
    <w:basedOn w:val="1"/>
    <w:qFormat/>
    <w:uiPriority w:val="0"/>
    <w:pPr>
      <w:jc w:val="center"/>
      <w:textAlignment w:val="baseline"/>
    </w:pPr>
    <w:rPr>
      <w:rFonts w:eastAsia="幼圆" w:cs="Calibri"/>
      <w:b/>
      <w:bCs/>
      <w:sz w:val="44"/>
    </w:rPr>
  </w:style>
  <w:style w:type="paragraph" w:customStyle="1" w:styleId="288">
    <w:name w:val="正文格式"/>
    <w:basedOn w:val="1"/>
    <w:qFormat/>
    <w:uiPriority w:val="0"/>
    <w:pPr>
      <w:widowControl/>
      <w:adjustRightInd w:val="0"/>
      <w:snapToGrid w:val="0"/>
      <w:spacing w:line="360" w:lineRule="atLeast"/>
      <w:ind w:firstLine="482"/>
      <w:textAlignment w:val="baseline"/>
    </w:pPr>
    <w:rPr>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e3bb1411-0ede-41d1-8164-86427c1359af</errorID>
      <errorWord>(</errorWord>
      <group>L1_Format</group>
      <groupName>格式问题</groupName>
      <ability>L2_HalfPunc</ability>
      <abilityName>全半角检查</abilityName>
      <candidateList>
        <item>（</item>
      </candidateList>
      <explain>文本全半角错误。</explain>
      <paraID>43A2558F</paraID>
      <start>5</start>
      <end>6</end>
      <status>modified</status>
      <modifiedWord>（</modifiedWord>
      <trackRevisions>false</trackRevisions>
    </reviewItem>
    <reviewItem>
      <errorID>4b4f8f14-dbbe-46c3-811a-bae950c5bf63</errorID>
      <errorWord>)</errorWord>
      <group>L1_Format</group>
      <groupName>格式问题</groupName>
      <ability>L2_HalfPunc</ability>
      <abilityName>全半角检查</abilityName>
      <candidateList>
        <item>）</item>
      </candidateList>
      <explain>文本全半角错误。</explain>
      <paraID>43A2558F</paraID>
      <start>8</start>
      <end>9</end>
      <status>modified</status>
      <modifiedWord>）</modifiedWord>
      <trackRevisions>false</trackRevisions>
    </reviewItem>
    <reviewItem>
      <errorID>ad9f4c6e-213c-4a1e-a9e8-318cf66382d3</errorID>
      <errorWord>(</errorWord>
      <group>L1_Format</group>
      <groupName>格式问题</groupName>
      <ability>L2_HalfPunc</ability>
      <abilityName>全半角检查</abilityName>
      <candidateList>
        <item>（</item>
      </candidateList>
      <explain>文本全半角错误。</explain>
      <paraID>37571FA4</paraID>
      <start>4</start>
      <end>5</end>
      <status>modified</status>
      <modifiedWord>（</modifiedWord>
      <trackRevisions>false</trackRevisions>
    </reviewItem>
    <reviewItem>
      <errorID>afa9da63-cd27-4213-82e1-e6994823dedf</errorID>
      <errorWord>)</errorWord>
      <group>L1_Format</group>
      <groupName>格式问题</groupName>
      <ability>L2_HalfPunc</ability>
      <abilityName>全半角检查</abilityName>
      <candidateList>
        <item>）</item>
      </candidateList>
      <explain>文本全半角错误。</explain>
      <paraID>37571FA4</paraID>
      <start>7</start>
      <end>8</end>
      <status>modified</status>
      <modifiedWord>）</modifiedWord>
      <trackRevisions>false</trackRevisions>
    </reviewItem>
    <reviewItem>
      <errorID>917f8a83-835e-43ff-9896-b362194f8724</errorID>
      <errorWord>。</errorWord>
      <group>L1_AI</group>
      <groupName>深度校对</groupName>
      <ability>L2_AI_Punc</ability>
      <abilityName>标点纠错</abilityName>
      <candidateList>
        <item>；</item>
      </candidateList>
      <explain/>
      <paraID>1792E912</paraID>
      <start>64</start>
      <end>65</end>
      <status>modified</status>
      <modifiedWord>；</modifiedWord>
      <trackRevisions>false</trackRevisions>
    </reviewItem>
    <reviewItem>
      <errorID>175a7a27-3994-4a0d-9ac2-6ac0bb3b1634</errorID>
      <errorWord>提供</errorWord>
      <group>L1_AI</group>
      <groupName>深度校对</groupName>
      <ability>L2_AI_Punc</ability>
      <abilityName>标点纠错</abilityName>
      <candidateList>
        <item>，提供</item>
      </candidateList>
      <explain/>
      <paraID>1792E912</paraID>
      <start>87</start>
      <end>90</end>
      <status>modified</status>
      <modifiedWord>，提供</modifiedWord>
      <trackRevisions>false</trackRevisions>
    </reviewItem>
    <reviewItem>
      <errorID>f8273ce8-ff5d-484f-aed7-d254f7e934a0</errorID>
      <errorWord>。</errorWord>
      <group>L1_AI</group>
      <groupName>深度校对</groupName>
      <ability>L2_AI_Punc</ability>
      <abilityName>标点纠错</abilityName>
      <candidateList>
        <item/>
      </candidateList>
      <explain/>
      <paraID>1792E912</paraID>
      <start>94</start>
      <end>94</end>
      <status>modified</status>
      <modifiedWord/>
      <trackRevisions>false</trackRevisions>
    </reviewItem>
    <reviewItem>
      <errorID>e7f3e3b5-610f-4aa3-abdb-bc8c4ccb1784</errorID>
      <errorWord>文件中</errorWord>
      <group>L1_Word</group>
      <groupName>字词问题</groupName>
      <ability>L2_Typo</ability>
      <abilityName>字词错误</abilityName>
      <candidateList>
        <item>文件</item>
      </candidateList>
      <explain/>
      <paraID>68BBCEAC</paraID>
      <start>115</start>
      <end>117</end>
      <status>modified</status>
      <modifiedWord>文件</modifiedWord>
      <trackRevisions>false</trackRevisions>
    </reviewItem>
    <reviewItem>
      <errorID>185ca793-8f82-4174-80ee-1b4206ee9951</errorID>
      <errorWord>-</errorWord>
      <group>L1_Format</group>
      <groupName>格式问题</groupName>
      <ability>L2_HalfPunc</ability>
      <abilityName>全半角检查</abilityName>
      <candidateList>
        <item>－</item>
      </candidateList>
      <explain>文本全半角错误。</explain>
      <paraID>7AB81E1D</paraID>
      <start>11</start>
      <end>12</end>
      <status>modified</status>
      <modifiedWord>－</modifiedWord>
      <trackRevisions>false</trackRevisions>
    </reviewItem>
    <reviewItem>
      <errorID>2f4d2377-20c8-42dc-a15c-a0e33b770e8a</errorID>
      <errorWord>-</errorWord>
      <group>L1_Format</group>
      <groupName>格式问题</groupName>
      <ability>L2_HalfPunc</ability>
      <abilityName>全半角检查</abilityName>
      <candidateList>
        <item>－</item>
      </candidateList>
      <explain>文本全半角错误。</explain>
      <paraID>7AB81E1D</paraID>
      <start>12</start>
      <end>13</end>
      <status>modified</status>
      <modifiedWord>－</modifiedWord>
      <trackRevisions>false</trackRevisions>
    </reviewItem>
    <reviewItem>
      <errorID>d4721bca-bda8-4fe0-837e-04d99a3d433c</errorID>
      <errorWord>-</errorWord>
      <group>L1_Format</group>
      <groupName>格式问题</groupName>
      <ability>L2_HalfPunc</ability>
      <abilityName>全半角检查</abilityName>
      <candidateList>
        <item>－</item>
      </candidateList>
      <explain>文本全半角错误。</explain>
      <paraID>7AB81E1D</paraID>
      <start>38</start>
      <end>39</end>
      <status>modified</status>
      <modifiedWord>－</modifiedWord>
      <trackRevisions>false</trackRevisions>
    </reviewItem>
    <reviewItem>
      <errorID>21313ea1-15f0-4bf5-8c63-a1b2108b32af</errorID>
      <errorWord>-</errorWord>
      <group>L1_Format</group>
      <groupName>格式问题</groupName>
      <ability>L2_HalfPunc</ability>
      <abilityName>全半角检查</abilityName>
      <candidateList>
        <item>－</item>
      </candidateList>
      <explain>文本全半角错误。</explain>
      <paraID>7AB81E1D</paraID>
      <start>39</start>
      <end>40</end>
      <status>modified</status>
      <modifiedWord>－</modifiedWord>
      <trackRevisions>false</trackRevisions>
    </reviewItem>
    <reviewItem>
      <errorID>c82b6f25-a2a4-47d6-8cde-7039972afa09</errorID>
      <errorWord>“.</errorWord>
      <group>L1_Punc</group>
      <groupName>标点问题</groupName>
      <ability>L2_Punc</ability>
      <abilityName>标点符号检查</abilityName>
      <candidateList>
        <item>“</item>
      </candidateList>
      <explain/>
      <paraID>7AB81E1D</paraID>
      <start>51</start>
      <end>53</end>
      <status>ignored</status>
      <modifiedWord/>
      <trackRevisions>false</trackRevisions>
    </reviewItem>
    <reviewItem>
      <errorID>8f032884-d850-4970-8f47-7a531016d38a</errorID>
      <errorWord>“.</errorWord>
      <group>L1_Punc</group>
      <groupName>标点问题</groupName>
      <ability>L2_Punc</ability>
      <abilityName>标点符号检查</abilityName>
      <candidateList>
        <item>“</item>
      </candidateList>
      <explain/>
      <paraID>7AB81E1D</paraID>
      <start>66</start>
      <end>68</end>
      <status>ignored</status>
      <modifiedWord/>
      <trackRevisions>false</trackRevisions>
    </reviewItem>
    <reviewItem>
      <errorID>f6d7817e-e4ca-41d0-abc0-f9790e6ace1e</errorID>
      <errorWord>-</errorWord>
      <group>L1_Format</group>
      <groupName>格式问题</groupName>
      <ability>L2_HalfPunc</ability>
      <abilityName>全半角检查</abilityName>
      <candidateList>
        <item>－</item>
      </candidateList>
      <explain>文本全半角错误。</explain>
      <paraID>7AB81E1D</paraID>
      <start>89</start>
      <end>90</end>
      <status>modified</status>
      <modifiedWord>－</modifiedWord>
      <trackRevisions>false</trackRevisions>
    </reviewItem>
    <reviewItem>
      <errorID>13e96823-152c-41b5-b7e9-911d0bd2b361</errorID>
      <errorWord>-</errorWord>
      <group>L1_Format</group>
      <groupName>格式问题</groupName>
      <ability>L2_HalfPunc</ability>
      <abilityName>全半角检查</abilityName>
      <candidateList>
        <item>－</item>
      </candidateList>
      <explain>文本全半角错误。</explain>
      <paraID>7AB81E1D</paraID>
      <start>90</start>
      <end>91</end>
      <status>modified</status>
      <modifiedWord>－</modifiedWord>
      <trackRevisions>false</trackRevisions>
    </reviewItem>
    <reviewItem>
      <errorID>b83b3e1a-85b2-4390-83a7-64b0745abaeb</errorID>
      <errorWord>-</errorWord>
      <group>L1_Format</group>
      <groupName>格式问题</groupName>
      <ability>L2_HalfPunc</ability>
      <abilityName>全半角检查</abilityName>
      <candidateList>
        <item>－</item>
      </candidateList>
      <explain>文本全半角错误。</explain>
      <paraID>7AB81E1D</paraID>
      <start>97</start>
      <end>98</end>
      <status>modified</status>
      <modifiedWord>－</modifiedWord>
      <trackRevisions>false</trackRevisions>
    </reviewItem>
    <reviewItem>
      <errorID>cd4f88b1-70ef-4d6e-ace4-36f5c736c880</errorID>
      <errorWord>-</errorWord>
      <group>L1_Format</group>
      <groupName>格式问题</groupName>
      <ability>L2_HalfPunc</ability>
      <abilityName>全半角检查</abilityName>
      <candidateList>
        <item>－</item>
      </candidateList>
      <explain>文本全半角错误。</explain>
      <paraID>7AB81E1D</paraID>
      <start>98</start>
      <end>99</end>
      <status>modified</status>
      <modifiedWord>－</modifiedWord>
      <trackRevisions>false</trackRevisions>
    </reviewItem>
    <reviewItem>
      <errorID>b4f78752-b6b7-4417-9b5e-5537a8442936</errorID>
      <errorWord>“.</errorWord>
      <group>L1_Punc</group>
      <groupName>标点问题</groupName>
      <ability>L2_Punc</ability>
      <abilityName>标点符号检查</abilityName>
      <candidateList>
        <item>“</item>
      </candidateList>
      <explain/>
      <paraID>56AEE6C7</paraID>
      <start>12</start>
      <end>14</end>
      <status>ignored</status>
      <modifiedWord/>
      <trackRevisions>false</trackRevisions>
    </reviewItem>
    <reviewItem>
      <errorID>59024506-06a7-4150-9ac2-39b080391b4c</errorID>
      <errorWord>-</errorWord>
      <group>L1_Format</group>
      <groupName>格式问题</groupName>
      <ability>L2_HalfPunc</ability>
      <abilityName>全半角检查</abilityName>
      <candidateList>
        <item>－</item>
      </candidateList>
      <explain>文本全半角错误。</explain>
      <paraID>56AEE6C7</paraID>
      <start>48</start>
      <end>49</end>
      <status>modified</status>
      <modifiedWord>－</modifiedWord>
      <trackRevisions>false</trackRevisions>
    </reviewItem>
    <reviewItem>
      <errorID>92e9fc2c-0125-4ebc-9f56-372168221ac1</errorID>
      <errorWord>-</errorWord>
      <group>L1_Format</group>
      <groupName>格式问题</groupName>
      <ability>L2_HalfPunc</ability>
      <abilityName>全半角检查</abilityName>
      <candidateList>
        <item>－</item>
      </candidateList>
      <explain>文本全半角错误。</explain>
      <paraID>56AEE6C7</paraID>
      <start>49</start>
      <end>50</end>
      <status>modified</status>
      <modifiedWord>－</modifiedWord>
      <trackRevisions>false</trackRevisions>
    </reviewItem>
    <reviewItem>
      <errorID>6d683d6b-dc2a-4290-ba6e-6abe0551a2d6</errorID>
      <errorWord>-</errorWord>
      <group>L1_Format</group>
      <groupName>格式问题</groupName>
      <ability>L2_HalfPunc</ability>
      <abilityName>全半角检查</abilityName>
      <candidateList>
        <item>－</item>
      </candidateList>
      <explain>文本全半角错误。</explain>
      <paraID>56AEE6C7</paraID>
      <start>55</start>
      <end>56</end>
      <status>modified</status>
      <modifiedWord>－</modifiedWord>
      <trackRevisions>false</trackRevisions>
    </reviewItem>
    <reviewItem>
      <errorID>19aaa47e-39a1-4f86-bb90-1822f80bddc4</errorID>
      <errorWord>-</errorWord>
      <group>L1_Format</group>
      <groupName>格式问题</groupName>
      <ability>L2_HalfPunc</ability>
      <abilityName>全半角检查</abilityName>
      <candidateList>
        <item>－</item>
      </candidateList>
      <explain>文本全半角错误。</explain>
      <paraID>56AEE6C7</paraID>
      <start>56</start>
      <end>57</end>
      <status>modified</status>
      <modifiedWord>－</modifiedWord>
      <trackRevisions>false</trackRevisions>
    </reviewItem>
    <reviewItem>
      <errorID>dedd8774-8675-4982-a3c3-6011ed2d0e92</errorID>
      <errorWord>（</errorWord>
      <group>L1_Punc</group>
      <groupName>标点问题</groupName>
      <ability>L2_Punc</ability>
      <abilityName>标点符号检查</abilityName>
      <candidateList/>
      <explain>同一形式括号套用。</explain>
      <paraID>173B2789</paraID>
      <start>22</start>
      <end>23</end>
      <status>ignored</status>
      <modifiedWord/>
      <trackRevisions>false</trackRevisions>
    </reviewItem>
    <reviewItem>
      <errorID>d82cd68b-d918-4c48-bb30-d21ad22a9588</errorID>
      <errorWord>）</errorWord>
      <group>L1_Punc</group>
      <groupName>标点问题</groupName>
      <ability>L2_Punc</ability>
      <abilityName>标点符号检查</abilityName>
      <candidateList/>
      <explain>同一形式括号套用。</explain>
      <paraID>173B2789</paraID>
      <start>26</start>
      <end>27</end>
      <status>ignored</status>
      <modifiedWord/>
      <trackRevisions>false</trackRevisions>
    </reviewItem>
    <reviewItem>
      <errorID>5f7d991a-247a-47f9-aca8-b94180294ca8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7EE089B0</paraID>
      <start>0</start>
      <end>2</end>
      <status>modified</status>
      <modifiedWord>1.</modifiedWord>
      <trackRevisions>false</trackRevisions>
    </reviewItem>
    <reviewItem>
      <errorID>6324ce0c-fa4a-4610-b3a6-a46ec512a5b5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70F212C</paraID>
      <start>0</start>
      <end>2</end>
      <status>modified</status>
      <modifiedWord>2.</modifiedWord>
      <trackRevisions>false</trackRevisions>
    </reviewItem>
    <reviewItem>
      <errorID>0eb293d4-80b3-43a7-b076-44c5c8a594aa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5E86022E</paraID>
      <start>0</start>
      <end>2</end>
      <status>modified</status>
      <modifiedWord>1.</modifiedWord>
      <trackRevisions>false</trackRevisions>
    </reviewItem>
    <reviewItem>
      <errorID>258dc800-1fa1-4878-b88a-4f9ca53aee32</errorID>
      <errorWord>公开甲</errorWord>
      <group>L1_Word</group>
      <groupName>字词问题</groupName>
      <ability>L2_Typo</ability>
      <abilityName>字词错误</abilityName>
      <candidateList>
        <item>公开</item>
      </candidateList>
      <explain/>
      <paraID>560E8F7A</paraID>
      <start>10</start>
      <end>12</end>
      <status>modified</status>
      <modifiedWord>公开</modifiedWord>
      <trackRevisions>false</trackRevisions>
    </reviewItem>
    <reviewItem>
      <errorID>210378d8-4ac7-420f-be97-e07617cdcba9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7A32353</paraID>
      <start>0</start>
      <end>2</end>
      <status>modified</status>
      <modifiedWord>2.</modifiedWord>
      <trackRevisions>false</trackRevisions>
    </reviewItem>
    <reviewItem>
      <errorID>6a31d8cf-57d1-4d2b-a4b4-1849fd91fb51</errorID>
      <errorWord>要求的规定</errorWord>
      <group>L1_AI</group>
      <groupName>深度校对</groupName>
      <ability>L2_AI_Grammar</ability>
      <abilityName>语法纠错</abilityName>
      <candidateList>
        <item>要求</item>
      </candidateList>
      <explain/>
      <paraID>188EDF20</paraID>
      <start>16</start>
      <end>18</end>
      <status>modified</status>
      <modifiedWord>要求</modifiedWord>
      <trackRevisions>false</trackRevisions>
    </reviewItem>
    <reviewItem>
      <errorID>99c54bf8-d3bf-4887-83f7-75f8e3bfbf6e</errorID>
      <errorWord>实质性</errorWord>
      <group>L1_AI</group>
      <groupName>深度校对</groupName>
      <ability>L2_AI_Word</ability>
      <abilityName>字词纠错</abilityName>
      <candidateList>
        <item>的实质性</item>
      </candidateList>
      <explain/>
      <paraID>3C129C67</paraID>
      <start>9</start>
      <end>13</end>
      <status>modified</status>
      <modifiedWord>的实质性</modifiedWord>
      <trackRevisions>false</trackRevisions>
    </reviewItem>
    <reviewItem>
      <errorID>c745783c-c402-4f73-99a8-27963769d1d7</errorID>
      <errorWord>条件的规定</errorWord>
      <group>L1_AI</group>
      <groupName>深度校对</groupName>
      <ability>L2_AI_Grammar</ability>
      <abilityName>语法纠错</abilityName>
      <candidateList>
        <item>条件</item>
      </candidateList>
      <explain/>
      <paraID>3C129C67</paraID>
      <start>16</start>
      <end>18</end>
      <status>modified</status>
      <modifiedWord>条件</modifiedWord>
      <trackRevisions>false</trackRevisions>
    </reviewItem>
    <reviewItem>
      <errorID>3360a7b1-e650-4f9d-9c0a-d73f8aef494a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3106E3BA</paraID>
      <start>0</start>
      <end>2</end>
      <status>modified</status>
      <modifiedWord>3.</modifiedWord>
      <trackRevisions>false</trackRevisions>
    </reviewItem>
    <reviewItem>
      <errorID>781e8f04-592d-4899-a536-ed6b2635a82c</errorID>
      <errorWord>的法律法规</errorWord>
      <group>L1_AI</group>
      <groupName>深度校对</groupName>
      <ability>L2_AI_Word</ability>
      <abilityName>字词纠错</abilityName>
      <candidateList>
        <item>法律法规的</item>
      </candidateList>
      <explain/>
      <paraID>705B14E8</paraID>
      <start>26</start>
      <end>31</end>
      <status>modified</status>
      <modifiedWord>法律法规的</modifiedWord>
      <trackRevisions>false</trackRevisions>
    </reviewItem>
    <reviewItem>
      <errorID>57b57910-b96e-4127-9a68-19e3b119d537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713E0D47</paraID>
      <start>0</start>
      <end>2</end>
      <status>modified</status>
      <modifiedWord>4.</modifiedWord>
      <trackRevisions>false</trackRevisions>
    </reviewItem>
    <reviewItem>
      <errorID>5ca56c90-4d88-4903-92a3-51119eceb640</errorID>
      <errorWord>集中</errorWord>
      <group>L1_AI</group>
      <groupName>深度校对</groupName>
      <ability>L2_AI_Punc</ability>
      <abilityName>标点纠错</abilityName>
      <candidateList>
        <item>，集中</item>
      </candidateList>
      <explain/>
      <paraID>5DEE1B2E</paraID>
      <start>7</start>
      <end>10</end>
      <status>modified</status>
      <modifiedWord>，集中</modifiedWord>
      <trackRevisions>false</trackRevisions>
    </reviewItem>
    <reviewItem>
      <errorID>167adb1a-9f55-410d-8a81-75c1df05d6a7</errorID>
      <errorWord>、</errorWord>
      <group>L1_AI</group>
      <groupName>深度校对</groupName>
      <ability>L2_AI_Punc</ability>
      <abilityName>标点纠错</abilityName>
      <candidateList>
        <item>，</item>
      </candidateList>
      <explain/>
      <paraID>5DEE1B2E</paraID>
      <start>28</start>
      <end>29</end>
      <status>modified</status>
      <modifiedWord>，</modifiedWord>
      <trackRevisions>false</trackRevisions>
    </reviewItem>
    <reviewItem>
      <errorID>2e10b3e5-2b63-45b6-b77c-ee54d99ff8a5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12959CD7</paraID>
      <start>0</start>
      <end>2</end>
      <status>modified</status>
      <modifiedWord>5.</modifiedWord>
      <trackRevisions>false</trackRevisions>
    </reviewItem>
    <reviewItem>
      <errorID>f681f16a-a676-4c50-b9e0-992c240dbdab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71B610B7</paraID>
      <start>0</start>
      <end>2</end>
      <status>modified</status>
      <modifiedWord>6.</modifiedWord>
      <trackRevisions>false</trackRevisions>
    </reviewItem>
    <reviewItem>
      <errorID>add15419-c0ce-4f9d-a8f5-9d40c54c0d8d</errorID>
      <errorWord>组成</errorWord>
      <group>L1_AI</group>
      <groupName>深度校对</groupName>
      <ability>L2_AI_Punc</ability>
      <abilityName>标点纠错</abilityName>
      <candidateList>
        <item>组成：</item>
      </candidateList>
      <explain/>
      <paraID>70AC3915</paraID>
      <start>13</start>
      <end>16</end>
      <status>modified</status>
      <modifiedWord>组成：</modifiedWord>
      <trackRevisions>false</trackRevisions>
    </reviewItem>
    <reviewItem>
      <errorID>ad931eeb-d416-453c-b600-1ded710ec889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4DA0403F</paraID>
      <start>0</start>
      <end>2</end>
      <status>modified</status>
      <modifiedWord>7.</modifiedWord>
      <trackRevisions>false</trackRevisions>
    </reviewItem>
    <reviewItem>
      <errorID>91ccc246-3970-4d3c-b260-715d82856a52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41336B8E</paraID>
      <start>0</start>
      <end>2</end>
      <status>modified</status>
      <modifiedWord>8.</modifiedWord>
      <trackRevisions>false</trackRevisions>
    </reviewItem>
    <reviewItem>
      <errorID>cc67dd3b-31a4-46e4-9c1a-ec1472f7ee7b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6701975F</paraID>
      <start>0</start>
      <end>2</end>
      <status>modified</status>
      <modifiedWord>9.</modifiedWord>
      <trackRevisions>false</trackRevisions>
    </reviewItem>
    <reviewItem>
      <errorID>fa2c87c0-826c-44c8-a67e-e855f9db6807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6DED581E</paraID>
      <start>0</start>
      <end>3</end>
      <status>modified</status>
      <modifiedWord>10.</modifiedWord>
      <trackRevisions>false</trackRevisions>
    </reviewItem>
    <reviewItem>
      <errorID>5cfe4461-e4b1-45f6-833e-5eebea8f48c4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78A27CFD</paraID>
      <start>0</start>
      <end>3</end>
      <status>modified</status>
      <modifiedWord>11.</modifiedWord>
      <trackRevisions>false</trackRevisions>
    </reviewItem>
    <reviewItem>
      <errorID>48b5a040-edf9-4fb0-abd3-8964e21c31bf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553D53B3</paraID>
      <start>0</start>
      <end>3</end>
      <status>modified</status>
      <modifiedWord>12.</modifiedWord>
      <trackRevisions>false</trackRevisions>
    </reviewItem>
    <reviewItem>
      <errorID>f4c3c66c-6e8f-4f5a-b179-8fa82e159167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69D2FD14</paraID>
      <start>0</start>
      <end>3</end>
      <status>modified</status>
      <modifiedWord>13.</modifiedWord>
      <trackRevisions>false</trackRevisions>
    </reviewItem>
    <reviewItem>
      <errorID>c535f571-841b-4901-b76e-7c0e33df53b4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557EB475</paraID>
      <start>0</start>
      <end>3</end>
      <status>modified</status>
      <modifiedWord>14.</modifiedWord>
      <trackRevisions>false</trackRevisions>
    </reviewItem>
    <reviewItem>
      <errorID>a3e4eb29-cca5-4cf0-b0d3-9ed6da6cb7b9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4C1C13B2</paraID>
      <start>0</start>
      <end>3</end>
      <status>modified</status>
      <modifiedWord>15.</modifiedWord>
      <trackRevisions>false</trackRevisions>
    </reviewItem>
    <reviewItem>
      <errorID>4d2a398b-dae3-4e4a-b68d-15fbfe8b3ffe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7EAE4853</paraID>
      <start>0</start>
      <end>3</end>
      <status>modified</status>
      <modifiedWord>16.</modifiedWord>
      <trackRevisions>false</trackRevisions>
    </reviewItem>
    <reviewItem>
      <errorID>b55a6a8c-a824-4f63-8784-d2ba50ed7496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731F1AA6</paraID>
      <start>0</start>
      <end>3</end>
      <status>modified</status>
      <modifiedWord>17.</modifiedWord>
      <trackRevisions>false</trackRevisions>
    </reviewItem>
    <reviewItem>
      <errorID>c10af53c-21e5-4dd1-b675-8631b09ce84d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5278E852</paraID>
      <start>0</start>
      <end>3</end>
      <status>modified</status>
      <modifiedWord>18.</modifiedWord>
      <trackRevisions>false</trackRevisions>
    </reviewItem>
    <reviewItem>
      <errorID>61456d43-8549-41fa-af4e-8c1ba9d2dd4b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3CE1EABE</paraID>
      <start>0</start>
      <end>3</end>
      <status>modified</status>
      <modifiedWord>19.</modifiedWord>
      <trackRevisions>false</trackRevisions>
    </reviewItem>
    <reviewItem>
      <errorID>f2f5151f-3528-45f1-9592-76c236f65eef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45A834AD</paraID>
      <start>0</start>
      <end>3</end>
      <status>modified</status>
      <modifiedWord>20.</modifiedWord>
      <trackRevisions>false</trackRevisions>
    </reviewItem>
    <reviewItem>
      <errorID>9601cbd6-95c1-41b8-a832-87d9710ea3c6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36EA1106</paraID>
      <start>0</start>
      <end>3</end>
      <status>modified</status>
      <modifiedWord>21.</modifiedWord>
      <trackRevisions>false</trackRevisions>
    </reviewItem>
    <reviewItem>
      <errorID>8114e058-f68e-4600-a28c-92341aafd5b5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28620F9B</paraID>
      <start>0</start>
      <end>3</end>
      <status>modified</status>
      <modifiedWord>22.</modifiedWord>
      <trackRevisions>false</trackRevisions>
    </reviewItem>
    <reviewItem>
      <errorID>969a2016-e5fe-40ef-8bc4-80946a034f2a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9DA6D3E</paraID>
      <start>0</start>
      <end>3</end>
      <status>modified</status>
      <modifiedWord>23.</modifiedWord>
      <trackRevisions>false</trackRevisions>
    </reviewItem>
    <reviewItem>
      <errorID>28f0e21b-9502-4d91-8e56-8c96c03ca451</errorID>
      <errorWord>授标</errorWord>
      <group>L1_Word</group>
      <groupName>字词问题</groupName>
      <ability>L2_Typo</ability>
      <abilityName>字词错误</abilityName>
      <candidateList>
        <item>投标</item>
      </candidateList>
      <explain/>
      <paraID>1B9DAC6E</paraID>
      <start>27</start>
      <end>29</end>
      <status>ignored</status>
      <modifiedWord/>
      <trackRevisions>false</trackRevisions>
    </reviewItem>
    <reviewItem>
      <errorID>54af8de2-aa55-496a-9754-cfb1897f8e7e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5B6E313B</paraID>
      <start>0</start>
      <end>3</end>
      <status>modified</status>
      <modifiedWord>24.</modifiedWord>
      <trackRevisions>false</trackRevisions>
    </reviewItem>
    <reviewItem>
      <errorID>25530660-0411-42cd-8f7e-047f4b905432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39F8A998</paraID>
      <start>0</start>
      <end>3</end>
      <status>modified</status>
      <modifiedWord>25.</modifiedWord>
      <trackRevisions>false</trackRevisions>
    </reviewItem>
    <reviewItem>
      <errorID>b669ba4d-1eff-4e9a-9b85-4e24bf59d56b</errorID>
      <errorWord>,</errorWord>
      <group>L1_Format</group>
      <groupName>格式问题</groupName>
      <ability>L2_HalfPunc</ability>
      <abilityName>全半角检查</abilityName>
      <candidateList>
        <item>，</item>
      </candidateList>
      <explain>文本全半角错误。</explain>
      <paraID> 935E9D3</paraID>
      <start>74</start>
      <end>75</end>
      <status>modified</status>
      <modifiedWord>，</modifiedWord>
      <trackRevisions>false</trackRevisions>
    </reviewItem>
    <reviewItem>
      <errorID>34a3379e-3ca7-4a02-8aaa-8ada6cf0ee9d</errorID>
      <errorWord>,</errorWord>
      <group>L1_Format</group>
      <groupName>格式问题</groupName>
      <ability>L2_HalfPunc</ability>
      <abilityName>全半角检查</abilityName>
      <candidateList>
        <item>，</item>
      </candidateList>
      <explain>文本全半角错误。</explain>
      <paraID>7457EF08</paraID>
      <start>54</start>
      <end>55</end>
      <status>modified</status>
      <modifiedWord>，</modifiedWord>
      <trackRevisions>false</trackRevisions>
    </reviewItem>
    <reviewItem>
      <errorID>78ceded9-6726-42df-9c57-1ffcb42503f0</errorID>
      <errorWord>不</errorWord>
      <group>L1_Word</group>
      <groupName>字词问题</groupName>
      <ability>L2_Typo</ability>
      <abilityName>字词错误</abilityName>
      <candidateList>
        <item>不符</item>
      </candidateList>
      <explain/>
      <paraID>6F70CAF4</paraID>
      <start>46</start>
      <end>48</end>
      <status>modified</status>
      <modifiedWord>不符</modifiedWord>
      <trackRevisions>false</trackRevisions>
    </reviewItem>
    <reviewItem>
      <errorID>f23d8687-4fb7-4101-88cf-757d5174a3ff</errorID>
      <errorWord>保持通讯畅通</errorWord>
      <group>L1_Word</group>
      <groupName>字词问题</groupName>
      <ability>L2_Typo</ability>
      <abilityName>字词错误</abilityName>
      <candidateList>
        <item>保持通信畅通</item>
      </candidateList>
      <explain/>
      <paraID> 436EA7E</paraID>
      <start>17</start>
      <end>23</end>
      <status>modified</status>
      <modifiedWord>保持通信畅通</modifiedWord>
      <trackRevisions>false</trackRevisions>
    </reviewItem>
    <reviewItem>
      <errorID>6fbd2bfb-9616-49fb-94b5-61b72f13a194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2E4BFD9A</paraID>
      <start>0</start>
      <end>3</end>
      <status>modified</status>
      <modifiedWord>26.</modifiedWord>
      <trackRevisions>false</trackRevisions>
    </reviewItem>
    <reviewItem>
      <errorID>1b02e99e-c09c-4e41-ad0a-39668574bc7c</errorID>
      <errorWord>属</errorWord>
      <group>L1_Word</group>
      <groupName>字词问题</groupName>
      <ability>L2_Typo</ability>
      <abilityName>字词错误</abilityName>
      <candidateList>
        <item>属于</item>
      </candidateList>
      <explain/>
      <paraID> 4F76444</paraID>
      <start>22</start>
      <end>24</end>
      <status>modified</status>
      <modifiedWord>属于</modifiedWord>
      <trackRevisions>false</trackRevisions>
    </reviewItem>
    <reviewItem>
      <errorID>a4f6556c-c7c5-4a90-88e9-e4a0f12f1461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4E3DBFD1</paraID>
      <start>0</start>
      <end>3</end>
      <status>modified</status>
      <modifiedWord>27.</modifiedWord>
      <trackRevisions>false</trackRevisions>
    </reviewItem>
    <reviewItem>
      <errorID>269f092a-5740-480e-a5d0-1ce501b5fbef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2714E84B</paraID>
      <start>0</start>
      <end>3</end>
      <status>modified</status>
      <modifiedWord>28.</modifiedWord>
      <trackRevisions>false</trackRevisions>
    </reviewItem>
    <reviewItem>
      <errorID>3464a0cd-5bc2-43eb-8bd9-48ccce6fd0a0</errorID>
      <errorWord>,</errorWord>
      <group>L1_Format</group>
      <groupName>格式问题</groupName>
      <ability>L2_HalfPunc</ability>
      <abilityName>全半角检查</abilityName>
      <candidateList>
        <item>，</item>
      </candidateList>
      <explain>文本全半角错误。</explain>
      <paraID>23E3CDC7</paraID>
      <start>18</start>
      <end>19</end>
      <status>modified</status>
      <modifiedWord>，</modifiedWord>
      <trackRevisions>false</trackRevisions>
    </reviewItem>
    <reviewItem>
      <errorID>8264d676-3703-43ea-a1a2-a9f3495a91b7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56927E7</paraID>
      <start>0</start>
      <end>3</end>
      <status>modified</status>
      <modifiedWord>29.</modifiedWord>
      <trackRevisions>false</trackRevisions>
    </reviewItem>
    <reviewItem>
      <errorID>9429d415-64cc-4a71-a1ad-14147e76175c</errorID>
      <errorWord>,</errorWord>
      <group>L1_Format</group>
      <groupName>格式问题</groupName>
      <ability>L2_HalfPunc</ability>
      <abilityName>全半角检查</abilityName>
      <candidateList>
        <item>，</item>
      </candidateList>
      <explain>文本全半角错误。</explain>
      <paraID>2E2C74FA</paraID>
      <start>54</start>
      <end>55</end>
      <status>modified</status>
      <modifiedWord>，</modifiedWord>
      <trackRevisions>false</trackRevisions>
    </reviewItem>
    <reviewItem>
      <errorID>6ef098cb-62a4-40df-8dd8-097ec5d1eaa5</errorID>
      <errorWord>,</errorWord>
      <group>L1_Format</group>
      <groupName>格式问题</groupName>
      <ability>L2_HalfPunc</ability>
      <abilityName>全半角检查</abilityName>
      <candidateList>
        <item>，</item>
      </candidateList>
      <explain>文本全半角错误。</explain>
      <paraID>2E2C74FA</paraID>
      <start>127</start>
      <end>128</end>
      <status>modified</status>
      <modifiedWord>，</modifiedWord>
      <trackRevisions>false</trackRevisions>
    </reviewItem>
    <reviewItem>
      <errorID>c91ffb80-2447-4d35-86c0-4ae0969a2ce0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20382FD3</paraID>
      <start>0</start>
      <end>3</end>
      <status>modified</status>
      <modifiedWord>31.</modifiedWord>
      <trackRevisions>false</trackRevisions>
    </reviewItem>
    <reviewItem>
      <errorID>c65d657b-aa64-4f39-94c4-3ea848a47cc8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6A3525F9</paraID>
      <start>0</start>
      <end>3</end>
      <status>modified</status>
      <modifiedWord>32.</modifiedWord>
      <trackRevisions>false</trackRevisions>
    </reviewItem>
    <reviewItem>
      <errorID>426b0f39-9886-44b5-8451-4da2533405e3</errorID>
      <errorWord>法律、法规</errorWord>
      <group>L1_Word</group>
      <groupName>字词问题</groupName>
      <ability>L2_Typo</ability>
      <abilityName>字词错误</abilityName>
      <candidateList>
        <item>法律法规</item>
      </candidateList>
      <explain/>
      <paraID>26A0AE6D</paraID>
      <start>16</start>
      <end>20</end>
      <status>modified</status>
      <modifiedWord>法律法规</modifiedWord>
      <trackRevisions>false</trackRevisions>
    </reviewItem>
    <reviewItem>
      <errorID>989603df-7b91-4105-aee3-54c596f98f9c</errorID>
      <errorWord>；</errorWord>
      <group>L1_Word</group>
      <groupName>字词问题</groupName>
      <ability>L2_Typo</ability>
      <abilityName>字词错误</abilityName>
      <candidateList>
        <item>；在</item>
      </candidateList>
      <explain/>
      <paraID>1A7038CC</paraID>
      <start>55</start>
      <end>57</end>
      <status>modified</status>
      <modifiedWord>；在</modifiedWord>
      <trackRevisions>false</trackRevisions>
    </reviewItem>
    <reviewItem>
      <errorID>6969edec-7c1b-4c70-bd7e-f83ad46b83c9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6ADBA907</paraID>
      <start>0</start>
      <end>2</end>
      <status>modified</status>
      <modifiedWord>1.</modifiedWord>
      <trackRevisions>false</trackRevisions>
    </reviewItem>
    <reviewItem>
      <errorID>c1325553-b6c5-4a08-a385-71c3b3f87e8f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DDB6E70</paraID>
      <start>0</start>
      <end>2</end>
      <status>modified</status>
      <modifiedWord>2.</modifiedWord>
      <trackRevisions>false</trackRevisions>
    </reviewItem>
    <reviewItem>
      <errorID>fa624702-4730-4b74-b840-fef2c0859667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44BB0330</paraID>
      <start>0</start>
      <end>2</end>
      <status>modified</status>
      <modifiedWord>3.</modifiedWord>
      <trackRevisions>false</trackRevisions>
    </reviewItem>
    <reviewItem>
      <errorID>404b6169-c422-4112-bbc7-b35b63f4f4b9</errorID>
      <errorWord>（</errorWord>
      <group>L1_Punc</group>
      <groupName>标点问题</groupName>
      <ability>L2_Punc</ability>
      <abilityName>标点符号检查</abilityName>
      <candidateList/>
      <explain/>
      <paraID>491D34EC</paraID>
      <start>8</start>
      <end>9</end>
      <status>ignored</status>
      <modifiedWord/>
      <trackRevisions>false</trackRevisions>
    </reviewItem>
    <reviewItem>
      <errorID>675c4c83-8922-438a-a580-d33c3e837bcb</errorID>
      <errorWord>(</errorWord>
      <group>L1_Format</group>
      <groupName>格式问题</groupName>
      <ability>L2_HalfPunc</ability>
      <abilityName>全半角检查</abilityName>
      <candidateList>
        <item>（</item>
      </candidateList>
      <explain>文本全半角错误。</explain>
      <paraID>491D34EC</paraID>
      <start>41</start>
      <end>42</end>
      <status>modified</status>
      <modifiedWord>（</modifiedWord>
      <trackRevisions>false</trackRevisions>
    </reviewItem>
    <reviewItem>
      <errorID>c9dc9e56-497b-41f6-a4d8-0ab509c097c8</errorID>
      <errorWord>时</errorWord>
      <group>L1_Word</group>
      <groupName>字词问题</groupName>
      <ability>L2_Typo</ability>
      <abilityName>字词错误</abilityName>
      <candidateList>
        <item>时以</item>
      </candidateList>
      <explain/>
      <paraID>491D34EC</paraID>
      <start>46</start>
      <end>48</end>
      <status>modified</status>
      <modifiedWord>时以</modifiedWord>
      <trackRevisions>false</trackRevisions>
    </reviewItem>
    <reviewItem>
      <errorID>bcad2af0-8dc7-4c4a-85a4-d01493da7cea</errorID>
      <errorWord>并使</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F46A4C6</paraID>
      <start>4</start>
      <end>5</end>
      <status>modified</status>
      <modifiedWord>并</modifiedWord>
      <trackRevisions>false</trackRevisions>
    </reviewItem>
    <reviewItem>
      <errorID>3809db41-d16a-46e7-b5cf-8bbfee88ac33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13EBE1B5</paraID>
      <start>0</start>
      <end>2</end>
      <status>modified</status>
      <modifiedWord>1.</modifiedWord>
      <trackRevisions>false</trackRevisions>
    </reviewItem>
    <reviewItem>
      <errorID>deba0a90-9b18-445a-8ad1-039bbc60a5db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46E356F6</paraID>
      <start>0</start>
      <end>3</end>
      <status>modified</status>
      <modifiedWord>（1）</modifiedWord>
      <trackRevisions>false</trackRevisions>
    </reviewItem>
    <reviewItem>
      <errorID>777818b4-12aa-4833-991d-c3fc3a2e83c7</errorID>
      <errorWord>依</errorWord>
      <group>L1_Word</group>
      <groupName>字词问题</groupName>
      <ability>L2_Typo</ability>
      <abilityName>字词错误</abilityName>
      <candidateList>
        <item>依据</item>
      </candidateList>
      <explain/>
      <paraID>46E356F6</paraID>
      <start>30</start>
      <end>32</end>
      <status>modified</status>
      <modifiedWord>依据</modifiedWord>
      <trackRevisions>false</trackRevisions>
    </reviewItem>
    <reviewItem>
      <errorID>8a5732ff-d996-45ba-b10a-80a1d0a1b09d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B1BF4D5</paraID>
      <start>0</start>
      <end>3</end>
      <status>modified</status>
      <modifiedWord>（2）</modifiedWord>
      <trackRevisions>false</trackRevisions>
    </reviewItem>
    <reviewItem>
      <errorID>8f37ca73-4ec0-4818-a152-6516fcb5fbb8</errorID>
      <errorWord>依</errorWord>
      <group>L1_Word</group>
      <groupName>字词问题</groupName>
      <ability>L2_Typo</ability>
      <abilityName>字词错误</abilityName>
      <candidateList>
        <item>依据</item>
      </candidateList>
      <explain/>
      <paraID> B1BF4D5</paraID>
      <start>34</start>
      <end>36</end>
      <status>modified</status>
      <modifiedWord>依据</modifiedWord>
      <trackRevisions>false</trackRevisions>
    </reviewItem>
    <reviewItem>
      <errorID>a8259ec0-65c0-4dfc-abe3-d245ca02e50a</errorID>
      <errorWord>法律、法规</errorWord>
      <group>L1_Word</group>
      <groupName>字词问题</groupName>
      <ability>L2_Typo</ability>
      <abilityName>字词错误</abilityName>
      <candidateList>
        <item>法律法规</item>
      </candidateList>
      <explain/>
      <paraID> 50566FF</paraID>
      <start>8</start>
      <end>12</end>
      <status>modified</status>
      <modifiedWord>法律法规</modifiedWord>
      <trackRevisions>false</trackRevisions>
    </reviewItem>
    <reviewItem>
      <errorID>081fc116-bac1-419d-8eb3-7035635b3ece</errorID>
      <errorWord>依</errorWord>
      <group>L1_Word</group>
      <groupName>字词问题</groupName>
      <ability>L2_Typo</ability>
      <abilityName>字词错误</abilityName>
      <candidateList>
        <item>依据</item>
      </candidateList>
      <explain/>
      <paraID>7C1027BF</paraID>
      <start>34</start>
      <end>36</end>
      <status>modified</status>
      <modifiedWord>依据</modifiedWord>
      <trackRevisions>false</trackRevisions>
    </reviewItem>
    <reviewItem>
      <errorID>766b0b4f-ffc9-498f-87b0-207e81e7d20c</errorID>
      <errorWord>认为</errorWord>
      <group>L1_Word</group>
      <groupName>字词问题</groupName>
      <ability>L2_Typo</ability>
      <abilityName>字词错误</abilityName>
      <candidateList>
        <item>人为</item>
      </candidateList>
      <explain>存在发音相同字词的误用。</explain>
      <paraID>7081B295</paraID>
      <start>97</start>
      <end>99</end>
      <status>modified</status>
      <modifiedWord>人为</modifiedWord>
      <trackRevisions>false</trackRevisions>
    </reviewItem>
    <reviewItem>
      <errorID>87872379-fade-4940-bcee-ff333950e2fe</errorID>
      <errorWord>监理</errorWord>
      <group>L1_Word</group>
      <groupName>字词问题</groupName>
      <ability>L2_Typo</ability>
      <abilityName>字词错误</abilityName>
      <candidateList>
        <item>建立</item>
      </candidateList>
      <explain>〈动〉❶开始成立：～政权｜～新的工业基地。❷开始产生；开始形成：～友谊｜～邦交。</explain>
      <paraID>1DA23CA3</paraID>
      <start>38</start>
      <end>40</end>
      <status>modified</status>
      <modifiedWord>建立</modifiedWord>
      <trackRevisions>false</trackRevisions>
    </reviewItem>
    <reviewItem>
      <errorID>e7c9e263-80de-403a-8351-831959b0e712</errorID>
      <errorWord>依</errorWord>
      <group>L1_Word</group>
      <groupName>字词问题</groupName>
      <ability>L2_Typo</ability>
      <abilityName>字词错误</abilityName>
      <candidateList>
        <item>依据</item>
      </candidateList>
      <explain/>
      <paraID>52332805</paraID>
      <start>111</start>
      <end>113</end>
      <status>modified</status>
      <modifiedWord>依据</modifiedWord>
      <trackRevisions>false</trackRevisions>
    </reviewItem>
    <reviewItem>
      <errorID>7f1033ca-42ce-4a51-95f6-2438379561e5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15910509</paraID>
      <start>0</start>
      <end>2</end>
      <status>modified</status>
      <modifiedWord>1.</modifiedWord>
      <trackRevisions>false</trackRevisions>
    </reviewItem>
    <reviewItem>
      <errorID>7f9f6cc1-ca85-42fe-87d9-61f7b70e8cb8</errorID>
      <errorWord>(</errorWord>
      <group>L1_Format</group>
      <groupName>格式问题</groupName>
      <ability>L2_HalfPunc</ability>
      <abilityName>全半角检查</abilityName>
      <candidateList>
        <item>（</item>
      </candidateList>
      <explain>文本全半角错误。</explain>
      <paraID>6083F833</paraID>
      <start>27</start>
      <end>28</end>
      <status>modified</status>
      <modifiedWord>（</modifiedWord>
      <trackRevisions>false</trackRevisions>
    </reviewItem>
    <reviewItem>
      <errorID>22405da8-1280-4676-8012-65edaec1397e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77E64EB2</paraID>
      <start>0</start>
      <end>2</end>
      <status>modified</status>
      <modifiedWord>2.</modifiedWord>
      <trackRevisions>false</trackRevisions>
    </reviewItem>
    <reviewItem>
      <errorID>c29cd771-4a80-43fb-88fc-22ba53f194dc</errorID>
      <errorWord>15号</errorWord>
      <group>L1_Knowledge</group>
      <groupName>知识性问题</groupName>
      <ability>L2_Time</ability>
      <abilityName>日期时间</abilityName>
      <candidateList>
        <item>15日</item>
      </candidateList>
      <explain>日期表达规范为x月x日。</explain>
      <paraID>1BD6E710</paraID>
      <start>15</start>
      <end>18</end>
      <status>ignored</status>
      <modifiedWord/>
      <trackRevisions>false</trackRevisions>
    </reviewItem>
    <reviewItem>
      <errorID>362b9bd3-78a5-4d29-a7a9-5829bd619b56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1B3C0373</paraID>
      <start>0</start>
      <end>2</end>
      <status>modified</status>
      <modifiedWord>1.</modifiedWord>
      <trackRevisions>false</trackRevisions>
    </reviewItem>
    <reviewItem>
      <errorID>ae3104bb-e62b-4f2e-9a3a-c2ca02ef2981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3C2C47F8</paraID>
      <start>0</start>
      <end>2</end>
      <status>modified</status>
      <modifiedWord>2.</modifiedWord>
      <trackRevisions>false</trackRevisions>
    </reviewItem>
    <reviewItem>
      <errorID>0f5a9dbf-85db-4cdb-849d-3b8eef9c9f60</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3C2C47F8</paraID>
      <start>60</start>
      <end>61</end>
      <status>modified</status>
      <modifiedWord>由</modifiedWord>
      <trackRevisions>false</trackRevisions>
    </reviewItem>
    <reviewItem>
      <errorID>84a87e7a-b52a-41dc-b234-8ab58091aa72</errorID>
      <errorWord>因为</errorWord>
      <group>L1_Word</group>
      <groupName>字词问题</groupName>
      <ability>L2_Typo</ability>
      <abilityName>字词错误</abilityName>
      <candidateList>
        <item>因</item>
      </candidateList>
      <explain/>
      <paraID>47EE8A8D</paraID>
      <start>27</start>
      <end>28</end>
      <status>modified</status>
      <modifiedWord>因</modifiedWord>
      <trackRevisions>false</trackRevisions>
    </reviewItem>
    <reviewItem>
      <errorID>36e67972-f096-4031-b83b-f9dc880c9693</errorID>
      <errorWord>程</errorWord>
      <group>L1_Word</group>
      <groupName>字词问题</groupName>
      <ability>L2_Typo</ability>
      <abilityName>字词错误</abilityName>
      <candidateList>
        <item>程中</item>
      </candidateList>
      <explain/>
      <paraID>6CC596D1</paraID>
      <start>6</start>
      <end>8</end>
      <status>modified</status>
      <modifiedWord>程中</modifiedWord>
      <trackRevisions>false</trackRevisions>
    </reviewItem>
    <reviewItem>
      <errorID>bd72d3fe-9529-4197-bf9e-5be62e0aef3d</errorID>
      <errorWord>属</errorWord>
      <group>L1_Word</group>
      <groupName>字词问题</groupName>
      <ability>L2_Typo</ability>
      <abilityName>字词错误</abilityName>
      <candidateList>
        <item>属于</item>
      </candidateList>
      <explain/>
      <paraID>6CC596D1</paraID>
      <start>47</start>
      <end>49</end>
      <status>modified</status>
      <modifiedWord>属于</modifiedWord>
      <trackRevisions>false</trackRevisions>
    </reviewItem>
    <reviewItem>
      <errorID>be2fdd78-3684-42fa-814d-54e33ba4467b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5382C950</paraID>
      <start>0</start>
      <end>2</end>
      <status>modified</status>
      <modifiedWord>1.</modifiedWord>
      <trackRevisions>false</trackRevisions>
    </reviewItem>
    <reviewItem>
      <errorID>ef0bf95b-29e7-4477-8220-62b682c81c9c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5428A89</paraID>
      <start>0</start>
      <end>2</end>
      <status>modified</status>
      <modifiedWord>2.</modifiedWord>
      <trackRevisions>false</trackRevisions>
    </reviewItem>
    <reviewItem>
      <errorID>3f9e1e6c-db27-4dcc-97fa-732c6cb7f445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50343C6</paraID>
      <start>0</start>
      <end>2</end>
      <status>modified</status>
      <modifiedWord>3.</modifiedWord>
      <trackRevisions>false</trackRevisions>
    </reviewItem>
    <reviewItem>
      <errorID>999a7d25-c2c4-4009-a509-1b0932a751be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F40E56A</paraID>
      <start>0</start>
      <end>2</end>
      <status>modified</status>
      <modifiedWord>4.</modifiedWord>
      <trackRevisions>false</trackRevisions>
    </reviewItem>
    <reviewItem>
      <errorID>9a5dbe08-ad13-4f79-9124-ab97e888728f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161EFF86</paraID>
      <start>0</start>
      <end>2</end>
      <status>modified</status>
      <modifiedWord>1.</modifiedWord>
      <trackRevisions>false</trackRevisions>
    </reviewItem>
    <reviewItem>
      <errorID>0b1ce35b-a7db-43ee-a391-b0b1fba914fb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3EF56AAA</paraID>
      <start>0</start>
      <end>2</end>
      <status>modified</status>
      <modifiedWord>2.</modifiedWord>
      <trackRevisions>false</trackRevisions>
    </reviewItem>
    <reviewItem>
      <errorID>456c46a1-fa35-4df9-b2a8-3678718bcdc0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320F0E5E</paraID>
      <start>0</start>
      <end>2</end>
      <status>modified</status>
      <modifiedWord>3.</modifiedWord>
      <trackRevisions>false</trackRevisions>
    </reviewItem>
    <reviewItem>
      <errorID>442d633f-ed61-479b-ace3-0defdbceeefc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742B126C</paraID>
      <start>0</start>
      <end>2</end>
      <status>modified</status>
      <modifiedWord>1.</modifiedWord>
      <trackRevisions>false</trackRevisions>
    </reviewItem>
    <reviewItem>
      <errorID>98128ef1-68e5-4719-a99e-ba2ec3c35371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556D3901</paraID>
      <start>0</start>
      <end>2</end>
      <status>modified</status>
      <modifiedWord>2.</modifiedWord>
      <trackRevisions>false</trackRevisions>
    </reviewItem>
    <reviewItem>
      <errorID>6c2dcf7f-97c4-4b74-b34a-b0dd07d10424</errorID>
      <errorWord>任何乙方</errorWord>
      <group>L1_Word</group>
      <groupName>字词问题</groupName>
      <ability>L2_Typo</ability>
      <abilityName>字词错误</abilityName>
      <candidateList>
        <item>任何一方</item>
      </candidateList>
      <explain/>
      <paraID>556D3901</paraID>
      <start>5</start>
      <end>9</end>
      <status>modified</status>
      <modifiedWord>任何一方</modifiedWord>
      <trackRevisions>false</trackRevisions>
    </reviewItem>
    <reviewItem>
      <errorID>e90d9d4a-59de-4cd4-a212-eb10c5b45b52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2A98D635</paraID>
      <start>0</start>
      <end>2</end>
      <status>modified</status>
      <modifiedWord>3.</modifiedWord>
      <trackRevisions>false</trackRevisions>
    </reviewItem>
    <reviewItem>
      <errorID>4d0974a6-f709-4a7a-a467-58622f453a92</errorID>
      <errorWord>法律、法规</errorWord>
      <group>L1_Word</group>
      <groupName>字词问题</groupName>
      <ability>L2_Typo</ability>
      <abilityName>字词错误</abilityName>
      <candidateList>
        <item>法律法规</item>
      </candidateList>
      <explain/>
      <paraID>2A98D635</paraID>
      <start>17</start>
      <end>21</end>
      <status>modified</status>
      <modifiedWord>法律法规</modifiedWord>
      <trackRevisions>false</trackRevisions>
    </reviewItem>
    <reviewItem>
      <errorID>d17390a8-a86e-41a2-9fa3-d639f48e6009</errorID>
      <errorWord>壹</errorWord>
      <group>L1_Word</group>
      <groupName>字词问题</groupName>
      <ability>L2_Typo</ability>
      <abilityName>字词错误</abilityName>
      <candidateList>
        <item>一</item>
      </candidateList>
      <explain>存在发音相同字词的误用。</explain>
      <paraID>7CE1EB7F</paraID>
      <start>3</start>
      <end>4</end>
      <status>modified</status>
      <modifiedWord>一</modifiedWord>
      <trackRevisions>false</trackRevisions>
    </reviewItem>
    <reviewItem>
      <errorID>59a651b4-a9be-4629-a6fc-38ace4530520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7D95833A</paraID>
      <start>0</start>
      <end>2</end>
      <status>modified</status>
      <modifiedWord>1）</modifiedWord>
      <trackRevisions>false</trackRevisions>
    </reviewItem>
    <reviewItem>
      <errorID>727faa35-ade0-4195-a237-4087b39a82da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253F6A66</paraID>
      <start>0</start>
      <end>2</end>
      <status>modified</status>
      <modifiedWord>2）</modifiedWord>
      <trackRevisions>false</trackRevisions>
    </reviewItem>
    <reviewItem>
      <errorID>51cdb116-d771-43bd-9cba-06efc11b639b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722C4D5E</paraID>
      <start>0</start>
      <end>2</end>
      <status>modified</status>
      <modifiedWord>3）</modifiedWord>
      <trackRevisions>false</trackRevisions>
    </reviewItem>
    <reviewItem>
      <errorID>69d7578b-e207-4c80-b03f-d188111de3ff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4F1C5ECF</paraID>
      <start>0</start>
      <end>2</end>
      <status>modified</status>
      <modifiedWord>4）</modifiedWord>
      <trackRevisions>false</trackRevisions>
    </reviewItem>
    <reviewItem>
      <errorID>aa4a3ac2-5290-4016-b05f-5a0535a54c27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C73392E</paraID>
      <start>0</start>
      <end>2</end>
      <status>modified</status>
      <modifiedWord>5）</modifiedWord>
      <trackRevisions>false</trackRevisions>
    </reviewItem>
    <reviewItem>
      <errorID>1df8d78c-c7b6-4ff7-a46b-a31c388c7f5e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7FDB6D07</paraID>
      <start>0</start>
      <end>2</end>
      <status>modified</status>
      <modifiedWord>6）</modifiedWord>
      <trackRevisions>false</trackRevisions>
    </reviewItem>
    <reviewItem>
      <errorID>b30b1a38-fea8-4a43-9292-135056b5e70b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5C61119B</paraID>
      <start>0</start>
      <end>2</end>
      <status>modified</status>
      <modifiedWord>1.</modifiedWord>
      <trackRevisions>false</trackRevisions>
    </reviewItem>
    <reviewItem>
      <errorID>a057282c-46ae-458f-94e2-9b69baf096e6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5EB58471</paraID>
      <start>0</start>
      <end>2</end>
      <status>modified</status>
      <modifiedWord>2.</modifiedWord>
      <trackRevisions>false</trackRevisions>
    </reviewItem>
    <reviewItem>
      <errorID>f151a70b-427e-428f-a6ee-75f57c99468a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3B36340E</paraID>
      <start>0</start>
      <end>2</end>
      <status>modified</status>
      <modifiedWord>3.</modifiedWord>
      <trackRevisions>false</trackRevisions>
    </reviewItem>
    <reviewItem>
      <errorID>ae8f882e-83b3-4a29-a71a-32ac3007b0e6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2DBBFD55</paraID>
      <start>0</start>
      <end>2</end>
      <status>modified</status>
      <modifiedWord>4.</modifiedWord>
      <trackRevisions>false</trackRevisions>
    </reviewItem>
    <reviewItem>
      <errorID>35f9402c-c9fd-4c40-a9cd-7b4ea12b5014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1E3CCDFB</paraID>
      <start>0</start>
      <end>2</end>
      <status>modified</status>
      <modifiedWord>5.</modifiedWord>
      <trackRevisions>false</trackRevisions>
    </reviewItem>
    <reviewItem>
      <errorID>c68f68d2-eef1-44f9-9b0e-f403bf99c92c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B7EA4D3</paraID>
      <start>0</start>
      <end>2</end>
      <status>modified</status>
      <modifiedWord>6.</modifiedWord>
      <trackRevisions>false</trackRevisions>
    </reviewItem>
    <reviewItem>
      <errorID>e94f81f1-3496-4f81-8d5a-834ffd3c6d95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67632B36</paraID>
      <start>0</start>
      <end>2</end>
      <status>modified</status>
      <modifiedWord>1.</modifiedWord>
      <trackRevisions>false</trackRevisions>
    </reviewItem>
    <reviewItem>
      <errorID>500e1adb-0046-4f58-932f-181f562080d9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7887B1A1</paraID>
      <start>0</start>
      <end>2</end>
      <status>modified</status>
      <modifiedWord>2.</modifiedWord>
      <trackRevisions>false</trackRevisions>
    </reviewItem>
    <reviewItem>
      <errorID>714228f5-a210-4998-af05-1f217142c841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750F08B0</paraID>
      <start>0</start>
      <end>2</end>
      <status>modified</status>
      <modifiedWord>3.</modifiedWord>
      <trackRevisions>false</trackRevisions>
    </reviewItem>
    <reviewItem>
      <errorID>8a343d97-7b1d-4a3e-9126-7fa74ebd3cb7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ECB6AF2</paraID>
      <start>0</start>
      <end>2</end>
      <status>modified</status>
      <modifiedWord>4.</modifiedWord>
      <trackRevisions>false</trackRevisions>
    </reviewItem>
    <reviewItem>
      <errorID>3328f81e-5047-4fd0-994e-e61f3f2945bc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38FD3750</paraID>
      <start>0</start>
      <end>2</end>
      <status>modified</status>
      <modifiedWord>5.</modifiedWord>
      <trackRevisions>false</trackRevisions>
    </reviewItem>
    <reviewItem>
      <errorID>9083a7d9-73d0-4eda-a4d2-40c59491550b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5749753E</paraID>
      <start>0</start>
      <end>2</end>
      <status>modified</status>
      <modifiedWord>1.</modifiedWord>
      <trackRevisions>false</trackRevisions>
    </reviewItem>
    <reviewItem>
      <errorID>6e0fd9b6-255d-41a9-8040-4c56523af2da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6A351F0D</paraID>
      <start>0</start>
      <end>2</end>
      <status>modified</status>
      <modifiedWord>2.</modifiedWord>
      <trackRevisions>false</trackRevisions>
    </reviewItem>
    <reviewItem>
      <errorID>cc2e0ee3-a46b-41b8-b519-f4a4785635c3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3C54CEE</paraID>
      <start>0</start>
      <end>2</end>
      <status>modified</status>
      <modifiedWord>3.</modifiedWord>
      <trackRevisions>false</trackRevisions>
    </reviewItem>
    <reviewItem>
      <errorID>6bb78d07-845f-40ed-a9cb-2b3943128149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257AE217</paraID>
      <start>0</start>
      <end>2</end>
      <status>modified</status>
      <modifiedWord>4.</modifiedWord>
      <trackRevisions>false</trackRevisions>
    </reviewItem>
    <reviewItem>
      <errorID>4b69666a-ae90-409e-abf9-48a3a366c450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1F8FC25E</paraID>
      <start>0</start>
      <end>2</end>
      <status>modified</status>
      <modifiedWord>5.</modifiedWord>
      <trackRevisions>false</trackRevisions>
    </reviewItem>
    <reviewItem>
      <errorID>db796f21-d65d-4e18-8a2b-ab724d473103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BCD1A75</paraID>
      <start>0</start>
      <end>2</end>
      <status>modified</status>
      <modifiedWord>1.</modifiedWord>
      <trackRevisions>false</trackRevisions>
    </reviewItem>
    <reviewItem>
      <errorID>fe62f342-08fe-4a1b-b8f6-a28797ce85e3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63047388</paraID>
      <start>0</start>
      <end>2</end>
      <status>modified</status>
      <modifiedWord>2.</modifiedWord>
      <trackRevisions>false</trackRevisions>
    </reviewItem>
    <reviewItem>
      <errorID>be920b04-546d-4c89-a272-e84765161748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331C4819</paraID>
      <start>0</start>
      <end>2</end>
      <status>modified</status>
      <modifiedWord>3.</modifiedWord>
      <trackRevisions>false</trackRevisions>
    </reviewItem>
    <reviewItem>
      <errorID>4d73abd8-3a4b-4f2f-8735-340777fdae36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6791B13C</paraID>
      <start>0</start>
      <end>2</end>
      <status>modified</status>
      <modifiedWord>4.</modifiedWord>
      <trackRevisions>false</trackRevisions>
    </reviewItem>
    <reviewItem>
      <errorID>e8e278e3-844b-4a93-aa7d-a1400aa418f2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64220211</paraID>
      <start>0</start>
      <end>2</end>
      <status>modified</status>
      <modifiedWord>5.</modifiedWord>
      <trackRevisions>false</trackRevisions>
    </reviewItem>
    <reviewItem>
      <errorID>dbe90b8c-6830-4fd3-803f-9ec004e6c445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49B90BDA</paraID>
      <start>0</start>
      <end>2</end>
      <status>modified</status>
      <modifiedWord>6.</modifiedWord>
      <trackRevisions>false</trackRevisions>
    </reviewItem>
    <reviewItem>
      <errorID>4905013c-5962-4d63-b707-d72563778a14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4EBC59F6</paraID>
      <start>0</start>
      <end>2</end>
      <status>modified</status>
      <modifiedWord>1.</modifiedWord>
      <trackRevisions>false</trackRevisions>
    </reviewItem>
    <reviewItem>
      <errorID>3c1bf49b-fcf2-49d7-97d7-ede0ae16324d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6B9D282C</paraID>
      <start>0</start>
      <end>2</end>
      <status>modified</status>
      <modifiedWord>2.</modifiedWord>
      <trackRevisions>false</trackRevisions>
    </reviewItem>
    <reviewItem>
      <errorID>4cf9dd8b-4026-4a04-b48e-9b58e84e9138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560E8C50</paraID>
      <start>0</start>
      <end>2</end>
      <status>modified</status>
      <modifiedWord>3.</modifiedWord>
      <trackRevisions>false</trackRevisions>
    </reviewItem>
    <reviewItem>
      <errorID>fa56b694-9ae8-40a5-ac12-8d41a999e080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28E7B6C</paraID>
      <start>0</start>
      <end>2</end>
      <status>modified</status>
      <modifiedWord>4.</modifiedWord>
      <trackRevisions>false</trackRevisions>
    </reviewItem>
    <reviewItem>
      <errorID>7a87e43e-2f8b-44ec-be6f-599f5f5fa83c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1A4FCD7D</paraID>
      <start>0</start>
      <end>2</end>
      <status>modified</status>
      <modifiedWord>5.</modifiedWord>
      <trackRevisions>false</trackRevisions>
    </reviewItem>
    <reviewItem>
      <errorID>382d6a12-5af1-493b-bc1f-2da9fa05daf4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318AB7CD</paraID>
      <start>0</start>
      <end>2</end>
      <status>modified</status>
      <modifiedWord>6.</modifiedWord>
      <trackRevisions>false</trackRevisions>
    </reviewItem>
    <reviewItem>
      <errorID>be14d0d2-c80e-4479-8c80-c8ce5e61c99c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55A35648</paraID>
      <start>0</start>
      <end>2</end>
      <status>modified</status>
      <modifiedWord>1.</modifiedWord>
      <trackRevisions>false</trackRevisions>
    </reviewItem>
    <reviewItem>
      <errorID>4bac3765-afb0-455f-b849-2362e7469603</errorID>
      <errorWord>视屏</errorWord>
      <group>L1_Word</group>
      <groupName>字词问题</groupName>
      <ability>L2_Typo</ability>
      <abilityName>字词错误</abilityName>
      <candidateList>
        <item>视频</item>
      </candidateList>
      <explain>存在发音相近字词的误用。</explain>
      <paraID>55A35648</paraID>
      <start>25</start>
      <end>27</end>
      <status>modified</status>
      <modifiedWord>视频</modifiedWord>
      <trackRevisions>false</trackRevisions>
    </reviewItem>
    <reviewItem>
      <errorID>69e90e6e-d308-4e04-ad95-913c8d741f3b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734A25D3</paraID>
      <start>0</start>
      <end>2</end>
      <status>modified</status>
      <modifiedWord>2.</modifiedWord>
      <trackRevisions>false</trackRevisions>
    </reviewItem>
    <reviewItem>
      <errorID>4c2cf834-3998-44f6-b991-0d7574855f87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35805997</paraID>
      <start>0</start>
      <end>2</end>
      <status>modified</status>
      <modifiedWord>3.</modifiedWord>
      <trackRevisions>false</trackRevisions>
    </reviewItem>
    <reviewItem>
      <errorID>4f4f3cbf-7235-4616-b57b-1f688939dec6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51407B1F</paraID>
      <start>0</start>
      <end>2</end>
      <status>modified</status>
      <modifiedWord>4.</modifiedWord>
      <trackRevisions>false</trackRevisions>
    </reviewItem>
    <reviewItem>
      <errorID>af1609eb-c8d9-4c09-81bc-09e60c2ac407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7C9E31EC</paraID>
      <start>0</start>
      <end>2</end>
      <status>modified</status>
      <modifiedWord>5.</modifiedWord>
      <trackRevisions>false</trackRevisions>
    </reviewItem>
    <reviewItem>
      <errorID>4ac7611f-2546-4a8d-b163-b0a9fe6268a3</errorID>
      <errorWord>消防及</errorWord>
      <group>L1_Word</group>
      <groupName>字词问题</groupName>
      <ability>L2_Typo</ability>
      <abilityName>字词错误</abilityName>
      <candidateList>
        <item>消防</item>
      </candidateList>
      <explain/>
      <paraID> 3C7A304</paraID>
      <start>39</start>
      <end>41</end>
      <status>modified</status>
      <modifiedWord>消防</modifiedWord>
      <trackRevisions>false</trackRevisions>
    </reviewItem>
    <reviewItem>
      <errorID>de9c6dbd-41b0-481c-adc0-abf9098039e1</errorID>
      <errorWord>校考核</errorWord>
      <group>L1_Word</group>
      <groupName>字词问题</groupName>
      <ability>L2_Typo</ability>
      <abilityName>字词错误</abilityName>
      <candidateList>
        <item>考核</item>
      </candidateList>
      <explain/>
      <paraID> 38FCC3C</paraID>
      <start>0</start>
      <end>2</end>
      <status>modified</status>
      <modifiedWord>考核</modifiedWord>
      <trackRevisions>false</trackRevisions>
    </reviewItem>
    <reviewItem>
      <errorID>32f02e2c-5492-4e43-8713-1872967e4b81</errorID>
      <errorWord>,</errorWord>
      <group>L1_Format</group>
      <groupName>格式问题</groupName>
      <ability>L2_HalfPunc</ability>
      <abilityName>全半角检查</abilityName>
      <candidateList>
        <item>，</item>
      </candidateList>
      <explain>文本全半角错误。</explain>
      <paraID>4DB50930</paraID>
      <start>50</start>
      <end>51</end>
      <status>modified</status>
      <modifiedWord>，</modifiedWord>
      <trackRevisions>false</trackRevisions>
    </reviewItem>
    <reviewItem>
      <errorID>087425f9-c397-44b2-83e1-8ee1b76004f1</errorID>
      <errorWord>；</errorWord>
      <group>L1_Word</group>
      <groupName>字词问题</groupName>
      <ability>L2_Typo</ability>
      <abilityName>字词错误</abilityName>
      <candidateList>
        <item>；在</item>
      </candidateList>
      <explain/>
      <paraID>493260DF</paraID>
      <start>57</start>
      <end>59</end>
      <status>modified</status>
      <modifiedWord>；在</modifiedWord>
      <trackRevisions>false</trackRevisions>
    </reviewItem>
    <reviewItem>
      <errorID>bc8e44f7-5eed-4eb5-9a06-8b40d19f85c0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55679E5F</paraID>
      <start>0</start>
      <end>2</end>
      <status>modified</status>
      <modifiedWord>5.</modifiedWord>
      <trackRevisions>false</trackRevisions>
    </reviewItem>
    <reviewItem>
      <errorID>1e51ce42-cca7-4800-9879-a529890da108</errorID>
      <errorWord>费</errorWord>
      <group>L1_Word</group>
      <groupName>字词问题</groupName>
      <ability>L2_Typo</ability>
      <abilityName>字词错误</abilityName>
      <candidateList>
        <item>费和</item>
      </candidateList>
      <explain/>
      <paraID>55679E5F</paraID>
      <start>94</start>
      <end>96</end>
      <status>modified</status>
      <modifiedWord>费和</modifiedWord>
      <trackRevisions>false</trackRevisions>
    </reviewItem>
    <reviewItem>
      <errorID>a55d6c8e-9a71-4648-b737-1140d8450833</errorID>
      <errorWord>:</errorWord>
      <group>L1_Format</group>
      <groupName>格式问题</groupName>
      <ability>L2_HalfPunc</ability>
      <abilityName>全半角检查</abilityName>
      <candidateList>
        <item>：</item>
      </candidateList>
      <explain>文本全半角错误。</explain>
      <paraID>55679E5F</paraID>
      <start>167</start>
      <end>168</end>
      <status>modified</status>
      <modifiedWord>：</modifiedWord>
      <trackRevisions>false</trackRevisions>
    </reviewItem>
    <reviewItem>
      <errorID>a8e2650a-8c65-401c-833b-b269deba8298</errorID>
      <errorWord>（1）、</errorWord>
      <group>L1_Punc</group>
      <groupName>标点问题</groupName>
      <ability>L2_Punc</ability>
      <abilityName>标点符号检查</abilityName>
      <candidateList>
        <item>（1）</item>
      </candidateList>
      <explain>根据国标GB/T 15834-2011《标点符号用法》中的4.5.3.3节，带括号的汉字数字或阿拉伯数字表次序时，后面通常不加顿号。如“（一）指导思想”“（二）行动指南”。</explain>
      <paraID>55679E5F</paraID>
      <start>168</start>
      <end>171</end>
      <status>modified</status>
      <modifiedWord>（1）</modifiedWord>
      <trackRevisions>false</trackRevisions>
    </reviewItem>
    <reviewItem>
      <errorID>31bfcc82-a36f-4752-9730-b89247412d5f</errorID>
      <errorWord>低空玻璃</errorWord>
      <group>L1_Knowledge</group>
      <groupName>知识性问题</groupName>
      <ability>L2_Term</ability>
      <abilityName>专业术语</abilityName>
      <candidateList>
        <item>中空玻璃</item>
      </candidateList>
      <explain/>
      <paraID>7FB453E2</paraID>
      <start>82</start>
      <end>86</end>
      <status>modified</status>
      <modifiedWord>中空玻璃</modifiedWord>
      <trackRevisions>false</trackRevisions>
    </reviewItem>
    <reviewItem>
      <errorID>41558a8b-bfec-44e3-8903-106977f76811</errorID>
      <errorWord>季</errorWord>
      <group>L1_Word</group>
      <groupName>字词问题</groupName>
      <ability>L2_Typo</ability>
      <abilityName>字词错误</abilityName>
      <candidateList>
        <item>季度</item>
      </candidateList>
      <explain/>
      <paraID> D209E6D</paraID>
      <start>11</start>
      <end>13</end>
      <status>modified</status>
      <modifiedWord>季度</modifiedWord>
      <trackRevisions>false</trackRevisions>
    </reviewItem>
    <reviewItem>
      <errorID>0858c830-baa4-47c2-98e2-1e9e61111833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182D983</paraID>
      <start>0</start>
      <end>2</end>
      <status>modified</status>
      <modifiedWord>1.</modifiedWord>
      <trackRevisions>false</trackRevisions>
    </reviewItem>
    <reviewItem>
      <errorID>7d6ff617-aac5-4e3e-84ec-d01478c3dc6f</errorID>
      <errorWord>15号</errorWord>
      <group>L1_Knowledge</group>
      <groupName>知识性问题</groupName>
      <ability>L2_Time</ability>
      <abilityName>日期时间</abilityName>
      <candidateList>
        <item>15日</item>
      </candidateList>
      <explain>日期表达规范为x月x日。</explain>
      <paraID>707209F3</paraID>
      <start>13</start>
      <end>16</end>
      <status>ignored</status>
      <modifiedWord/>
      <trackRevisions>false</trackRevisions>
    </reviewItem>
    <reviewItem>
      <errorID>c5736b50-01e5-4047-b07f-da168e87cdf3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A52A5CA</paraID>
      <start>0</start>
      <end>2</end>
      <status>modified</status>
      <modifiedWord>1.</modifiedWord>
      <trackRevisions>false</trackRevisions>
    </reviewItem>
    <reviewItem>
      <errorID>22494365-6368-4f9b-87d6-45056b26451c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54E6F6FD</paraID>
      <start>0</start>
      <end>2</end>
      <status>modified</status>
      <modifiedWord>1.</modifiedWord>
      <trackRevisions>false</trackRevisions>
    </reviewItem>
    <reviewItem>
      <errorID>f54fb998-2904-4592-9777-817fc6d9bf43</errorID>
      <errorWord>,</errorWord>
      <group>L1_Format</group>
      <groupName>格式问题</groupName>
      <ability>L2_HalfPunc</ability>
      <abilityName>全半角检查</abilityName>
      <candidateList>
        <item>，</item>
      </candidateList>
      <explain>文本全半角错误。</explain>
      <paraID>54E6F6FD</paraID>
      <start>39</start>
      <end>40</end>
      <status>modified</status>
      <modifiedWord>，</modifiedWord>
      <trackRevisions>false</trackRevisions>
    </reviewItem>
    <reviewItem>
      <errorID>3e52ecc3-0daa-4981-983a-4399b8828d11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65037EF</paraID>
      <start>0</start>
      <end>2</end>
      <status>modified</status>
      <modifiedWord>2.</modifiedWord>
      <trackRevisions>false</trackRevisions>
    </reviewItem>
    <reviewItem>
      <errorID>1813d2b6-43c8-4d9c-bdb6-f1a8379f3ae8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4D62B75A</paraID>
      <start>0</start>
      <end>2</end>
      <status>modified</status>
      <modifiedWord>1.</modifiedWord>
      <trackRevisions>false</trackRevisions>
    </reviewItem>
    <reviewItem>
      <errorID>f264a4d5-7717-4ec9-bdec-2f9ddc45d695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2A3C2131</paraID>
      <start>0</start>
      <end>2</end>
      <status>modified</status>
      <modifiedWord>2.</modifiedWord>
      <trackRevisions>false</trackRevisions>
    </reviewItem>
    <reviewItem>
      <errorID>bb5c4731-f9b1-4c8e-8a94-cc5c7279d51a</errorID>
      <errorWord>共党</errorWord>
      <group>L1_Political</group>
      <groupName>政治性问题</groupName>
      <ability>L2_Unpolitical</ability>
      <abilityName>政治敏感错误</abilityName>
      <candidateList/>
      <explain/>
      <paraID>2A3C2131</paraID>
      <start>30</start>
      <end>32</end>
      <status>ignored</status>
      <modifiedWord/>
      <trackRevisions>false</trackRevisions>
    </reviewItem>
    <reviewItem>
      <errorID>751b48f6-ba87-45b9-ab7c-5a82dc4d39f3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A04B490</paraID>
      <start>0</start>
      <end>2</end>
      <status>modified</status>
      <modifiedWord>3.</modifiedWord>
      <trackRevisions>false</trackRevisions>
    </reviewItem>
    <reviewItem>
      <errorID>2c4b15e9-3deb-4535-9810-08c7546c1ccb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2CE29EA</paraID>
      <start>0</start>
      <end>2</end>
      <status>modified</status>
      <modifiedWord>1.</modifiedWord>
      <trackRevisions>false</trackRevisions>
    </reviewItem>
    <reviewItem>
      <errorID>d66d7cb3-683c-44a6-b604-b6ebb685640c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671A62FC</paraID>
      <start>0</start>
      <end>2</end>
      <status>modified</status>
      <modifiedWord>2.</modifiedWord>
      <trackRevisions>false</trackRevisions>
    </reviewItem>
    <reviewItem>
      <errorID>85e482c9-89e4-457e-9fca-389e48b806bc</errorID>
      <errorWord>,</errorWord>
      <group>L1_Format</group>
      <groupName>格式问题</groupName>
      <ability>L2_HalfPunc</ability>
      <abilityName>全半角检查</abilityName>
      <candidateList>
        <item>，</item>
      </candidateList>
      <explain>文本全半角错误。</explain>
      <paraID>671A62FC</paraID>
      <start>76</start>
      <end>77</end>
      <status>modified</status>
      <modifiedWord>，</modifiedWord>
      <trackRevisions>false</trackRevisions>
    </reviewItem>
    <reviewItem>
      <errorID>7e0a9c19-2ab0-43ca-b9ed-3ed9bd8ef066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691AF2AB</paraID>
      <start>0</start>
      <end>2</end>
      <status>modified</status>
      <modifiedWord>3.</modifiedWord>
      <trackRevisions>false</trackRevisions>
    </reviewItem>
    <reviewItem>
      <errorID>bd73315b-bdfd-46c2-98a6-74871977122a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4F4B98CE</paraID>
      <start>0</start>
      <end>2</end>
      <status>modified</status>
      <modifiedWord>1.</modifiedWord>
      <trackRevisions>false</trackRevisions>
    </reviewItem>
    <reviewItem>
      <errorID>cb1ec18c-bba8-467b-8023-95bd10172646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4432BAED</paraID>
      <start>0</start>
      <end>2</end>
      <status>modified</status>
      <modifiedWord>2.</modifiedWord>
      <trackRevisions>false</trackRevisions>
    </reviewItem>
    <reviewItem>
      <errorID>180c0bbf-dc0a-41d7-87e6-0a01f9a34653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497FFD20</paraID>
      <start>0</start>
      <end>2</end>
      <status>modified</status>
      <modifiedWord>1.</modifiedWord>
      <trackRevisions>false</trackRevisions>
    </reviewItem>
    <reviewItem>
      <errorID>c019cde5-6b19-4edc-b26f-1787899968ac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438CC179</paraID>
      <start>0</start>
      <end>2</end>
      <status>modified</status>
      <modifiedWord>2.</modifiedWord>
      <trackRevisions>false</trackRevisions>
    </reviewItem>
    <reviewItem>
      <errorID>de6b2564-25ba-4ac3-9ca2-e7be770823ec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1671A867</paraID>
      <start>0</start>
      <end>2</end>
      <status>modified</status>
      <modifiedWord>3.</modifiedWord>
      <trackRevisions>false</trackRevisions>
    </reviewItem>
    <reviewItem>
      <errorID>b5cee587-c802-450b-9ae2-b649e3428284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B49EDBB</paraID>
      <start>0</start>
      <end>2</end>
      <status>modified</status>
      <modifiedWord>4.</modifiedWord>
      <trackRevisions>false</trackRevisions>
    </reviewItem>
    <reviewItem>
      <errorID>9c8999b2-9bca-4543-b554-e986f93223b7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51EA1071</paraID>
      <start>0</start>
      <end>2</end>
      <status>modified</status>
      <modifiedWord>5.</modifiedWord>
      <trackRevisions>false</trackRevisions>
    </reviewItem>
    <reviewItem>
      <errorID>124c11e6-3e6a-43fc-96fe-baf52d56d65f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4A5A01B2</paraID>
      <start>0</start>
      <end>2</end>
      <status>modified</status>
      <modifiedWord>6.</modifiedWord>
      <trackRevisions>false</trackRevisions>
    </reviewItem>
    <reviewItem>
      <errorID>27a8951f-4649-4337-9b6e-3ed5aa1e4950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449F1F5D</paraID>
      <start>0</start>
      <end>2</end>
      <status>modified</status>
      <modifiedWord>7.</modifiedWord>
      <trackRevisions>false</trackRevisions>
    </reviewItem>
    <reviewItem>
      <errorID>55026e9a-7082-48cb-97d3-db3d41233c27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3641F68</paraID>
      <start>0</start>
      <end>2</end>
      <status>modified</status>
      <modifiedWord>2.</modifiedWord>
      <trackRevisions>false</trackRevisions>
    </reviewItem>
    <reviewItem>
      <errorID>75852277-d67d-45eb-ba6b-f60cd77088d8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130B2196</paraID>
      <start>8</start>
      <end>20</end>
      <status>modified</status>
      <modifiedWord>中华人民共和国政府采购法</modifiedWord>
      <trackRevisions>false</trackRevisions>
    </reviewItem>
    <reviewItem>
      <errorID>651904f0-814d-40f3-8371-4d4858401d44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65FBE05C</paraID>
      <start>6</start>
      <end>18</end>
      <status>modified</status>
      <modifiedWord>中华人民共和国政府采购法</modifiedWord>
      <trackRevisions>false</trackRevisions>
    </reviewItem>
    <reviewItem>
      <errorID>57a22aae-ec70-481c-bf79-0d825e5c98e3</errorID>
      <errorWord>号</errorWord>
      <group>L1_Word</group>
      <groupName>字词问题</groupName>
      <ability>L2_Typo</ability>
      <abilityName>字词错误</abilityName>
      <candidateList>
        <item/>
      </candidateList>
      <explain/>
      <paraID>4BEDEB0D</paraID>
      <start>11</start>
      <end>12</end>
      <status>ignored</status>
      <modifiedWord/>
      <trackRevisions>false</trackRevisions>
    </reviewItem>
    <reviewItem>
      <errorID>84126a02-3f19-4568-bd13-49a54875422c</errorID>
      <errorWord>(</errorWord>
      <group>L1_Format</group>
      <groupName>格式问题</groupName>
      <ability>L2_HalfPunc</ability>
      <abilityName>全半角检查</abilityName>
      <candidateList>
        <item>（</item>
      </candidateList>
      <explain>文本全半角错误。</explain>
      <paraID>4BEDEB0D</paraID>
      <start>32</start>
      <end>33</end>
      <status>modified</status>
      <modifiedWord>（</modifiedWord>
      <trackRevisions>false</trackRevisions>
    </reviewItem>
    <reviewItem>
      <errorID>c591b71c-b4a8-476b-b1c1-13903a0a5d44</errorID>
      <errorWord>)</errorWord>
      <group>L1_Format</group>
      <groupName>格式问题</groupName>
      <ability>L2_HalfPunc</ability>
      <abilityName>全半角检查</abilityName>
      <candidateList>
        <item>）</item>
      </candidateList>
      <explain>文本全半角错误。</explain>
      <paraID>4BEDEB0D</paraID>
      <start>35</start>
      <end>36</end>
      <status>modified</status>
      <modifiedWord>）</modifiedWord>
      <trackRevisions>false</trackRevisions>
    </reviewItem>
    <reviewItem>
      <errorID>7c7a45ce-be91-4f81-abaf-632105d26d5c</errorID>
      <errorWord>,</errorWord>
      <group>L1_Format</group>
      <groupName>格式问题</groupName>
      <ability>L2_HalfPunc</ability>
      <abilityName>全半角检查</abilityName>
      <candidateList>
        <item>，</item>
      </candidateList>
      <explain>文本全半角错误。</explain>
      <paraID>71C62C97</paraID>
      <start>8</start>
      <end>9</end>
      <status>modified</status>
      <modifiedWord>，</modifiedWord>
      <trackRevisions>false</trackRevisions>
    </reviewItem>
    <reviewItem>
      <errorID>90149f4f-88c6-48f6-9d7a-d7f664c15623</errorID>
      <errorWord>,</errorWord>
      <group>L1_Format</group>
      <groupName>格式问题</groupName>
      <ability>L2_HalfPunc</ability>
      <abilityName>全半角检查</abilityName>
      <candidateList>
        <item>，</item>
      </candidateList>
      <explain>文本全半角错误。</explain>
      <paraID>71C62C97</paraID>
      <start>34</start>
      <end>35</end>
      <status>modified</status>
      <modifiedWord>，</modifiedWord>
      <trackRevisions>false</trackRevisions>
    </reviewItem>
    <reviewItem>
      <errorID>357e189f-e1ac-4085-b38e-a2f6e72a6345</errorID>
      <errorWord>〔2017〕 141号</errorWord>
      <group>L1_Knowledge</group>
      <groupName>知识性问题</groupName>
      <ability>L2_Knowledge</ability>
      <abilityName>其他知识</abilityName>
      <candidateList>
        <item>〔2017〕141号</item>
      </candidateList>
      <explain>发文字号格式错误。</explain>
      <paraID> 8EAA1D7</paraID>
      <start>49</start>
      <end>59</end>
      <status>modified</status>
      <modifiedWord>〔2017〕141号</modifiedWord>
      <trackRevisions>false</trackRevisions>
    </reviewItem>
    <reviewItem>
      <errorID>ca202578-c9c9-4220-a19e-de367ecea727</errorID>
      <errorWord>(</errorWord>
      <group>L1_Format</group>
      <groupName>格式问题</groupName>
      <ability>L2_HalfPunc</ability>
      <abilityName>全半角检查</abilityName>
      <candidateList>
        <item>（</item>
      </candidateList>
      <explain>文本全半角错误。</explain>
      <paraID>15E0A53F</paraID>
      <start>2</start>
      <end>3</end>
      <status>modified</status>
      <modifiedWord>（</modifiedWord>
      <trackRevisions>false</trackRevisions>
    </reviewItem>
    <reviewItem>
      <errorID>d6a929a7-d35d-4aab-abd8-f1cf08564fa2</errorID>
      <errorWord>)</errorWord>
      <group>L1_Format</group>
      <groupName>格式问题</groupName>
      <ability>L2_HalfPunc</ability>
      <abilityName>全半角检查</abilityName>
      <candidateList>
        <item>）</item>
      </candidateList>
      <explain>文本全半角错误。</explain>
      <paraID>15E0A53F</paraID>
      <start>5</start>
      <end>6</end>
      <status>modified</status>
      <modifiedWord>）</modifiedWord>
      <trackRevisions>false</trackRevisions>
    </reviewItem>
    <reviewItem>
      <errorID>162b701d-1c04-4677-a114-07917d24ee60</errorID>
      <errorWord>(</errorWord>
      <group>L1_Format</group>
      <groupName>格式问题</groupName>
      <ability>L2_HalfPunc</ability>
      <abilityName>全半角检查</abilityName>
      <candidateList>
        <item>（</item>
      </candidateList>
      <explain>文本全半角错误。</explain>
      <paraID>2B752D04</paraID>
      <start>44</start>
      <end>45</end>
      <status>modified</status>
      <modifiedWord>（</modifiedWord>
      <trackRevisions>false</trackRevisions>
    </reviewItem>
    <reviewItem>
      <errorID>553f8945-463f-4f33-bfb9-21dd30fa0a0b</errorID>
      <errorWord>)</errorWord>
      <group>L1_Format</group>
      <groupName>格式问题</groupName>
      <ability>L2_HalfPunc</ability>
      <abilityName>全半角检查</abilityName>
      <candidateList>
        <item>）</item>
      </candidateList>
      <explain>文本全半角错误。</explain>
      <paraID>2B752D04</paraID>
      <start>56</start>
      <end>57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ce958-f925-4825-9343-6848ea4083ad}">
  <ds:schemaRefs/>
</ds:datastoreItem>
</file>

<file path=docProps/app.xml><?xml version="1.0" encoding="utf-8"?>
<Properties xmlns="http://schemas.openxmlformats.org/officeDocument/2006/extended-properties" xmlns:vt="http://schemas.openxmlformats.org/officeDocument/2006/docPropsVTypes">
  <Template>Normal</Template>
  <Company>King</Company>
  <Pages>66</Pages>
  <Words>16576</Words>
  <Characters>17651</Characters>
  <Lines>591</Lines>
  <Paragraphs>166</Paragraphs>
  <TotalTime>4</TotalTime>
  <ScaleCrop>false</ScaleCrop>
  <LinksUpToDate>false</LinksUpToDate>
  <CharactersWithSpaces>17976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2025-08-10T08:09:00Z</dcterms:created>
  <dc:creator>A吴元庆（招标，造价）</dc:creator>
  <cp:lastModifiedBy>Zz、</cp:lastModifiedBy>
  <cp:lastPrinted>2026-06-30T04:51:00Z</cp:lastPrinted>
  <dcterms:modified xsi:type="dcterms:W3CDTF">2026-08-07T03:39:48Z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eyJoZGlkIjoiNTU0ZmIwYTQ3NzlmZGUxZmU3Zjk0M2IyZTNmM2IxNjAiLCJ1c2VySWQiOiI1MDcwMzQ0NDEifQ==</vt:lpwstr>
  </property>
  <property fmtid="{D5CDD505-2E9C-101B-9397-08002B2CF9AE}" pid="3" name="KSOProductBuildVer">
    <vt:lpwstr>2052-12.1.0.28043</vt:lpwstr>
  </property>
  <property fmtid="{D5CDD505-2E9C-101B-9397-08002B2CF9AE}" pid="4" name="ICV">
    <vt:lpwstr>5128170F9B2A48E8A0D4F4F3A573D893_13</vt:lpwstr>
  </property>
</Properties>
</file>